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0" w:lineRule="auto" w:before="77"/>
        <w:ind w:left="882" w:right="1216" w:firstLine="0"/>
        <w:jc w:val="center"/>
        <w:rPr>
          <w:b/>
          <w:sz w:val="28"/>
        </w:rPr>
      </w:pPr>
      <w:r>
        <w:rPr/>
        <mc:AlternateContent>
          <mc:Choice Requires="wps">
            <w:drawing>
              <wp:anchor distT="0" distB="0" distL="0" distR="0" allowOverlap="1" layoutInCell="1" locked="0" behindDoc="1" simplePos="0" relativeHeight="482902528">
                <wp:simplePos x="0" y="0"/>
                <wp:positionH relativeFrom="page">
                  <wp:posOffset>-1402226</wp:posOffset>
                </wp:positionH>
                <wp:positionV relativeFrom="page">
                  <wp:posOffset>4612234</wp:posOffset>
                </wp:positionV>
                <wp:extent cx="10685780" cy="914400"/>
                <wp:effectExtent l="0" t="0" r="0" b="0"/>
                <wp:wrapNone/>
                <wp:docPr id="2" name="Textbox 2"/>
                <wp:cNvGraphicFramePr>
                  <a:graphicFrameLocks/>
                </wp:cNvGraphicFramePr>
                <a:graphic>
                  <a:graphicData uri="http://schemas.microsoft.com/office/word/2010/wordprocessingShape">
                    <wps:wsp>
                      <wps:cNvPr id="2" name="Textbox 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395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8"/>
        </w:rPr>
        <w:t>ANTIDIABETIC</w:t>
      </w:r>
      <w:r>
        <w:rPr>
          <w:b/>
          <w:spacing w:val="-7"/>
          <w:sz w:val="28"/>
        </w:rPr>
        <w:t> </w:t>
      </w:r>
      <w:r>
        <w:rPr>
          <w:b/>
          <w:sz w:val="28"/>
        </w:rPr>
        <w:t>PROPERTIES</w:t>
      </w:r>
      <w:r>
        <w:rPr>
          <w:b/>
          <w:spacing w:val="-6"/>
          <w:sz w:val="28"/>
        </w:rPr>
        <w:t> </w:t>
      </w:r>
      <w:r>
        <w:rPr>
          <w:b/>
          <w:sz w:val="28"/>
        </w:rPr>
        <w:t>OF</w:t>
      </w:r>
      <w:r>
        <w:rPr>
          <w:b/>
          <w:spacing w:val="-7"/>
          <w:sz w:val="28"/>
        </w:rPr>
        <w:t> </w:t>
      </w:r>
      <w:r>
        <w:rPr>
          <w:b/>
          <w:i/>
          <w:sz w:val="28"/>
        </w:rPr>
        <w:t>MUCUNA</w:t>
      </w:r>
      <w:r>
        <w:rPr>
          <w:b/>
          <w:i/>
          <w:spacing w:val="-6"/>
          <w:sz w:val="28"/>
        </w:rPr>
        <w:t> </w:t>
      </w:r>
      <w:r>
        <w:rPr>
          <w:b/>
          <w:i/>
          <w:sz w:val="28"/>
        </w:rPr>
        <w:t>PRURIENS</w:t>
      </w:r>
      <w:r>
        <w:rPr>
          <w:b/>
          <w:i/>
          <w:spacing w:val="-7"/>
          <w:sz w:val="28"/>
        </w:rPr>
        <w:t> </w:t>
      </w:r>
      <w:r>
        <w:rPr>
          <w:b/>
          <w:sz w:val="28"/>
        </w:rPr>
        <w:t>L.</w:t>
      </w:r>
      <w:r>
        <w:rPr>
          <w:b/>
          <w:spacing w:val="-7"/>
          <w:sz w:val="28"/>
        </w:rPr>
        <w:t> </w:t>
      </w:r>
      <w:r>
        <w:rPr>
          <w:b/>
          <w:sz w:val="28"/>
        </w:rPr>
        <w:t>(D.C.) SEED EXTRACT AND ITS TABLET FORMULATIONS</w:t>
      </w:r>
    </w:p>
    <w:p>
      <w:pPr>
        <w:pStyle w:val="BodyText"/>
        <w:rPr>
          <w:b/>
          <w:sz w:val="28"/>
        </w:rPr>
      </w:pPr>
    </w:p>
    <w:p>
      <w:pPr>
        <w:pStyle w:val="BodyText"/>
        <w:rPr>
          <w:b/>
          <w:sz w:val="28"/>
        </w:rPr>
      </w:pPr>
    </w:p>
    <w:p>
      <w:pPr>
        <w:pStyle w:val="BodyText"/>
        <w:rPr>
          <w:b/>
          <w:sz w:val="28"/>
        </w:rPr>
      </w:pPr>
    </w:p>
    <w:p>
      <w:pPr>
        <w:spacing w:before="1"/>
        <w:ind w:left="0" w:right="385" w:firstLine="0"/>
        <w:jc w:val="center"/>
        <w:rPr>
          <w:b/>
          <w:sz w:val="28"/>
        </w:rPr>
      </w:pPr>
      <w:r>
        <w:rPr>
          <w:b/>
          <w:spacing w:val="-5"/>
          <w:sz w:val="28"/>
        </w:rPr>
        <w:t>BY</w:t>
      </w:r>
    </w:p>
    <w:p>
      <w:pPr>
        <w:pStyle w:val="BodyText"/>
        <w:rPr>
          <w:b/>
          <w:sz w:val="28"/>
        </w:rPr>
      </w:pPr>
    </w:p>
    <w:p>
      <w:pPr>
        <w:pStyle w:val="BodyText"/>
        <w:rPr>
          <w:b/>
          <w:sz w:val="28"/>
        </w:rPr>
      </w:pPr>
    </w:p>
    <w:p>
      <w:pPr>
        <w:pStyle w:val="BodyText"/>
        <w:rPr>
          <w:b/>
          <w:sz w:val="28"/>
        </w:rPr>
      </w:pPr>
    </w:p>
    <w:p>
      <w:pPr>
        <w:pStyle w:val="BodyText"/>
        <w:spacing w:before="1"/>
        <w:rPr>
          <w:b/>
          <w:sz w:val="28"/>
        </w:rPr>
      </w:pPr>
    </w:p>
    <w:p>
      <w:pPr>
        <w:spacing w:line="322" w:lineRule="exact" w:before="0"/>
        <w:ind w:left="135" w:right="0" w:firstLine="0"/>
        <w:jc w:val="center"/>
        <w:rPr>
          <w:b/>
          <w:sz w:val="28"/>
        </w:rPr>
      </w:pPr>
      <w:r>
        <w:rPr>
          <w:b/>
          <w:sz w:val="28"/>
        </w:rPr>
        <w:t>MAJEKODUNMI,</w:t>
      </w:r>
      <w:r>
        <w:rPr>
          <w:b/>
          <w:spacing w:val="-9"/>
          <w:sz w:val="28"/>
        </w:rPr>
        <w:t> </w:t>
      </w:r>
      <w:r>
        <w:rPr>
          <w:b/>
          <w:sz w:val="28"/>
        </w:rPr>
        <w:t>STEPHEN</w:t>
      </w:r>
      <w:r>
        <w:rPr>
          <w:b/>
          <w:spacing w:val="-8"/>
          <w:sz w:val="28"/>
        </w:rPr>
        <w:t> </w:t>
      </w:r>
      <w:r>
        <w:rPr>
          <w:b/>
          <w:spacing w:val="-2"/>
          <w:sz w:val="28"/>
        </w:rPr>
        <w:t>OLARIBIGBE</w:t>
      </w:r>
    </w:p>
    <w:p>
      <w:pPr>
        <w:spacing w:before="0"/>
        <w:ind w:left="891" w:right="0" w:firstLine="0"/>
        <w:jc w:val="left"/>
        <w:rPr>
          <w:b/>
          <w:sz w:val="28"/>
        </w:rPr>
      </w:pPr>
      <w:r>
        <w:rPr>
          <w:b/>
          <w:sz w:val="28"/>
        </w:rPr>
        <w:t>B.</w:t>
      </w:r>
      <w:r>
        <w:rPr>
          <w:b/>
          <w:spacing w:val="-6"/>
          <w:sz w:val="28"/>
        </w:rPr>
        <w:t> </w:t>
      </w:r>
      <w:r>
        <w:rPr>
          <w:b/>
          <w:sz w:val="28"/>
        </w:rPr>
        <w:t>Pharm.</w:t>
      </w:r>
      <w:r>
        <w:rPr>
          <w:b/>
          <w:spacing w:val="-5"/>
          <w:sz w:val="28"/>
        </w:rPr>
        <w:t> </w:t>
      </w:r>
      <w:r>
        <w:rPr>
          <w:b/>
          <w:sz w:val="28"/>
        </w:rPr>
        <w:t>(Ife);</w:t>
      </w:r>
      <w:r>
        <w:rPr>
          <w:b/>
          <w:spacing w:val="-4"/>
          <w:sz w:val="28"/>
        </w:rPr>
        <w:t> </w:t>
      </w:r>
      <w:r>
        <w:rPr>
          <w:b/>
          <w:sz w:val="28"/>
        </w:rPr>
        <w:t>M.Sc.</w:t>
      </w:r>
      <w:r>
        <w:rPr>
          <w:b/>
          <w:spacing w:val="-5"/>
          <w:sz w:val="28"/>
        </w:rPr>
        <w:t> </w:t>
      </w:r>
      <w:r>
        <w:rPr>
          <w:b/>
          <w:sz w:val="28"/>
        </w:rPr>
        <w:t>Pharmaceutics</w:t>
      </w:r>
      <w:r>
        <w:rPr>
          <w:b/>
          <w:spacing w:val="-5"/>
          <w:sz w:val="28"/>
        </w:rPr>
        <w:t> </w:t>
      </w:r>
      <w:r>
        <w:rPr>
          <w:b/>
          <w:sz w:val="28"/>
        </w:rPr>
        <w:t>&amp;</w:t>
      </w:r>
      <w:r>
        <w:rPr>
          <w:b/>
          <w:spacing w:val="-5"/>
          <w:sz w:val="28"/>
        </w:rPr>
        <w:t> </w:t>
      </w:r>
      <w:r>
        <w:rPr>
          <w:b/>
          <w:sz w:val="28"/>
        </w:rPr>
        <w:t>Industrial</w:t>
      </w:r>
      <w:r>
        <w:rPr>
          <w:b/>
          <w:spacing w:val="-3"/>
          <w:sz w:val="28"/>
        </w:rPr>
        <w:t> </w:t>
      </w:r>
      <w:r>
        <w:rPr>
          <w:b/>
          <w:sz w:val="28"/>
        </w:rPr>
        <w:t>Pharmacy</w:t>
      </w:r>
      <w:r>
        <w:rPr>
          <w:b/>
          <w:spacing w:val="-2"/>
          <w:sz w:val="28"/>
        </w:rPr>
        <w:t> (Ibadan)</w:t>
      </w:r>
    </w:p>
    <w:p>
      <w:pPr>
        <w:pStyle w:val="BodyText"/>
        <w:rPr>
          <w:b/>
          <w:sz w:val="28"/>
        </w:rPr>
      </w:pPr>
    </w:p>
    <w:p>
      <w:pPr>
        <w:pStyle w:val="BodyText"/>
        <w:rPr>
          <w:b/>
          <w:sz w:val="28"/>
        </w:rPr>
      </w:pPr>
    </w:p>
    <w:p>
      <w:pPr>
        <w:pStyle w:val="BodyText"/>
        <w:rPr>
          <w:b/>
          <w:sz w:val="28"/>
        </w:rPr>
      </w:pPr>
    </w:p>
    <w:p>
      <w:pPr>
        <w:spacing w:before="1"/>
        <w:ind w:left="3133" w:right="0" w:firstLine="0"/>
        <w:jc w:val="left"/>
        <w:rPr>
          <w:b/>
          <w:sz w:val="28"/>
        </w:rPr>
      </w:pPr>
      <w:r>
        <w:rPr>
          <w:b/>
          <w:sz w:val="28"/>
        </w:rPr>
        <w:t>A</w:t>
      </w:r>
      <w:r>
        <w:rPr>
          <w:b/>
          <w:spacing w:val="-4"/>
          <w:sz w:val="28"/>
        </w:rPr>
        <w:t> </w:t>
      </w:r>
      <w:r>
        <w:rPr>
          <w:b/>
          <w:sz w:val="28"/>
        </w:rPr>
        <w:t>thesis</w:t>
      </w:r>
      <w:r>
        <w:rPr>
          <w:b/>
          <w:spacing w:val="-2"/>
          <w:sz w:val="28"/>
        </w:rPr>
        <w:t> </w:t>
      </w:r>
      <w:r>
        <w:rPr>
          <w:b/>
          <w:sz w:val="28"/>
        </w:rPr>
        <w:t>in</w:t>
      </w:r>
      <w:r>
        <w:rPr>
          <w:b/>
          <w:spacing w:val="-3"/>
          <w:sz w:val="28"/>
        </w:rPr>
        <w:t> </w:t>
      </w:r>
      <w:r>
        <w:rPr>
          <w:b/>
          <w:sz w:val="28"/>
        </w:rPr>
        <w:t>the</w:t>
      </w:r>
      <w:r>
        <w:rPr>
          <w:b/>
          <w:spacing w:val="-2"/>
          <w:sz w:val="28"/>
        </w:rPr>
        <w:t> </w:t>
      </w:r>
      <w:r>
        <w:rPr>
          <w:b/>
          <w:sz w:val="28"/>
        </w:rPr>
        <w:t>Department</w:t>
      </w:r>
      <w:r>
        <w:rPr>
          <w:b/>
          <w:spacing w:val="-2"/>
          <w:sz w:val="28"/>
        </w:rPr>
        <w:t> </w:t>
      </w:r>
      <w:r>
        <w:rPr>
          <w:b/>
          <w:spacing w:val="-5"/>
          <w:sz w:val="28"/>
        </w:rPr>
        <w:t>of</w:t>
      </w:r>
    </w:p>
    <w:p>
      <w:pPr>
        <w:pStyle w:val="BodyText"/>
        <w:rPr>
          <w:b/>
          <w:sz w:val="28"/>
        </w:rPr>
      </w:pPr>
    </w:p>
    <w:p>
      <w:pPr>
        <w:pStyle w:val="BodyText"/>
        <w:spacing w:before="320"/>
        <w:rPr>
          <w:b/>
          <w:sz w:val="28"/>
        </w:rPr>
      </w:pPr>
    </w:p>
    <w:p>
      <w:pPr>
        <w:pStyle w:val="Heading1"/>
        <w:ind w:left="87"/>
      </w:pPr>
      <w:r>
        <w:rPr/>
        <w:t>PHARMACEUTICS</w:t>
      </w:r>
      <w:r>
        <w:rPr>
          <w:spacing w:val="-11"/>
        </w:rPr>
        <w:t> </w:t>
      </w:r>
      <w:r>
        <w:rPr/>
        <w:t>AND</w:t>
      </w:r>
      <w:r>
        <w:rPr>
          <w:spacing w:val="-8"/>
        </w:rPr>
        <w:t> </w:t>
      </w:r>
      <w:r>
        <w:rPr/>
        <w:t>INDUSTRIAL</w:t>
      </w:r>
      <w:r>
        <w:rPr>
          <w:spacing w:val="-8"/>
        </w:rPr>
        <w:t> </w:t>
      </w:r>
      <w:r>
        <w:rPr>
          <w:spacing w:val="-2"/>
        </w:rPr>
        <w:t>PHARMACY</w:t>
      </w:r>
    </w:p>
    <w:p>
      <w:pPr>
        <w:pStyle w:val="BodyText"/>
        <w:rPr>
          <w:b/>
          <w:sz w:val="28"/>
        </w:rPr>
      </w:pPr>
    </w:p>
    <w:p>
      <w:pPr>
        <w:pStyle w:val="BodyText"/>
        <w:spacing w:before="2"/>
        <w:rPr>
          <w:b/>
          <w:sz w:val="28"/>
        </w:rPr>
      </w:pPr>
    </w:p>
    <w:p>
      <w:pPr>
        <w:spacing w:line="322" w:lineRule="exact" w:before="0"/>
        <w:ind w:left="0" w:right="269" w:firstLine="0"/>
        <w:jc w:val="center"/>
        <w:rPr>
          <w:b/>
          <w:sz w:val="28"/>
        </w:rPr>
      </w:pPr>
      <w:r>
        <w:rPr>
          <w:b/>
          <w:sz w:val="28"/>
        </w:rPr>
        <w:t>Submitted</w:t>
      </w:r>
      <w:r>
        <w:rPr>
          <w:b/>
          <w:spacing w:val="-3"/>
          <w:sz w:val="28"/>
        </w:rPr>
        <w:t> </w:t>
      </w:r>
      <w:r>
        <w:rPr>
          <w:b/>
          <w:sz w:val="28"/>
        </w:rPr>
        <w:t>to</w:t>
      </w:r>
      <w:r>
        <w:rPr>
          <w:b/>
          <w:spacing w:val="-2"/>
          <w:sz w:val="28"/>
        </w:rPr>
        <w:t> </w:t>
      </w:r>
      <w:r>
        <w:rPr>
          <w:b/>
          <w:sz w:val="28"/>
        </w:rPr>
        <w:t>the</w:t>
      </w:r>
      <w:r>
        <w:rPr>
          <w:b/>
          <w:spacing w:val="-3"/>
          <w:sz w:val="28"/>
        </w:rPr>
        <w:t> </w:t>
      </w:r>
      <w:r>
        <w:rPr>
          <w:b/>
          <w:sz w:val="28"/>
        </w:rPr>
        <w:t>Faculty</w:t>
      </w:r>
      <w:r>
        <w:rPr>
          <w:b/>
          <w:spacing w:val="-1"/>
          <w:sz w:val="28"/>
        </w:rPr>
        <w:t> </w:t>
      </w:r>
      <w:r>
        <w:rPr>
          <w:b/>
          <w:sz w:val="28"/>
        </w:rPr>
        <w:t>of</w:t>
      </w:r>
      <w:r>
        <w:rPr>
          <w:b/>
          <w:spacing w:val="-2"/>
          <w:sz w:val="28"/>
        </w:rPr>
        <w:t> Pharmacy</w:t>
      </w:r>
    </w:p>
    <w:p>
      <w:pPr>
        <w:spacing w:before="0"/>
        <w:ind w:left="0" w:right="54" w:firstLine="0"/>
        <w:jc w:val="center"/>
        <w:rPr>
          <w:b/>
          <w:sz w:val="28"/>
        </w:rPr>
      </w:pPr>
      <w:r>
        <w:rPr>
          <w:b/>
          <w:sz w:val="28"/>
        </w:rPr>
        <w:t>in</w:t>
      </w:r>
      <w:r>
        <w:rPr>
          <w:b/>
          <w:spacing w:val="-6"/>
          <w:sz w:val="28"/>
        </w:rPr>
        <w:t> </w:t>
      </w:r>
      <w:r>
        <w:rPr>
          <w:b/>
          <w:sz w:val="28"/>
        </w:rPr>
        <w:t>partial</w:t>
      </w:r>
      <w:r>
        <w:rPr>
          <w:b/>
          <w:spacing w:val="-1"/>
          <w:sz w:val="28"/>
        </w:rPr>
        <w:t> </w:t>
      </w:r>
      <w:r>
        <w:rPr>
          <w:b/>
          <w:sz w:val="28"/>
        </w:rPr>
        <w:t>fulfillment</w:t>
      </w:r>
      <w:r>
        <w:rPr>
          <w:b/>
          <w:spacing w:val="-3"/>
          <w:sz w:val="28"/>
        </w:rPr>
        <w:t> </w:t>
      </w:r>
      <w:r>
        <w:rPr>
          <w:b/>
          <w:sz w:val="28"/>
        </w:rPr>
        <w:t>of</w:t>
      </w:r>
      <w:r>
        <w:rPr>
          <w:b/>
          <w:spacing w:val="-4"/>
          <w:sz w:val="28"/>
        </w:rPr>
        <w:t> </w:t>
      </w:r>
      <w:r>
        <w:rPr>
          <w:b/>
          <w:sz w:val="28"/>
        </w:rPr>
        <w:t>the</w:t>
      </w:r>
      <w:r>
        <w:rPr>
          <w:b/>
          <w:spacing w:val="-4"/>
          <w:sz w:val="28"/>
        </w:rPr>
        <w:t> </w:t>
      </w:r>
      <w:r>
        <w:rPr>
          <w:b/>
          <w:sz w:val="28"/>
        </w:rPr>
        <w:t>requirements</w:t>
      </w:r>
      <w:r>
        <w:rPr>
          <w:b/>
          <w:spacing w:val="-2"/>
          <w:sz w:val="28"/>
        </w:rPr>
        <w:t> </w:t>
      </w:r>
      <w:r>
        <w:rPr>
          <w:b/>
          <w:sz w:val="28"/>
        </w:rPr>
        <w:t>for</w:t>
      </w:r>
      <w:r>
        <w:rPr>
          <w:b/>
          <w:spacing w:val="-3"/>
          <w:sz w:val="28"/>
        </w:rPr>
        <w:t> </w:t>
      </w:r>
      <w:r>
        <w:rPr>
          <w:b/>
          <w:sz w:val="28"/>
        </w:rPr>
        <w:t>the</w:t>
      </w:r>
      <w:r>
        <w:rPr>
          <w:b/>
          <w:spacing w:val="-4"/>
          <w:sz w:val="28"/>
        </w:rPr>
        <w:t> </w:t>
      </w:r>
      <w:r>
        <w:rPr>
          <w:b/>
          <w:sz w:val="28"/>
        </w:rPr>
        <w:t>Degree</w:t>
      </w:r>
      <w:r>
        <w:rPr>
          <w:b/>
          <w:spacing w:val="-6"/>
          <w:sz w:val="28"/>
        </w:rPr>
        <w:t> </w:t>
      </w:r>
      <w:r>
        <w:rPr>
          <w:b/>
          <w:spacing w:val="-5"/>
          <w:sz w:val="28"/>
        </w:rPr>
        <w:t>of</w:t>
      </w:r>
    </w:p>
    <w:p>
      <w:pPr>
        <w:pStyle w:val="BodyText"/>
        <w:spacing w:before="320"/>
        <w:rPr>
          <w:b/>
          <w:sz w:val="28"/>
        </w:rPr>
      </w:pPr>
    </w:p>
    <w:p>
      <w:pPr>
        <w:pStyle w:val="Heading1"/>
        <w:ind w:left="2781"/>
        <w:jc w:val="left"/>
      </w:pPr>
      <w:r>
        <w:rPr/>
        <w:t>DOCTOR</w:t>
      </w:r>
      <w:r>
        <w:rPr>
          <w:spacing w:val="-3"/>
        </w:rPr>
        <w:t> </w:t>
      </w:r>
      <w:r>
        <w:rPr/>
        <w:t>OF</w:t>
      </w:r>
      <w:r>
        <w:rPr>
          <w:spacing w:val="-3"/>
        </w:rPr>
        <w:t> </w:t>
      </w:r>
      <w:r>
        <w:rPr>
          <w:spacing w:val="-2"/>
        </w:rPr>
        <w:t>PHILOSOPHY</w:t>
      </w:r>
    </w:p>
    <w:p>
      <w:pPr>
        <w:pStyle w:val="BodyText"/>
        <w:spacing w:before="2"/>
        <w:rPr>
          <w:b/>
          <w:sz w:val="28"/>
        </w:rPr>
      </w:pPr>
    </w:p>
    <w:p>
      <w:pPr>
        <w:spacing w:line="480" w:lineRule="auto" w:before="0"/>
        <w:ind w:left="3064" w:right="3525" w:firstLine="1396"/>
        <w:jc w:val="left"/>
        <w:rPr>
          <w:b/>
          <w:sz w:val="28"/>
        </w:rPr>
      </w:pPr>
      <w:r>
        <w:rPr>
          <w:b/>
          <w:sz w:val="28"/>
        </w:rPr>
        <w:t>of the UNIVERSITY</w:t>
      </w:r>
      <w:r>
        <w:rPr>
          <w:b/>
          <w:spacing w:val="-18"/>
          <w:sz w:val="28"/>
        </w:rPr>
        <w:t> </w:t>
      </w:r>
      <w:r>
        <w:rPr>
          <w:b/>
          <w:sz w:val="28"/>
        </w:rPr>
        <w:t>OF</w:t>
      </w:r>
      <w:r>
        <w:rPr>
          <w:b/>
          <w:spacing w:val="-17"/>
          <w:sz w:val="28"/>
        </w:rPr>
        <w:t> </w:t>
      </w:r>
      <w:r>
        <w:rPr>
          <w:b/>
          <w:sz w:val="28"/>
        </w:rPr>
        <w:t>IBADAN</w:t>
      </w:r>
    </w:p>
    <w:p>
      <w:pPr>
        <w:pStyle w:val="BodyText"/>
        <w:rPr>
          <w:b/>
          <w:sz w:val="28"/>
        </w:rPr>
      </w:pPr>
    </w:p>
    <w:p>
      <w:pPr>
        <w:pStyle w:val="BodyText"/>
        <w:rPr>
          <w:b/>
          <w:sz w:val="28"/>
        </w:rPr>
      </w:pPr>
    </w:p>
    <w:p>
      <w:pPr>
        <w:pStyle w:val="BodyText"/>
        <w:rPr>
          <w:b/>
          <w:sz w:val="28"/>
        </w:rPr>
      </w:pPr>
    </w:p>
    <w:p>
      <w:pPr>
        <w:pStyle w:val="Heading1"/>
        <w:ind w:right="334"/>
      </w:pPr>
      <w:r>
        <w:rPr/>
        <w:t>SEPTEMBER,</w:t>
      </w:r>
      <w:r>
        <w:rPr>
          <w:spacing w:val="-9"/>
        </w:rPr>
        <w:t> </w:t>
      </w:r>
      <w:r>
        <w:rPr>
          <w:spacing w:val="-4"/>
        </w:rPr>
        <w:t>2012</w:t>
      </w:r>
    </w:p>
    <w:p>
      <w:pPr>
        <w:spacing w:after="0"/>
        <w:sectPr>
          <w:footerReference w:type="default" r:id="rId5"/>
          <w:type w:val="continuous"/>
          <w:pgSz w:w="12240" w:h="15840"/>
          <w:pgMar w:header="0" w:footer="1068" w:top="1360" w:bottom="1260" w:left="1420" w:right="420"/>
          <w:pgNumType w:start="2"/>
        </w:sectPr>
      </w:pPr>
    </w:p>
    <w:p>
      <w:pPr>
        <w:pStyle w:val="Heading1"/>
        <w:spacing w:before="77"/>
        <w:ind w:right="1143"/>
      </w:pPr>
      <w:r>
        <w:rPr/>
        <mc:AlternateContent>
          <mc:Choice Requires="wps">
            <w:drawing>
              <wp:anchor distT="0" distB="0" distL="0" distR="0" allowOverlap="1" layoutInCell="1" locked="0" behindDoc="1" simplePos="0" relativeHeight="482903040">
                <wp:simplePos x="0" y="0"/>
                <wp:positionH relativeFrom="page">
                  <wp:posOffset>-1402226</wp:posOffset>
                </wp:positionH>
                <wp:positionV relativeFrom="page">
                  <wp:posOffset>4612234</wp:posOffset>
                </wp:positionV>
                <wp:extent cx="10685780" cy="914400"/>
                <wp:effectExtent l="0" t="0" r="0" b="0"/>
                <wp:wrapNone/>
                <wp:docPr id="3" name="Textbox 3"/>
                <wp:cNvGraphicFramePr>
                  <a:graphicFrameLocks/>
                </wp:cNvGraphicFramePr>
                <a:graphic>
                  <a:graphicData uri="http://schemas.microsoft.com/office/word/2010/wordprocessingShape">
                    <wps:wsp>
                      <wps:cNvPr id="3" name="Textbox 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3440;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32" w:id="1"/>
      <w:bookmarkEnd w:id="1"/>
      <w:r>
        <w:rPr>
          <w:spacing w:val="-2"/>
        </w:rPr>
        <w:t>CERTIFICATION</w:t>
      </w:r>
    </w:p>
    <w:p>
      <w:pPr>
        <w:pStyle w:val="BodyText"/>
        <w:spacing w:line="360" w:lineRule="auto" w:before="319"/>
        <w:ind w:left="682" w:right="1014"/>
        <w:jc w:val="both"/>
      </w:pPr>
      <w:r>
        <w:rPr/>
        <w:t>I certify that this work was carried out by Mr. Stephen Olaribigbe Majekodunmi in the Department of Pharmaceutics and Industrial Pharmacy, Faculty of Pharmacy, University of Ibadan, Ibadan, Nigeria.</w:t>
      </w:r>
    </w:p>
    <w:p>
      <w:pPr>
        <w:pStyle w:val="BodyText"/>
      </w:pPr>
    </w:p>
    <w:p>
      <w:pPr>
        <w:pStyle w:val="BodyText"/>
      </w:pPr>
    </w:p>
    <w:p>
      <w:pPr>
        <w:pStyle w:val="BodyText"/>
      </w:pPr>
    </w:p>
    <w:p>
      <w:pPr>
        <w:pStyle w:val="BodyText"/>
      </w:pPr>
    </w:p>
    <w:p>
      <w:pPr>
        <w:pStyle w:val="BodyText"/>
      </w:pPr>
    </w:p>
    <w:p>
      <w:pPr>
        <w:pStyle w:val="BodyText"/>
      </w:pPr>
    </w:p>
    <w:p>
      <w:pPr>
        <w:pStyle w:val="BodyText"/>
        <w:spacing w:before="143"/>
      </w:pPr>
    </w:p>
    <w:p>
      <w:pPr>
        <w:spacing w:before="0"/>
        <w:ind w:left="0" w:right="84" w:firstLine="0"/>
        <w:jc w:val="center"/>
        <w:rPr>
          <w:b/>
          <w:sz w:val="24"/>
        </w:rPr>
      </w:pPr>
      <w:r>
        <w:rPr>
          <w:b/>
          <w:spacing w:val="-2"/>
          <w:sz w:val="24"/>
        </w:rPr>
        <w:t>------------------------------------------------------------------</w:t>
      </w:r>
      <w:r>
        <w:rPr>
          <w:b/>
          <w:spacing w:val="-10"/>
          <w:sz w:val="24"/>
        </w:rPr>
        <w:t>-</w:t>
      </w:r>
    </w:p>
    <w:p>
      <w:pPr>
        <w:spacing w:before="140"/>
        <w:ind w:left="4523" w:right="0" w:firstLine="0"/>
        <w:jc w:val="left"/>
        <w:rPr>
          <w:b/>
          <w:sz w:val="24"/>
        </w:rPr>
      </w:pPr>
      <w:r>
        <w:rPr>
          <w:b/>
          <w:spacing w:val="-2"/>
          <w:sz w:val="24"/>
        </w:rPr>
        <w:t>(Supervisor)</w:t>
      </w:r>
    </w:p>
    <w:p>
      <w:pPr>
        <w:spacing w:line="360" w:lineRule="auto" w:before="136"/>
        <w:ind w:left="3383" w:right="2870" w:firstLine="360"/>
        <w:jc w:val="left"/>
        <w:rPr>
          <w:b/>
          <w:sz w:val="24"/>
        </w:rPr>
      </w:pPr>
      <w:r>
        <w:rPr>
          <w:b/>
          <w:sz w:val="24"/>
        </w:rPr>
        <w:t>Prof. Oluwatoyin A. Odeku B.Pharm.</w:t>
      </w:r>
      <w:r>
        <w:rPr>
          <w:b/>
          <w:spacing w:val="-12"/>
          <w:sz w:val="24"/>
        </w:rPr>
        <w:t> </w:t>
      </w:r>
      <w:r>
        <w:rPr>
          <w:b/>
          <w:sz w:val="24"/>
        </w:rPr>
        <w:t>(Ife);</w:t>
      </w:r>
      <w:r>
        <w:rPr>
          <w:b/>
          <w:spacing w:val="-10"/>
          <w:sz w:val="24"/>
        </w:rPr>
        <w:t> </w:t>
      </w:r>
      <w:r>
        <w:rPr>
          <w:b/>
          <w:sz w:val="24"/>
        </w:rPr>
        <w:t>M.Sc.,</w:t>
      </w:r>
      <w:r>
        <w:rPr>
          <w:b/>
          <w:spacing w:val="-10"/>
          <w:sz w:val="24"/>
        </w:rPr>
        <w:t> </w:t>
      </w:r>
      <w:r>
        <w:rPr>
          <w:b/>
          <w:sz w:val="24"/>
        </w:rPr>
        <w:t>PhD.</w:t>
      </w:r>
      <w:r>
        <w:rPr>
          <w:b/>
          <w:spacing w:val="-10"/>
          <w:sz w:val="24"/>
        </w:rPr>
        <w:t> </w:t>
      </w:r>
      <w:r>
        <w:rPr>
          <w:b/>
          <w:sz w:val="24"/>
        </w:rPr>
        <w:t>(Ibadan)</w:t>
      </w:r>
    </w:p>
    <w:p>
      <w:pPr>
        <w:pStyle w:val="BodyText"/>
        <w:spacing w:before="137"/>
        <w:rPr>
          <w:b/>
        </w:rPr>
      </w:pPr>
    </w:p>
    <w:p>
      <w:pPr>
        <w:spacing w:before="0"/>
        <w:ind w:left="2449" w:right="1828" w:firstLine="0"/>
        <w:jc w:val="center"/>
        <w:rPr>
          <w:b/>
          <w:sz w:val="24"/>
        </w:rPr>
      </w:pPr>
      <w:r>
        <w:rPr>
          <w:b/>
          <w:sz w:val="24"/>
        </w:rPr>
        <w:t>Department</w:t>
      </w:r>
      <w:r>
        <w:rPr>
          <w:b/>
          <w:spacing w:val="-9"/>
          <w:sz w:val="24"/>
        </w:rPr>
        <w:t> </w:t>
      </w:r>
      <w:r>
        <w:rPr>
          <w:b/>
          <w:sz w:val="24"/>
        </w:rPr>
        <w:t>of</w:t>
      </w:r>
      <w:r>
        <w:rPr>
          <w:b/>
          <w:spacing w:val="-8"/>
          <w:sz w:val="24"/>
        </w:rPr>
        <w:t> </w:t>
      </w:r>
      <w:r>
        <w:rPr>
          <w:b/>
          <w:sz w:val="24"/>
        </w:rPr>
        <w:t>Pharmaceutics</w:t>
      </w:r>
      <w:r>
        <w:rPr>
          <w:b/>
          <w:spacing w:val="-9"/>
          <w:sz w:val="24"/>
        </w:rPr>
        <w:t> </w:t>
      </w:r>
      <w:r>
        <w:rPr>
          <w:b/>
          <w:sz w:val="24"/>
        </w:rPr>
        <w:t>and</w:t>
      </w:r>
      <w:r>
        <w:rPr>
          <w:b/>
          <w:spacing w:val="-9"/>
          <w:sz w:val="24"/>
        </w:rPr>
        <w:t> </w:t>
      </w:r>
      <w:r>
        <w:rPr>
          <w:b/>
          <w:sz w:val="24"/>
        </w:rPr>
        <w:t>Industrial</w:t>
      </w:r>
      <w:r>
        <w:rPr>
          <w:b/>
          <w:spacing w:val="-9"/>
          <w:sz w:val="24"/>
        </w:rPr>
        <w:t> </w:t>
      </w:r>
      <w:r>
        <w:rPr>
          <w:b/>
          <w:sz w:val="24"/>
        </w:rPr>
        <w:t>Pharmacy, Faculty of Pharmacy, University of Ibadan,</w:t>
      </w:r>
    </w:p>
    <w:p>
      <w:pPr>
        <w:spacing w:before="0"/>
        <w:ind w:left="561" w:right="0" w:firstLine="0"/>
        <w:jc w:val="center"/>
        <w:rPr>
          <w:b/>
          <w:sz w:val="24"/>
        </w:rPr>
      </w:pPr>
      <w:r>
        <w:rPr>
          <w:b/>
          <w:sz w:val="24"/>
        </w:rPr>
        <w:t>Ibadan, </w:t>
      </w:r>
      <w:r>
        <w:rPr>
          <w:b/>
          <w:spacing w:val="-2"/>
          <w:sz w:val="24"/>
        </w:rPr>
        <w:t>Nigeria</w:t>
      </w:r>
    </w:p>
    <w:p>
      <w:pPr>
        <w:spacing w:after="0"/>
        <w:jc w:val="center"/>
        <w:rPr>
          <w:sz w:val="24"/>
        </w:rPr>
        <w:sectPr>
          <w:pgSz w:w="12240" w:h="15840"/>
          <w:pgMar w:header="0" w:footer="1068" w:top="1360" w:bottom="1260" w:left="1420" w:right="420"/>
        </w:sectPr>
      </w:pPr>
    </w:p>
    <w:p>
      <w:pPr>
        <w:pStyle w:val="Heading2"/>
        <w:spacing w:before="79"/>
        <w:ind w:left="0" w:right="151"/>
        <w:jc w:val="center"/>
      </w:pPr>
      <w:r>
        <w:rPr/>
        <mc:AlternateContent>
          <mc:Choice Requires="wps">
            <w:drawing>
              <wp:anchor distT="0" distB="0" distL="0" distR="0" allowOverlap="1" layoutInCell="1" locked="0" behindDoc="1" simplePos="0" relativeHeight="482903552">
                <wp:simplePos x="0" y="0"/>
                <wp:positionH relativeFrom="page">
                  <wp:posOffset>-1402226</wp:posOffset>
                </wp:positionH>
                <wp:positionV relativeFrom="page">
                  <wp:posOffset>4612234</wp:posOffset>
                </wp:positionV>
                <wp:extent cx="10685780" cy="914400"/>
                <wp:effectExtent l="0" t="0" r="0" b="0"/>
                <wp:wrapNone/>
                <wp:docPr id="4" name="Textbox 4"/>
                <wp:cNvGraphicFramePr>
                  <a:graphicFrameLocks/>
                </wp:cNvGraphicFramePr>
                <a:graphic>
                  <a:graphicData uri="http://schemas.microsoft.com/office/word/2010/wordprocessingShape">
                    <wps:wsp>
                      <wps:cNvPr id="4" name="Textbox 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292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31" w:id="2"/>
      <w:bookmarkEnd w:id="2"/>
      <w:r>
        <w:rPr>
          <w:spacing w:val="-2"/>
        </w:rPr>
        <w:t>DEDICATION</w:t>
      </w:r>
    </w:p>
    <w:p>
      <w:pPr>
        <w:pStyle w:val="BodyText"/>
        <w:spacing w:before="271"/>
        <w:rPr>
          <w:b/>
        </w:rPr>
      </w:pPr>
    </w:p>
    <w:p>
      <w:pPr>
        <w:pStyle w:val="BodyText"/>
        <w:spacing w:line="360" w:lineRule="auto"/>
        <w:ind w:left="682" w:right="1015" w:firstLine="720"/>
        <w:jc w:val="both"/>
      </w:pPr>
      <w:r>
        <w:rPr/>
        <w:t>This piece of work is dedicated to my redeemer God Almighty for giving me the will, strength and courage to attain this height, renewing my days; and in remembrance of my late parents, Chief James Olawale Majekodunmi, Sakotun of Ikopa and Chief (Mrs.) Marian Omotayo Majekodunmi, Lika of Ikopa, Abeokuta, Ogun State, Nigeria, who bequeathed in me an enduring legacy vital for the realization and completion of this project. To God be the glory.</w:t>
      </w:r>
    </w:p>
    <w:p>
      <w:pPr>
        <w:spacing w:after="0" w:line="360" w:lineRule="auto"/>
        <w:jc w:val="both"/>
        <w:sectPr>
          <w:pgSz w:w="12240" w:h="15840"/>
          <w:pgMar w:header="0" w:footer="1068" w:top="1360" w:bottom="1260" w:left="1420" w:right="420"/>
        </w:sectPr>
      </w:pPr>
    </w:p>
    <w:p>
      <w:pPr>
        <w:pStyle w:val="Heading2"/>
        <w:spacing w:before="72"/>
        <w:ind w:left="4283"/>
        <w:jc w:val="left"/>
      </w:pPr>
      <w:r>
        <w:rPr/>
        <mc:AlternateContent>
          <mc:Choice Requires="wps">
            <w:drawing>
              <wp:anchor distT="0" distB="0" distL="0" distR="0" allowOverlap="1" layoutInCell="1" locked="0" behindDoc="1" simplePos="0" relativeHeight="482904064">
                <wp:simplePos x="0" y="0"/>
                <wp:positionH relativeFrom="page">
                  <wp:posOffset>-1402226</wp:posOffset>
                </wp:positionH>
                <wp:positionV relativeFrom="page">
                  <wp:posOffset>4612234</wp:posOffset>
                </wp:positionV>
                <wp:extent cx="10685780" cy="914400"/>
                <wp:effectExtent l="0" t="0" r="0" b="0"/>
                <wp:wrapNone/>
                <wp:docPr id="5" name="Textbox 5"/>
                <wp:cNvGraphicFramePr>
                  <a:graphicFrameLocks/>
                </wp:cNvGraphicFramePr>
                <a:graphic>
                  <a:graphicData uri="http://schemas.microsoft.com/office/word/2010/wordprocessingShape">
                    <wps:wsp>
                      <wps:cNvPr id="5" name="Textbox 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2416;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30" w:id="3"/>
      <w:bookmarkEnd w:id="3"/>
      <w:r>
        <w:rPr>
          <w:spacing w:val="-2"/>
        </w:rPr>
        <w:t>ACKNOWLEDGEMENT</w:t>
      </w:r>
    </w:p>
    <w:p>
      <w:pPr>
        <w:pStyle w:val="BodyText"/>
        <w:spacing w:before="271"/>
        <w:rPr>
          <w:b/>
        </w:rPr>
      </w:pPr>
    </w:p>
    <w:p>
      <w:pPr>
        <w:pStyle w:val="BodyText"/>
        <w:spacing w:line="360" w:lineRule="auto"/>
        <w:ind w:left="682" w:right="1019" w:firstLine="720"/>
        <w:jc w:val="both"/>
      </w:pPr>
      <w:r>
        <w:rPr/>
        <w:t>I am what I am today by the will of God who in His infinite mercies chose to renew my days. I express my heart felt appreciation to God Almighty for the grace to complete this work.</w:t>
      </w:r>
    </w:p>
    <w:p>
      <w:pPr>
        <w:pStyle w:val="BodyText"/>
        <w:spacing w:line="360" w:lineRule="auto" w:before="2"/>
        <w:ind w:left="682" w:right="1018" w:firstLine="720"/>
        <w:jc w:val="both"/>
      </w:pPr>
      <w:r>
        <w:rPr/>
        <w:t>My wholehearted, sincere and profound gratitude goes to my</w:t>
      </w:r>
      <w:r>
        <w:rPr>
          <w:spacing w:val="-1"/>
        </w:rPr>
        <w:t> </w:t>
      </w:r>
      <w:r>
        <w:rPr/>
        <w:t>supervisor Professor Oluwatoyin A. Odeku for her holistic support, guidance, encouragement and particularly for her consolidated mentoring right from my M.Sc. programme.</w:t>
      </w:r>
    </w:p>
    <w:p>
      <w:pPr>
        <w:pStyle w:val="BodyText"/>
        <w:spacing w:line="360" w:lineRule="auto"/>
        <w:ind w:left="682" w:right="1017" w:firstLine="720"/>
        <w:jc w:val="both"/>
      </w:pPr>
      <w:r>
        <w:rPr/>
        <w:t>I</w:t>
      </w:r>
      <w:r>
        <w:rPr>
          <w:spacing w:val="-3"/>
        </w:rPr>
        <w:t> </w:t>
      </w:r>
      <w:r>
        <w:rPr/>
        <w:t>acknowledge</w:t>
      </w:r>
      <w:r>
        <w:rPr>
          <w:spacing w:val="-3"/>
        </w:rPr>
        <w:t> </w:t>
      </w:r>
      <w:r>
        <w:rPr/>
        <w:t>the</w:t>
      </w:r>
      <w:r>
        <w:rPr>
          <w:spacing w:val="-3"/>
        </w:rPr>
        <w:t> </w:t>
      </w:r>
      <w:r>
        <w:rPr/>
        <w:t>invaluable</w:t>
      </w:r>
      <w:r>
        <w:rPr>
          <w:spacing w:val="-3"/>
        </w:rPr>
        <w:t> </w:t>
      </w:r>
      <w:r>
        <w:rPr/>
        <w:t>contributions</w:t>
      </w:r>
      <w:r>
        <w:rPr>
          <w:spacing w:val="-2"/>
        </w:rPr>
        <w:t> </w:t>
      </w:r>
      <w:r>
        <w:rPr/>
        <w:t>of</w:t>
      </w:r>
      <w:r>
        <w:rPr>
          <w:spacing w:val="-3"/>
        </w:rPr>
        <w:t> </w:t>
      </w:r>
      <w:r>
        <w:rPr/>
        <w:t>Prof.</w:t>
      </w:r>
      <w:r>
        <w:rPr>
          <w:spacing w:val="-3"/>
        </w:rPr>
        <w:t> </w:t>
      </w:r>
      <w:r>
        <w:rPr/>
        <w:t>A.O. Itiola and</w:t>
      </w:r>
      <w:r>
        <w:rPr>
          <w:spacing w:val="-2"/>
        </w:rPr>
        <w:t> </w:t>
      </w:r>
      <w:r>
        <w:rPr/>
        <w:t>Prof. Olusegun Ekundayo (Department of Chemistry) towards my seeing light at the end of the tunnel.</w:t>
      </w:r>
      <w:r>
        <w:rPr>
          <w:spacing w:val="40"/>
        </w:rPr>
        <w:t> </w:t>
      </w:r>
      <w:r>
        <w:rPr/>
        <w:t>My appreciation also goes to Dr. A.O. Adegoke for his frequent advice.</w:t>
      </w:r>
    </w:p>
    <w:p>
      <w:pPr>
        <w:pStyle w:val="BodyText"/>
        <w:spacing w:line="360" w:lineRule="auto"/>
        <w:ind w:left="682" w:right="1018" w:firstLine="720"/>
        <w:jc w:val="both"/>
      </w:pPr>
      <w:r>
        <w:rPr/>
        <w:t>I am grateful to Prof. Moody, the dean of Faculty of Pharmacy and the entire staff of the Department of Pharmaceutics and Industrial Pharmacy, Faculty of Pharmacy, University of Ibadan. In particular, the contributions of the technical and administrative staff of the department are highly appreciated.</w:t>
      </w:r>
    </w:p>
    <w:p>
      <w:pPr>
        <w:pStyle w:val="BodyText"/>
        <w:spacing w:line="360" w:lineRule="auto" w:before="1"/>
        <w:ind w:left="682" w:right="1016" w:firstLine="720"/>
        <w:jc w:val="both"/>
      </w:pPr>
      <w:r>
        <w:rPr/>
        <w:t>My</w:t>
      </w:r>
      <w:r>
        <w:rPr>
          <w:spacing w:val="-4"/>
        </w:rPr>
        <w:t> </w:t>
      </w:r>
      <w:r>
        <w:rPr/>
        <w:t>sincere gratitude and appreciation also go to Dr. S. Umukoro and Dr Ademola Oyagbemi of the Departments of Pharmacology and Therapeutics, College of Medicine and Veterinary Physiology, Biochemistry and Pharmacology, University of Ibadan respectively for their advice in carrying out the acute toxicity tests and anti-diabetic investigations, respectively.</w:t>
      </w:r>
    </w:p>
    <w:p>
      <w:pPr>
        <w:pStyle w:val="BodyText"/>
        <w:spacing w:line="360" w:lineRule="auto"/>
        <w:ind w:left="682" w:right="1019" w:firstLine="720"/>
        <w:jc w:val="both"/>
      </w:pPr>
      <w:r>
        <w:rPr/>
        <w:t>I recognize the kind assistance of Mr. Ahmed and all the staff of the Technical Development and Chemical Laboratories of May and Baker PLC, Lagos, Chemical Pathology Department of the University College Hospital (UCH), Ibadan and the International institute of Tropical Agriculture (I.I.T.A), Ibadan for affording me unrestricted accesses to their facilities.</w:t>
      </w:r>
    </w:p>
    <w:p>
      <w:pPr>
        <w:pStyle w:val="BodyText"/>
        <w:spacing w:line="360" w:lineRule="auto" w:before="1"/>
        <w:ind w:left="682" w:right="1013" w:firstLine="720"/>
        <w:jc w:val="both"/>
      </w:pPr>
      <w:r>
        <w:rPr/>
        <w:t>Special mention must be made of the continuous prayers, love, support and encouragement from my old uncle and Papa Prof. Olajide Shonekan and my siblings, in- laws and friends. This appreciation is also extended to Prof. E.E. Essien for his genuine concern over my early completion of this programme.</w:t>
      </w:r>
    </w:p>
    <w:p>
      <w:pPr>
        <w:spacing w:after="0" w:line="360" w:lineRule="auto"/>
        <w:jc w:val="both"/>
        <w:sectPr>
          <w:pgSz w:w="12240" w:h="15840"/>
          <w:pgMar w:header="0" w:footer="1068" w:top="1780" w:bottom="1260" w:left="1420" w:right="420"/>
        </w:sectPr>
      </w:pPr>
    </w:p>
    <w:p>
      <w:pPr>
        <w:pStyle w:val="BodyText"/>
        <w:spacing w:line="360" w:lineRule="auto" w:before="74"/>
        <w:ind w:left="682" w:right="1014" w:firstLine="720"/>
        <w:jc w:val="both"/>
      </w:pPr>
      <w:r>
        <w:rPr/>
        <mc:AlternateContent>
          <mc:Choice Requires="wps">
            <w:drawing>
              <wp:anchor distT="0" distB="0" distL="0" distR="0" allowOverlap="1" layoutInCell="1" locked="0" behindDoc="1" simplePos="0" relativeHeight="482904576">
                <wp:simplePos x="0" y="0"/>
                <wp:positionH relativeFrom="page">
                  <wp:posOffset>-1402226</wp:posOffset>
                </wp:positionH>
                <wp:positionV relativeFrom="page">
                  <wp:posOffset>4612234</wp:posOffset>
                </wp:positionV>
                <wp:extent cx="10685780" cy="914400"/>
                <wp:effectExtent l="0" t="0" r="0" b="0"/>
                <wp:wrapNone/>
                <wp:docPr id="6" name="Textbox 6"/>
                <wp:cNvGraphicFramePr>
                  <a:graphicFrameLocks/>
                </wp:cNvGraphicFramePr>
                <a:graphic>
                  <a:graphicData uri="http://schemas.microsoft.com/office/word/2010/wordprocessingShape">
                    <wps:wsp>
                      <wps:cNvPr id="6" name="Textbox 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1904;rotation:306" type="#_x0000_t136" fillcolor="#ff5400" stroked="f">
                <o:extrusion v:ext="view" autorotationcenter="t"/>
                <v:textpath style="font-family:&quot;Arial MT&quot;;font-size:72pt;v-text-kern:t;mso-text-shadow:auto" string="UNIVERSITY OF IBADAN"/>
                <w10:wrap type="none"/>
              </v:shape>
            </w:pict>
          </mc:Fallback>
        </mc:AlternateContent>
      </w:r>
      <w:r>
        <w:rPr/>
        <w:t>I am indebted to my understanding wife, Vivienne, and to my daughters, Temil’Oluwa (Who will</w:t>
      </w:r>
      <w:r>
        <w:rPr>
          <w:spacing w:val="-1"/>
        </w:rPr>
        <w:t> </w:t>
      </w:r>
      <w:r>
        <w:rPr/>
        <w:t>say,” Daddy you are going</w:t>
      </w:r>
      <w:r>
        <w:rPr>
          <w:spacing w:val="-1"/>
        </w:rPr>
        <w:t> </w:t>
      </w:r>
      <w:r>
        <w:rPr/>
        <w:t>again”), and Oluwatunmise who were born as I was rounding up my M.Sc and Ph.D programmes respectively.</w:t>
      </w:r>
    </w:p>
    <w:p>
      <w:pPr>
        <w:pStyle w:val="BodyText"/>
        <w:spacing w:line="360" w:lineRule="auto"/>
        <w:ind w:left="682" w:right="1017" w:firstLine="720"/>
        <w:jc w:val="both"/>
      </w:pPr>
      <w:r>
        <w:rPr/>
        <w:t>And to everyone that has contributed to the success of this work I say may God bless you all.</w:t>
      </w:r>
    </w:p>
    <w:p>
      <w:pPr>
        <w:spacing w:after="0" w:line="360" w:lineRule="auto"/>
        <w:jc w:val="both"/>
        <w:sectPr>
          <w:pgSz w:w="12240" w:h="15840"/>
          <w:pgMar w:header="0" w:footer="1068" w:top="1360" w:bottom="1260" w:left="1420" w:right="420"/>
        </w:sectPr>
      </w:pPr>
    </w:p>
    <w:p>
      <w:pPr>
        <w:pStyle w:val="Heading2"/>
        <w:spacing w:before="73"/>
        <w:ind w:left="314"/>
        <w:jc w:val="center"/>
      </w:pPr>
      <w:r>
        <w:rPr/>
        <mc:AlternateContent>
          <mc:Choice Requires="wps">
            <w:drawing>
              <wp:anchor distT="0" distB="0" distL="0" distR="0" allowOverlap="1" layoutInCell="1" locked="0" behindDoc="1" simplePos="0" relativeHeight="482905088">
                <wp:simplePos x="0" y="0"/>
                <wp:positionH relativeFrom="page">
                  <wp:posOffset>-1402226</wp:posOffset>
                </wp:positionH>
                <wp:positionV relativeFrom="page">
                  <wp:posOffset>4612234</wp:posOffset>
                </wp:positionV>
                <wp:extent cx="10685780" cy="914400"/>
                <wp:effectExtent l="0" t="0" r="0" b="0"/>
                <wp:wrapNone/>
                <wp:docPr id="7" name="Textbox 7"/>
                <wp:cNvGraphicFramePr>
                  <a:graphicFrameLocks/>
                </wp:cNvGraphicFramePr>
                <a:graphic>
                  <a:graphicData uri="http://schemas.microsoft.com/office/word/2010/wordprocessingShape">
                    <wps:wsp>
                      <wps:cNvPr id="7" name="Textbox 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139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29" w:id="4"/>
      <w:bookmarkEnd w:id="4"/>
      <w:r>
        <w:rPr>
          <w:spacing w:val="-2"/>
        </w:rPr>
        <w:t>ABSTRACT</w:t>
      </w:r>
    </w:p>
    <w:p>
      <w:pPr>
        <w:pStyle w:val="BodyText"/>
        <w:spacing w:before="273"/>
        <w:rPr>
          <w:b/>
        </w:rPr>
      </w:pPr>
    </w:p>
    <w:p>
      <w:pPr>
        <w:pStyle w:val="BodyText"/>
        <w:spacing w:line="360" w:lineRule="auto"/>
        <w:ind w:left="682" w:right="1013" w:firstLine="720"/>
        <w:jc w:val="both"/>
      </w:pPr>
      <w:r>
        <w:rPr/>
        <w:t>Diabetes mellitus and its complications continue to be one of the highest causes of morbidity</w:t>
      </w:r>
      <w:r>
        <w:rPr>
          <w:spacing w:val="-2"/>
        </w:rPr>
        <w:t> </w:t>
      </w:r>
      <w:r>
        <w:rPr/>
        <w:t>and mortality</w:t>
      </w:r>
      <w:r>
        <w:rPr>
          <w:spacing w:val="-2"/>
        </w:rPr>
        <w:t> </w:t>
      </w:r>
      <w:r>
        <w:rPr/>
        <w:t>in recent times. Although many</w:t>
      </w:r>
      <w:r>
        <w:rPr>
          <w:spacing w:val="-2"/>
        </w:rPr>
        <w:t> </w:t>
      </w:r>
      <w:r>
        <w:rPr/>
        <w:t>drugs are commercially</w:t>
      </w:r>
      <w:r>
        <w:rPr>
          <w:spacing w:val="-2"/>
        </w:rPr>
        <w:t> </w:t>
      </w:r>
      <w:r>
        <w:rPr/>
        <w:t>available for use in the management of diabetes, their side effects and high costs underscore the need for new drugs. </w:t>
      </w:r>
      <w:r>
        <w:rPr>
          <w:i/>
        </w:rPr>
        <w:t>Mucuna pruriens </w:t>
      </w:r>
      <w:r>
        <w:rPr/>
        <w:t>(L.) DC. (Fabaceae) is among</w:t>
      </w:r>
      <w:r>
        <w:rPr>
          <w:spacing w:val="-1"/>
        </w:rPr>
        <w:t> </w:t>
      </w:r>
      <w:r>
        <w:rPr/>
        <w:t>the plants used in the management of diabetes in the tropics. The antidiabetic and ameliorative effects of the seed ethanolic extract of </w:t>
      </w:r>
      <w:r>
        <w:rPr>
          <w:i/>
        </w:rPr>
        <w:t>M. pruriens </w:t>
      </w:r>
      <w:r>
        <w:rPr/>
        <w:t>on alloxan-induced diabetes in Wistar rats were evaluated. Antidiabetic activity of the formulated </w:t>
      </w:r>
      <w:r>
        <w:rPr>
          <w:i/>
        </w:rPr>
        <w:t>M. pruriens </w:t>
      </w:r>
      <w:r>
        <w:rPr/>
        <w:t>tablets was also</w:t>
      </w:r>
      <w:r>
        <w:rPr>
          <w:spacing w:val="40"/>
        </w:rPr>
        <w:t> </w:t>
      </w:r>
      <w:r>
        <w:rPr/>
        <w:t>investigated in rabbits.</w:t>
      </w:r>
    </w:p>
    <w:p>
      <w:pPr>
        <w:pStyle w:val="BodyText"/>
        <w:spacing w:line="360" w:lineRule="auto" w:before="1"/>
        <w:ind w:left="682" w:right="1012" w:firstLine="720"/>
        <w:jc w:val="both"/>
      </w:pPr>
      <w:r>
        <w:rPr/>
        <w:t>Preliminary phytochemical screening of </w:t>
      </w:r>
      <w:r>
        <w:rPr>
          <w:i/>
        </w:rPr>
        <w:t>M. pruriens </w:t>
      </w:r>
      <w:r>
        <w:rPr/>
        <w:t>was done using standard methods. The effects of oral administration of the extract at doses 5.0-100.0 mg/kg body weight (bw) and glibenclamide (5.0 mg/kg bw) as standard drug were studied in alloxan- induced (120 mg/kg, i.p) diabetic rats (eight groups of six rats each, plasma</w:t>
      </w:r>
      <w:r>
        <w:rPr>
          <w:spacing w:val="40"/>
        </w:rPr>
        <w:t> </w:t>
      </w:r>
      <w:r>
        <w:rPr/>
        <w:t>glucose&gt;450.0 mg/dL). Biochemical parameters were evaluated by spectroscopy and</w:t>
      </w:r>
      <w:r>
        <w:rPr>
          <w:spacing w:val="40"/>
        </w:rPr>
        <w:t> </w:t>
      </w:r>
      <w:r>
        <w:rPr/>
        <w:t>acute toxicity tests carried out based on mortality rate of Swiss albino mice. Tablets were formulated using direct compression and wet granulation methods. Mechanical properties of the tablets were assessed using crushing strength, friability and the crushing strength- friability ratio while drug release properties were evaluated by determining disintegration and dissolution times. The </w:t>
      </w:r>
      <w:r>
        <w:rPr>
          <w:i/>
        </w:rPr>
        <w:t>in vivo </w:t>
      </w:r>
      <w:r>
        <w:rPr/>
        <w:t>release properties of selected tablet formulations in diabetic rabbits were assessed. Data were analyzed using descriptive statistics, linear regression and ANOVA.</w:t>
      </w:r>
    </w:p>
    <w:p>
      <w:pPr>
        <w:pStyle w:val="BodyText"/>
        <w:spacing w:line="360" w:lineRule="auto" w:before="1"/>
        <w:ind w:left="682" w:right="1016" w:firstLine="720"/>
        <w:jc w:val="both"/>
      </w:pPr>
      <w:r>
        <w:rPr/>
        <w:t>The seed of </w:t>
      </w:r>
      <w:r>
        <w:rPr>
          <w:i/>
        </w:rPr>
        <w:t>M. pruriens </w:t>
      </w:r>
      <w:r>
        <w:rPr/>
        <w:t>contained alkaloids, saponins, steroids and phenols. The administration</w:t>
      </w:r>
      <w:r>
        <w:rPr>
          <w:spacing w:val="30"/>
        </w:rPr>
        <w:t> </w:t>
      </w:r>
      <w:r>
        <w:rPr/>
        <w:t>of</w:t>
      </w:r>
      <w:r>
        <w:rPr>
          <w:spacing w:val="31"/>
        </w:rPr>
        <w:t> </w:t>
      </w:r>
      <w:r>
        <w:rPr/>
        <w:t>5.0,</w:t>
      </w:r>
      <w:r>
        <w:rPr>
          <w:spacing w:val="32"/>
        </w:rPr>
        <w:t> </w:t>
      </w:r>
      <w:r>
        <w:rPr/>
        <w:t>10.0,</w:t>
      </w:r>
      <w:r>
        <w:rPr>
          <w:spacing w:val="32"/>
        </w:rPr>
        <w:t> </w:t>
      </w:r>
      <w:r>
        <w:rPr/>
        <w:t>20.0,</w:t>
      </w:r>
      <w:r>
        <w:rPr>
          <w:spacing w:val="32"/>
        </w:rPr>
        <w:t> </w:t>
      </w:r>
      <w:r>
        <w:rPr/>
        <w:t>30.0,</w:t>
      </w:r>
      <w:r>
        <w:rPr>
          <w:spacing w:val="32"/>
        </w:rPr>
        <w:t> </w:t>
      </w:r>
      <w:r>
        <w:rPr/>
        <w:t>40,</w:t>
      </w:r>
      <w:r>
        <w:rPr>
          <w:spacing w:val="32"/>
        </w:rPr>
        <w:t> </w:t>
      </w:r>
      <w:r>
        <w:rPr/>
        <w:t>50.0,</w:t>
      </w:r>
      <w:r>
        <w:rPr>
          <w:spacing w:val="32"/>
        </w:rPr>
        <w:t> </w:t>
      </w:r>
      <w:r>
        <w:rPr/>
        <w:t>and</w:t>
      </w:r>
      <w:r>
        <w:rPr>
          <w:spacing w:val="32"/>
        </w:rPr>
        <w:t> </w:t>
      </w:r>
      <w:r>
        <w:rPr/>
        <w:t>100.0</w:t>
      </w:r>
      <w:r>
        <w:rPr>
          <w:spacing w:val="32"/>
        </w:rPr>
        <w:t> </w:t>
      </w:r>
      <w:r>
        <w:rPr/>
        <w:t>mg/kg</w:t>
      </w:r>
      <w:r>
        <w:rPr>
          <w:spacing w:val="30"/>
        </w:rPr>
        <w:t> </w:t>
      </w:r>
      <w:r>
        <w:rPr/>
        <w:t>of</w:t>
      </w:r>
      <w:r>
        <w:rPr>
          <w:spacing w:val="31"/>
        </w:rPr>
        <w:t> </w:t>
      </w:r>
      <w:r>
        <w:rPr/>
        <w:t>the</w:t>
      </w:r>
      <w:r>
        <w:rPr>
          <w:spacing w:val="31"/>
        </w:rPr>
        <w:t> </w:t>
      </w:r>
      <w:r>
        <w:rPr/>
        <w:t>crude</w:t>
      </w:r>
      <w:r>
        <w:rPr>
          <w:spacing w:val="31"/>
        </w:rPr>
        <w:t> </w:t>
      </w:r>
      <w:r>
        <w:rPr>
          <w:spacing w:val="-2"/>
        </w:rPr>
        <w:t>ethanol</w:t>
      </w:r>
    </w:p>
    <w:p>
      <w:pPr>
        <w:pStyle w:val="BodyText"/>
        <w:spacing w:line="360" w:lineRule="auto"/>
        <w:ind w:left="682" w:right="1005"/>
        <w:jc w:val="both"/>
      </w:pPr>
      <w:r>
        <w:rPr/>
        <w:t>extract of MP led to 18.6%, 24.9%, 30.8%, 41.4%, 49.7%, 53.1% and 55.4% reduction, respectively in</w:t>
      </w:r>
      <w:r>
        <w:rPr>
          <w:spacing w:val="40"/>
        </w:rPr>
        <w:t> </w:t>
      </w:r>
      <w:r>
        <w:rPr/>
        <w:t>blood glucose level eight hours after administration, while glibenclamide resulted in 59.7% reduction. Chronic administration of the extract also resulted in significant (p&lt;0.001) dose-dependent reduction in the blood glucose level and the alleviation of body weight loss associated with diabetes. Acute toxicity tests showed that no</w:t>
      </w:r>
      <w:r>
        <w:rPr>
          <w:spacing w:val="17"/>
        </w:rPr>
        <w:t> </w:t>
      </w:r>
      <w:r>
        <w:rPr/>
        <w:t>death</w:t>
      </w:r>
      <w:r>
        <w:rPr>
          <w:spacing w:val="18"/>
        </w:rPr>
        <w:t> </w:t>
      </w:r>
      <w:r>
        <w:rPr/>
        <w:t>was</w:t>
      </w:r>
      <w:r>
        <w:rPr>
          <w:spacing w:val="18"/>
        </w:rPr>
        <w:t> </w:t>
      </w:r>
      <w:r>
        <w:rPr/>
        <w:t>recorded</w:t>
      </w:r>
      <w:r>
        <w:rPr>
          <w:spacing w:val="17"/>
        </w:rPr>
        <w:t> </w:t>
      </w:r>
      <w:r>
        <w:rPr/>
        <w:t>after</w:t>
      </w:r>
      <w:r>
        <w:rPr>
          <w:spacing w:val="17"/>
        </w:rPr>
        <w:t> </w:t>
      </w:r>
      <w:r>
        <w:rPr/>
        <w:t>administration</w:t>
      </w:r>
      <w:r>
        <w:rPr>
          <w:spacing w:val="22"/>
        </w:rPr>
        <w:t> </w:t>
      </w:r>
      <w:r>
        <w:rPr/>
        <w:t>of</w:t>
      </w:r>
      <w:r>
        <w:rPr>
          <w:spacing w:val="18"/>
        </w:rPr>
        <w:t> </w:t>
      </w:r>
      <w:r>
        <w:rPr/>
        <w:t>the</w:t>
      </w:r>
      <w:r>
        <w:rPr>
          <w:spacing w:val="19"/>
        </w:rPr>
        <w:t> </w:t>
      </w:r>
      <w:r>
        <w:rPr/>
        <w:t>extract</w:t>
      </w:r>
      <w:r>
        <w:rPr>
          <w:spacing w:val="18"/>
        </w:rPr>
        <w:t> </w:t>
      </w:r>
      <w:r>
        <w:rPr/>
        <w:t>(0.5</w:t>
      </w:r>
      <w:r>
        <w:rPr>
          <w:spacing w:val="19"/>
        </w:rPr>
        <w:t> </w:t>
      </w:r>
      <w:r>
        <w:rPr/>
        <w:t>–</w:t>
      </w:r>
      <w:r>
        <w:rPr>
          <w:spacing w:val="18"/>
        </w:rPr>
        <w:t> </w:t>
      </w:r>
      <w:r>
        <w:rPr/>
        <w:t>32.0</w:t>
      </w:r>
      <w:r>
        <w:rPr>
          <w:spacing w:val="17"/>
        </w:rPr>
        <w:t> </w:t>
      </w:r>
      <w:r>
        <w:rPr/>
        <w:t>g/kg).</w:t>
      </w:r>
      <w:r>
        <w:rPr>
          <w:spacing w:val="18"/>
        </w:rPr>
        <w:t> </w:t>
      </w:r>
      <w:r>
        <w:rPr>
          <w:spacing w:val="-2"/>
        </w:rPr>
        <w:t>Significantly</w:t>
      </w:r>
    </w:p>
    <w:p>
      <w:pPr>
        <w:spacing w:after="0" w:line="360" w:lineRule="auto"/>
        <w:jc w:val="both"/>
        <w:sectPr>
          <w:pgSz w:w="12240" w:h="15840"/>
          <w:pgMar w:header="0" w:footer="1068" w:top="1640" w:bottom="1260" w:left="1420" w:right="420"/>
        </w:sectPr>
      </w:pPr>
    </w:p>
    <w:p>
      <w:pPr>
        <w:pStyle w:val="BodyText"/>
        <w:spacing w:line="360" w:lineRule="auto" w:before="74"/>
        <w:ind w:left="682" w:right="1015"/>
        <w:jc w:val="both"/>
      </w:pPr>
      <w:r>
        <w:rPr/>
        <mc:AlternateContent>
          <mc:Choice Requires="wps">
            <w:drawing>
              <wp:anchor distT="0" distB="0" distL="0" distR="0" allowOverlap="1" layoutInCell="1" locked="0" behindDoc="1" simplePos="0" relativeHeight="482905600">
                <wp:simplePos x="0" y="0"/>
                <wp:positionH relativeFrom="page">
                  <wp:posOffset>-1402226</wp:posOffset>
                </wp:positionH>
                <wp:positionV relativeFrom="page">
                  <wp:posOffset>4612234</wp:posOffset>
                </wp:positionV>
                <wp:extent cx="10685780" cy="914400"/>
                <wp:effectExtent l="0" t="0" r="0" b="0"/>
                <wp:wrapNone/>
                <wp:docPr id="8" name="Textbox 8"/>
                <wp:cNvGraphicFramePr>
                  <a:graphicFrameLocks/>
                </wp:cNvGraphicFramePr>
                <a:graphic>
                  <a:graphicData uri="http://schemas.microsoft.com/office/word/2010/wordprocessingShape">
                    <wps:wsp>
                      <wps:cNvPr id="8" name="Textbox 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0880;rotation:306" type="#_x0000_t136" fillcolor="#ff5400" stroked="f">
                <o:extrusion v:ext="view" autorotationcenter="t"/>
                <v:textpath style="font-family:&quot;Arial MT&quot;;font-size:72pt;v-text-kern:t;mso-text-shadow:auto" string="UNIVERSITY OF IBADAN"/>
                <w10:wrap type="none"/>
              </v:shape>
            </w:pict>
          </mc:Fallback>
        </mc:AlternateContent>
      </w:r>
      <w:r>
        <w:rPr/>
        <w:t>(p&lt;0.05) elevated levels of plasma cholesterol, triglycerides, urea, creatinine, aspartate aminotransferase and alanine aminotransferase with concomitant decrease in total protein level were observed in diabetic rats when compared with control rats. The values of these biochemical parameters were restored to normal levels by </w:t>
      </w:r>
      <w:r>
        <w:rPr>
          <w:i/>
        </w:rPr>
        <w:t>M. pruriens </w:t>
      </w:r>
      <w:r>
        <w:rPr/>
        <w:t>extract or glibenclamide after 12 weeks of treatment. </w:t>
      </w:r>
      <w:r>
        <w:rPr>
          <w:i/>
        </w:rPr>
        <w:t>Mucuna pruriens </w:t>
      </w:r>
      <w:r>
        <w:rPr/>
        <w:t>tablets prepared by wet granulation exhibited higher mechanical and drug release properties than tablets prepared by direct compression (p&lt;0.05). The tablet properties depended on the type and concentration</w:t>
      </w:r>
      <w:r>
        <w:rPr>
          <w:spacing w:val="-3"/>
        </w:rPr>
        <w:t> </w:t>
      </w:r>
      <w:r>
        <w:rPr/>
        <w:t>of</w:t>
      </w:r>
      <w:r>
        <w:rPr>
          <w:spacing w:val="-4"/>
        </w:rPr>
        <w:t> </w:t>
      </w:r>
      <w:r>
        <w:rPr/>
        <w:t>binders</w:t>
      </w:r>
      <w:r>
        <w:rPr>
          <w:spacing w:val="-1"/>
        </w:rPr>
        <w:t> </w:t>
      </w:r>
      <w:r>
        <w:rPr/>
        <w:t>and</w:t>
      </w:r>
      <w:r>
        <w:rPr>
          <w:spacing w:val="-3"/>
        </w:rPr>
        <w:t> </w:t>
      </w:r>
      <w:r>
        <w:rPr/>
        <w:t>excipients</w:t>
      </w:r>
      <w:r>
        <w:rPr>
          <w:spacing w:val="-2"/>
        </w:rPr>
        <w:t> </w:t>
      </w:r>
      <w:r>
        <w:rPr/>
        <w:t>employed</w:t>
      </w:r>
      <w:r>
        <w:rPr>
          <w:spacing w:val="-1"/>
        </w:rPr>
        <w:t> </w:t>
      </w:r>
      <w:r>
        <w:rPr/>
        <w:t>in</w:t>
      </w:r>
      <w:r>
        <w:rPr>
          <w:spacing w:val="-3"/>
        </w:rPr>
        <w:t> </w:t>
      </w:r>
      <w:r>
        <w:rPr/>
        <w:t>the</w:t>
      </w:r>
      <w:r>
        <w:rPr>
          <w:spacing w:val="-4"/>
        </w:rPr>
        <w:t> </w:t>
      </w:r>
      <w:r>
        <w:rPr/>
        <w:t>formulations.</w:t>
      </w:r>
      <w:r>
        <w:rPr>
          <w:spacing w:val="-3"/>
        </w:rPr>
        <w:t> </w:t>
      </w:r>
      <w:r>
        <w:rPr/>
        <w:t>Tablets</w:t>
      </w:r>
      <w:r>
        <w:rPr>
          <w:spacing w:val="-3"/>
        </w:rPr>
        <w:t> </w:t>
      </w:r>
      <w:r>
        <w:rPr/>
        <w:t>prepared</w:t>
      </w:r>
      <w:r>
        <w:rPr>
          <w:spacing w:val="-3"/>
        </w:rPr>
        <w:t> </w:t>
      </w:r>
      <w:r>
        <w:rPr/>
        <w:t>by direct compression showed better reduction in the blood glucose level, compared to those prepared by wet granulation. There was a direct correlation between drug released from the tablets </w:t>
      </w:r>
      <w:r>
        <w:rPr>
          <w:i/>
        </w:rPr>
        <w:t>in vitro </w:t>
      </w:r>
      <w:r>
        <w:rPr/>
        <w:t>and its antidiabetic activity </w:t>
      </w:r>
      <w:r>
        <w:rPr>
          <w:i/>
        </w:rPr>
        <w:t>in vivo </w:t>
      </w:r>
      <w:r>
        <w:rPr/>
        <w:t>in rabbits (r</w:t>
      </w:r>
      <w:r>
        <w:rPr>
          <w:vertAlign w:val="superscript"/>
        </w:rPr>
        <w:t>2</w:t>
      </w:r>
      <w:r>
        <w:rPr>
          <w:vertAlign w:val="baseline"/>
        </w:rPr>
        <w:t> = 0.995).</w:t>
      </w:r>
    </w:p>
    <w:p>
      <w:pPr>
        <w:pStyle w:val="BodyText"/>
        <w:spacing w:line="360" w:lineRule="auto"/>
        <w:ind w:left="682" w:right="1016" w:firstLine="720"/>
        <w:jc w:val="both"/>
      </w:pPr>
      <w:r>
        <w:rPr/>
        <w:t>The ethanolic extract of the seed of </w:t>
      </w:r>
      <w:r>
        <w:rPr>
          <w:i/>
        </w:rPr>
        <w:t>Mucuna pruriens </w:t>
      </w:r>
      <w:r>
        <w:rPr/>
        <w:t>and its tablet formulations showed significant antidiabetic activity. In addition, </w:t>
      </w:r>
      <w:r>
        <w:rPr>
          <w:i/>
        </w:rPr>
        <w:t>M. pruriens </w:t>
      </w:r>
      <w:r>
        <w:rPr/>
        <w:t>displayed both hepatoprotective and cholesterol reducing properties in diabetic rats.</w:t>
      </w:r>
    </w:p>
    <w:p>
      <w:pPr>
        <w:pStyle w:val="BodyText"/>
        <w:spacing w:before="138"/>
      </w:pPr>
    </w:p>
    <w:p>
      <w:pPr>
        <w:pStyle w:val="BodyText"/>
        <w:spacing w:line="360" w:lineRule="auto"/>
        <w:ind w:left="682" w:right="1017"/>
        <w:jc w:val="both"/>
      </w:pPr>
      <w:r>
        <w:rPr/>
        <w:t>Keywords: </w:t>
      </w:r>
      <w:r>
        <w:rPr>
          <w:i/>
        </w:rPr>
        <w:t>Mucuna pruriens</w:t>
      </w:r>
      <w:r>
        <w:rPr/>
        <w:t>, Alloxan-induced diabetes mellitus, Tablet formulations, Drug release properties.</w:t>
      </w:r>
    </w:p>
    <w:p>
      <w:pPr>
        <w:pStyle w:val="BodyText"/>
        <w:spacing w:before="140"/>
      </w:pPr>
    </w:p>
    <w:p>
      <w:pPr>
        <w:pStyle w:val="BodyText"/>
        <w:ind w:left="682"/>
        <w:jc w:val="both"/>
      </w:pPr>
      <w:r>
        <w:rPr/>
        <w:t>Word</w:t>
      </w:r>
      <w:r>
        <w:rPr>
          <w:spacing w:val="-1"/>
        </w:rPr>
        <w:t> </w:t>
      </w:r>
      <w:r>
        <w:rPr/>
        <w:t>count: </w:t>
      </w:r>
      <w:r>
        <w:rPr>
          <w:spacing w:val="-5"/>
        </w:rPr>
        <w:t>498</w:t>
      </w:r>
    </w:p>
    <w:p>
      <w:pPr>
        <w:spacing w:after="0"/>
        <w:jc w:val="both"/>
        <w:sectPr>
          <w:pgSz w:w="12240" w:h="15840"/>
          <w:pgMar w:header="0" w:footer="1068" w:top="1360" w:bottom="1260" w:left="1420" w:right="420"/>
        </w:sectPr>
      </w:pPr>
    </w:p>
    <w:p>
      <w:pPr>
        <w:pStyle w:val="Heading2"/>
        <w:tabs>
          <w:tab w:pos="7944" w:val="left" w:leader="none"/>
        </w:tabs>
        <w:spacing w:before="79"/>
        <w:ind w:left="682"/>
        <w:jc w:val="left"/>
      </w:pPr>
      <w:r>
        <w:rPr/>
        <mc:AlternateContent>
          <mc:Choice Requires="wps">
            <w:drawing>
              <wp:anchor distT="0" distB="0" distL="0" distR="0" allowOverlap="1" layoutInCell="1" locked="0" behindDoc="1" simplePos="0" relativeHeight="482906112">
                <wp:simplePos x="0" y="0"/>
                <wp:positionH relativeFrom="page">
                  <wp:posOffset>-1402226</wp:posOffset>
                </wp:positionH>
                <wp:positionV relativeFrom="page">
                  <wp:posOffset>4612234</wp:posOffset>
                </wp:positionV>
                <wp:extent cx="10685780" cy="914400"/>
                <wp:effectExtent l="0" t="0" r="0" b="0"/>
                <wp:wrapNone/>
                <wp:docPr id="9" name="Textbox 9"/>
                <wp:cNvGraphicFramePr>
                  <a:graphicFrameLocks/>
                </wp:cNvGraphicFramePr>
                <a:graphic>
                  <a:graphicData uri="http://schemas.microsoft.com/office/word/2010/wordprocessingShape">
                    <wps:wsp>
                      <wps:cNvPr id="9" name="Textbox 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10368;rotation:306" type="#_x0000_t136" fillcolor="#ff5400" stroked="f">
                <o:extrusion v:ext="view" autorotationcenter="t"/>
                <v:textpath style="font-family:&quot;Arial MT&quot;;font-size:72pt;v-text-kern:t;mso-text-shadow:auto" string="UNIVERSITY OF IBADAN"/>
                <w10:wrap type="none"/>
              </v:shape>
            </w:pict>
          </mc:Fallback>
        </mc:AlternateContent>
      </w:r>
      <w:r>
        <w:rPr/>
        <w:t>TABLE OF</w:t>
      </w:r>
      <w:r>
        <w:rPr>
          <w:spacing w:val="-3"/>
        </w:rPr>
        <w:t> </w:t>
      </w:r>
      <w:r>
        <w:rPr>
          <w:spacing w:val="-2"/>
        </w:rPr>
        <w:t>CONTENTS</w:t>
      </w:r>
      <w:r>
        <w:rPr/>
        <w:tab/>
      </w:r>
      <w:r>
        <w:rPr>
          <w:spacing w:val="-4"/>
        </w:rPr>
        <w:t>PAGE</w:t>
      </w:r>
    </w:p>
    <w:p>
      <w:pPr>
        <w:pStyle w:val="BodyText"/>
        <w:spacing w:before="271"/>
        <w:rPr>
          <w:b/>
        </w:rPr>
      </w:pPr>
    </w:p>
    <w:p>
      <w:pPr>
        <w:pStyle w:val="BodyText"/>
        <w:tabs>
          <w:tab w:pos="7884" w:val="left" w:leader="none"/>
        </w:tabs>
        <w:ind w:left="682"/>
      </w:pPr>
      <w:r>
        <w:rPr/>
        <w:t>TITLE</w:t>
      </w:r>
      <w:r>
        <w:rPr>
          <w:spacing w:val="-4"/>
        </w:rPr>
        <w:t> PAGE</w:t>
      </w:r>
      <w:r>
        <w:rPr/>
        <w:tab/>
      </w:r>
      <w:r>
        <w:rPr>
          <w:spacing w:val="-10"/>
        </w:rPr>
        <w:t>i</w:t>
      </w:r>
    </w:p>
    <w:p>
      <w:pPr>
        <w:pStyle w:val="BodyText"/>
        <w:tabs>
          <w:tab w:pos="8018" w:val="right" w:leader="none"/>
        </w:tabs>
        <w:spacing w:before="137"/>
        <w:ind w:left="682"/>
      </w:pPr>
      <w:hyperlink w:history="true" w:anchor="_TOC_250132">
        <w:r>
          <w:rPr>
            <w:spacing w:val="-2"/>
          </w:rPr>
          <w:t>CERTIFICATION</w:t>
        </w:r>
        <w:r>
          <w:rPr/>
          <w:tab/>
        </w:r>
        <w:r>
          <w:rPr>
            <w:spacing w:val="-5"/>
          </w:rPr>
          <w:t>ii</w:t>
        </w:r>
      </w:hyperlink>
    </w:p>
    <w:p>
      <w:pPr>
        <w:pStyle w:val="BodyText"/>
        <w:tabs>
          <w:tab w:pos="8085" w:val="right" w:leader="none"/>
        </w:tabs>
        <w:spacing w:before="140"/>
        <w:ind w:left="682"/>
      </w:pPr>
      <w:hyperlink w:history="true" w:anchor="_TOC_250131">
        <w:r>
          <w:rPr>
            <w:spacing w:val="-2"/>
          </w:rPr>
          <w:t>DEDICATION</w:t>
        </w:r>
        <w:r>
          <w:rPr/>
          <w:tab/>
        </w:r>
        <w:r>
          <w:rPr>
            <w:spacing w:val="-5"/>
          </w:rPr>
          <w:t>iii</w:t>
        </w:r>
      </w:hyperlink>
    </w:p>
    <w:p>
      <w:pPr>
        <w:pStyle w:val="BodyText"/>
        <w:tabs>
          <w:tab w:pos="8071" w:val="right" w:leader="none"/>
        </w:tabs>
        <w:spacing w:before="136"/>
        <w:ind w:left="682"/>
      </w:pPr>
      <w:hyperlink w:history="true" w:anchor="_TOC_250130">
        <w:r>
          <w:rPr>
            <w:spacing w:val="-2"/>
          </w:rPr>
          <w:t>ACKNOWLEDGEMENT</w:t>
        </w:r>
        <w:r>
          <w:rPr/>
          <w:tab/>
        </w:r>
        <w:r>
          <w:rPr>
            <w:spacing w:val="-5"/>
          </w:rPr>
          <w:t>iv</w:t>
        </w:r>
      </w:hyperlink>
    </w:p>
    <w:p>
      <w:pPr>
        <w:pStyle w:val="BodyText"/>
        <w:tabs>
          <w:tab w:pos="8070" w:val="right" w:leader="none"/>
        </w:tabs>
        <w:spacing w:before="140"/>
        <w:ind w:left="682"/>
      </w:pPr>
      <w:hyperlink w:history="true" w:anchor="_TOC_250129">
        <w:r>
          <w:rPr>
            <w:spacing w:val="-2"/>
          </w:rPr>
          <w:t>ABSTRACT</w:t>
        </w:r>
        <w:r>
          <w:rPr/>
          <w:tab/>
        </w:r>
        <w:r>
          <w:rPr>
            <w:spacing w:val="-5"/>
          </w:rPr>
          <w:t>vi</w:t>
        </w:r>
      </w:hyperlink>
    </w:p>
    <w:p>
      <w:pPr>
        <w:pStyle w:val="BodyText"/>
        <w:tabs>
          <w:tab w:pos="8205" w:val="right" w:leader="none"/>
        </w:tabs>
        <w:spacing w:before="136"/>
        <w:ind w:left="682"/>
      </w:pPr>
      <w:r>
        <w:rPr/>
        <w:t>TABLE</w:t>
      </w:r>
      <w:r>
        <w:rPr>
          <w:spacing w:val="-2"/>
        </w:rPr>
        <w:t> </w:t>
      </w:r>
      <w:r>
        <w:rPr/>
        <w:t>OF</w:t>
      </w:r>
      <w:r>
        <w:rPr>
          <w:spacing w:val="-2"/>
        </w:rPr>
        <w:t> CONTENTS</w:t>
      </w:r>
      <w:r>
        <w:rPr/>
        <w:tab/>
      </w:r>
      <w:r>
        <w:rPr>
          <w:spacing w:val="-4"/>
        </w:rPr>
        <w:t>viii</w:t>
      </w:r>
    </w:p>
    <w:p>
      <w:pPr>
        <w:pStyle w:val="BodyText"/>
        <w:tabs>
          <w:tab w:pos="8193" w:val="right" w:leader="none"/>
        </w:tabs>
        <w:spacing w:before="140"/>
        <w:ind w:left="682"/>
      </w:pPr>
      <w:hyperlink w:history="true" w:anchor="_TOC_250128">
        <w:r>
          <w:rPr/>
          <w:t>LIST</w:t>
        </w:r>
        <w:r>
          <w:rPr>
            <w:spacing w:val="-2"/>
          </w:rPr>
          <w:t> </w:t>
        </w:r>
        <w:r>
          <w:rPr/>
          <w:t>OF</w:t>
        </w:r>
        <w:r>
          <w:rPr>
            <w:spacing w:val="-3"/>
          </w:rPr>
          <w:t> </w:t>
        </w:r>
        <w:r>
          <w:rPr>
            <w:spacing w:val="-2"/>
          </w:rPr>
          <w:t>TABLES</w:t>
        </w:r>
        <w:r>
          <w:rPr/>
          <w:tab/>
        </w:r>
        <w:r>
          <w:rPr>
            <w:spacing w:val="-5"/>
          </w:rPr>
          <w:t>xvi</w:t>
        </w:r>
      </w:hyperlink>
    </w:p>
    <w:p>
      <w:pPr>
        <w:pStyle w:val="BodyText"/>
        <w:tabs>
          <w:tab w:pos="8325" w:val="right" w:leader="none"/>
        </w:tabs>
        <w:spacing w:before="137"/>
        <w:ind w:left="682"/>
      </w:pPr>
      <w:hyperlink w:history="true" w:anchor="_TOC_250127">
        <w:r>
          <w:rPr/>
          <w:t>LIST</w:t>
        </w:r>
        <w:r>
          <w:rPr>
            <w:spacing w:val="-2"/>
          </w:rPr>
          <w:t> </w:t>
        </w:r>
        <w:r>
          <w:rPr/>
          <w:t>OF</w:t>
        </w:r>
        <w:r>
          <w:rPr>
            <w:spacing w:val="-1"/>
          </w:rPr>
          <w:t> </w:t>
        </w:r>
        <w:r>
          <w:rPr>
            <w:spacing w:val="-2"/>
          </w:rPr>
          <w:t>FIGURES</w:t>
        </w:r>
        <w:r>
          <w:rPr/>
          <w:tab/>
        </w:r>
        <w:r>
          <w:rPr>
            <w:spacing w:val="-2"/>
          </w:rPr>
          <w:t>xviii</w:t>
        </w:r>
      </w:hyperlink>
    </w:p>
    <w:p>
      <w:pPr>
        <w:pStyle w:val="BodyText"/>
      </w:pPr>
    </w:p>
    <w:p>
      <w:pPr>
        <w:pStyle w:val="BodyText"/>
      </w:pPr>
    </w:p>
    <w:p>
      <w:pPr>
        <w:pStyle w:val="BodyText"/>
      </w:pPr>
    </w:p>
    <w:p>
      <w:pPr>
        <w:pStyle w:val="BodyText"/>
      </w:pPr>
    </w:p>
    <w:p>
      <w:pPr>
        <w:pStyle w:val="BodyText"/>
      </w:pPr>
    </w:p>
    <w:p>
      <w:pPr>
        <w:pStyle w:val="BodyText"/>
        <w:ind w:left="682"/>
      </w:pPr>
      <w:r>
        <w:rPr/>
        <w:t>CHAPTER</w:t>
      </w:r>
      <w:r>
        <w:rPr>
          <w:spacing w:val="-3"/>
        </w:rPr>
        <w:t> </w:t>
      </w:r>
      <w:r>
        <w:rPr/>
        <w:t>ONE:</w:t>
      </w:r>
      <w:r>
        <w:rPr>
          <w:spacing w:val="-2"/>
        </w:rPr>
        <w:t> </w:t>
      </w:r>
      <w:r>
        <w:rPr/>
        <w:t>INTRODUCTION</w:t>
      </w:r>
      <w:r>
        <w:rPr>
          <w:spacing w:val="-3"/>
        </w:rPr>
        <w:t> </w:t>
      </w:r>
      <w:r>
        <w:rPr/>
        <w:t>AND</w:t>
      </w:r>
      <w:r>
        <w:rPr>
          <w:spacing w:val="-3"/>
        </w:rPr>
        <w:t> </w:t>
      </w:r>
      <w:r>
        <w:rPr/>
        <w:t>LITERATURE</w:t>
      </w:r>
      <w:r>
        <w:rPr>
          <w:spacing w:val="-2"/>
        </w:rPr>
        <w:t> REVIEW</w:t>
      </w:r>
    </w:p>
    <w:p>
      <w:pPr>
        <w:pStyle w:val="ListParagraph"/>
        <w:numPr>
          <w:ilvl w:val="1"/>
          <w:numId w:val="1"/>
        </w:numPr>
        <w:tabs>
          <w:tab w:pos="2122" w:val="left" w:leader="none"/>
          <w:tab w:pos="8724" w:val="right" w:leader="none"/>
        </w:tabs>
        <w:spacing w:line="240" w:lineRule="auto" w:before="552" w:after="0"/>
        <w:ind w:left="2122" w:right="0" w:hanging="1440"/>
        <w:jc w:val="left"/>
        <w:rPr>
          <w:sz w:val="24"/>
        </w:rPr>
      </w:pPr>
      <w:hyperlink w:history="true" w:anchor="_TOC_250126">
        <w:r>
          <w:rPr>
            <w:sz w:val="24"/>
          </w:rPr>
          <w:t>General</w:t>
        </w:r>
        <w:r>
          <w:rPr>
            <w:spacing w:val="-3"/>
            <w:sz w:val="24"/>
          </w:rPr>
          <w:t> </w:t>
        </w:r>
        <w:r>
          <w:rPr>
            <w:spacing w:val="-2"/>
            <w:sz w:val="24"/>
          </w:rPr>
          <w:t>introduction</w:t>
        </w:r>
        <w:r>
          <w:rPr>
            <w:sz w:val="24"/>
          </w:rPr>
          <w:tab/>
        </w:r>
        <w:r>
          <w:rPr>
            <w:spacing w:val="-10"/>
            <w:sz w:val="24"/>
          </w:rPr>
          <w:t>1</w:t>
        </w:r>
      </w:hyperlink>
    </w:p>
    <w:p>
      <w:pPr>
        <w:pStyle w:val="ListParagraph"/>
        <w:numPr>
          <w:ilvl w:val="1"/>
          <w:numId w:val="1"/>
        </w:numPr>
        <w:tabs>
          <w:tab w:pos="2122" w:val="left" w:leader="none"/>
          <w:tab w:pos="8724" w:val="right" w:leader="none"/>
        </w:tabs>
        <w:spacing w:line="240" w:lineRule="auto" w:before="139" w:after="0"/>
        <w:ind w:left="2122" w:right="0" w:hanging="1440"/>
        <w:jc w:val="left"/>
        <w:rPr>
          <w:sz w:val="24"/>
        </w:rPr>
      </w:pPr>
      <w:hyperlink w:history="true" w:anchor="_TOC_250125">
        <w:r>
          <w:rPr>
            <w:sz w:val="24"/>
          </w:rPr>
          <w:t>From</w:t>
        </w:r>
        <w:r>
          <w:rPr>
            <w:spacing w:val="-2"/>
            <w:sz w:val="24"/>
          </w:rPr>
          <w:t> </w:t>
        </w:r>
        <w:r>
          <w:rPr>
            <w:sz w:val="24"/>
          </w:rPr>
          <w:t>“the</w:t>
        </w:r>
        <w:r>
          <w:rPr>
            <w:spacing w:val="-2"/>
            <w:sz w:val="24"/>
          </w:rPr>
          <w:t> </w:t>
        </w:r>
        <w:r>
          <w:rPr>
            <w:sz w:val="24"/>
          </w:rPr>
          <w:t>plants” to</w:t>
        </w:r>
        <w:r>
          <w:rPr>
            <w:spacing w:val="-1"/>
            <w:sz w:val="24"/>
          </w:rPr>
          <w:t> </w:t>
        </w:r>
        <w:r>
          <w:rPr>
            <w:sz w:val="24"/>
          </w:rPr>
          <w:t>“the</w:t>
        </w:r>
        <w:r>
          <w:rPr>
            <w:spacing w:val="-2"/>
            <w:sz w:val="24"/>
          </w:rPr>
          <w:t> medicine”</w:t>
        </w:r>
        <w:r>
          <w:rPr>
            <w:sz w:val="24"/>
          </w:rPr>
          <w:tab/>
        </w:r>
        <w:r>
          <w:rPr>
            <w:spacing w:val="-10"/>
            <w:sz w:val="24"/>
          </w:rPr>
          <w:t>1</w:t>
        </w:r>
      </w:hyperlink>
    </w:p>
    <w:p>
      <w:pPr>
        <w:pStyle w:val="ListParagraph"/>
        <w:numPr>
          <w:ilvl w:val="1"/>
          <w:numId w:val="1"/>
        </w:numPr>
        <w:tabs>
          <w:tab w:pos="2122" w:val="left" w:leader="none"/>
          <w:tab w:pos="8724" w:val="right" w:leader="none"/>
        </w:tabs>
        <w:spacing w:line="240" w:lineRule="auto" w:before="138" w:after="0"/>
        <w:ind w:left="2122" w:right="0" w:hanging="1440"/>
        <w:jc w:val="left"/>
        <w:rPr>
          <w:sz w:val="24"/>
        </w:rPr>
      </w:pPr>
      <w:hyperlink w:history="true" w:anchor="_TOC_250124">
        <w:r>
          <w:rPr>
            <w:sz w:val="24"/>
          </w:rPr>
          <w:t>Back</w:t>
        </w:r>
        <w:r>
          <w:rPr>
            <w:spacing w:val="-1"/>
            <w:sz w:val="24"/>
          </w:rPr>
          <w:t> </w:t>
        </w:r>
        <w:r>
          <w:rPr>
            <w:sz w:val="24"/>
          </w:rPr>
          <w:t>to</w:t>
        </w:r>
        <w:r>
          <w:rPr>
            <w:spacing w:val="-1"/>
            <w:sz w:val="24"/>
          </w:rPr>
          <w:t> </w:t>
        </w:r>
        <w:r>
          <w:rPr>
            <w:spacing w:val="-2"/>
            <w:sz w:val="24"/>
          </w:rPr>
          <w:t>nature</w:t>
        </w:r>
        <w:r>
          <w:rPr>
            <w:sz w:val="24"/>
          </w:rPr>
          <w:tab/>
        </w:r>
        <w:r>
          <w:rPr>
            <w:spacing w:val="-10"/>
            <w:sz w:val="24"/>
          </w:rPr>
          <w:t>2</w:t>
        </w:r>
      </w:hyperlink>
    </w:p>
    <w:p>
      <w:pPr>
        <w:pStyle w:val="ListParagraph"/>
        <w:numPr>
          <w:ilvl w:val="1"/>
          <w:numId w:val="1"/>
        </w:numPr>
        <w:tabs>
          <w:tab w:pos="2122" w:val="left" w:leader="none"/>
          <w:tab w:pos="8724" w:val="right" w:leader="none"/>
        </w:tabs>
        <w:spacing w:line="240" w:lineRule="auto" w:before="139" w:after="0"/>
        <w:ind w:left="2122" w:right="0" w:hanging="1440"/>
        <w:jc w:val="left"/>
        <w:rPr>
          <w:sz w:val="24"/>
        </w:rPr>
      </w:pPr>
      <w:r>
        <w:rPr>
          <w:sz w:val="24"/>
        </w:rPr>
        <w:t>Diabetes</w:t>
      </w:r>
      <w:r>
        <w:rPr>
          <w:spacing w:val="-2"/>
          <w:sz w:val="24"/>
        </w:rPr>
        <w:t> mellitus</w:t>
      </w:r>
      <w:r>
        <w:rPr>
          <w:sz w:val="24"/>
        </w:rPr>
        <w:tab/>
      </w:r>
      <w:r>
        <w:rPr>
          <w:spacing w:val="-10"/>
          <w:sz w:val="24"/>
        </w:rPr>
        <w:t>3</w:t>
      </w:r>
    </w:p>
    <w:p>
      <w:pPr>
        <w:pStyle w:val="ListParagraph"/>
        <w:numPr>
          <w:ilvl w:val="2"/>
          <w:numId w:val="1"/>
        </w:numPr>
        <w:tabs>
          <w:tab w:pos="2122" w:val="left" w:leader="none"/>
          <w:tab w:pos="8724" w:val="right" w:leader="none"/>
        </w:tabs>
        <w:spacing w:line="240" w:lineRule="auto" w:before="137" w:after="0"/>
        <w:ind w:left="2122" w:right="0" w:hanging="1440"/>
        <w:jc w:val="left"/>
        <w:rPr>
          <w:sz w:val="24"/>
        </w:rPr>
      </w:pPr>
      <w:hyperlink w:history="true" w:anchor="_TOC_250123">
        <w:r>
          <w:rPr>
            <w:sz w:val="24"/>
          </w:rPr>
          <w:t>Types</w:t>
        </w:r>
        <w:r>
          <w:rPr>
            <w:spacing w:val="-2"/>
            <w:sz w:val="24"/>
          </w:rPr>
          <w:t> </w:t>
        </w:r>
        <w:r>
          <w:rPr>
            <w:sz w:val="24"/>
          </w:rPr>
          <w:t>of</w:t>
        </w:r>
        <w:r>
          <w:rPr>
            <w:spacing w:val="-2"/>
            <w:sz w:val="24"/>
          </w:rPr>
          <w:t> </w:t>
        </w:r>
        <w:r>
          <w:rPr>
            <w:sz w:val="24"/>
          </w:rPr>
          <w:t>diabetes</w:t>
        </w:r>
        <w:r>
          <w:rPr>
            <w:spacing w:val="-1"/>
            <w:sz w:val="24"/>
          </w:rPr>
          <w:t> </w:t>
        </w:r>
        <w:r>
          <w:rPr>
            <w:spacing w:val="-2"/>
            <w:sz w:val="24"/>
          </w:rPr>
          <w:t>mellitus</w:t>
        </w:r>
        <w:r>
          <w:rPr>
            <w:sz w:val="24"/>
          </w:rPr>
          <w:tab/>
        </w:r>
        <w:r>
          <w:rPr>
            <w:spacing w:val="-10"/>
            <w:sz w:val="24"/>
          </w:rPr>
          <w:t>3</w:t>
        </w:r>
      </w:hyperlink>
    </w:p>
    <w:p>
      <w:pPr>
        <w:pStyle w:val="ListParagraph"/>
        <w:numPr>
          <w:ilvl w:val="3"/>
          <w:numId w:val="1"/>
        </w:numPr>
        <w:tabs>
          <w:tab w:pos="2122" w:val="left" w:leader="none"/>
          <w:tab w:pos="8724" w:val="right" w:leader="none"/>
        </w:tabs>
        <w:spacing w:line="240" w:lineRule="auto" w:before="139" w:after="0"/>
        <w:ind w:left="2122" w:right="0" w:hanging="1440"/>
        <w:jc w:val="left"/>
        <w:rPr>
          <w:sz w:val="24"/>
        </w:rPr>
      </w:pPr>
      <w:hyperlink w:history="true" w:anchor="_TOC_250122">
        <w:r>
          <w:rPr>
            <w:sz w:val="24"/>
          </w:rPr>
          <w:t>Type</w:t>
        </w:r>
        <w:r>
          <w:rPr>
            <w:spacing w:val="-3"/>
            <w:sz w:val="24"/>
          </w:rPr>
          <w:t> </w:t>
        </w:r>
        <w:r>
          <w:rPr>
            <w:sz w:val="24"/>
          </w:rPr>
          <w:t>1</w:t>
        </w:r>
        <w:r>
          <w:rPr>
            <w:spacing w:val="-1"/>
            <w:sz w:val="24"/>
          </w:rPr>
          <w:t> </w:t>
        </w:r>
        <w:r>
          <w:rPr>
            <w:sz w:val="24"/>
          </w:rPr>
          <w:t>diabetes</w:t>
        </w:r>
        <w:r>
          <w:rPr>
            <w:spacing w:val="-1"/>
            <w:sz w:val="24"/>
          </w:rPr>
          <w:t> </w:t>
        </w:r>
        <w:r>
          <w:rPr>
            <w:spacing w:val="-2"/>
            <w:sz w:val="24"/>
          </w:rPr>
          <w:t>mellitus</w:t>
        </w:r>
        <w:r>
          <w:rPr>
            <w:sz w:val="24"/>
          </w:rPr>
          <w:tab/>
        </w:r>
        <w:r>
          <w:rPr>
            <w:spacing w:val="-10"/>
            <w:sz w:val="24"/>
          </w:rPr>
          <w:t>4</w:t>
        </w:r>
      </w:hyperlink>
    </w:p>
    <w:p>
      <w:pPr>
        <w:pStyle w:val="ListParagraph"/>
        <w:numPr>
          <w:ilvl w:val="3"/>
          <w:numId w:val="1"/>
        </w:numPr>
        <w:tabs>
          <w:tab w:pos="2122" w:val="left" w:leader="none"/>
          <w:tab w:pos="8724" w:val="right" w:leader="none"/>
        </w:tabs>
        <w:spacing w:line="240" w:lineRule="auto" w:before="137" w:after="0"/>
        <w:ind w:left="2122" w:right="0" w:hanging="1440"/>
        <w:jc w:val="left"/>
        <w:rPr>
          <w:sz w:val="24"/>
        </w:rPr>
      </w:pPr>
      <w:hyperlink w:history="true" w:anchor="_TOC_250121">
        <w:r>
          <w:rPr>
            <w:sz w:val="24"/>
          </w:rPr>
          <w:t>Type</w:t>
        </w:r>
        <w:r>
          <w:rPr>
            <w:spacing w:val="-3"/>
            <w:sz w:val="24"/>
          </w:rPr>
          <w:t> </w:t>
        </w:r>
        <w:r>
          <w:rPr>
            <w:sz w:val="24"/>
          </w:rPr>
          <w:t>2</w:t>
        </w:r>
        <w:r>
          <w:rPr>
            <w:spacing w:val="-1"/>
            <w:sz w:val="24"/>
          </w:rPr>
          <w:t> </w:t>
        </w:r>
        <w:r>
          <w:rPr>
            <w:sz w:val="24"/>
          </w:rPr>
          <w:t>diabetes</w:t>
        </w:r>
        <w:r>
          <w:rPr>
            <w:spacing w:val="-1"/>
            <w:sz w:val="24"/>
          </w:rPr>
          <w:t> </w:t>
        </w:r>
        <w:r>
          <w:rPr>
            <w:spacing w:val="-2"/>
            <w:sz w:val="24"/>
          </w:rPr>
          <w:t>mellitus</w:t>
        </w:r>
        <w:r>
          <w:rPr>
            <w:sz w:val="24"/>
          </w:rPr>
          <w:tab/>
        </w:r>
        <w:r>
          <w:rPr>
            <w:spacing w:val="-10"/>
            <w:sz w:val="24"/>
          </w:rPr>
          <w:t>4</w:t>
        </w:r>
      </w:hyperlink>
    </w:p>
    <w:p>
      <w:pPr>
        <w:pStyle w:val="ListParagraph"/>
        <w:numPr>
          <w:ilvl w:val="3"/>
          <w:numId w:val="1"/>
        </w:numPr>
        <w:tabs>
          <w:tab w:pos="2122" w:val="left" w:leader="none"/>
          <w:tab w:pos="8724" w:val="right" w:leader="none"/>
        </w:tabs>
        <w:spacing w:line="240" w:lineRule="auto" w:before="139" w:after="0"/>
        <w:ind w:left="2122" w:right="0" w:hanging="1440"/>
        <w:jc w:val="left"/>
        <w:rPr>
          <w:sz w:val="24"/>
        </w:rPr>
      </w:pPr>
      <w:hyperlink w:history="true" w:anchor="_TOC_250120">
        <w:r>
          <w:rPr>
            <w:sz w:val="24"/>
          </w:rPr>
          <w:t>“Other</w:t>
        </w:r>
        <w:r>
          <w:rPr>
            <w:spacing w:val="-4"/>
            <w:sz w:val="24"/>
          </w:rPr>
          <w:t> </w:t>
        </w:r>
        <w:r>
          <w:rPr>
            <w:sz w:val="24"/>
          </w:rPr>
          <w:t>specific</w:t>
        </w:r>
        <w:r>
          <w:rPr>
            <w:spacing w:val="-2"/>
            <w:sz w:val="24"/>
          </w:rPr>
          <w:t> </w:t>
        </w:r>
        <w:r>
          <w:rPr>
            <w:sz w:val="24"/>
          </w:rPr>
          <w:t>types’</w:t>
        </w:r>
        <w:r>
          <w:rPr>
            <w:spacing w:val="-1"/>
            <w:sz w:val="24"/>
          </w:rPr>
          <w:t> </w:t>
        </w:r>
        <w:r>
          <w:rPr>
            <w:sz w:val="24"/>
          </w:rPr>
          <w:t>and</w:t>
        </w:r>
        <w:r>
          <w:rPr>
            <w:spacing w:val="-2"/>
            <w:sz w:val="24"/>
          </w:rPr>
          <w:t> </w:t>
        </w:r>
        <w:r>
          <w:rPr>
            <w:sz w:val="24"/>
          </w:rPr>
          <w:t>gestational</w:t>
        </w:r>
        <w:r>
          <w:rPr>
            <w:spacing w:val="-1"/>
            <w:sz w:val="24"/>
          </w:rPr>
          <w:t> </w:t>
        </w:r>
        <w:r>
          <w:rPr>
            <w:spacing w:val="-2"/>
            <w:sz w:val="24"/>
          </w:rPr>
          <w:t>diabetes</w:t>
        </w:r>
        <w:r>
          <w:rPr>
            <w:sz w:val="24"/>
          </w:rPr>
          <w:tab/>
        </w:r>
        <w:r>
          <w:rPr>
            <w:spacing w:val="-10"/>
            <w:sz w:val="24"/>
          </w:rPr>
          <w:t>4</w:t>
        </w:r>
      </w:hyperlink>
    </w:p>
    <w:p>
      <w:pPr>
        <w:pStyle w:val="ListParagraph"/>
        <w:numPr>
          <w:ilvl w:val="1"/>
          <w:numId w:val="1"/>
        </w:numPr>
        <w:tabs>
          <w:tab w:pos="2122" w:val="left" w:leader="none"/>
          <w:tab w:pos="8724" w:val="right" w:leader="none"/>
        </w:tabs>
        <w:spacing w:line="240" w:lineRule="auto" w:before="137" w:after="0"/>
        <w:ind w:left="2122" w:right="0" w:hanging="1440"/>
        <w:jc w:val="left"/>
        <w:rPr>
          <w:sz w:val="24"/>
        </w:rPr>
      </w:pPr>
      <w:r>
        <w:rPr>
          <w:sz w:val="24"/>
        </w:rPr>
        <w:t>Complications</w:t>
      </w:r>
      <w:r>
        <w:rPr>
          <w:spacing w:val="-4"/>
          <w:sz w:val="24"/>
        </w:rPr>
        <w:t> </w:t>
      </w:r>
      <w:r>
        <w:rPr>
          <w:sz w:val="24"/>
        </w:rPr>
        <w:t>of</w:t>
      </w:r>
      <w:r>
        <w:rPr>
          <w:spacing w:val="-1"/>
          <w:sz w:val="24"/>
        </w:rPr>
        <w:t> </w:t>
      </w:r>
      <w:r>
        <w:rPr>
          <w:sz w:val="24"/>
        </w:rPr>
        <w:t>diabetic</w:t>
      </w:r>
      <w:r>
        <w:rPr>
          <w:spacing w:val="-2"/>
          <w:sz w:val="24"/>
        </w:rPr>
        <w:t> mellitus</w:t>
      </w:r>
      <w:r>
        <w:rPr>
          <w:sz w:val="24"/>
        </w:rPr>
        <w:tab/>
      </w:r>
      <w:r>
        <w:rPr>
          <w:spacing w:val="-10"/>
          <w:sz w:val="24"/>
        </w:rPr>
        <w:t>5</w:t>
      </w:r>
    </w:p>
    <w:p>
      <w:pPr>
        <w:pStyle w:val="ListParagraph"/>
        <w:numPr>
          <w:ilvl w:val="2"/>
          <w:numId w:val="1"/>
        </w:numPr>
        <w:tabs>
          <w:tab w:pos="2122" w:val="left" w:leader="none"/>
          <w:tab w:pos="8724" w:val="right" w:leader="none"/>
        </w:tabs>
        <w:spacing w:line="240" w:lineRule="auto" w:before="139" w:after="0"/>
        <w:ind w:left="2122" w:right="0" w:hanging="1440"/>
        <w:jc w:val="left"/>
        <w:rPr>
          <w:sz w:val="24"/>
        </w:rPr>
      </w:pPr>
      <w:hyperlink w:history="true" w:anchor="_TOC_250119">
        <w:r>
          <w:rPr>
            <w:sz w:val="24"/>
          </w:rPr>
          <w:t>Renal</w:t>
        </w:r>
        <w:r>
          <w:rPr>
            <w:spacing w:val="-2"/>
            <w:sz w:val="24"/>
          </w:rPr>
          <w:t> </w:t>
        </w:r>
        <w:r>
          <w:rPr>
            <w:sz w:val="24"/>
          </w:rPr>
          <w:t>complications</w:t>
        </w:r>
        <w:r>
          <w:rPr>
            <w:spacing w:val="-2"/>
            <w:sz w:val="24"/>
          </w:rPr>
          <w:t> (Nephropathy)</w:t>
        </w:r>
        <w:r>
          <w:rPr>
            <w:sz w:val="24"/>
          </w:rPr>
          <w:tab/>
        </w:r>
        <w:r>
          <w:rPr>
            <w:spacing w:val="-10"/>
            <w:sz w:val="24"/>
          </w:rPr>
          <w:t>5</w:t>
        </w:r>
      </w:hyperlink>
    </w:p>
    <w:p>
      <w:pPr>
        <w:pStyle w:val="ListParagraph"/>
        <w:numPr>
          <w:ilvl w:val="2"/>
          <w:numId w:val="1"/>
        </w:numPr>
        <w:tabs>
          <w:tab w:pos="2122" w:val="left" w:leader="none"/>
          <w:tab w:pos="8724" w:val="right" w:leader="none"/>
        </w:tabs>
        <w:spacing w:line="240" w:lineRule="auto" w:before="137" w:after="0"/>
        <w:ind w:left="2122" w:right="0" w:hanging="1440"/>
        <w:jc w:val="left"/>
        <w:rPr>
          <w:sz w:val="24"/>
        </w:rPr>
      </w:pPr>
      <w:hyperlink w:history="true" w:anchor="_TOC_250118">
        <w:r>
          <w:rPr>
            <w:sz w:val="24"/>
          </w:rPr>
          <w:t>Ocular</w:t>
        </w:r>
        <w:r>
          <w:rPr>
            <w:spacing w:val="-4"/>
            <w:sz w:val="24"/>
          </w:rPr>
          <w:t> </w:t>
        </w:r>
        <w:r>
          <w:rPr>
            <w:sz w:val="24"/>
          </w:rPr>
          <w:t>complications</w:t>
        </w:r>
        <w:r>
          <w:rPr>
            <w:spacing w:val="-1"/>
            <w:sz w:val="24"/>
          </w:rPr>
          <w:t> </w:t>
        </w:r>
        <w:r>
          <w:rPr>
            <w:spacing w:val="-2"/>
            <w:sz w:val="24"/>
          </w:rPr>
          <w:t>(Retinopathy)</w:t>
        </w:r>
        <w:r>
          <w:rPr>
            <w:sz w:val="24"/>
          </w:rPr>
          <w:tab/>
        </w:r>
        <w:r>
          <w:rPr>
            <w:spacing w:val="-10"/>
            <w:sz w:val="24"/>
          </w:rPr>
          <w:t>6</w:t>
        </w:r>
      </w:hyperlink>
    </w:p>
    <w:p>
      <w:pPr>
        <w:pStyle w:val="ListParagraph"/>
        <w:numPr>
          <w:ilvl w:val="2"/>
          <w:numId w:val="1"/>
        </w:numPr>
        <w:tabs>
          <w:tab w:pos="2122" w:val="left" w:leader="none"/>
          <w:tab w:pos="8724" w:val="right" w:leader="none"/>
        </w:tabs>
        <w:spacing w:line="240" w:lineRule="auto" w:before="140" w:after="0"/>
        <w:ind w:left="2122" w:right="0" w:hanging="1440"/>
        <w:jc w:val="left"/>
        <w:rPr>
          <w:sz w:val="24"/>
        </w:rPr>
      </w:pPr>
      <w:hyperlink w:history="true" w:anchor="_TOC_250117">
        <w:r>
          <w:rPr>
            <w:spacing w:val="-2"/>
            <w:sz w:val="24"/>
          </w:rPr>
          <w:t>Neuropathy</w:t>
        </w:r>
        <w:r>
          <w:rPr>
            <w:sz w:val="24"/>
          </w:rPr>
          <w:tab/>
        </w:r>
        <w:r>
          <w:rPr>
            <w:spacing w:val="-10"/>
            <w:sz w:val="24"/>
          </w:rPr>
          <w:t>6</w:t>
        </w:r>
      </w:hyperlink>
    </w:p>
    <w:p>
      <w:pPr>
        <w:pStyle w:val="ListParagraph"/>
        <w:numPr>
          <w:ilvl w:val="2"/>
          <w:numId w:val="1"/>
        </w:numPr>
        <w:tabs>
          <w:tab w:pos="2122" w:val="left" w:leader="none"/>
          <w:tab w:pos="8724" w:val="right" w:leader="none"/>
        </w:tabs>
        <w:spacing w:line="240" w:lineRule="auto" w:before="136" w:after="0"/>
        <w:ind w:left="2122" w:right="0" w:hanging="1440"/>
        <w:jc w:val="left"/>
        <w:rPr>
          <w:sz w:val="24"/>
        </w:rPr>
      </w:pPr>
      <w:hyperlink w:history="true" w:anchor="_TOC_250116">
        <w:r>
          <w:rPr>
            <w:sz w:val="24"/>
          </w:rPr>
          <w:t>Cardiovascular</w:t>
        </w:r>
        <w:r>
          <w:rPr>
            <w:spacing w:val="-6"/>
            <w:sz w:val="24"/>
          </w:rPr>
          <w:t> </w:t>
        </w:r>
        <w:r>
          <w:rPr>
            <w:spacing w:val="-2"/>
            <w:sz w:val="24"/>
          </w:rPr>
          <w:t>disease</w:t>
        </w:r>
        <w:r>
          <w:rPr>
            <w:sz w:val="24"/>
          </w:rPr>
          <w:tab/>
        </w:r>
        <w:r>
          <w:rPr>
            <w:spacing w:val="-10"/>
            <w:sz w:val="24"/>
          </w:rPr>
          <w:t>7</w:t>
        </w:r>
      </w:hyperlink>
    </w:p>
    <w:p>
      <w:pPr>
        <w:pStyle w:val="ListParagraph"/>
        <w:numPr>
          <w:ilvl w:val="2"/>
          <w:numId w:val="1"/>
        </w:numPr>
        <w:tabs>
          <w:tab w:pos="2122" w:val="left" w:leader="none"/>
          <w:tab w:pos="8724" w:val="right" w:leader="none"/>
        </w:tabs>
        <w:spacing w:line="240" w:lineRule="auto" w:before="140" w:after="0"/>
        <w:ind w:left="2122" w:right="0" w:hanging="1440"/>
        <w:jc w:val="left"/>
        <w:rPr>
          <w:sz w:val="24"/>
        </w:rPr>
      </w:pPr>
      <w:hyperlink w:history="true" w:anchor="_TOC_250115">
        <w:r>
          <w:rPr>
            <w:spacing w:val="-2"/>
            <w:sz w:val="24"/>
          </w:rPr>
          <w:t>Atherosclerosis</w:t>
        </w:r>
        <w:r>
          <w:rPr>
            <w:sz w:val="24"/>
          </w:rPr>
          <w:tab/>
        </w:r>
        <w:r>
          <w:rPr>
            <w:spacing w:val="-10"/>
            <w:sz w:val="24"/>
          </w:rPr>
          <w:t>8</w:t>
        </w:r>
      </w:hyperlink>
    </w:p>
    <w:p>
      <w:pPr>
        <w:pStyle w:val="ListParagraph"/>
        <w:numPr>
          <w:ilvl w:val="2"/>
          <w:numId w:val="1"/>
        </w:numPr>
        <w:tabs>
          <w:tab w:pos="2122" w:val="left" w:leader="none"/>
          <w:tab w:pos="8724" w:val="right" w:leader="none"/>
        </w:tabs>
        <w:spacing w:line="240" w:lineRule="auto" w:before="137" w:after="0"/>
        <w:ind w:left="2122" w:right="0" w:hanging="1440"/>
        <w:jc w:val="left"/>
        <w:rPr>
          <w:sz w:val="24"/>
        </w:rPr>
      </w:pPr>
      <w:hyperlink w:history="true" w:anchor="_TOC_250114">
        <w:r>
          <w:rPr>
            <w:spacing w:val="-2"/>
            <w:sz w:val="24"/>
          </w:rPr>
          <w:t>Mucormycosis</w:t>
        </w:r>
        <w:r>
          <w:rPr>
            <w:sz w:val="24"/>
          </w:rPr>
          <w:tab/>
        </w:r>
        <w:r>
          <w:rPr>
            <w:spacing w:val="-10"/>
            <w:sz w:val="24"/>
          </w:rPr>
          <w:t>8</w:t>
        </w:r>
      </w:hyperlink>
    </w:p>
    <w:p>
      <w:pPr>
        <w:pStyle w:val="ListParagraph"/>
        <w:numPr>
          <w:ilvl w:val="1"/>
          <w:numId w:val="1"/>
        </w:numPr>
        <w:tabs>
          <w:tab w:pos="2062" w:val="left" w:leader="none"/>
          <w:tab w:pos="8724" w:val="right" w:leader="none"/>
        </w:tabs>
        <w:spacing w:line="240" w:lineRule="auto" w:before="139" w:after="0"/>
        <w:ind w:left="2062" w:right="0" w:hanging="1380"/>
        <w:jc w:val="left"/>
        <w:rPr>
          <w:sz w:val="24"/>
        </w:rPr>
      </w:pPr>
      <w:hyperlink w:history="true" w:anchor="_TOC_250113">
        <w:r>
          <w:rPr>
            <w:sz w:val="24"/>
          </w:rPr>
          <w:t>Antidiabetic</w:t>
        </w:r>
        <w:r>
          <w:rPr>
            <w:spacing w:val="-3"/>
            <w:sz w:val="24"/>
          </w:rPr>
          <w:t> </w:t>
        </w:r>
        <w:r>
          <w:rPr>
            <w:spacing w:val="-4"/>
            <w:sz w:val="24"/>
          </w:rPr>
          <w:t>drugs</w:t>
        </w:r>
        <w:r>
          <w:rPr>
            <w:sz w:val="24"/>
          </w:rPr>
          <w:tab/>
        </w:r>
        <w:r>
          <w:rPr>
            <w:spacing w:val="-10"/>
            <w:sz w:val="24"/>
          </w:rPr>
          <w:t>8</w:t>
        </w:r>
      </w:hyperlink>
    </w:p>
    <w:p>
      <w:pPr>
        <w:spacing w:after="0" w:line="240" w:lineRule="auto"/>
        <w:jc w:val="left"/>
        <w:rPr>
          <w:sz w:val="24"/>
        </w:rPr>
        <w:sectPr>
          <w:pgSz w:w="12240" w:h="15840"/>
          <w:pgMar w:header="0" w:footer="1068" w:top="1360" w:bottom="1260" w:left="1420" w:right="420"/>
        </w:sectPr>
      </w:pPr>
    </w:p>
    <w:p>
      <w:pPr>
        <w:pStyle w:val="ListParagraph"/>
        <w:numPr>
          <w:ilvl w:val="2"/>
          <w:numId w:val="1"/>
        </w:numPr>
        <w:tabs>
          <w:tab w:pos="2122" w:val="left" w:leader="none"/>
          <w:tab w:pos="8724" w:val="right" w:leader="none"/>
        </w:tabs>
        <w:spacing w:line="240" w:lineRule="auto" w:before="74" w:after="0"/>
        <w:ind w:left="2122" w:right="0" w:hanging="1440"/>
        <w:jc w:val="left"/>
        <w:rPr>
          <w:sz w:val="24"/>
        </w:rPr>
      </w:pPr>
      <w:r>
        <w:rPr/>
        <mc:AlternateContent>
          <mc:Choice Requires="wps">
            <w:drawing>
              <wp:anchor distT="0" distB="0" distL="0" distR="0" allowOverlap="1" layoutInCell="1" locked="0" behindDoc="1" simplePos="0" relativeHeight="482906624">
                <wp:simplePos x="0" y="0"/>
                <wp:positionH relativeFrom="page">
                  <wp:posOffset>-1402226</wp:posOffset>
                </wp:positionH>
                <wp:positionV relativeFrom="page">
                  <wp:posOffset>4612234</wp:posOffset>
                </wp:positionV>
                <wp:extent cx="10685780" cy="914400"/>
                <wp:effectExtent l="0" t="0" r="0" b="0"/>
                <wp:wrapNone/>
                <wp:docPr id="10" name="Textbox 10"/>
                <wp:cNvGraphicFramePr>
                  <a:graphicFrameLocks/>
                </wp:cNvGraphicFramePr>
                <a:graphic>
                  <a:graphicData uri="http://schemas.microsoft.com/office/word/2010/wordprocessingShape">
                    <wps:wsp>
                      <wps:cNvPr id="10" name="Textbox 1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9856;rotation:306" type="#_x0000_t136" fillcolor="#ff5400" stroked="f">
                <o:extrusion v:ext="view" autorotationcenter="t"/>
                <v:textpath style="font-family:&quot;Arial MT&quot;;font-size:72pt;v-text-kern:t;mso-text-shadow:auto" string="UNIVERSITY OF IBADAN"/>
                <w10:wrap type="none"/>
              </v:shape>
            </w:pict>
          </mc:Fallback>
        </mc:AlternateContent>
      </w:r>
      <w:hyperlink w:history="true" w:anchor="_TOC_250112">
        <w:r>
          <w:rPr>
            <w:sz w:val="24"/>
          </w:rPr>
          <w:t>Insulin</w:t>
        </w:r>
        <w:r>
          <w:rPr>
            <w:spacing w:val="-3"/>
            <w:sz w:val="24"/>
          </w:rPr>
          <w:t> </w:t>
        </w:r>
        <w:r>
          <w:rPr>
            <w:sz w:val="24"/>
          </w:rPr>
          <w:t>replacement</w:t>
        </w:r>
        <w:r>
          <w:rPr>
            <w:spacing w:val="-3"/>
            <w:sz w:val="24"/>
          </w:rPr>
          <w:t> </w:t>
        </w:r>
        <w:r>
          <w:rPr>
            <w:spacing w:val="-2"/>
            <w:sz w:val="24"/>
          </w:rPr>
          <w:t>therapy</w:t>
        </w:r>
        <w:r>
          <w:rPr>
            <w:sz w:val="24"/>
          </w:rPr>
          <w:tab/>
        </w:r>
        <w:r>
          <w:rPr>
            <w:spacing w:val="-10"/>
            <w:sz w:val="24"/>
          </w:rPr>
          <w:t>8</w:t>
        </w:r>
      </w:hyperlink>
    </w:p>
    <w:p>
      <w:pPr>
        <w:pStyle w:val="ListParagraph"/>
        <w:numPr>
          <w:ilvl w:val="3"/>
          <w:numId w:val="1"/>
        </w:numPr>
        <w:tabs>
          <w:tab w:pos="2122" w:val="left" w:leader="none"/>
          <w:tab w:pos="8724" w:val="right" w:leader="none"/>
        </w:tabs>
        <w:spacing w:line="240" w:lineRule="auto" w:before="137" w:after="0"/>
        <w:ind w:left="2122" w:right="0" w:hanging="1440"/>
        <w:jc w:val="left"/>
        <w:rPr>
          <w:sz w:val="24"/>
        </w:rPr>
      </w:pPr>
      <w:hyperlink w:history="true" w:anchor="_TOC_250111">
        <w:r>
          <w:rPr>
            <w:sz w:val="24"/>
          </w:rPr>
          <w:t>Intermediate-acting</w:t>
        </w:r>
        <w:r>
          <w:rPr>
            <w:spacing w:val="-7"/>
            <w:sz w:val="24"/>
          </w:rPr>
          <w:t> </w:t>
        </w:r>
        <w:r>
          <w:rPr>
            <w:spacing w:val="-2"/>
            <w:sz w:val="24"/>
          </w:rPr>
          <w:t>insulin</w:t>
        </w:r>
        <w:r>
          <w:rPr>
            <w:sz w:val="24"/>
          </w:rPr>
          <w:tab/>
        </w:r>
        <w:r>
          <w:rPr>
            <w:spacing w:val="-10"/>
            <w:sz w:val="24"/>
          </w:rPr>
          <w:t>9</w:t>
        </w:r>
      </w:hyperlink>
    </w:p>
    <w:p>
      <w:pPr>
        <w:pStyle w:val="ListParagraph"/>
        <w:numPr>
          <w:ilvl w:val="3"/>
          <w:numId w:val="1"/>
        </w:numPr>
        <w:tabs>
          <w:tab w:pos="2122" w:val="left" w:leader="none"/>
          <w:tab w:pos="8724" w:val="right" w:leader="none"/>
        </w:tabs>
        <w:spacing w:line="240" w:lineRule="auto" w:before="139" w:after="0"/>
        <w:ind w:left="2122" w:right="0" w:hanging="1440"/>
        <w:jc w:val="left"/>
        <w:rPr>
          <w:sz w:val="24"/>
        </w:rPr>
      </w:pPr>
      <w:hyperlink w:history="true" w:anchor="_TOC_250110">
        <w:r>
          <w:rPr>
            <w:sz w:val="24"/>
          </w:rPr>
          <w:t>Long-acting</w:t>
        </w:r>
        <w:r>
          <w:rPr>
            <w:spacing w:val="-5"/>
            <w:sz w:val="24"/>
          </w:rPr>
          <w:t> </w:t>
        </w:r>
        <w:r>
          <w:rPr>
            <w:spacing w:val="-2"/>
            <w:sz w:val="24"/>
          </w:rPr>
          <w:t>insulin</w:t>
        </w:r>
        <w:r>
          <w:rPr>
            <w:sz w:val="24"/>
          </w:rPr>
          <w:tab/>
        </w:r>
        <w:r>
          <w:rPr>
            <w:spacing w:val="-10"/>
            <w:sz w:val="24"/>
          </w:rPr>
          <w:t>9</w:t>
        </w:r>
      </w:hyperlink>
    </w:p>
    <w:p>
      <w:pPr>
        <w:pStyle w:val="ListParagraph"/>
        <w:numPr>
          <w:ilvl w:val="2"/>
          <w:numId w:val="1"/>
        </w:numPr>
        <w:tabs>
          <w:tab w:pos="2122" w:val="left" w:leader="none"/>
          <w:tab w:pos="8724" w:val="right" w:leader="none"/>
        </w:tabs>
        <w:spacing w:line="240" w:lineRule="auto" w:before="137" w:after="0"/>
        <w:ind w:left="2122" w:right="0" w:hanging="1440"/>
        <w:jc w:val="left"/>
        <w:rPr>
          <w:sz w:val="24"/>
        </w:rPr>
      </w:pPr>
      <w:hyperlink w:history="true" w:anchor="_TOC_250109">
        <w:r>
          <w:rPr>
            <w:sz w:val="24"/>
          </w:rPr>
          <w:t>Oral</w:t>
        </w:r>
        <w:r>
          <w:rPr>
            <w:spacing w:val="-3"/>
            <w:sz w:val="24"/>
          </w:rPr>
          <w:t> </w:t>
        </w:r>
        <w:r>
          <w:rPr>
            <w:sz w:val="24"/>
          </w:rPr>
          <w:t>antihyperglycemic</w:t>
        </w:r>
        <w:r>
          <w:rPr>
            <w:spacing w:val="-2"/>
            <w:sz w:val="24"/>
          </w:rPr>
          <w:t> </w:t>
        </w:r>
        <w:r>
          <w:rPr>
            <w:spacing w:val="-4"/>
            <w:sz w:val="24"/>
          </w:rPr>
          <w:t>drugs</w:t>
        </w:r>
        <w:r>
          <w:rPr>
            <w:sz w:val="24"/>
          </w:rPr>
          <w:tab/>
        </w:r>
        <w:r>
          <w:rPr>
            <w:spacing w:val="-10"/>
            <w:sz w:val="24"/>
          </w:rPr>
          <w:t>9</w:t>
        </w:r>
      </w:hyperlink>
    </w:p>
    <w:p>
      <w:pPr>
        <w:pStyle w:val="ListParagraph"/>
        <w:numPr>
          <w:ilvl w:val="3"/>
          <w:numId w:val="1"/>
        </w:numPr>
        <w:tabs>
          <w:tab w:pos="2122" w:val="left" w:leader="none"/>
          <w:tab w:pos="8724" w:val="right" w:leader="none"/>
        </w:tabs>
        <w:spacing w:line="240" w:lineRule="auto" w:before="140" w:after="0"/>
        <w:ind w:left="2122" w:right="0" w:hanging="1440"/>
        <w:jc w:val="left"/>
        <w:rPr>
          <w:sz w:val="24"/>
        </w:rPr>
      </w:pPr>
      <w:hyperlink w:history="true" w:anchor="_TOC_250108">
        <w:r>
          <w:rPr>
            <w:spacing w:val="-2"/>
            <w:sz w:val="24"/>
          </w:rPr>
          <w:t>Sulfonylureas</w:t>
        </w:r>
        <w:r>
          <w:rPr>
            <w:sz w:val="24"/>
          </w:rPr>
          <w:tab/>
        </w:r>
        <w:r>
          <w:rPr>
            <w:spacing w:val="-10"/>
            <w:sz w:val="24"/>
          </w:rPr>
          <w:t>9</w:t>
        </w:r>
      </w:hyperlink>
    </w:p>
    <w:p>
      <w:pPr>
        <w:pStyle w:val="ListParagraph"/>
        <w:numPr>
          <w:ilvl w:val="3"/>
          <w:numId w:val="1"/>
        </w:numPr>
        <w:tabs>
          <w:tab w:pos="2122" w:val="left" w:leader="none"/>
          <w:tab w:pos="8844" w:val="right" w:leader="none"/>
        </w:tabs>
        <w:spacing w:line="240" w:lineRule="auto" w:before="136" w:after="0"/>
        <w:ind w:left="2122" w:right="0" w:hanging="1440"/>
        <w:jc w:val="left"/>
        <w:rPr>
          <w:sz w:val="24"/>
        </w:rPr>
      </w:pPr>
      <w:hyperlink w:history="true" w:anchor="_TOC_250107">
        <w:r>
          <w:rPr>
            <w:spacing w:val="-2"/>
            <w:sz w:val="24"/>
          </w:rPr>
          <w:t>Biguanides</w:t>
        </w:r>
        <w:r>
          <w:rPr>
            <w:sz w:val="24"/>
          </w:rPr>
          <w:tab/>
        </w:r>
        <w:r>
          <w:rPr>
            <w:spacing w:val="-5"/>
            <w:sz w:val="24"/>
          </w:rPr>
          <w:t>11</w:t>
        </w:r>
      </w:hyperlink>
    </w:p>
    <w:p>
      <w:pPr>
        <w:pStyle w:val="ListParagraph"/>
        <w:numPr>
          <w:ilvl w:val="3"/>
          <w:numId w:val="1"/>
        </w:numPr>
        <w:tabs>
          <w:tab w:pos="2122" w:val="left" w:leader="none"/>
          <w:tab w:pos="8844" w:val="right" w:leader="none"/>
        </w:tabs>
        <w:spacing w:line="240" w:lineRule="auto" w:before="140" w:after="0"/>
        <w:ind w:left="2122" w:right="0" w:hanging="1440"/>
        <w:jc w:val="left"/>
        <w:rPr>
          <w:sz w:val="24"/>
        </w:rPr>
      </w:pPr>
      <w:hyperlink w:history="true" w:anchor="_TOC_250106">
        <w:r>
          <w:rPr>
            <w:spacing w:val="-2"/>
            <w:sz w:val="24"/>
          </w:rPr>
          <w:t>Meglitinides</w:t>
        </w:r>
        <w:r>
          <w:rPr>
            <w:sz w:val="24"/>
          </w:rPr>
          <w:tab/>
        </w:r>
        <w:r>
          <w:rPr>
            <w:spacing w:val="-5"/>
            <w:sz w:val="24"/>
          </w:rPr>
          <w:t>11</w:t>
        </w:r>
      </w:hyperlink>
    </w:p>
    <w:p>
      <w:pPr>
        <w:pStyle w:val="ListParagraph"/>
        <w:numPr>
          <w:ilvl w:val="3"/>
          <w:numId w:val="1"/>
        </w:numPr>
        <w:tabs>
          <w:tab w:pos="2122" w:val="left" w:leader="none"/>
          <w:tab w:pos="8844" w:val="right" w:leader="none"/>
        </w:tabs>
        <w:spacing w:line="240" w:lineRule="auto" w:before="136" w:after="0"/>
        <w:ind w:left="2122" w:right="0" w:hanging="1440"/>
        <w:jc w:val="left"/>
        <w:rPr>
          <w:sz w:val="24"/>
        </w:rPr>
      </w:pPr>
      <w:hyperlink w:history="true" w:anchor="_TOC_250105">
        <w:r>
          <w:rPr>
            <w:spacing w:val="-2"/>
            <w:sz w:val="24"/>
          </w:rPr>
          <w:t>Thiazolidinediones</w:t>
        </w:r>
        <w:r>
          <w:rPr>
            <w:sz w:val="24"/>
          </w:rPr>
          <w:tab/>
        </w:r>
        <w:r>
          <w:rPr>
            <w:spacing w:val="-5"/>
            <w:sz w:val="24"/>
          </w:rPr>
          <w:t>12</w:t>
        </w:r>
      </w:hyperlink>
    </w:p>
    <w:p>
      <w:pPr>
        <w:pStyle w:val="ListParagraph"/>
        <w:numPr>
          <w:ilvl w:val="3"/>
          <w:numId w:val="1"/>
        </w:numPr>
        <w:tabs>
          <w:tab w:pos="2122" w:val="left" w:leader="none"/>
          <w:tab w:pos="8844" w:val="right" w:leader="none"/>
        </w:tabs>
        <w:spacing w:line="240" w:lineRule="auto" w:before="140" w:after="0"/>
        <w:ind w:left="2122" w:right="0" w:hanging="1440"/>
        <w:jc w:val="left"/>
        <w:rPr>
          <w:sz w:val="24"/>
        </w:rPr>
      </w:pPr>
      <w:hyperlink w:history="true" w:anchor="_TOC_250104">
        <w:r>
          <w:rPr>
            <w:sz w:val="24"/>
          </w:rPr>
          <w:t>Glucosidase</w:t>
        </w:r>
        <w:r>
          <w:rPr>
            <w:spacing w:val="-2"/>
            <w:sz w:val="24"/>
          </w:rPr>
          <w:t> inhibitors</w:t>
        </w:r>
        <w:r>
          <w:rPr>
            <w:sz w:val="24"/>
          </w:rPr>
          <w:tab/>
        </w:r>
        <w:r>
          <w:rPr>
            <w:spacing w:val="-5"/>
            <w:sz w:val="24"/>
          </w:rPr>
          <w:t>13</w:t>
        </w:r>
      </w:hyperlink>
    </w:p>
    <w:p>
      <w:pPr>
        <w:pStyle w:val="ListParagraph"/>
        <w:numPr>
          <w:ilvl w:val="3"/>
          <w:numId w:val="1"/>
        </w:numPr>
        <w:tabs>
          <w:tab w:pos="2122" w:val="left" w:leader="none"/>
          <w:tab w:pos="8844" w:val="right" w:leader="none"/>
        </w:tabs>
        <w:spacing w:line="240" w:lineRule="auto" w:before="137" w:after="0"/>
        <w:ind w:left="2122" w:right="0" w:hanging="1440"/>
        <w:jc w:val="left"/>
        <w:rPr>
          <w:sz w:val="24"/>
        </w:rPr>
      </w:pPr>
      <w:hyperlink w:history="true" w:anchor="_TOC_250103">
        <w:r>
          <w:rPr>
            <w:sz w:val="24"/>
          </w:rPr>
          <w:t>Dipeptidylpeptidase</w:t>
        </w:r>
        <w:r>
          <w:rPr>
            <w:spacing w:val="-6"/>
            <w:sz w:val="24"/>
          </w:rPr>
          <w:t> </w:t>
        </w:r>
        <w:r>
          <w:rPr>
            <w:spacing w:val="-2"/>
            <w:sz w:val="24"/>
          </w:rPr>
          <w:t>inhibitors</w:t>
        </w:r>
        <w:r>
          <w:rPr>
            <w:sz w:val="24"/>
          </w:rPr>
          <w:tab/>
        </w:r>
        <w:r>
          <w:rPr>
            <w:spacing w:val="-5"/>
            <w:sz w:val="24"/>
          </w:rPr>
          <w:t>13</w:t>
        </w:r>
      </w:hyperlink>
    </w:p>
    <w:p>
      <w:pPr>
        <w:pStyle w:val="ListParagraph"/>
        <w:numPr>
          <w:ilvl w:val="1"/>
          <w:numId w:val="1"/>
        </w:numPr>
        <w:tabs>
          <w:tab w:pos="2122" w:val="left" w:leader="none"/>
          <w:tab w:pos="8844" w:val="right" w:leader="none"/>
        </w:tabs>
        <w:spacing w:line="240" w:lineRule="auto" w:before="139" w:after="0"/>
        <w:ind w:left="2122" w:right="0" w:hanging="1440"/>
        <w:jc w:val="left"/>
        <w:rPr>
          <w:sz w:val="24"/>
        </w:rPr>
      </w:pPr>
      <w:hyperlink w:history="true" w:anchor="_TOC_250102">
        <w:r>
          <w:rPr>
            <w:sz w:val="24"/>
          </w:rPr>
          <w:t>Use</w:t>
        </w:r>
        <w:r>
          <w:rPr>
            <w:spacing w:val="-3"/>
            <w:sz w:val="24"/>
          </w:rPr>
          <w:t> </w:t>
        </w:r>
        <w:r>
          <w:rPr>
            <w:sz w:val="24"/>
          </w:rPr>
          <w:t>of</w:t>
        </w:r>
        <w:r>
          <w:rPr>
            <w:spacing w:val="-1"/>
            <w:sz w:val="24"/>
          </w:rPr>
          <w:t> </w:t>
        </w:r>
        <w:r>
          <w:rPr>
            <w:sz w:val="24"/>
          </w:rPr>
          <w:t>medicinal plants</w:t>
        </w:r>
        <w:r>
          <w:rPr>
            <w:spacing w:val="-1"/>
            <w:sz w:val="24"/>
          </w:rPr>
          <w:t> </w:t>
        </w:r>
        <w:r>
          <w:rPr>
            <w:sz w:val="24"/>
          </w:rPr>
          <w:t>for</w:t>
        </w:r>
        <w:r>
          <w:rPr>
            <w:spacing w:val="-1"/>
            <w:sz w:val="24"/>
          </w:rPr>
          <w:t> </w:t>
        </w:r>
        <w:r>
          <w:rPr>
            <w:sz w:val="24"/>
          </w:rPr>
          <w:t>the</w:t>
        </w:r>
        <w:r>
          <w:rPr>
            <w:spacing w:val="-1"/>
            <w:sz w:val="24"/>
          </w:rPr>
          <w:t> </w:t>
        </w:r>
        <w:r>
          <w:rPr>
            <w:sz w:val="24"/>
          </w:rPr>
          <w:t>treatment of</w:t>
        </w:r>
        <w:r>
          <w:rPr>
            <w:spacing w:val="-1"/>
            <w:sz w:val="24"/>
          </w:rPr>
          <w:t> </w:t>
        </w:r>
        <w:r>
          <w:rPr>
            <w:sz w:val="24"/>
          </w:rPr>
          <w:t>diabetes </w:t>
        </w:r>
        <w:r>
          <w:rPr>
            <w:spacing w:val="-2"/>
            <w:sz w:val="24"/>
          </w:rPr>
          <w:t>mellitus</w:t>
        </w:r>
        <w:r>
          <w:rPr>
            <w:sz w:val="24"/>
          </w:rPr>
          <w:tab/>
        </w:r>
        <w:r>
          <w:rPr>
            <w:spacing w:val="-5"/>
            <w:sz w:val="24"/>
          </w:rPr>
          <w:t>14</w:t>
        </w:r>
      </w:hyperlink>
    </w:p>
    <w:p>
      <w:pPr>
        <w:pStyle w:val="ListParagraph"/>
        <w:numPr>
          <w:ilvl w:val="2"/>
          <w:numId w:val="1"/>
        </w:numPr>
        <w:tabs>
          <w:tab w:pos="2122" w:val="left" w:leader="none"/>
          <w:tab w:pos="8844" w:val="right" w:leader="none"/>
        </w:tabs>
        <w:spacing w:line="240" w:lineRule="auto" w:before="137" w:after="0"/>
        <w:ind w:left="2122" w:right="0" w:hanging="1440"/>
        <w:jc w:val="left"/>
        <w:rPr>
          <w:sz w:val="24"/>
        </w:rPr>
      </w:pPr>
      <w:r>
        <w:rPr>
          <w:i/>
          <w:sz w:val="24"/>
        </w:rPr>
        <w:t>Momordica</w:t>
      </w:r>
      <w:r>
        <w:rPr>
          <w:i/>
          <w:spacing w:val="-4"/>
          <w:sz w:val="24"/>
        </w:rPr>
        <w:t> </w:t>
      </w:r>
      <w:r>
        <w:rPr>
          <w:i/>
          <w:sz w:val="24"/>
        </w:rPr>
        <w:t>charantia </w:t>
      </w:r>
      <w:r>
        <w:rPr>
          <w:sz w:val="24"/>
        </w:rPr>
        <w:t>L. (Karela);</w:t>
      </w:r>
      <w:r>
        <w:rPr>
          <w:spacing w:val="-1"/>
          <w:sz w:val="24"/>
        </w:rPr>
        <w:t> </w:t>
      </w:r>
      <w:r>
        <w:rPr>
          <w:sz w:val="24"/>
        </w:rPr>
        <w:t>Balsam</w:t>
      </w:r>
      <w:r>
        <w:rPr>
          <w:spacing w:val="-2"/>
          <w:sz w:val="24"/>
        </w:rPr>
        <w:t> </w:t>
      </w:r>
      <w:r>
        <w:rPr>
          <w:spacing w:val="-4"/>
          <w:sz w:val="24"/>
        </w:rPr>
        <w:t>pear</w:t>
      </w:r>
      <w:r>
        <w:rPr>
          <w:sz w:val="24"/>
        </w:rPr>
        <w:tab/>
      </w:r>
      <w:r>
        <w:rPr>
          <w:spacing w:val="-5"/>
          <w:sz w:val="24"/>
        </w:rPr>
        <w:t>14</w:t>
      </w:r>
    </w:p>
    <w:p>
      <w:pPr>
        <w:pStyle w:val="ListParagraph"/>
        <w:numPr>
          <w:ilvl w:val="2"/>
          <w:numId w:val="1"/>
        </w:numPr>
        <w:tabs>
          <w:tab w:pos="2122" w:val="left" w:leader="none"/>
          <w:tab w:pos="8844" w:val="right" w:leader="none"/>
        </w:tabs>
        <w:spacing w:line="240" w:lineRule="auto" w:before="139" w:after="0"/>
        <w:ind w:left="2122" w:right="0" w:hanging="1440"/>
        <w:jc w:val="left"/>
        <w:rPr>
          <w:sz w:val="24"/>
        </w:rPr>
      </w:pPr>
      <w:hyperlink w:history="true" w:anchor="_TOC_250101">
        <w:r>
          <w:rPr>
            <w:i/>
            <w:sz w:val="24"/>
          </w:rPr>
          <w:t>Caesalpinia</w:t>
        </w:r>
        <w:r>
          <w:rPr>
            <w:i/>
            <w:spacing w:val="-1"/>
            <w:sz w:val="24"/>
          </w:rPr>
          <w:t> </w:t>
        </w:r>
        <w:r>
          <w:rPr>
            <w:i/>
            <w:spacing w:val="-2"/>
            <w:sz w:val="24"/>
          </w:rPr>
          <w:t>bonducella</w:t>
        </w:r>
        <w:r>
          <w:rPr>
            <w:i/>
            <w:sz w:val="24"/>
          </w:rPr>
          <w:tab/>
        </w:r>
        <w:r>
          <w:rPr>
            <w:spacing w:val="-5"/>
            <w:sz w:val="24"/>
          </w:rPr>
          <w:t>15</w:t>
        </w:r>
      </w:hyperlink>
    </w:p>
    <w:p>
      <w:pPr>
        <w:pStyle w:val="ListParagraph"/>
        <w:numPr>
          <w:ilvl w:val="2"/>
          <w:numId w:val="1"/>
        </w:numPr>
        <w:tabs>
          <w:tab w:pos="2122" w:val="left" w:leader="none"/>
          <w:tab w:pos="8844" w:val="right" w:leader="none"/>
        </w:tabs>
        <w:spacing w:line="240" w:lineRule="auto" w:before="137" w:after="0"/>
        <w:ind w:left="2122" w:right="0" w:hanging="1440"/>
        <w:jc w:val="left"/>
        <w:rPr>
          <w:sz w:val="24"/>
        </w:rPr>
      </w:pPr>
      <w:hyperlink w:history="true" w:anchor="_TOC_250100">
        <w:r>
          <w:rPr>
            <w:i/>
            <w:sz w:val="24"/>
          </w:rPr>
          <w:t>Bauhinia </w:t>
        </w:r>
        <w:r>
          <w:rPr>
            <w:i/>
            <w:spacing w:val="-2"/>
            <w:sz w:val="24"/>
          </w:rPr>
          <w:t>divaricata</w:t>
        </w:r>
        <w:r>
          <w:rPr>
            <w:i/>
            <w:sz w:val="24"/>
          </w:rPr>
          <w:tab/>
        </w:r>
        <w:r>
          <w:rPr>
            <w:spacing w:val="-5"/>
            <w:sz w:val="24"/>
          </w:rPr>
          <w:t>16</w:t>
        </w:r>
      </w:hyperlink>
    </w:p>
    <w:p>
      <w:pPr>
        <w:pStyle w:val="ListParagraph"/>
        <w:numPr>
          <w:ilvl w:val="2"/>
          <w:numId w:val="1"/>
        </w:numPr>
        <w:tabs>
          <w:tab w:pos="2122" w:val="left" w:leader="none"/>
          <w:tab w:pos="8844" w:val="right" w:leader="none"/>
        </w:tabs>
        <w:spacing w:line="240" w:lineRule="auto" w:before="139" w:after="0"/>
        <w:ind w:left="2122" w:right="0" w:hanging="1440"/>
        <w:jc w:val="left"/>
        <w:rPr>
          <w:sz w:val="24"/>
        </w:rPr>
      </w:pPr>
      <w:r>
        <w:rPr>
          <w:i/>
          <w:sz w:val="24"/>
        </w:rPr>
        <w:t>Trigonella</w:t>
      </w:r>
      <w:r>
        <w:rPr>
          <w:i/>
          <w:spacing w:val="-3"/>
          <w:sz w:val="24"/>
        </w:rPr>
        <w:t> </w:t>
      </w:r>
      <w:r>
        <w:rPr>
          <w:i/>
          <w:sz w:val="24"/>
        </w:rPr>
        <w:t>faenum</w:t>
      </w:r>
      <w:r>
        <w:rPr>
          <w:i/>
          <w:spacing w:val="-3"/>
          <w:sz w:val="24"/>
        </w:rPr>
        <w:t> </w:t>
      </w:r>
      <w:r>
        <w:rPr>
          <w:i/>
          <w:sz w:val="24"/>
        </w:rPr>
        <w:t>graecum</w:t>
      </w:r>
      <w:r>
        <w:rPr>
          <w:i/>
          <w:spacing w:val="1"/>
          <w:sz w:val="24"/>
        </w:rPr>
        <w:t> </w:t>
      </w:r>
      <w:r>
        <w:rPr>
          <w:sz w:val="24"/>
        </w:rPr>
        <w:t>L. </w:t>
      </w:r>
      <w:r>
        <w:rPr>
          <w:spacing w:val="-2"/>
          <w:sz w:val="24"/>
        </w:rPr>
        <w:t>(fenugreek)</w:t>
      </w:r>
      <w:r>
        <w:rPr>
          <w:sz w:val="24"/>
        </w:rPr>
        <w:tab/>
      </w:r>
      <w:r>
        <w:rPr>
          <w:spacing w:val="-5"/>
          <w:sz w:val="24"/>
        </w:rPr>
        <w:t>16</w:t>
      </w:r>
    </w:p>
    <w:p>
      <w:pPr>
        <w:pStyle w:val="ListParagraph"/>
        <w:numPr>
          <w:ilvl w:val="2"/>
          <w:numId w:val="1"/>
        </w:numPr>
        <w:tabs>
          <w:tab w:pos="2122" w:val="left" w:leader="none"/>
          <w:tab w:pos="8844" w:val="right" w:leader="none"/>
        </w:tabs>
        <w:spacing w:line="240" w:lineRule="auto" w:before="137" w:after="0"/>
        <w:ind w:left="2122" w:right="0" w:hanging="1440"/>
        <w:jc w:val="left"/>
        <w:rPr>
          <w:sz w:val="24"/>
        </w:rPr>
      </w:pPr>
      <w:r>
        <w:rPr>
          <w:i/>
          <w:sz w:val="24"/>
        </w:rPr>
        <w:t>Allium </w:t>
      </w:r>
      <w:r>
        <w:rPr>
          <w:i/>
          <w:spacing w:val="-2"/>
          <w:sz w:val="24"/>
        </w:rPr>
        <w:t>sativum</w:t>
      </w:r>
      <w:r>
        <w:rPr>
          <w:i/>
          <w:sz w:val="24"/>
        </w:rPr>
        <w:tab/>
      </w:r>
      <w:r>
        <w:rPr>
          <w:spacing w:val="-5"/>
          <w:sz w:val="24"/>
        </w:rPr>
        <w:t>17</w:t>
      </w:r>
    </w:p>
    <w:p>
      <w:pPr>
        <w:pStyle w:val="ListParagraph"/>
        <w:numPr>
          <w:ilvl w:val="2"/>
          <w:numId w:val="1"/>
        </w:numPr>
        <w:tabs>
          <w:tab w:pos="2122" w:val="left" w:leader="none"/>
          <w:tab w:pos="8844" w:val="right" w:leader="none"/>
        </w:tabs>
        <w:spacing w:line="240" w:lineRule="auto" w:before="139" w:after="0"/>
        <w:ind w:left="2122" w:right="0" w:hanging="1440"/>
        <w:jc w:val="left"/>
        <w:rPr>
          <w:sz w:val="24"/>
        </w:rPr>
      </w:pPr>
      <w:r>
        <w:rPr>
          <w:i/>
          <w:sz w:val="24"/>
        </w:rPr>
        <w:t>Allium</w:t>
      </w:r>
      <w:r>
        <w:rPr>
          <w:i/>
          <w:spacing w:val="-1"/>
          <w:sz w:val="24"/>
        </w:rPr>
        <w:t> </w:t>
      </w:r>
      <w:r>
        <w:rPr>
          <w:i/>
          <w:sz w:val="24"/>
        </w:rPr>
        <w:t>cepa</w:t>
      </w:r>
      <w:r>
        <w:rPr>
          <w:i/>
          <w:spacing w:val="1"/>
          <w:sz w:val="24"/>
        </w:rPr>
        <w:t> </w:t>
      </w:r>
      <w:r>
        <w:rPr>
          <w:sz w:val="24"/>
        </w:rPr>
        <w:t>L</w:t>
      </w:r>
      <w:r>
        <w:rPr>
          <w:spacing w:val="-3"/>
          <w:sz w:val="24"/>
        </w:rPr>
        <w:t> </w:t>
      </w:r>
      <w:r>
        <w:rPr>
          <w:spacing w:val="-2"/>
          <w:sz w:val="24"/>
        </w:rPr>
        <w:t>(Onion)</w:t>
      </w:r>
      <w:r>
        <w:rPr>
          <w:sz w:val="24"/>
        </w:rPr>
        <w:tab/>
      </w:r>
      <w:r>
        <w:rPr>
          <w:spacing w:val="-5"/>
          <w:sz w:val="24"/>
        </w:rPr>
        <w:t>18</w:t>
      </w:r>
    </w:p>
    <w:p>
      <w:pPr>
        <w:pStyle w:val="ListParagraph"/>
        <w:numPr>
          <w:ilvl w:val="2"/>
          <w:numId w:val="1"/>
        </w:numPr>
        <w:tabs>
          <w:tab w:pos="2122" w:val="left" w:leader="none"/>
          <w:tab w:pos="8844" w:val="right" w:leader="none"/>
        </w:tabs>
        <w:spacing w:line="240" w:lineRule="auto" w:before="138" w:after="0"/>
        <w:ind w:left="2122" w:right="0" w:hanging="1440"/>
        <w:jc w:val="left"/>
        <w:rPr>
          <w:sz w:val="24"/>
        </w:rPr>
      </w:pPr>
      <w:r>
        <w:rPr>
          <w:i/>
          <w:sz w:val="24"/>
        </w:rPr>
        <w:t>Aloe</w:t>
      </w:r>
      <w:r>
        <w:rPr>
          <w:i/>
          <w:spacing w:val="-2"/>
          <w:sz w:val="24"/>
        </w:rPr>
        <w:t> </w:t>
      </w:r>
      <w:r>
        <w:rPr>
          <w:i/>
          <w:sz w:val="24"/>
        </w:rPr>
        <w:t>barbadense </w:t>
      </w:r>
      <w:r>
        <w:rPr>
          <w:sz w:val="24"/>
        </w:rPr>
        <w:t>Mill </w:t>
      </w:r>
      <w:r>
        <w:rPr>
          <w:spacing w:val="-2"/>
          <w:sz w:val="24"/>
        </w:rPr>
        <w:t>(Barbados)</w:t>
      </w:r>
      <w:r>
        <w:rPr>
          <w:sz w:val="24"/>
        </w:rPr>
        <w:tab/>
      </w:r>
      <w:r>
        <w:rPr>
          <w:spacing w:val="-5"/>
          <w:sz w:val="24"/>
        </w:rPr>
        <w:t>19</w:t>
      </w:r>
    </w:p>
    <w:p>
      <w:pPr>
        <w:pStyle w:val="ListParagraph"/>
        <w:numPr>
          <w:ilvl w:val="2"/>
          <w:numId w:val="1"/>
        </w:numPr>
        <w:tabs>
          <w:tab w:pos="2122" w:val="left" w:leader="none"/>
          <w:tab w:pos="8844" w:val="right" w:leader="none"/>
        </w:tabs>
        <w:spacing w:line="240" w:lineRule="auto" w:before="139" w:after="0"/>
        <w:ind w:left="2122" w:right="0" w:hanging="1440"/>
        <w:jc w:val="left"/>
        <w:rPr>
          <w:sz w:val="24"/>
        </w:rPr>
      </w:pPr>
      <w:hyperlink w:history="true" w:anchor="_TOC_250099">
        <w:r>
          <w:rPr>
            <w:i/>
            <w:sz w:val="24"/>
          </w:rPr>
          <w:t>Azadirachta</w:t>
        </w:r>
        <w:r>
          <w:rPr>
            <w:i/>
            <w:spacing w:val="-1"/>
            <w:sz w:val="24"/>
          </w:rPr>
          <w:t> </w:t>
        </w:r>
        <w:r>
          <w:rPr>
            <w:i/>
            <w:sz w:val="24"/>
          </w:rPr>
          <w:t>indica</w:t>
        </w:r>
        <w:r>
          <w:rPr>
            <w:i/>
            <w:spacing w:val="3"/>
            <w:sz w:val="24"/>
          </w:rPr>
          <w:t> </w:t>
        </w:r>
        <w:r>
          <w:rPr>
            <w:spacing w:val="-5"/>
            <w:sz w:val="24"/>
          </w:rPr>
          <w:t>L.</w:t>
        </w:r>
        <w:r>
          <w:rPr>
            <w:sz w:val="24"/>
          </w:rPr>
          <w:tab/>
        </w:r>
        <w:r>
          <w:rPr>
            <w:spacing w:val="-5"/>
            <w:sz w:val="24"/>
          </w:rPr>
          <w:t>20</w:t>
        </w:r>
      </w:hyperlink>
    </w:p>
    <w:p>
      <w:pPr>
        <w:pStyle w:val="ListParagraph"/>
        <w:numPr>
          <w:ilvl w:val="2"/>
          <w:numId w:val="1"/>
        </w:numPr>
        <w:tabs>
          <w:tab w:pos="2122" w:val="left" w:leader="none"/>
          <w:tab w:pos="8844" w:val="right" w:leader="none"/>
        </w:tabs>
        <w:spacing w:line="240" w:lineRule="auto" w:before="137" w:after="0"/>
        <w:ind w:left="2122" w:right="0" w:hanging="1440"/>
        <w:jc w:val="left"/>
        <w:rPr>
          <w:sz w:val="24"/>
        </w:rPr>
      </w:pPr>
      <w:r>
        <w:rPr>
          <w:i/>
          <w:sz w:val="24"/>
        </w:rPr>
        <w:t>Ficus</w:t>
      </w:r>
      <w:r>
        <w:rPr>
          <w:i/>
          <w:spacing w:val="-1"/>
          <w:sz w:val="24"/>
        </w:rPr>
        <w:t> </w:t>
      </w:r>
      <w:r>
        <w:rPr>
          <w:i/>
          <w:sz w:val="24"/>
        </w:rPr>
        <w:t>carica</w:t>
      </w:r>
      <w:r>
        <w:rPr>
          <w:i/>
          <w:spacing w:val="1"/>
          <w:sz w:val="24"/>
        </w:rPr>
        <w:t> </w:t>
      </w:r>
      <w:r>
        <w:rPr>
          <w:spacing w:val="-10"/>
          <w:sz w:val="24"/>
        </w:rPr>
        <w:t>L</w:t>
      </w:r>
      <w:r>
        <w:rPr>
          <w:sz w:val="24"/>
        </w:rPr>
        <w:tab/>
      </w:r>
      <w:r>
        <w:rPr>
          <w:spacing w:val="-5"/>
          <w:sz w:val="24"/>
        </w:rPr>
        <w:t>20</w:t>
      </w:r>
    </w:p>
    <w:p>
      <w:pPr>
        <w:pStyle w:val="ListParagraph"/>
        <w:numPr>
          <w:ilvl w:val="2"/>
          <w:numId w:val="1"/>
        </w:numPr>
        <w:tabs>
          <w:tab w:pos="2122" w:val="left" w:leader="none"/>
          <w:tab w:pos="8844" w:val="right" w:leader="none"/>
        </w:tabs>
        <w:spacing w:line="240" w:lineRule="auto" w:before="139" w:after="0"/>
        <w:ind w:left="2122" w:right="0" w:hanging="1440"/>
        <w:jc w:val="left"/>
        <w:rPr>
          <w:sz w:val="24"/>
        </w:rPr>
      </w:pPr>
      <w:r>
        <w:rPr>
          <w:i/>
          <w:sz w:val="24"/>
        </w:rPr>
        <w:t>Ficus</w:t>
      </w:r>
      <w:r>
        <w:rPr>
          <w:i/>
          <w:spacing w:val="-1"/>
          <w:sz w:val="24"/>
        </w:rPr>
        <w:t> </w:t>
      </w:r>
      <w:r>
        <w:rPr>
          <w:i/>
          <w:sz w:val="24"/>
        </w:rPr>
        <w:t>bengalensis</w:t>
      </w:r>
      <w:r>
        <w:rPr>
          <w:i/>
          <w:spacing w:val="2"/>
          <w:sz w:val="24"/>
        </w:rPr>
        <w:t> </w:t>
      </w:r>
      <w:r>
        <w:rPr>
          <w:sz w:val="24"/>
        </w:rPr>
        <w:t>L</w:t>
      </w:r>
      <w:r>
        <w:rPr>
          <w:spacing w:val="-3"/>
          <w:sz w:val="24"/>
        </w:rPr>
        <w:t> </w:t>
      </w:r>
      <w:r>
        <w:rPr>
          <w:spacing w:val="-2"/>
          <w:sz w:val="24"/>
        </w:rPr>
        <w:t>(Banyan)</w:t>
      </w:r>
      <w:r>
        <w:rPr>
          <w:sz w:val="24"/>
        </w:rPr>
        <w:tab/>
      </w:r>
      <w:r>
        <w:rPr>
          <w:spacing w:val="-5"/>
          <w:sz w:val="24"/>
        </w:rPr>
        <w:t>21</w:t>
      </w:r>
    </w:p>
    <w:p>
      <w:pPr>
        <w:pStyle w:val="ListParagraph"/>
        <w:numPr>
          <w:ilvl w:val="2"/>
          <w:numId w:val="1"/>
        </w:numPr>
        <w:tabs>
          <w:tab w:pos="2122" w:val="left" w:leader="none"/>
        </w:tabs>
        <w:spacing w:line="240" w:lineRule="auto" w:before="137" w:after="0"/>
        <w:ind w:left="2122" w:right="0" w:hanging="1440"/>
        <w:jc w:val="left"/>
        <w:rPr>
          <w:i/>
          <w:sz w:val="24"/>
        </w:rPr>
      </w:pPr>
      <w:r>
        <w:rPr>
          <w:i/>
          <w:sz w:val="24"/>
        </w:rPr>
        <w:t>Eugenia</w:t>
      </w:r>
      <w:r>
        <w:rPr>
          <w:i/>
          <w:spacing w:val="-1"/>
          <w:sz w:val="24"/>
        </w:rPr>
        <w:t> </w:t>
      </w:r>
      <w:r>
        <w:rPr>
          <w:i/>
          <w:sz w:val="24"/>
        </w:rPr>
        <w:t>jambolana</w:t>
      </w:r>
      <w:r>
        <w:rPr>
          <w:i/>
          <w:spacing w:val="1"/>
          <w:sz w:val="24"/>
        </w:rPr>
        <w:t> </w:t>
      </w:r>
      <w:r>
        <w:rPr>
          <w:sz w:val="24"/>
        </w:rPr>
        <w:t>Lam.</w:t>
      </w:r>
      <w:r>
        <w:rPr>
          <w:spacing w:val="-1"/>
          <w:sz w:val="24"/>
        </w:rPr>
        <w:t> </w:t>
      </w:r>
      <w:r>
        <w:rPr>
          <w:sz w:val="24"/>
        </w:rPr>
        <w:t>(Gambol)</w:t>
      </w:r>
      <w:r>
        <w:rPr>
          <w:spacing w:val="-1"/>
          <w:sz w:val="24"/>
        </w:rPr>
        <w:t> </w:t>
      </w:r>
      <w:r>
        <w:rPr>
          <w:sz w:val="24"/>
        </w:rPr>
        <w:t>=</w:t>
      </w:r>
      <w:r>
        <w:rPr>
          <w:spacing w:val="-1"/>
          <w:sz w:val="24"/>
        </w:rPr>
        <w:t> </w:t>
      </w:r>
      <w:r>
        <w:rPr>
          <w:i/>
          <w:sz w:val="24"/>
        </w:rPr>
        <w:t>Syzgium</w:t>
      </w:r>
      <w:r>
        <w:rPr>
          <w:i/>
          <w:spacing w:val="-1"/>
          <w:sz w:val="24"/>
        </w:rPr>
        <w:t> </w:t>
      </w:r>
      <w:r>
        <w:rPr>
          <w:i/>
          <w:spacing w:val="-2"/>
          <w:sz w:val="24"/>
        </w:rPr>
        <w:t>cumini</w:t>
      </w:r>
    </w:p>
    <w:p>
      <w:pPr>
        <w:pStyle w:val="BodyText"/>
        <w:tabs>
          <w:tab w:pos="8844" w:val="right" w:leader="none"/>
        </w:tabs>
        <w:spacing w:before="139"/>
        <w:ind w:left="2182"/>
      </w:pPr>
      <w:r>
        <w:rPr/>
        <w:t>Skeels</w:t>
      </w:r>
      <w:r>
        <w:rPr>
          <w:spacing w:val="-2"/>
        </w:rPr>
        <w:t> (jamum)</w:t>
      </w:r>
      <w:r>
        <w:rPr/>
        <w:tab/>
      </w:r>
      <w:r>
        <w:rPr>
          <w:spacing w:val="-5"/>
        </w:rPr>
        <w:t>22</w:t>
      </w:r>
    </w:p>
    <w:p>
      <w:pPr>
        <w:pStyle w:val="ListParagraph"/>
        <w:numPr>
          <w:ilvl w:val="2"/>
          <w:numId w:val="1"/>
        </w:numPr>
        <w:tabs>
          <w:tab w:pos="2122" w:val="left" w:leader="none"/>
          <w:tab w:pos="8844" w:val="right" w:leader="none"/>
        </w:tabs>
        <w:spacing w:line="240" w:lineRule="auto" w:before="137" w:after="0"/>
        <w:ind w:left="2122" w:right="0" w:hanging="1440"/>
        <w:jc w:val="left"/>
        <w:rPr>
          <w:sz w:val="24"/>
        </w:rPr>
      </w:pPr>
      <w:r>
        <w:rPr>
          <w:i/>
          <w:sz w:val="24"/>
        </w:rPr>
        <w:t>Musa</w:t>
      </w:r>
      <w:r>
        <w:rPr>
          <w:i/>
          <w:spacing w:val="-1"/>
          <w:sz w:val="24"/>
        </w:rPr>
        <w:t> </w:t>
      </w:r>
      <w:r>
        <w:rPr>
          <w:i/>
          <w:sz w:val="24"/>
        </w:rPr>
        <w:t>sapientum </w:t>
      </w:r>
      <w:r>
        <w:rPr>
          <w:sz w:val="24"/>
        </w:rPr>
        <w:t>Kuntze</w:t>
      </w:r>
      <w:r>
        <w:rPr>
          <w:spacing w:val="-1"/>
          <w:sz w:val="24"/>
        </w:rPr>
        <w:t> </w:t>
      </w:r>
      <w:r>
        <w:rPr>
          <w:spacing w:val="-2"/>
          <w:sz w:val="24"/>
        </w:rPr>
        <w:t>(Banana)</w:t>
      </w:r>
      <w:r>
        <w:rPr>
          <w:sz w:val="24"/>
        </w:rPr>
        <w:tab/>
      </w:r>
      <w:r>
        <w:rPr>
          <w:spacing w:val="-5"/>
          <w:sz w:val="24"/>
        </w:rPr>
        <w:t>22</w:t>
      </w:r>
    </w:p>
    <w:p>
      <w:pPr>
        <w:pStyle w:val="ListParagraph"/>
        <w:numPr>
          <w:ilvl w:val="1"/>
          <w:numId w:val="1"/>
        </w:numPr>
        <w:tabs>
          <w:tab w:pos="2122" w:val="left" w:leader="none"/>
          <w:tab w:pos="8844" w:val="right" w:leader="none"/>
        </w:tabs>
        <w:spacing w:line="240" w:lineRule="auto" w:before="139" w:after="0"/>
        <w:ind w:left="2122" w:right="0" w:hanging="1440"/>
        <w:jc w:val="left"/>
        <w:rPr>
          <w:sz w:val="24"/>
        </w:rPr>
      </w:pPr>
      <w:r>
        <w:rPr>
          <w:i/>
          <w:sz w:val="24"/>
        </w:rPr>
        <w:t>Mucuna</w:t>
      </w:r>
      <w:r>
        <w:rPr>
          <w:i/>
          <w:spacing w:val="-2"/>
          <w:sz w:val="24"/>
        </w:rPr>
        <w:t> </w:t>
      </w:r>
      <w:r>
        <w:rPr>
          <w:i/>
          <w:sz w:val="24"/>
        </w:rPr>
        <w:t>pruriens </w:t>
      </w:r>
      <w:r>
        <w:rPr>
          <w:spacing w:val="-2"/>
          <w:sz w:val="24"/>
        </w:rPr>
        <w:t>(Linn)</w:t>
      </w:r>
      <w:r>
        <w:rPr>
          <w:sz w:val="24"/>
        </w:rPr>
        <w:tab/>
      </w:r>
      <w:r>
        <w:rPr>
          <w:spacing w:val="-5"/>
          <w:sz w:val="24"/>
        </w:rPr>
        <w:t>23</w:t>
      </w:r>
    </w:p>
    <w:p>
      <w:pPr>
        <w:pStyle w:val="ListParagraph"/>
        <w:numPr>
          <w:ilvl w:val="2"/>
          <w:numId w:val="1"/>
        </w:numPr>
        <w:tabs>
          <w:tab w:pos="2122" w:val="left" w:leader="none"/>
          <w:tab w:pos="8844" w:val="right" w:leader="none"/>
        </w:tabs>
        <w:spacing w:line="240" w:lineRule="auto" w:before="137" w:after="0"/>
        <w:ind w:left="2122" w:right="0" w:hanging="1440"/>
        <w:jc w:val="left"/>
        <w:rPr>
          <w:sz w:val="24"/>
        </w:rPr>
      </w:pPr>
      <w:r>
        <w:rPr>
          <w:sz w:val="24"/>
        </w:rPr>
        <w:t>Medicinal</w:t>
      </w:r>
      <w:r>
        <w:rPr>
          <w:spacing w:val="-2"/>
          <w:sz w:val="24"/>
        </w:rPr>
        <w:t> </w:t>
      </w:r>
      <w:r>
        <w:rPr>
          <w:sz w:val="24"/>
        </w:rPr>
        <w:t>importance</w:t>
      </w:r>
      <w:r>
        <w:rPr>
          <w:spacing w:val="-2"/>
          <w:sz w:val="24"/>
        </w:rPr>
        <w:t> </w:t>
      </w:r>
      <w:r>
        <w:rPr>
          <w:sz w:val="24"/>
        </w:rPr>
        <w:t>of</w:t>
      </w:r>
      <w:r>
        <w:rPr>
          <w:spacing w:val="2"/>
          <w:sz w:val="24"/>
        </w:rPr>
        <w:t> </w:t>
      </w:r>
      <w:r>
        <w:rPr>
          <w:i/>
          <w:sz w:val="24"/>
        </w:rPr>
        <w:t>Mucuna</w:t>
      </w:r>
      <w:r>
        <w:rPr>
          <w:i/>
          <w:spacing w:val="-1"/>
          <w:sz w:val="24"/>
        </w:rPr>
        <w:t> </w:t>
      </w:r>
      <w:r>
        <w:rPr>
          <w:i/>
          <w:spacing w:val="-2"/>
          <w:sz w:val="24"/>
        </w:rPr>
        <w:t>pruriens</w:t>
      </w:r>
      <w:r>
        <w:rPr>
          <w:i/>
          <w:sz w:val="24"/>
        </w:rPr>
        <w:tab/>
      </w:r>
      <w:r>
        <w:rPr>
          <w:spacing w:val="-5"/>
          <w:sz w:val="24"/>
        </w:rPr>
        <w:t>23</w:t>
      </w:r>
    </w:p>
    <w:p>
      <w:pPr>
        <w:pStyle w:val="ListParagraph"/>
        <w:numPr>
          <w:ilvl w:val="2"/>
          <w:numId w:val="1"/>
        </w:numPr>
        <w:tabs>
          <w:tab w:pos="2122" w:val="left" w:leader="none"/>
          <w:tab w:pos="8844" w:val="right" w:leader="none"/>
        </w:tabs>
        <w:spacing w:line="240" w:lineRule="auto" w:before="140" w:after="0"/>
        <w:ind w:left="2122" w:right="0" w:hanging="1440"/>
        <w:jc w:val="left"/>
        <w:rPr>
          <w:sz w:val="24"/>
        </w:rPr>
      </w:pPr>
      <w:r>
        <w:rPr>
          <w:sz w:val="24"/>
        </w:rPr>
        <w:t>Experimental</w:t>
      </w:r>
      <w:r>
        <w:rPr>
          <w:spacing w:val="-3"/>
          <w:sz w:val="24"/>
        </w:rPr>
        <w:t> </w:t>
      </w:r>
      <w:r>
        <w:rPr>
          <w:sz w:val="24"/>
        </w:rPr>
        <w:t>evidence</w:t>
      </w:r>
      <w:r>
        <w:rPr>
          <w:spacing w:val="-1"/>
          <w:sz w:val="24"/>
        </w:rPr>
        <w:t> </w:t>
      </w:r>
      <w:r>
        <w:rPr>
          <w:sz w:val="24"/>
        </w:rPr>
        <w:t>of the</w:t>
      </w:r>
      <w:r>
        <w:rPr>
          <w:spacing w:val="-2"/>
          <w:sz w:val="24"/>
        </w:rPr>
        <w:t> </w:t>
      </w:r>
      <w:r>
        <w:rPr>
          <w:sz w:val="24"/>
        </w:rPr>
        <w:t>potency</w:t>
      </w:r>
      <w:r>
        <w:rPr>
          <w:spacing w:val="-5"/>
          <w:sz w:val="24"/>
        </w:rPr>
        <w:t> </w:t>
      </w:r>
      <w:r>
        <w:rPr>
          <w:sz w:val="24"/>
        </w:rPr>
        <w:t>of</w:t>
      </w:r>
      <w:r>
        <w:rPr>
          <w:spacing w:val="4"/>
          <w:sz w:val="24"/>
        </w:rPr>
        <w:t> </w:t>
      </w:r>
      <w:r>
        <w:rPr>
          <w:i/>
          <w:sz w:val="24"/>
        </w:rPr>
        <w:t>Mucuna</w:t>
      </w:r>
      <w:r>
        <w:rPr>
          <w:i/>
          <w:spacing w:val="2"/>
          <w:sz w:val="24"/>
        </w:rPr>
        <w:t> </w:t>
      </w:r>
      <w:r>
        <w:rPr>
          <w:i/>
          <w:spacing w:val="-2"/>
          <w:sz w:val="24"/>
        </w:rPr>
        <w:t>pruriens</w:t>
      </w:r>
      <w:r>
        <w:rPr>
          <w:i/>
          <w:sz w:val="24"/>
        </w:rPr>
        <w:tab/>
      </w:r>
      <w:r>
        <w:rPr>
          <w:spacing w:val="-5"/>
          <w:sz w:val="24"/>
        </w:rPr>
        <w:t>28</w:t>
      </w:r>
    </w:p>
    <w:p>
      <w:pPr>
        <w:pStyle w:val="ListParagraph"/>
        <w:numPr>
          <w:ilvl w:val="3"/>
          <w:numId w:val="1"/>
        </w:numPr>
        <w:tabs>
          <w:tab w:pos="2122" w:val="left" w:leader="none"/>
          <w:tab w:pos="8844" w:val="right" w:leader="none"/>
        </w:tabs>
        <w:spacing w:line="240" w:lineRule="auto" w:before="136" w:after="0"/>
        <w:ind w:left="2122" w:right="0" w:hanging="1440"/>
        <w:jc w:val="left"/>
        <w:rPr>
          <w:sz w:val="24"/>
        </w:rPr>
      </w:pPr>
      <w:r>
        <w:rPr>
          <w:sz w:val="24"/>
        </w:rPr>
        <w:t>L.</w:t>
      </w:r>
      <w:r>
        <w:rPr>
          <w:spacing w:val="-2"/>
          <w:sz w:val="24"/>
        </w:rPr>
        <w:t> </w:t>
      </w:r>
      <w:r>
        <w:rPr>
          <w:sz w:val="24"/>
        </w:rPr>
        <w:t>dopa </w:t>
      </w:r>
      <w:r>
        <w:rPr>
          <w:spacing w:val="-2"/>
          <w:sz w:val="24"/>
        </w:rPr>
        <w:t>constituent</w:t>
      </w:r>
      <w:r>
        <w:rPr>
          <w:sz w:val="24"/>
        </w:rPr>
        <w:tab/>
      </w:r>
      <w:r>
        <w:rPr>
          <w:spacing w:val="-5"/>
          <w:sz w:val="24"/>
        </w:rPr>
        <w:t>29</w:t>
      </w:r>
    </w:p>
    <w:p>
      <w:pPr>
        <w:pStyle w:val="ListParagraph"/>
        <w:numPr>
          <w:ilvl w:val="3"/>
          <w:numId w:val="1"/>
        </w:numPr>
        <w:tabs>
          <w:tab w:pos="2122" w:val="left" w:leader="none"/>
          <w:tab w:pos="8844" w:val="right" w:leader="none"/>
        </w:tabs>
        <w:spacing w:line="240" w:lineRule="auto" w:before="140" w:after="0"/>
        <w:ind w:left="2122" w:right="0" w:hanging="1440"/>
        <w:jc w:val="left"/>
        <w:rPr>
          <w:sz w:val="24"/>
        </w:rPr>
      </w:pPr>
      <w:r>
        <w:rPr>
          <w:sz w:val="24"/>
        </w:rPr>
        <w:t>Antioxidant</w:t>
      </w:r>
      <w:r>
        <w:rPr>
          <w:spacing w:val="-1"/>
          <w:sz w:val="24"/>
        </w:rPr>
        <w:t> </w:t>
      </w:r>
      <w:r>
        <w:rPr>
          <w:sz w:val="24"/>
        </w:rPr>
        <w:t>properties of</w:t>
      </w:r>
      <w:r>
        <w:rPr>
          <w:spacing w:val="-2"/>
          <w:sz w:val="24"/>
        </w:rPr>
        <w:t> </w:t>
      </w:r>
      <w:r>
        <w:rPr>
          <w:i/>
          <w:sz w:val="24"/>
        </w:rPr>
        <w:t>Mucuna </w:t>
      </w:r>
      <w:r>
        <w:rPr>
          <w:i/>
          <w:spacing w:val="-2"/>
          <w:sz w:val="24"/>
        </w:rPr>
        <w:t>pruriens</w:t>
      </w:r>
      <w:r>
        <w:rPr>
          <w:i/>
          <w:sz w:val="24"/>
        </w:rPr>
        <w:tab/>
      </w:r>
      <w:r>
        <w:rPr>
          <w:spacing w:val="-5"/>
          <w:sz w:val="24"/>
        </w:rPr>
        <w:t>29</w:t>
      </w:r>
    </w:p>
    <w:p>
      <w:pPr>
        <w:pStyle w:val="ListParagraph"/>
        <w:numPr>
          <w:ilvl w:val="3"/>
          <w:numId w:val="1"/>
        </w:numPr>
        <w:tabs>
          <w:tab w:pos="2122" w:val="left" w:leader="none"/>
          <w:tab w:pos="8844" w:val="right" w:leader="none"/>
        </w:tabs>
        <w:spacing w:line="240" w:lineRule="auto" w:before="137" w:after="0"/>
        <w:ind w:left="2122" w:right="0" w:hanging="1440"/>
        <w:jc w:val="left"/>
        <w:rPr>
          <w:sz w:val="24"/>
        </w:rPr>
      </w:pPr>
      <w:hyperlink w:history="true" w:anchor="_TOC_250098">
        <w:r>
          <w:rPr>
            <w:sz w:val="24"/>
          </w:rPr>
          <w:t>Antitumor </w:t>
        </w:r>
        <w:r>
          <w:rPr>
            <w:spacing w:val="-2"/>
            <w:sz w:val="24"/>
          </w:rPr>
          <w:t>activity</w:t>
        </w:r>
        <w:r>
          <w:rPr>
            <w:sz w:val="24"/>
          </w:rPr>
          <w:tab/>
        </w:r>
        <w:r>
          <w:rPr>
            <w:spacing w:val="-5"/>
            <w:sz w:val="24"/>
          </w:rPr>
          <w:t>30</w:t>
        </w:r>
      </w:hyperlink>
    </w:p>
    <w:p>
      <w:pPr>
        <w:pStyle w:val="ListParagraph"/>
        <w:numPr>
          <w:ilvl w:val="3"/>
          <w:numId w:val="1"/>
        </w:numPr>
        <w:tabs>
          <w:tab w:pos="2122" w:val="left" w:leader="none"/>
          <w:tab w:pos="8844" w:val="right" w:leader="none"/>
        </w:tabs>
        <w:spacing w:line="240" w:lineRule="auto" w:before="139" w:after="0"/>
        <w:ind w:left="2122" w:right="0" w:hanging="1440"/>
        <w:jc w:val="left"/>
        <w:rPr>
          <w:sz w:val="24"/>
        </w:rPr>
      </w:pPr>
      <w:hyperlink w:history="true" w:anchor="_TOC_250097">
        <w:r>
          <w:rPr>
            <w:sz w:val="24"/>
          </w:rPr>
          <w:t>Antibacterial</w:t>
        </w:r>
        <w:r>
          <w:rPr>
            <w:spacing w:val="-4"/>
            <w:sz w:val="24"/>
          </w:rPr>
          <w:t> </w:t>
        </w:r>
        <w:r>
          <w:rPr>
            <w:spacing w:val="-2"/>
            <w:sz w:val="24"/>
          </w:rPr>
          <w:t>activity</w:t>
        </w:r>
        <w:r>
          <w:rPr>
            <w:sz w:val="24"/>
          </w:rPr>
          <w:tab/>
        </w:r>
        <w:r>
          <w:rPr>
            <w:spacing w:val="-5"/>
            <w:sz w:val="24"/>
          </w:rPr>
          <w:t>30</w:t>
        </w:r>
      </w:hyperlink>
    </w:p>
    <w:p>
      <w:pPr>
        <w:spacing w:after="0" w:line="240" w:lineRule="auto"/>
        <w:jc w:val="left"/>
        <w:rPr>
          <w:sz w:val="24"/>
        </w:rPr>
        <w:sectPr>
          <w:pgSz w:w="12240" w:h="15840"/>
          <w:pgMar w:header="0" w:footer="1068" w:top="1360" w:bottom="1260" w:left="1420" w:right="420"/>
        </w:sectPr>
      </w:pPr>
    </w:p>
    <w:p>
      <w:pPr>
        <w:pStyle w:val="ListParagraph"/>
        <w:numPr>
          <w:ilvl w:val="3"/>
          <w:numId w:val="1"/>
        </w:numPr>
        <w:tabs>
          <w:tab w:pos="2122" w:val="left" w:leader="none"/>
          <w:tab w:pos="8604" w:val="left" w:leader="none"/>
        </w:tabs>
        <w:spacing w:line="240" w:lineRule="auto" w:before="74" w:after="0"/>
        <w:ind w:left="2122" w:right="0" w:hanging="1440"/>
        <w:jc w:val="left"/>
        <w:rPr>
          <w:sz w:val="24"/>
        </w:rPr>
      </w:pPr>
      <w:r>
        <w:rPr/>
        <mc:AlternateContent>
          <mc:Choice Requires="wps">
            <w:drawing>
              <wp:anchor distT="0" distB="0" distL="0" distR="0" allowOverlap="1" layoutInCell="1" locked="0" behindDoc="1" simplePos="0" relativeHeight="482907136">
                <wp:simplePos x="0" y="0"/>
                <wp:positionH relativeFrom="page">
                  <wp:posOffset>-1402226</wp:posOffset>
                </wp:positionH>
                <wp:positionV relativeFrom="page">
                  <wp:posOffset>4612234</wp:posOffset>
                </wp:positionV>
                <wp:extent cx="10685780" cy="914400"/>
                <wp:effectExtent l="0" t="0" r="0" b="0"/>
                <wp:wrapNone/>
                <wp:docPr id="11" name="Textbox 11"/>
                <wp:cNvGraphicFramePr>
                  <a:graphicFrameLocks/>
                </wp:cNvGraphicFramePr>
                <a:graphic>
                  <a:graphicData uri="http://schemas.microsoft.com/office/word/2010/wordprocessingShape">
                    <wps:wsp>
                      <wps:cNvPr id="11" name="Textbox 1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9344;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Use</w:t>
      </w:r>
      <w:r>
        <w:rPr>
          <w:spacing w:val="-3"/>
          <w:sz w:val="24"/>
        </w:rPr>
        <w:t> </w:t>
      </w:r>
      <w:r>
        <w:rPr>
          <w:sz w:val="24"/>
        </w:rPr>
        <w:t>of</w:t>
      </w:r>
      <w:r>
        <w:rPr>
          <w:spacing w:val="-1"/>
          <w:sz w:val="24"/>
        </w:rPr>
        <w:t> </w:t>
      </w:r>
      <w:r>
        <w:rPr>
          <w:i/>
          <w:sz w:val="24"/>
        </w:rPr>
        <w:t>Mucuna pruriens</w:t>
      </w:r>
      <w:r>
        <w:rPr>
          <w:i/>
          <w:spacing w:val="-1"/>
          <w:sz w:val="24"/>
        </w:rPr>
        <w:t> </w:t>
      </w:r>
      <w:r>
        <w:rPr>
          <w:sz w:val="24"/>
        </w:rPr>
        <w:t>in Parkinson’s</w:t>
      </w:r>
      <w:r>
        <w:rPr>
          <w:spacing w:val="-1"/>
          <w:sz w:val="24"/>
        </w:rPr>
        <w:t> </w:t>
      </w:r>
      <w:r>
        <w:rPr>
          <w:spacing w:val="-2"/>
          <w:sz w:val="24"/>
        </w:rPr>
        <w:t>disease</w:t>
      </w:r>
      <w:r>
        <w:rPr>
          <w:sz w:val="24"/>
        </w:rPr>
        <w:tab/>
      </w:r>
      <w:r>
        <w:rPr>
          <w:spacing w:val="-5"/>
          <w:sz w:val="24"/>
        </w:rPr>
        <w:t>30</w:t>
      </w:r>
    </w:p>
    <w:p>
      <w:pPr>
        <w:pStyle w:val="ListParagraph"/>
        <w:numPr>
          <w:ilvl w:val="3"/>
          <w:numId w:val="1"/>
        </w:numPr>
        <w:tabs>
          <w:tab w:pos="2122" w:val="left" w:leader="none"/>
          <w:tab w:pos="2362" w:val="left" w:leader="none"/>
          <w:tab w:pos="8604" w:val="left" w:leader="none"/>
        </w:tabs>
        <w:spacing w:line="360" w:lineRule="auto" w:before="137" w:after="0"/>
        <w:ind w:left="2362" w:right="1553" w:hanging="1680"/>
        <w:jc w:val="left"/>
        <w:rPr>
          <w:sz w:val="24"/>
        </w:rPr>
      </w:pPr>
      <w:r>
        <w:rPr>
          <w:sz w:val="24"/>
        </w:rPr>
        <w:t>Antispasmodic, anti-inflammatory, fever-reducing and antivenin Properties</w:t>
      </w:r>
      <w:r>
        <w:rPr>
          <w:spacing w:val="-1"/>
          <w:sz w:val="24"/>
        </w:rPr>
        <w:t> </w:t>
      </w:r>
      <w:r>
        <w:rPr>
          <w:sz w:val="24"/>
        </w:rPr>
        <w:t>of</w:t>
      </w:r>
      <w:r>
        <w:rPr>
          <w:spacing w:val="-2"/>
          <w:sz w:val="24"/>
        </w:rPr>
        <w:t> </w:t>
      </w:r>
      <w:r>
        <w:rPr>
          <w:i/>
          <w:sz w:val="24"/>
        </w:rPr>
        <w:t>Mucuna</w:t>
      </w:r>
      <w:r>
        <w:rPr>
          <w:i/>
          <w:spacing w:val="2"/>
          <w:sz w:val="24"/>
        </w:rPr>
        <w:t> </w:t>
      </w:r>
      <w:r>
        <w:rPr>
          <w:i/>
          <w:spacing w:val="-2"/>
          <w:sz w:val="24"/>
        </w:rPr>
        <w:t>pruriens</w:t>
      </w:r>
      <w:r>
        <w:rPr>
          <w:i/>
          <w:sz w:val="24"/>
        </w:rPr>
        <w:tab/>
      </w:r>
      <w:r>
        <w:rPr>
          <w:spacing w:val="-5"/>
          <w:sz w:val="24"/>
        </w:rPr>
        <w:t>30</w:t>
      </w:r>
    </w:p>
    <w:p>
      <w:pPr>
        <w:pStyle w:val="ListParagraph"/>
        <w:numPr>
          <w:ilvl w:val="3"/>
          <w:numId w:val="1"/>
        </w:numPr>
        <w:tabs>
          <w:tab w:pos="2122" w:val="left" w:leader="none"/>
          <w:tab w:pos="8604" w:val="left" w:leader="none"/>
        </w:tabs>
        <w:spacing w:line="240" w:lineRule="auto" w:before="0" w:after="0"/>
        <w:ind w:left="2122" w:right="0" w:hanging="1440"/>
        <w:jc w:val="left"/>
        <w:rPr>
          <w:sz w:val="24"/>
        </w:rPr>
      </w:pPr>
      <w:r>
        <w:rPr>
          <w:sz w:val="24"/>
        </w:rPr>
        <w:t>Use</w:t>
      </w:r>
      <w:r>
        <w:rPr>
          <w:spacing w:val="-3"/>
          <w:sz w:val="24"/>
        </w:rPr>
        <w:t> </w:t>
      </w:r>
      <w:r>
        <w:rPr>
          <w:sz w:val="24"/>
        </w:rPr>
        <w:t>of</w:t>
      </w:r>
      <w:r>
        <w:rPr>
          <w:spacing w:val="-1"/>
          <w:sz w:val="24"/>
        </w:rPr>
        <w:t> </w:t>
      </w:r>
      <w:r>
        <w:rPr>
          <w:i/>
          <w:sz w:val="24"/>
        </w:rPr>
        <w:t>Mucuna</w:t>
      </w:r>
      <w:r>
        <w:rPr>
          <w:i/>
          <w:spacing w:val="-1"/>
          <w:sz w:val="24"/>
        </w:rPr>
        <w:t> </w:t>
      </w:r>
      <w:r>
        <w:rPr>
          <w:i/>
          <w:sz w:val="24"/>
        </w:rPr>
        <w:t>pruriens </w:t>
      </w:r>
      <w:r>
        <w:rPr>
          <w:sz w:val="24"/>
        </w:rPr>
        <w:t>as </w:t>
      </w:r>
      <w:r>
        <w:rPr>
          <w:spacing w:val="-2"/>
          <w:sz w:val="24"/>
        </w:rPr>
        <w:t>aphrodisiac</w:t>
      </w:r>
      <w:r>
        <w:rPr>
          <w:sz w:val="24"/>
        </w:rPr>
        <w:tab/>
      </w:r>
      <w:r>
        <w:rPr>
          <w:spacing w:val="-5"/>
          <w:sz w:val="24"/>
        </w:rPr>
        <w:t>31</w:t>
      </w:r>
    </w:p>
    <w:p>
      <w:pPr>
        <w:pStyle w:val="ListParagraph"/>
        <w:numPr>
          <w:ilvl w:val="3"/>
          <w:numId w:val="1"/>
        </w:numPr>
        <w:tabs>
          <w:tab w:pos="2122" w:val="left" w:leader="none"/>
          <w:tab w:pos="8604" w:val="left" w:leader="none"/>
        </w:tabs>
        <w:spacing w:line="240" w:lineRule="auto" w:before="140" w:after="0"/>
        <w:ind w:left="2122" w:right="0" w:hanging="1440"/>
        <w:jc w:val="left"/>
        <w:rPr>
          <w:sz w:val="24"/>
        </w:rPr>
      </w:pPr>
      <w:r>
        <w:rPr>
          <w:sz w:val="24"/>
        </w:rPr>
        <w:t>Use</w:t>
      </w:r>
      <w:r>
        <w:rPr>
          <w:spacing w:val="-5"/>
          <w:sz w:val="24"/>
        </w:rPr>
        <w:t> </w:t>
      </w:r>
      <w:r>
        <w:rPr>
          <w:sz w:val="24"/>
        </w:rPr>
        <w:t>of</w:t>
      </w:r>
      <w:r>
        <w:rPr>
          <w:spacing w:val="-1"/>
          <w:sz w:val="24"/>
        </w:rPr>
        <w:t> </w:t>
      </w:r>
      <w:r>
        <w:rPr>
          <w:i/>
          <w:sz w:val="24"/>
        </w:rPr>
        <w:t>Mucuna pruriens</w:t>
      </w:r>
      <w:r>
        <w:rPr>
          <w:i/>
          <w:spacing w:val="-1"/>
          <w:sz w:val="24"/>
        </w:rPr>
        <w:t> </w:t>
      </w:r>
      <w:r>
        <w:rPr>
          <w:sz w:val="24"/>
        </w:rPr>
        <w:t>for</w:t>
      </w:r>
      <w:r>
        <w:rPr>
          <w:spacing w:val="-2"/>
          <w:sz w:val="24"/>
        </w:rPr>
        <w:t> </w:t>
      </w:r>
      <w:r>
        <w:rPr>
          <w:sz w:val="24"/>
        </w:rPr>
        <w:t>its anabolic</w:t>
      </w:r>
      <w:r>
        <w:rPr>
          <w:spacing w:val="-2"/>
          <w:sz w:val="24"/>
        </w:rPr>
        <w:t> </w:t>
      </w:r>
      <w:r>
        <w:rPr>
          <w:sz w:val="24"/>
        </w:rPr>
        <w:t>and</w:t>
      </w:r>
      <w:r>
        <w:rPr>
          <w:spacing w:val="2"/>
          <w:sz w:val="24"/>
        </w:rPr>
        <w:t> </w:t>
      </w:r>
      <w:r>
        <w:rPr>
          <w:sz w:val="24"/>
        </w:rPr>
        <w:t>fertility</w:t>
      </w:r>
      <w:r>
        <w:rPr>
          <w:spacing w:val="-5"/>
          <w:sz w:val="24"/>
        </w:rPr>
        <w:t> </w:t>
      </w:r>
      <w:r>
        <w:rPr>
          <w:spacing w:val="-2"/>
          <w:sz w:val="24"/>
        </w:rPr>
        <w:t>agent</w:t>
      </w:r>
      <w:r>
        <w:rPr>
          <w:sz w:val="24"/>
        </w:rPr>
        <w:tab/>
      </w:r>
      <w:r>
        <w:rPr>
          <w:spacing w:val="-5"/>
          <w:sz w:val="24"/>
        </w:rPr>
        <w:t>31</w:t>
      </w:r>
    </w:p>
    <w:p>
      <w:pPr>
        <w:pStyle w:val="ListParagraph"/>
        <w:numPr>
          <w:ilvl w:val="1"/>
          <w:numId w:val="1"/>
        </w:numPr>
        <w:tabs>
          <w:tab w:pos="2122" w:val="left" w:leader="none"/>
          <w:tab w:pos="8604" w:val="left" w:leader="none"/>
        </w:tabs>
        <w:spacing w:line="240" w:lineRule="auto" w:before="136" w:after="0"/>
        <w:ind w:left="2122" w:right="0" w:hanging="1440"/>
        <w:jc w:val="left"/>
        <w:rPr>
          <w:sz w:val="24"/>
        </w:rPr>
      </w:pPr>
      <w:hyperlink w:history="true" w:anchor="_TOC_250096">
        <w:r>
          <w:rPr>
            <w:sz w:val="24"/>
          </w:rPr>
          <w:t>Antidiabetic</w:t>
        </w:r>
        <w:r>
          <w:rPr>
            <w:spacing w:val="-3"/>
            <w:sz w:val="24"/>
          </w:rPr>
          <w:t> </w:t>
        </w:r>
        <w:r>
          <w:rPr>
            <w:sz w:val="24"/>
          </w:rPr>
          <w:t>screening</w:t>
        </w:r>
        <w:r>
          <w:rPr>
            <w:spacing w:val="-3"/>
            <w:sz w:val="24"/>
          </w:rPr>
          <w:t> </w:t>
        </w:r>
        <w:r>
          <w:rPr>
            <w:spacing w:val="-2"/>
            <w:sz w:val="24"/>
          </w:rPr>
          <w:t>methods</w:t>
        </w:r>
        <w:r>
          <w:rPr>
            <w:sz w:val="24"/>
          </w:rPr>
          <w:tab/>
        </w:r>
        <w:r>
          <w:rPr>
            <w:spacing w:val="-5"/>
            <w:sz w:val="24"/>
          </w:rPr>
          <w:t>31</w:t>
        </w:r>
      </w:hyperlink>
    </w:p>
    <w:p>
      <w:pPr>
        <w:pStyle w:val="ListParagraph"/>
        <w:numPr>
          <w:ilvl w:val="2"/>
          <w:numId w:val="1"/>
        </w:numPr>
        <w:tabs>
          <w:tab w:pos="2122" w:val="left" w:leader="none"/>
          <w:tab w:pos="8604" w:val="left" w:leader="none"/>
        </w:tabs>
        <w:spacing w:line="240" w:lineRule="auto" w:before="140" w:after="0"/>
        <w:ind w:left="2122" w:right="0" w:hanging="1440"/>
        <w:jc w:val="left"/>
        <w:rPr>
          <w:sz w:val="24"/>
        </w:rPr>
      </w:pPr>
      <w:hyperlink w:history="true" w:anchor="_TOC_250095">
        <w:r>
          <w:rPr>
            <w:sz w:val="24"/>
          </w:rPr>
          <w:t>Animals</w:t>
        </w:r>
        <w:r>
          <w:rPr>
            <w:spacing w:val="-1"/>
            <w:sz w:val="24"/>
          </w:rPr>
          <w:t> </w:t>
        </w:r>
        <w:r>
          <w:rPr>
            <w:sz w:val="24"/>
          </w:rPr>
          <w:t>used</w:t>
        </w:r>
        <w:r>
          <w:rPr>
            <w:spacing w:val="-1"/>
            <w:sz w:val="24"/>
          </w:rPr>
          <w:t> </w:t>
        </w:r>
        <w:r>
          <w:rPr>
            <w:sz w:val="24"/>
          </w:rPr>
          <w:t>for</w:t>
        </w:r>
        <w:r>
          <w:rPr>
            <w:spacing w:val="-2"/>
            <w:sz w:val="24"/>
          </w:rPr>
          <w:t> </w:t>
        </w:r>
        <w:r>
          <w:rPr>
            <w:sz w:val="24"/>
          </w:rPr>
          <w:t>screening</w:t>
        </w:r>
        <w:r>
          <w:rPr>
            <w:spacing w:val="-4"/>
            <w:sz w:val="24"/>
          </w:rPr>
          <w:t> </w:t>
        </w:r>
        <w:r>
          <w:rPr>
            <w:sz w:val="24"/>
          </w:rPr>
          <w:t>of</w:t>
        </w:r>
        <w:r>
          <w:rPr>
            <w:spacing w:val="1"/>
            <w:sz w:val="24"/>
          </w:rPr>
          <w:t> </w:t>
        </w:r>
        <w:r>
          <w:rPr>
            <w:sz w:val="24"/>
          </w:rPr>
          <w:t>anti-diabetic</w:t>
        </w:r>
        <w:r>
          <w:rPr>
            <w:spacing w:val="-1"/>
            <w:sz w:val="24"/>
          </w:rPr>
          <w:t> </w:t>
        </w:r>
        <w:r>
          <w:rPr>
            <w:spacing w:val="-4"/>
            <w:sz w:val="24"/>
          </w:rPr>
          <w:t>drugs</w:t>
        </w:r>
        <w:r>
          <w:rPr>
            <w:sz w:val="24"/>
          </w:rPr>
          <w:tab/>
        </w:r>
        <w:r>
          <w:rPr>
            <w:spacing w:val="-5"/>
            <w:sz w:val="24"/>
          </w:rPr>
          <w:t>32</w:t>
        </w:r>
      </w:hyperlink>
    </w:p>
    <w:p>
      <w:pPr>
        <w:pStyle w:val="ListParagraph"/>
        <w:numPr>
          <w:ilvl w:val="2"/>
          <w:numId w:val="1"/>
        </w:numPr>
        <w:tabs>
          <w:tab w:pos="2122" w:val="left" w:leader="none"/>
          <w:tab w:pos="8604" w:val="left" w:leader="none"/>
        </w:tabs>
        <w:spacing w:line="240" w:lineRule="auto" w:before="136" w:after="0"/>
        <w:ind w:left="2122" w:right="0" w:hanging="1440"/>
        <w:jc w:val="left"/>
        <w:rPr>
          <w:sz w:val="24"/>
        </w:rPr>
      </w:pPr>
      <w:r>
        <w:rPr>
          <w:sz w:val="24"/>
        </w:rPr>
        <w:t>Chemical</w:t>
      </w:r>
      <w:r>
        <w:rPr>
          <w:spacing w:val="-3"/>
          <w:sz w:val="24"/>
        </w:rPr>
        <w:t> </w:t>
      </w:r>
      <w:r>
        <w:rPr>
          <w:sz w:val="24"/>
        </w:rPr>
        <w:t>agents</w:t>
      </w:r>
      <w:r>
        <w:rPr>
          <w:spacing w:val="-1"/>
          <w:sz w:val="24"/>
        </w:rPr>
        <w:t> </w:t>
      </w:r>
      <w:r>
        <w:rPr>
          <w:sz w:val="24"/>
        </w:rPr>
        <w:t>used</w:t>
      </w:r>
      <w:r>
        <w:rPr>
          <w:spacing w:val="-1"/>
          <w:sz w:val="24"/>
        </w:rPr>
        <w:t> </w:t>
      </w:r>
      <w:r>
        <w:rPr>
          <w:sz w:val="24"/>
        </w:rPr>
        <w:t>for</w:t>
      </w:r>
      <w:r>
        <w:rPr>
          <w:spacing w:val="1"/>
          <w:sz w:val="24"/>
        </w:rPr>
        <w:t> </w:t>
      </w:r>
      <w:r>
        <w:rPr>
          <w:sz w:val="24"/>
        </w:rPr>
        <w:t>screening</w:t>
      </w:r>
      <w:r>
        <w:rPr>
          <w:spacing w:val="-4"/>
          <w:sz w:val="24"/>
        </w:rPr>
        <w:t> </w:t>
      </w:r>
      <w:r>
        <w:rPr>
          <w:sz w:val="24"/>
        </w:rPr>
        <w:t>of anti-diabetic</w:t>
      </w:r>
      <w:r>
        <w:rPr>
          <w:spacing w:val="-1"/>
          <w:sz w:val="24"/>
        </w:rPr>
        <w:t> </w:t>
      </w:r>
      <w:r>
        <w:rPr>
          <w:spacing w:val="-2"/>
          <w:sz w:val="24"/>
        </w:rPr>
        <w:t>drugs</w:t>
      </w:r>
      <w:r>
        <w:rPr>
          <w:sz w:val="24"/>
        </w:rPr>
        <w:tab/>
      </w:r>
      <w:r>
        <w:rPr>
          <w:spacing w:val="-5"/>
          <w:sz w:val="24"/>
        </w:rPr>
        <w:t>32</w:t>
      </w:r>
    </w:p>
    <w:p>
      <w:pPr>
        <w:pStyle w:val="ListParagraph"/>
        <w:numPr>
          <w:ilvl w:val="2"/>
          <w:numId w:val="1"/>
        </w:numPr>
        <w:tabs>
          <w:tab w:pos="2122" w:val="left" w:leader="none"/>
          <w:tab w:pos="8604" w:val="left" w:leader="none"/>
        </w:tabs>
        <w:spacing w:line="240" w:lineRule="auto" w:before="140" w:after="0"/>
        <w:ind w:left="2122" w:right="0" w:hanging="1440"/>
        <w:jc w:val="left"/>
        <w:rPr>
          <w:sz w:val="24"/>
        </w:rPr>
      </w:pPr>
      <w:r>
        <w:rPr>
          <w:sz w:val="24"/>
        </w:rPr>
        <w:t>Models</w:t>
      </w:r>
      <w:r>
        <w:rPr>
          <w:spacing w:val="-1"/>
          <w:sz w:val="24"/>
        </w:rPr>
        <w:t> </w:t>
      </w:r>
      <w:r>
        <w:rPr>
          <w:sz w:val="24"/>
        </w:rPr>
        <w:t>used</w:t>
      </w:r>
      <w:r>
        <w:rPr>
          <w:spacing w:val="-1"/>
          <w:sz w:val="24"/>
        </w:rPr>
        <w:t> </w:t>
      </w:r>
      <w:r>
        <w:rPr>
          <w:sz w:val="24"/>
        </w:rPr>
        <w:t>for</w:t>
      </w:r>
      <w:r>
        <w:rPr>
          <w:spacing w:val="-2"/>
          <w:sz w:val="24"/>
        </w:rPr>
        <w:t> </w:t>
      </w:r>
      <w:r>
        <w:rPr>
          <w:sz w:val="24"/>
        </w:rPr>
        <w:t>insulin dependent</w:t>
      </w:r>
      <w:r>
        <w:rPr>
          <w:spacing w:val="-1"/>
          <w:sz w:val="24"/>
        </w:rPr>
        <w:t> </w:t>
      </w:r>
      <w:r>
        <w:rPr>
          <w:sz w:val="24"/>
        </w:rPr>
        <w:t>diabetes </w:t>
      </w:r>
      <w:r>
        <w:rPr>
          <w:spacing w:val="-2"/>
          <w:sz w:val="24"/>
        </w:rPr>
        <w:t>mellitus</w:t>
      </w:r>
      <w:r>
        <w:rPr>
          <w:sz w:val="24"/>
        </w:rPr>
        <w:tab/>
      </w:r>
      <w:r>
        <w:rPr>
          <w:spacing w:val="-5"/>
          <w:sz w:val="24"/>
        </w:rPr>
        <w:t>32</w:t>
      </w:r>
    </w:p>
    <w:p>
      <w:pPr>
        <w:pStyle w:val="ListParagraph"/>
        <w:numPr>
          <w:ilvl w:val="3"/>
          <w:numId w:val="1"/>
        </w:numPr>
        <w:tabs>
          <w:tab w:pos="2122" w:val="left" w:leader="none"/>
          <w:tab w:pos="8604" w:val="left" w:leader="none"/>
        </w:tabs>
        <w:spacing w:line="240" w:lineRule="auto" w:before="137" w:after="0"/>
        <w:ind w:left="2122" w:right="0" w:hanging="1440"/>
        <w:jc w:val="left"/>
        <w:rPr>
          <w:sz w:val="24"/>
        </w:rPr>
      </w:pPr>
      <w:hyperlink w:history="true" w:anchor="_TOC_250094">
        <w:r>
          <w:rPr>
            <w:sz w:val="24"/>
          </w:rPr>
          <w:t>Alloxan</w:t>
        </w:r>
        <w:r>
          <w:rPr>
            <w:spacing w:val="-1"/>
            <w:sz w:val="24"/>
          </w:rPr>
          <w:t> </w:t>
        </w:r>
        <w:r>
          <w:rPr>
            <w:sz w:val="24"/>
          </w:rPr>
          <w:t>induced </w:t>
        </w:r>
        <w:r>
          <w:rPr>
            <w:spacing w:val="-2"/>
            <w:sz w:val="24"/>
          </w:rPr>
          <w:t>diabetes</w:t>
        </w:r>
        <w:r>
          <w:rPr>
            <w:sz w:val="24"/>
          </w:rPr>
          <w:tab/>
        </w:r>
        <w:r>
          <w:rPr>
            <w:spacing w:val="-5"/>
            <w:sz w:val="24"/>
          </w:rPr>
          <w:t>32</w:t>
        </w:r>
      </w:hyperlink>
    </w:p>
    <w:p>
      <w:pPr>
        <w:pStyle w:val="ListParagraph"/>
        <w:numPr>
          <w:ilvl w:val="4"/>
          <w:numId w:val="1"/>
        </w:numPr>
        <w:tabs>
          <w:tab w:pos="2122" w:val="left" w:leader="none"/>
          <w:tab w:pos="8604" w:val="left" w:leader="none"/>
        </w:tabs>
        <w:spacing w:line="240" w:lineRule="auto" w:before="139" w:after="0"/>
        <w:ind w:left="2122" w:right="0" w:hanging="1440"/>
        <w:jc w:val="left"/>
        <w:rPr>
          <w:sz w:val="24"/>
        </w:rPr>
      </w:pPr>
      <w:hyperlink w:history="true" w:anchor="_TOC_250093">
        <w:r>
          <w:rPr>
            <w:sz w:val="24"/>
          </w:rPr>
          <w:t>Mechanism</w:t>
        </w:r>
        <w:r>
          <w:rPr>
            <w:spacing w:val="-4"/>
            <w:sz w:val="24"/>
          </w:rPr>
          <w:t> </w:t>
        </w:r>
        <w:r>
          <w:rPr>
            <w:sz w:val="24"/>
          </w:rPr>
          <w:t>of</w:t>
        </w:r>
        <w:r>
          <w:rPr>
            <w:spacing w:val="-1"/>
            <w:sz w:val="24"/>
          </w:rPr>
          <w:t> </w:t>
        </w:r>
        <w:r>
          <w:rPr>
            <w:sz w:val="24"/>
          </w:rPr>
          <w:t>alloxan</w:t>
        </w:r>
        <w:r>
          <w:rPr>
            <w:spacing w:val="-1"/>
            <w:sz w:val="24"/>
          </w:rPr>
          <w:t> </w:t>
        </w:r>
        <w:r>
          <w:rPr>
            <w:spacing w:val="-2"/>
            <w:sz w:val="24"/>
          </w:rPr>
          <w:t>action</w:t>
        </w:r>
        <w:r>
          <w:rPr>
            <w:sz w:val="24"/>
          </w:rPr>
          <w:tab/>
        </w:r>
        <w:r>
          <w:rPr>
            <w:spacing w:val="-5"/>
            <w:sz w:val="24"/>
          </w:rPr>
          <w:t>34</w:t>
        </w:r>
      </w:hyperlink>
    </w:p>
    <w:p>
      <w:pPr>
        <w:pStyle w:val="ListParagraph"/>
        <w:numPr>
          <w:ilvl w:val="3"/>
          <w:numId w:val="1"/>
        </w:numPr>
        <w:tabs>
          <w:tab w:pos="2122" w:val="left" w:leader="none"/>
          <w:tab w:pos="8604" w:val="left" w:leader="none"/>
        </w:tabs>
        <w:spacing w:line="240" w:lineRule="auto" w:before="137" w:after="0"/>
        <w:ind w:left="2122" w:right="0" w:hanging="1440"/>
        <w:jc w:val="left"/>
        <w:rPr>
          <w:sz w:val="24"/>
        </w:rPr>
      </w:pPr>
      <w:hyperlink w:history="true" w:anchor="_TOC_250092">
        <w:r>
          <w:rPr>
            <w:sz w:val="24"/>
          </w:rPr>
          <w:t>Streptozotocin</w:t>
        </w:r>
        <w:r>
          <w:rPr>
            <w:spacing w:val="-3"/>
            <w:sz w:val="24"/>
          </w:rPr>
          <w:t> </w:t>
        </w:r>
        <w:r>
          <w:rPr>
            <w:sz w:val="24"/>
          </w:rPr>
          <w:t>induced</w:t>
        </w:r>
        <w:r>
          <w:rPr>
            <w:spacing w:val="-1"/>
            <w:sz w:val="24"/>
          </w:rPr>
          <w:t> </w:t>
        </w:r>
        <w:r>
          <w:rPr>
            <w:spacing w:val="-2"/>
            <w:sz w:val="24"/>
          </w:rPr>
          <w:t>diabetes</w:t>
        </w:r>
        <w:r>
          <w:rPr>
            <w:sz w:val="24"/>
          </w:rPr>
          <w:tab/>
        </w:r>
        <w:r>
          <w:rPr>
            <w:spacing w:val="-5"/>
            <w:sz w:val="24"/>
          </w:rPr>
          <w:t>37</w:t>
        </w:r>
      </w:hyperlink>
    </w:p>
    <w:p>
      <w:pPr>
        <w:pStyle w:val="ListParagraph"/>
        <w:numPr>
          <w:ilvl w:val="4"/>
          <w:numId w:val="1"/>
        </w:numPr>
        <w:tabs>
          <w:tab w:pos="2122" w:val="left" w:leader="none"/>
          <w:tab w:pos="8604" w:val="left" w:leader="none"/>
        </w:tabs>
        <w:spacing w:line="240" w:lineRule="auto" w:before="139" w:after="0"/>
        <w:ind w:left="2122" w:right="0" w:hanging="1440"/>
        <w:jc w:val="left"/>
        <w:rPr>
          <w:sz w:val="24"/>
        </w:rPr>
      </w:pPr>
      <w:hyperlink w:history="true" w:anchor="_TOC_250091">
        <w:r>
          <w:rPr>
            <w:sz w:val="24"/>
          </w:rPr>
          <w:t>Single</w:t>
        </w:r>
        <w:r>
          <w:rPr>
            <w:spacing w:val="-3"/>
            <w:sz w:val="24"/>
          </w:rPr>
          <w:t> </w:t>
        </w:r>
        <w:r>
          <w:rPr>
            <w:sz w:val="24"/>
          </w:rPr>
          <w:t>dose</w:t>
        </w:r>
        <w:r>
          <w:rPr>
            <w:spacing w:val="-2"/>
            <w:sz w:val="24"/>
          </w:rPr>
          <w:t> </w:t>
        </w:r>
        <w:r>
          <w:rPr>
            <w:sz w:val="24"/>
          </w:rPr>
          <w:t>streptozotocin </w:t>
        </w:r>
        <w:r>
          <w:rPr>
            <w:spacing w:val="-2"/>
            <w:sz w:val="24"/>
          </w:rPr>
          <w:t>diabetes</w:t>
        </w:r>
        <w:r>
          <w:rPr>
            <w:sz w:val="24"/>
          </w:rPr>
          <w:tab/>
        </w:r>
        <w:r>
          <w:rPr>
            <w:spacing w:val="-5"/>
            <w:sz w:val="24"/>
          </w:rPr>
          <w:t>37</w:t>
        </w:r>
      </w:hyperlink>
    </w:p>
    <w:p>
      <w:pPr>
        <w:pStyle w:val="ListParagraph"/>
        <w:numPr>
          <w:ilvl w:val="4"/>
          <w:numId w:val="1"/>
        </w:numPr>
        <w:tabs>
          <w:tab w:pos="2122" w:val="left" w:leader="none"/>
          <w:tab w:pos="8604" w:val="left" w:leader="none"/>
        </w:tabs>
        <w:spacing w:line="240" w:lineRule="auto" w:before="137" w:after="0"/>
        <w:ind w:left="2122" w:right="0" w:hanging="1440"/>
        <w:jc w:val="left"/>
        <w:rPr>
          <w:sz w:val="24"/>
        </w:rPr>
      </w:pPr>
      <w:hyperlink w:history="true" w:anchor="_TOC_250090">
        <w:r>
          <w:rPr>
            <w:sz w:val="24"/>
          </w:rPr>
          <w:t>Multiple</w:t>
        </w:r>
        <w:r>
          <w:rPr>
            <w:spacing w:val="-2"/>
            <w:sz w:val="24"/>
          </w:rPr>
          <w:t> </w:t>
        </w:r>
        <w:r>
          <w:rPr>
            <w:sz w:val="24"/>
          </w:rPr>
          <w:t>low dose</w:t>
        </w:r>
        <w:r>
          <w:rPr>
            <w:spacing w:val="-2"/>
            <w:sz w:val="24"/>
          </w:rPr>
          <w:t> </w:t>
        </w:r>
        <w:r>
          <w:rPr>
            <w:sz w:val="24"/>
          </w:rPr>
          <w:t>streptozotocin</w:t>
        </w:r>
        <w:r>
          <w:rPr>
            <w:spacing w:val="1"/>
            <w:sz w:val="24"/>
          </w:rPr>
          <w:t> </w:t>
        </w:r>
        <w:r>
          <w:rPr>
            <w:spacing w:val="-2"/>
            <w:sz w:val="24"/>
          </w:rPr>
          <w:t>diabetes</w:t>
        </w:r>
        <w:r>
          <w:rPr>
            <w:sz w:val="24"/>
          </w:rPr>
          <w:tab/>
        </w:r>
        <w:r>
          <w:rPr>
            <w:spacing w:val="-5"/>
            <w:sz w:val="24"/>
          </w:rPr>
          <w:t>37</w:t>
        </w:r>
      </w:hyperlink>
    </w:p>
    <w:p>
      <w:pPr>
        <w:pStyle w:val="ListParagraph"/>
        <w:numPr>
          <w:ilvl w:val="4"/>
          <w:numId w:val="1"/>
        </w:numPr>
        <w:tabs>
          <w:tab w:pos="2122" w:val="left" w:leader="none"/>
          <w:tab w:pos="8604" w:val="left" w:leader="none"/>
        </w:tabs>
        <w:spacing w:line="240" w:lineRule="auto" w:before="139" w:after="0"/>
        <w:ind w:left="2122" w:right="0" w:hanging="1440"/>
        <w:jc w:val="left"/>
        <w:rPr>
          <w:sz w:val="24"/>
        </w:rPr>
      </w:pPr>
      <w:hyperlink w:history="true" w:anchor="_TOC_250089">
        <w:r>
          <w:rPr>
            <w:sz w:val="24"/>
          </w:rPr>
          <w:t>Procedure</w:t>
        </w:r>
        <w:r>
          <w:rPr>
            <w:spacing w:val="-2"/>
            <w:sz w:val="24"/>
          </w:rPr>
          <w:t> </w:t>
        </w:r>
        <w:r>
          <w:rPr>
            <w:sz w:val="24"/>
          </w:rPr>
          <w:t>for</w:t>
        </w:r>
        <w:r>
          <w:rPr>
            <w:spacing w:val="-1"/>
            <w:sz w:val="24"/>
          </w:rPr>
          <w:t> </w:t>
        </w:r>
        <w:r>
          <w:rPr>
            <w:sz w:val="24"/>
          </w:rPr>
          <w:t>injecting</w:t>
        </w:r>
        <w:r>
          <w:rPr>
            <w:spacing w:val="-3"/>
            <w:sz w:val="24"/>
          </w:rPr>
          <w:t> </w:t>
        </w:r>
        <w:r>
          <w:rPr>
            <w:spacing w:val="-2"/>
            <w:sz w:val="24"/>
          </w:rPr>
          <w:t>streptozotocin</w:t>
        </w:r>
        <w:r>
          <w:rPr>
            <w:sz w:val="24"/>
          </w:rPr>
          <w:tab/>
        </w:r>
        <w:r>
          <w:rPr>
            <w:spacing w:val="-5"/>
            <w:sz w:val="24"/>
          </w:rPr>
          <w:t>38</w:t>
        </w:r>
      </w:hyperlink>
    </w:p>
    <w:p>
      <w:pPr>
        <w:pStyle w:val="ListParagraph"/>
        <w:numPr>
          <w:ilvl w:val="3"/>
          <w:numId w:val="1"/>
        </w:numPr>
        <w:tabs>
          <w:tab w:pos="2122" w:val="left" w:leader="none"/>
          <w:tab w:pos="8604" w:val="left" w:leader="none"/>
        </w:tabs>
        <w:spacing w:line="240" w:lineRule="auto" w:before="137" w:after="0"/>
        <w:ind w:left="2122" w:right="0" w:hanging="1440"/>
        <w:jc w:val="left"/>
        <w:rPr>
          <w:sz w:val="24"/>
        </w:rPr>
      </w:pPr>
      <w:hyperlink w:history="true" w:anchor="_TOC_250088">
        <w:r>
          <w:rPr>
            <w:sz w:val="24"/>
          </w:rPr>
          <w:t>Virus</w:t>
        </w:r>
        <w:r>
          <w:rPr>
            <w:spacing w:val="-1"/>
            <w:sz w:val="24"/>
          </w:rPr>
          <w:t> </w:t>
        </w:r>
        <w:r>
          <w:rPr>
            <w:sz w:val="24"/>
          </w:rPr>
          <w:t>-</w:t>
        </w:r>
        <w:r>
          <w:rPr>
            <w:spacing w:val="-2"/>
            <w:sz w:val="24"/>
          </w:rPr>
          <w:t> </w:t>
        </w:r>
        <w:r>
          <w:rPr>
            <w:sz w:val="24"/>
          </w:rPr>
          <w:t>induced </w:t>
        </w:r>
        <w:r>
          <w:rPr>
            <w:spacing w:val="-2"/>
            <w:sz w:val="24"/>
          </w:rPr>
          <w:t>diabetes</w:t>
        </w:r>
        <w:r>
          <w:rPr>
            <w:sz w:val="24"/>
          </w:rPr>
          <w:tab/>
        </w:r>
        <w:r>
          <w:rPr>
            <w:spacing w:val="-5"/>
            <w:sz w:val="24"/>
          </w:rPr>
          <w:t>38</w:t>
        </w:r>
      </w:hyperlink>
    </w:p>
    <w:p>
      <w:pPr>
        <w:pStyle w:val="ListParagraph"/>
        <w:numPr>
          <w:ilvl w:val="3"/>
          <w:numId w:val="1"/>
        </w:numPr>
        <w:tabs>
          <w:tab w:pos="2122" w:val="left" w:leader="none"/>
          <w:tab w:pos="8604" w:val="left" w:leader="none"/>
        </w:tabs>
        <w:spacing w:line="240" w:lineRule="auto" w:before="139" w:after="0"/>
        <w:ind w:left="2122" w:right="0" w:hanging="1440"/>
        <w:jc w:val="left"/>
        <w:rPr>
          <w:sz w:val="24"/>
        </w:rPr>
      </w:pPr>
      <w:hyperlink w:history="true" w:anchor="_TOC_250087">
        <w:r>
          <w:rPr>
            <w:sz w:val="24"/>
          </w:rPr>
          <w:t>Insulin</w:t>
        </w:r>
        <w:r>
          <w:rPr>
            <w:spacing w:val="-1"/>
            <w:sz w:val="24"/>
          </w:rPr>
          <w:t> </w:t>
        </w:r>
        <w:r>
          <w:rPr>
            <w:sz w:val="24"/>
          </w:rPr>
          <w:t>antibodies</w:t>
        </w:r>
        <w:r>
          <w:rPr>
            <w:spacing w:val="-2"/>
            <w:sz w:val="24"/>
          </w:rPr>
          <w:t> </w:t>
        </w:r>
        <w:r>
          <w:rPr>
            <w:sz w:val="24"/>
          </w:rPr>
          <w:t>–</w:t>
        </w:r>
        <w:r>
          <w:rPr>
            <w:spacing w:val="-1"/>
            <w:sz w:val="24"/>
          </w:rPr>
          <w:t> </w:t>
        </w:r>
        <w:r>
          <w:rPr>
            <w:sz w:val="24"/>
          </w:rPr>
          <w:t>induced </w:t>
        </w:r>
        <w:r>
          <w:rPr>
            <w:spacing w:val="-2"/>
            <w:sz w:val="24"/>
          </w:rPr>
          <w:t>diabetes</w:t>
        </w:r>
        <w:r>
          <w:rPr>
            <w:sz w:val="24"/>
          </w:rPr>
          <w:tab/>
        </w:r>
        <w:r>
          <w:rPr>
            <w:spacing w:val="-5"/>
            <w:sz w:val="24"/>
          </w:rPr>
          <w:t>38</w:t>
        </w:r>
      </w:hyperlink>
    </w:p>
    <w:p>
      <w:pPr>
        <w:pStyle w:val="ListParagraph"/>
        <w:numPr>
          <w:ilvl w:val="3"/>
          <w:numId w:val="1"/>
        </w:numPr>
        <w:tabs>
          <w:tab w:pos="2122" w:val="left" w:leader="none"/>
          <w:tab w:pos="8604" w:val="left" w:leader="none"/>
        </w:tabs>
        <w:spacing w:line="240" w:lineRule="auto" w:before="138" w:after="0"/>
        <w:ind w:left="2122" w:right="0" w:hanging="1440"/>
        <w:jc w:val="left"/>
        <w:rPr>
          <w:sz w:val="24"/>
        </w:rPr>
      </w:pPr>
      <w:hyperlink w:history="true" w:anchor="_TOC_250086">
        <w:r>
          <w:rPr>
            <w:sz w:val="24"/>
          </w:rPr>
          <w:t>Hormone</w:t>
        </w:r>
        <w:r>
          <w:rPr>
            <w:spacing w:val="-2"/>
            <w:sz w:val="24"/>
          </w:rPr>
          <w:t> </w:t>
        </w:r>
        <w:r>
          <w:rPr>
            <w:sz w:val="24"/>
          </w:rPr>
          <w:t>induced</w:t>
        </w:r>
        <w:r>
          <w:rPr>
            <w:spacing w:val="-2"/>
            <w:sz w:val="24"/>
          </w:rPr>
          <w:t> diabetes</w:t>
        </w:r>
        <w:r>
          <w:rPr>
            <w:sz w:val="24"/>
          </w:rPr>
          <w:tab/>
        </w:r>
        <w:r>
          <w:rPr>
            <w:spacing w:val="-5"/>
            <w:sz w:val="24"/>
          </w:rPr>
          <w:t>39</w:t>
        </w:r>
      </w:hyperlink>
    </w:p>
    <w:p>
      <w:pPr>
        <w:pStyle w:val="ListParagraph"/>
        <w:numPr>
          <w:ilvl w:val="3"/>
          <w:numId w:val="1"/>
        </w:numPr>
        <w:tabs>
          <w:tab w:pos="2122" w:val="left" w:leader="none"/>
          <w:tab w:pos="8604" w:val="left" w:leader="none"/>
        </w:tabs>
        <w:spacing w:line="240" w:lineRule="auto" w:before="139" w:after="0"/>
        <w:ind w:left="2122" w:right="0" w:hanging="1440"/>
        <w:jc w:val="left"/>
        <w:rPr>
          <w:sz w:val="24"/>
        </w:rPr>
      </w:pPr>
      <w:hyperlink w:history="true" w:anchor="_TOC_250085">
        <w:r>
          <w:rPr>
            <w:sz w:val="24"/>
          </w:rPr>
          <w:t>Genetic</w:t>
        </w:r>
        <w:r>
          <w:rPr>
            <w:spacing w:val="-4"/>
            <w:sz w:val="24"/>
          </w:rPr>
          <w:t> </w:t>
        </w:r>
        <w:r>
          <w:rPr>
            <w:spacing w:val="-2"/>
            <w:sz w:val="24"/>
          </w:rPr>
          <w:t>models</w:t>
        </w:r>
        <w:r>
          <w:rPr>
            <w:sz w:val="24"/>
          </w:rPr>
          <w:tab/>
        </w:r>
        <w:r>
          <w:rPr>
            <w:spacing w:val="-5"/>
            <w:sz w:val="24"/>
          </w:rPr>
          <w:t>39</w:t>
        </w:r>
      </w:hyperlink>
    </w:p>
    <w:p>
      <w:pPr>
        <w:pStyle w:val="ListParagraph"/>
        <w:numPr>
          <w:ilvl w:val="4"/>
          <w:numId w:val="1"/>
        </w:numPr>
        <w:tabs>
          <w:tab w:pos="2122" w:val="left" w:leader="none"/>
          <w:tab w:pos="8604" w:val="left" w:leader="none"/>
        </w:tabs>
        <w:spacing w:line="240" w:lineRule="auto" w:before="137" w:after="0"/>
        <w:ind w:left="2122" w:right="0" w:hanging="1440"/>
        <w:jc w:val="left"/>
        <w:rPr>
          <w:sz w:val="24"/>
        </w:rPr>
      </w:pPr>
      <w:hyperlink w:history="true" w:anchor="_TOC_250084">
        <w:r>
          <w:rPr>
            <w:sz w:val="24"/>
          </w:rPr>
          <w:t>Non</w:t>
        </w:r>
        <w:r>
          <w:rPr>
            <w:spacing w:val="-3"/>
            <w:sz w:val="24"/>
          </w:rPr>
          <w:t> </w:t>
        </w:r>
        <w:r>
          <w:rPr>
            <w:sz w:val="24"/>
          </w:rPr>
          <w:t>obese</w:t>
        </w:r>
        <w:r>
          <w:rPr>
            <w:spacing w:val="-2"/>
            <w:sz w:val="24"/>
          </w:rPr>
          <w:t> </w:t>
        </w:r>
        <w:r>
          <w:rPr>
            <w:sz w:val="24"/>
          </w:rPr>
          <w:t>diabetic</w:t>
        </w:r>
        <w:r>
          <w:rPr>
            <w:spacing w:val="-2"/>
            <w:sz w:val="24"/>
          </w:rPr>
          <w:t> </w:t>
        </w:r>
        <w:r>
          <w:rPr>
            <w:sz w:val="24"/>
          </w:rPr>
          <w:t>mouse</w:t>
        </w:r>
        <w:r>
          <w:rPr>
            <w:spacing w:val="-2"/>
            <w:sz w:val="24"/>
          </w:rPr>
          <w:t> </w:t>
        </w:r>
        <w:r>
          <w:rPr>
            <w:sz w:val="24"/>
          </w:rPr>
          <w:t>(NOD </w:t>
        </w:r>
        <w:r>
          <w:rPr>
            <w:spacing w:val="-2"/>
            <w:sz w:val="24"/>
          </w:rPr>
          <w:t>mouse)</w:t>
        </w:r>
        <w:r>
          <w:rPr>
            <w:sz w:val="24"/>
          </w:rPr>
          <w:tab/>
        </w:r>
        <w:r>
          <w:rPr>
            <w:spacing w:val="-5"/>
            <w:sz w:val="24"/>
          </w:rPr>
          <w:t>39</w:t>
        </w:r>
      </w:hyperlink>
    </w:p>
    <w:p>
      <w:pPr>
        <w:pStyle w:val="ListParagraph"/>
        <w:numPr>
          <w:ilvl w:val="4"/>
          <w:numId w:val="1"/>
        </w:numPr>
        <w:tabs>
          <w:tab w:pos="2122" w:val="left" w:leader="none"/>
          <w:tab w:pos="8604" w:val="left" w:leader="none"/>
        </w:tabs>
        <w:spacing w:line="240" w:lineRule="auto" w:before="139" w:after="0"/>
        <w:ind w:left="2122" w:right="0" w:hanging="1440"/>
        <w:jc w:val="left"/>
        <w:rPr>
          <w:sz w:val="24"/>
        </w:rPr>
      </w:pPr>
      <w:r>
        <w:rPr>
          <w:sz w:val="24"/>
        </w:rPr>
        <w:t>Bio</w:t>
      </w:r>
      <w:r>
        <w:rPr>
          <w:spacing w:val="-4"/>
          <w:sz w:val="24"/>
        </w:rPr>
        <w:t> </w:t>
      </w:r>
      <w:r>
        <w:rPr>
          <w:sz w:val="24"/>
        </w:rPr>
        <w:t>breeding</w:t>
      </w:r>
      <w:r>
        <w:rPr>
          <w:spacing w:val="-2"/>
          <w:sz w:val="24"/>
        </w:rPr>
        <w:t> </w:t>
      </w:r>
      <w:r>
        <w:rPr>
          <w:sz w:val="24"/>
        </w:rPr>
        <w:t>(BB) </w:t>
      </w:r>
      <w:r>
        <w:rPr>
          <w:spacing w:val="-4"/>
          <w:sz w:val="24"/>
        </w:rPr>
        <w:t>rats</w:t>
      </w:r>
      <w:r>
        <w:rPr>
          <w:sz w:val="24"/>
        </w:rPr>
        <w:tab/>
      </w:r>
      <w:r>
        <w:rPr>
          <w:spacing w:val="-5"/>
          <w:sz w:val="24"/>
        </w:rPr>
        <w:t>39</w:t>
      </w:r>
    </w:p>
    <w:p>
      <w:pPr>
        <w:pStyle w:val="ListParagraph"/>
        <w:numPr>
          <w:ilvl w:val="4"/>
          <w:numId w:val="1"/>
        </w:numPr>
        <w:tabs>
          <w:tab w:pos="2122" w:val="left" w:leader="none"/>
          <w:tab w:pos="8604" w:val="left" w:leader="none"/>
        </w:tabs>
        <w:spacing w:line="240" w:lineRule="auto" w:before="137" w:after="0"/>
        <w:ind w:left="2122" w:right="0" w:hanging="1440"/>
        <w:jc w:val="left"/>
        <w:rPr>
          <w:sz w:val="24"/>
        </w:rPr>
      </w:pPr>
      <w:hyperlink w:history="true" w:anchor="_TOC_250083">
        <w:r>
          <w:rPr>
            <w:sz w:val="24"/>
          </w:rPr>
          <w:t>Adrenaline</w:t>
        </w:r>
        <w:r>
          <w:rPr>
            <w:spacing w:val="-2"/>
            <w:sz w:val="24"/>
          </w:rPr>
          <w:t> </w:t>
        </w:r>
        <w:r>
          <w:rPr>
            <w:sz w:val="24"/>
          </w:rPr>
          <w:t>induced</w:t>
        </w:r>
        <w:r>
          <w:rPr>
            <w:spacing w:val="-1"/>
            <w:sz w:val="24"/>
          </w:rPr>
          <w:t> </w:t>
        </w:r>
        <w:r>
          <w:rPr>
            <w:sz w:val="24"/>
          </w:rPr>
          <w:t>acute </w:t>
        </w:r>
        <w:r>
          <w:rPr>
            <w:spacing w:val="-2"/>
            <w:sz w:val="24"/>
          </w:rPr>
          <w:t>hyperglycemia</w:t>
        </w:r>
        <w:r>
          <w:rPr>
            <w:sz w:val="24"/>
          </w:rPr>
          <w:tab/>
        </w:r>
        <w:r>
          <w:rPr>
            <w:spacing w:val="-5"/>
            <w:sz w:val="24"/>
          </w:rPr>
          <w:t>40</w:t>
        </w:r>
      </w:hyperlink>
    </w:p>
    <w:p>
      <w:pPr>
        <w:pStyle w:val="ListParagraph"/>
        <w:numPr>
          <w:ilvl w:val="4"/>
          <w:numId w:val="1"/>
        </w:numPr>
        <w:tabs>
          <w:tab w:pos="2122" w:val="left" w:leader="none"/>
          <w:tab w:pos="8604" w:val="left" w:leader="none"/>
        </w:tabs>
        <w:spacing w:line="240" w:lineRule="auto" w:before="139" w:after="0"/>
        <w:ind w:left="2122" w:right="0" w:hanging="1440"/>
        <w:jc w:val="left"/>
        <w:rPr>
          <w:sz w:val="24"/>
        </w:rPr>
      </w:pPr>
      <w:hyperlink w:history="true" w:anchor="_TOC_250082">
        <w:r>
          <w:rPr>
            <w:sz w:val="24"/>
          </w:rPr>
          <w:t>Dithizone</w:t>
        </w:r>
        <w:r>
          <w:rPr>
            <w:spacing w:val="-2"/>
            <w:sz w:val="24"/>
          </w:rPr>
          <w:t> </w:t>
        </w:r>
        <w:r>
          <w:rPr>
            <w:sz w:val="24"/>
          </w:rPr>
          <w:t>induced</w:t>
        </w:r>
        <w:r>
          <w:rPr>
            <w:spacing w:val="-1"/>
            <w:sz w:val="24"/>
          </w:rPr>
          <w:t> </w:t>
        </w:r>
        <w:r>
          <w:rPr>
            <w:spacing w:val="-2"/>
            <w:sz w:val="24"/>
          </w:rPr>
          <w:t>diabetes</w:t>
        </w:r>
        <w:r>
          <w:rPr>
            <w:sz w:val="24"/>
          </w:rPr>
          <w:tab/>
        </w:r>
        <w:r>
          <w:rPr>
            <w:spacing w:val="-5"/>
            <w:sz w:val="24"/>
          </w:rPr>
          <w:t>40</w:t>
        </w:r>
      </w:hyperlink>
    </w:p>
    <w:p>
      <w:pPr>
        <w:pStyle w:val="ListParagraph"/>
        <w:numPr>
          <w:ilvl w:val="1"/>
          <w:numId w:val="1"/>
        </w:numPr>
        <w:tabs>
          <w:tab w:pos="2122" w:val="left" w:leader="none"/>
          <w:tab w:pos="8604" w:val="left" w:leader="none"/>
        </w:tabs>
        <w:spacing w:line="240" w:lineRule="auto" w:before="137" w:after="0"/>
        <w:ind w:left="2122" w:right="0" w:hanging="1440"/>
        <w:jc w:val="left"/>
        <w:rPr>
          <w:sz w:val="24"/>
        </w:rPr>
      </w:pPr>
      <w:hyperlink w:history="true" w:anchor="_TOC_250081">
        <w:r>
          <w:rPr>
            <w:spacing w:val="-2"/>
            <w:sz w:val="24"/>
          </w:rPr>
          <w:t>Tablets</w:t>
        </w:r>
        <w:r>
          <w:rPr>
            <w:sz w:val="24"/>
          </w:rPr>
          <w:tab/>
        </w:r>
        <w:r>
          <w:rPr>
            <w:spacing w:val="-5"/>
            <w:sz w:val="24"/>
          </w:rPr>
          <w:t>40</w:t>
        </w:r>
      </w:hyperlink>
    </w:p>
    <w:p>
      <w:pPr>
        <w:pStyle w:val="ListParagraph"/>
        <w:numPr>
          <w:ilvl w:val="2"/>
          <w:numId w:val="1"/>
        </w:numPr>
        <w:tabs>
          <w:tab w:pos="2122" w:val="left" w:leader="none"/>
          <w:tab w:pos="8604" w:val="left" w:leader="none"/>
        </w:tabs>
        <w:spacing w:line="240" w:lineRule="auto" w:before="139" w:after="0"/>
        <w:ind w:left="2122" w:right="0" w:hanging="1440"/>
        <w:jc w:val="left"/>
        <w:rPr>
          <w:sz w:val="24"/>
        </w:rPr>
      </w:pPr>
      <w:hyperlink w:history="true" w:anchor="_TOC_250080">
        <w:r>
          <w:rPr>
            <w:sz w:val="24"/>
          </w:rPr>
          <w:t>Advantages</w:t>
        </w:r>
        <w:r>
          <w:rPr>
            <w:spacing w:val="-1"/>
            <w:sz w:val="24"/>
          </w:rPr>
          <w:t> </w:t>
        </w:r>
        <w:r>
          <w:rPr>
            <w:sz w:val="24"/>
          </w:rPr>
          <w:t>of</w:t>
        </w:r>
        <w:r>
          <w:rPr>
            <w:spacing w:val="-1"/>
            <w:sz w:val="24"/>
          </w:rPr>
          <w:t> </w:t>
        </w:r>
        <w:r>
          <w:rPr>
            <w:sz w:val="24"/>
          </w:rPr>
          <w:t>tablet</w:t>
        </w:r>
        <w:r>
          <w:rPr>
            <w:spacing w:val="-1"/>
            <w:sz w:val="24"/>
          </w:rPr>
          <w:t> </w:t>
        </w:r>
        <w:r>
          <w:rPr>
            <w:sz w:val="24"/>
          </w:rPr>
          <w:t>as</w:t>
        </w:r>
        <w:r>
          <w:rPr>
            <w:spacing w:val="-1"/>
            <w:sz w:val="24"/>
          </w:rPr>
          <w:t> </w:t>
        </w:r>
        <w:r>
          <w:rPr>
            <w:sz w:val="24"/>
          </w:rPr>
          <w:t>a</w:t>
        </w:r>
        <w:r>
          <w:rPr>
            <w:spacing w:val="-1"/>
            <w:sz w:val="24"/>
          </w:rPr>
          <w:t> </w:t>
        </w:r>
        <w:r>
          <w:rPr>
            <w:sz w:val="24"/>
          </w:rPr>
          <w:t>dosage</w:t>
        </w:r>
        <w:r>
          <w:rPr>
            <w:spacing w:val="-1"/>
            <w:sz w:val="24"/>
          </w:rPr>
          <w:t> </w:t>
        </w:r>
        <w:r>
          <w:rPr>
            <w:spacing w:val="-4"/>
            <w:sz w:val="24"/>
          </w:rPr>
          <w:t>form</w:t>
        </w:r>
        <w:r>
          <w:rPr>
            <w:sz w:val="24"/>
          </w:rPr>
          <w:tab/>
        </w:r>
        <w:r>
          <w:rPr>
            <w:spacing w:val="-5"/>
            <w:sz w:val="24"/>
          </w:rPr>
          <w:t>41</w:t>
        </w:r>
      </w:hyperlink>
    </w:p>
    <w:p>
      <w:pPr>
        <w:pStyle w:val="ListParagraph"/>
        <w:numPr>
          <w:ilvl w:val="2"/>
          <w:numId w:val="1"/>
        </w:numPr>
        <w:tabs>
          <w:tab w:pos="2122" w:val="left" w:leader="none"/>
          <w:tab w:pos="8604" w:val="left" w:leader="none"/>
        </w:tabs>
        <w:spacing w:line="240" w:lineRule="auto" w:before="137" w:after="0"/>
        <w:ind w:left="2122" w:right="0" w:hanging="1440"/>
        <w:jc w:val="left"/>
        <w:rPr>
          <w:sz w:val="24"/>
        </w:rPr>
      </w:pPr>
      <w:hyperlink w:history="true" w:anchor="_TOC_250079">
        <w:r>
          <w:rPr>
            <w:sz w:val="24"/>
          </w:rPr>
          <w:t>Disadvantages</w:t>
        </w:r>
        <w:r>
          <w:rPr>
            <w:spacing w:val="-3"/>
            <w:sz w:val="24"/>
          </w:rPr>
          <w:t> </w:t>
        </w:r>
        <w:r>
          <w:rPr>
            <w:sz w:val="24"/>
          </w:rPr>
          <w:t>of</w:t>
        </w:r>
        <w:r>
          <w:rPr>
            <w:spacing w:val="-1"/>
            <w:sz w:val="24"/>
          </w:rPr>
          <w:t> </w:t>
        </w:r>
        <w:r>
          <w:rPr>
            <w:sz w:val="24"/>
          </w:rPr>
          <w:t>tablet</w:t>
        </w:r>
        <w:r>
          <w:rPr>
            <w:spacing w:val="-1"/>
            <w:sz w:val="24"/>
          </w:rPr>
          <w:t> </w:t>
        </w:r>
        <w:r>
          <w:rPr>
            <w:sz w:val="24"/>
          </w:rPr>
          <w:t>as</w:t>
        </w:r>
        <w:r>
          <w:rPr>
            <w:spacing w:val="-1"/>
            <w:sz w:val="24"/>
          </w:rPr>
          <w:t> </w:t>
        </w:r>
        <w:r>
          <w:rPr>
            <w:sz w:val="24"/>
          </w:rPr>
          <w:t>a</w:t>
        </w:r>
        <w:r>
          <w:rPr>
            <w:spacing w:val="-2"/>
            <w:sz w:val="24"/>
          </w:rPr>
          <w:t> </w:t>
        </w:r>
        <w:r>
          <w:rPr>
            <w:sz w:val="24"/>
          </w:rPr>
          <w:t>dosage</w:t>
        </w:r>
        <w:r>
          <w:rPr>
            <w:spacing w:val="-1"/>
            <w:sz w:val="24"/>
          </w:rPr>
          <w:t> </w:t>
        </w:r>
        <w:r>
          <w:rPr>
            <w:spacing w:val="-4"/>
            <w:sz w:val="24"/>
          </w:rPr>
          <w:t>form</w:t>
        </w:r>
        <w:r>
          <w:rPr>
            <w:sz w:val="24"/>
          </w:rPr>
          <w:tab/>
        </w:r>
        <w:r>
          <w:rPr>
            <w:spacing w:val="-5"/>
            <w:sz w:val="24"/>
          </w:rPr>
          <w:t>41</w:t>
        </w:r>
      </w:hyperlink>
    </w:p>
    <w:p>
      <w:pPr>
        <w:pStyle w:val="ListParagraph"/>
        <w:numPr>
          <w:ilvl w:val="2"/>
          <w:numId w:val="1"/>
        </w:numPr>
        <w:tabs>
          <w:tab w:pos="2122" w:val="left" w:leader="none"/>
          <w:tab w:pos="8604" w:val="left" w:leader="none"/>
        </w:tabs>
        <w:spacing w:line="240" w:lineRule="auto" w:before="140" w:after="0"/>
        <w:ind w:left="2122" w:right="0" w:hanging="1440"/>
        <w:jc w:val="left"/>
        <w:rPr>
          <w:sz w:val="24"/>
        </w:rPr>
      </w:pPr>
      <w:hyperlink w:history="true" w:anchor="_TOC_250078">
        <w:r>
          <w:rPr>
            <w:sz w:val="24"/>
          </w:rPr>
          <w:t>Tablet</w:t>
        </w:r>
        <w:r>
          <w:rPr>
            <w:spacing w:val="-2"/>
            <w:sz w:val="24"/>
          </w:rPr>
          <w:t> excipients</w:t>
        </w:r>
        <w:r>
          <w:rPr>
            <w:sz w:val="24"/>
          </w:rPr>
          <w:tab/>
        </w:r>
        <w:r>
          <w:rPr>
            <w:spacing w:val="-5"/>
            <w:sz w:val="24"/>
          </w:rPr>
          <w:t>42</w:t>
        </w:r>
      </w:hyperlink>
    </w:p>
    <w:p>
      <w:pPr>
        <w:pStyle w:val="ListParagraph"/>
        <w:numPr>
          <w:ilvl w:val="3"/>
          <w:numId w:val="1"/>
        </w:numPr>
        <w:tabs>
          <w:tab w:pos="2122" w:val="left" w:leader="none"/>
          <w:tab w:pos="8604" w:val="left" w:leader="none"/>
        </w:tabs>
        <w:spacing w:line="240" w:lineRule="auto" w:before="136" w:after="0"/>
        <w:ind w:left="2122" w:right="0" w:hanging="1440"/>
        <w:jc w:val="left"/>
        <w:rPr>
          <w:sz w:val="24"/>
        </w:rPr>
      </w:pPr>
      <w:hyperlink w:history="true" w:anchor="_TOC_250077">
        <w:r>
          <w:rPr>
            <w:spacing w:val="-2"/>
            <w:sz w:val="24"/>
          </w:rPr>
          <w:t>Binders</w:t>
        </w:r>
        <w:r>
          <w:rPr>
            <w:sz w:val="24"/>
          </w:rPr>
          <w:tab/>
        </w:r>
        <w:r>
          <w:rPr>
            <w:spacing w:val="-5"/>
            <w:sz w:val="24"/>
          </w:rPr>
          <w:t>42</w:t>
        </w:r>
      </w:hyperlink>
    </w:p>
    <w:p>
      <w:pPr>
        <w:pStyle w:val="ListParagraph"/>
        <w:numPr>
          <w:ilvl w:val="3"/>
          <w:numId w:val="1"/>
        </w:numPr>
        <w:tabs>
          <w:tab w:pos="2122" w:val="left" w:leader="none"/>
          <w:tab w:pos="8604" w:val="left" w:leader="none"/>
        </w:tabs>
        <w:spacing w:line="240" w:lineRule="auto" w:before="140" w:after="0"/>
        <w:ind w:left="2122" w:right="0" w:hanging="1440"/>
        <w:jc w:val="left"/>
        <w:rPr>
          <w:sz w:val="24"/>
        </w:rPr>
      </w:pPr>
      <w:hyperlink w:history="true" w:anchor="_TOC_250076">
        <w:r>
          <w:rPr>
            <w:spacing w:val="-2"/>
            <w:sz w:val="24"/>
          </w:rPr>
          <w:t>Diluents</w:t>
        </w:r>
        <w:r>
          <w:rPr>
            <w:sz w:val="24"/>
          </w:rPr>
          <w:tab/>
        </w:r>
        <w:r>
          <w:rPr>
            <w:spacing w:val="-5"/>
            <w:sz w:val="24"/>
          </w:rPr>
          <w:t>42</w:t>
        </w:r>
      </w:hyperlink>
    </w:p>
    <w:p>
      <w:pPr>
        <w:pStyle w:val="ListParagraph"/>
        <w:numPr>
          <w:ilvl w:val="3"/>
          <w:numId w:val="1"/>
        </w:numPr>
        <w:tabs>
          <w:tab w:pos="2122" w:val="left" w:leader="none"/>
          <w:tab w:pos="8604" w:val="left" w:leader="none"/>
        </w:tabs>
        <w:spacing w:line="240" w:lineRule="auto" w:before="137" w:after="0"/>
        <w:ind w:left="2122" w:right="0" w:hanging="1440"/>
        <w:jc w:val="left"/>
        <w:rPr>
          <w:sz w:val="24"/>
        </w:rPr>
      </w:pPr>
      <w:hyperlink w:history="true" w:anchor="_TOC_250075">
        <w:r>
          <w:rPr>
            <w:spacing w:val="-2"/>
            <w:sz w:val="24"/>
          </w:rPr>
          <w:t>Disintegrants</w:t>
        </w:r>
        <w:r>
          <w:rPr>
            <w:sz w:val="24"/>
          </w:rPr>
          <w:tab/>
        </w:r>
        <w:r>
          <w:rPr>
            <w:spacing w:val="-5"/>
            <w:sz w:val="24"/>
          </w:rPr>
          <w:t>44</w:t>
        </w:r>
      </w:hyperlink>
    </w:p>
    <w:p>
      <w:pPr>
        <w:spacing w:after="0" w:line="240" w:lineRule="auto"/>
        <w:jc w:val="left"/>
        <w:rPr>
          <w:sz w:val="24"/>
        </w:rPr>
        <w:sectPr>
          <w:pgSz w:w="12240" w:h="15840"/>
          <w:pgMar w:header="0" w:footer="1068" w:top="1360" w:bottom="1260" w:left="1420" w:right="420"/>
        </w:sectPr>
      </w:pPr>
    </w:p>
    <w:sdt>
      <w:sdtPr>
        <w:docPartObj>
          <w:docPartGallery w:val="Table of Contents"/>
          <w:docPartUnique/>
        </w:docPartObj>
      </w:sdtPr>
      <w:sdtEndPr/>
      <w:sdtContent>
        <w:p>
          <w:pPr>
            <w:pStyle w:val="TOC1"/>
            <w:numPr>
              <w:ilvl w:val="3"/>
              <w:numId w:val="1"/>
            </w:numPr>
            <w:tabs>
              <w:tab w:pos="2122" w:val="left" w:leader="none"/>
              <w:tab w:pos="8844" w:val="right" w:leader="none"/>
            </w:tabs>
            <w:spacing w:line="240" w:lineRule="auto" w:before="74" w:after="0"/>
            <w:ind w:left="2122" w:right="0" w:hanging="1440"/>
            <w:jc w:val="left"/>
          </w:pPr>
          <w:r>
            <w:rPr/>
            <mc:AlternateContent>
              <mc:Choice Requires="wps">
                <w:drawing>
                  <wp:anchor distT="0" distB="0" distL="0" distR="0" allowOverlap="1" layoutInCell="1" locked="0" behindDoc="1" simplePos="0" relativeHeight="482907648">
                    <wp:simplePos x="0" y="0"/>
                    <wp:positionH relativeFrom="page">
                      <wp:posOffset>-1402226</wp:posOffset>
                    </wp:positionH>
                    <wp:positionV relativeFrom="page">
                      <wp:posOffset>4612234</wp:posOffset>
                    </wp:positionV>
                    <wp:extent cx="10685780" cy="914400"/>
                    <wp:effectExtent l="0" t="0" r="0" b="0"/>
                    <wp:wrapNone/>
                    <wp:docPr id="12" name="Textbox 12"/>
                    <wp:cNvGraphicFramePr>
                      <a:graphicFrameLocks/>
                    </wp:cNvGraphicFramePr>
                    <a:graphic>
                      <a:graphicData uri="http://schemas.microsoft.com/office/word/2010/wordprocessingShape">
                        <wps:wsp>
                          <wps:cNvPr id="12" name="Textbox 1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8832;rotation:306" type="#_x0000_t136" fillcolor="#ff5400" stroked="f">
                    <o:extrusion v:ext="view" autorotationcenter="t"/>
                    <v:textpath style="font-family:&quot;Arial MT&quot;;font-size:72pt;v-text-kern:t;mso-text-shadow:auto" string="UNIVERSITY OF IBADAN"/>
                    <w10:wrap type="none"/>
                  </v:shape>
                </w:pict>
              </mc:Fallback>
            </mc:AlternateContent>
          </w:r>
          <w:hyperlink w:history="true" w:anchor="_TOC_250074">
            <w:r>
              <w:rPr>
                <w:spacing w:val="-2"/>
              </w:rPr>
              <w:t>Lubricants</w:t>
            </w:r>
            <w:r>
              <w:rPr/>
              <w:tab/>
            </w:r>
            <w:r>
              <w:rPr>
                <w:spacing w:val="-5"/>
              </w:rPr>
              <w:t>44</w:t>
            </w:r>
          </w:hyperlink>
        </w:p>
        <w:p>
          <w:pPr>
            <w:pStyle w:val="TOC1"/>
            <w:numPr>
              <w:ilvl w:val="3"/>
              <w:numId w:val="1"/>
            </w:numPr>
            <w:tabs>
              <w:tab w:pos="2122" w:val="left" w:leader="none"/>
              <w:tab w:pos="8844" w:val="right" w:leader="none"/>
            </w:tabs>
            <w:spacing w:line="240" w:lineRule="auto" w:before="137" w:after="0"/>
            <w:ind w:left="2122" w:right="0" w:hanging="1440"/>
            <w:jc w:val="left"/>
          </w:pPr>
          <w:hyperlink w:history="true" w:anchor="_TOC_250073">
            <w:r>
              <w:rPr/>
              <w:t>Glidants</w:t>
            </w:r>
            <w:r>
              <w:rPr>
                <w:spacing w:val="-1"/>
              </w:rPr>
              <w:t> </w:t>
            </w:r>
            <w:r>
              <w:rPr/>
              <w:t>or</w:t>
            </w:r>
            <w:r>
              <w:rPr>
                <w:spacing w:val="-1"/>
              </w:rPr>
              <w:t> </w:t>
            </w:r>
            <w:r>
              <w:rPr/>
              <w:t>flow </w:t>
            </w:r>
            <w:r>
              <w:rPr>
                <w:spacing w:val="-2"/>
              </w:rPr>
              <w:t>promoters</w:t>
            </w:r>
            <w:r>
              <w:rPr/>
              <w:tab/>
            </w:r>
            <w:r>
              <w:rPr>
                <w:spacing w:val="-5"/>
              </w:rPr>
              <w:t>44</w:t>
            </w:r>
          </w:hyperlink>
        </w:p>
        <w:p>
          <w:pPr>
            <w:pStyle w:val="TOC1"/>
            <w:numPr>
              <w:ilvl w:val="3"/>
              <w:numId w:val="1"/>
            </w:numPr>
            <w:tabs>
              <w:tab w:pos="2122" w:val="left" w:leader="none"/>
              <w:tab w:pos="8844" w:val="right" w:leader="none"/>
            </w:tabs>
            <w:spacing w:line="240" w:lineRule="auto" w:before="139" w:after="0"/>
            <w:ind w:left="2122" w:right="0" w:hanging="1440"/>
            <w:jc w:val="left"/>
          </w:pPr>
          <w:hyperlink w:history="true" w:anchor="_TOC_250072">
            <w:r>
              <w:rPr/>
              <w:t>Colouring</w:t>
            </w:r>
            <w:r>
              <w:rPr>
                <w:spacing w:val="-3"/>
              </w:rPr>
              <w:t> </w:t>
            </w:r>
            <w:r>
              <w:rPr>
                <w:spacing w:val="-2"/>
              </w:rPr>
              <w:t>agents</w:t>
            </w:r>
            <w:r>
              <w:rPr/>
              <w:tab/>
            </w:r>
            <w:r>
              <w:rPr>
                <w:spacing w:val="-5"/>
              </w:rPr>
              <w:t>44</w:t>
            </w:r>
          </w:hyperlink>
        </w:p>
        <w:p>
          <w:pPr>
            <w:pStyle w:val="TOC1"/>
            <w:numPr>
              <w:ilvl w:val="3"/>
              <w:numId w:val="1"/>
            </w:numPr>
            <w:tabs>
              <w:tab w:pos="2122" w:val="left" w:leader="none"/>
              <w:tab w:pos="8844" w:val="right" w:leader="none"/>
            </w:tabs>
            <w:spacing w:line="240" w:lineRule="auto" w:before="137" w:after="0"/>
            <w:ind w:left="2122" w:right="0" w:hanging="1440"/>
            <w:jc w:val="left"/>
          </w:pPr>
          <w:hyperlink w:history="true" w:anchor="_TOC_250071">
            <w:r>
              <w:rPr/>
              <w:t>Flavours</w:t>
            </w:r>
            <w:r>
              <w:rPr>
                <w:spacing w:val="-3"/>
              </w:rPr>
              <w:t> </w:t>
            </w:r>
            <w:r>
              <w:rPr/>
              <w:t>and</w:t>
            </w:r>
            <w:r>
              <w:rPr>
                <w:spacing w:val="-2"/>
              </w:rPr>
              <w:t> sweeteners</w:t>
            </w:r>
            <w:r>
              <w:rPr/>
              <w:tab/>
            </w:r>
            <w:r>
              <w:rPr>
                <w:spacing w:val="-5"/>
              </w:rPr>
              <w:t>45</w:t>
            </w:r>
          </w:hyperlink>
        </w:p>
        <w:p>
          <w:pPr>
            <w:pStyle w:val="TOC1"/>
            <w:numPr>
              <w:ilvl w:val="2"/>
              <w:numId w:val="1"/>
            </w:numPr>
            <w:tabs>
              <w:tab w:pos="2122" w:val="left" w:leader="none"/>
              <w:tab w:pos="8844" w:val="right" w:leader="none"/>
            </w:tabs>
            <w:spacing w:line="240" w:lineRule="auto" w:before="140" w:after="0"/>
            <w:ind w:left="2122" w:right="0" w:hanging="1440"/>
            <w:jc w:val="left"/>
          </w:pPr>
          <w:hyperlink w:history="true" w:anchor="_TOC_250070">
            <w:r>
              <w:rPr/>
              <w:t>Methods</w:t>
            </w:r>
            <w:r>
              <w:rPr>
                <w:spacing w:val="-1"/>
              </w:rPr>
              <w:t> </w:t>
            </w:r>
            <w:r>
              <w:rPr/>
              <w:t>of tablet </w:t>
            </w:r>
            <w:r>
              <w:rPr>
                <w:spacing w:val="-2"/>
              </w:rPr>
              <w:t>production</w:t>
            </w:r>
            <w:r>
              <w:rPr/>
              <w:tab/>
            </w:r>
            <w:r>
              <w:rPr>
                <w:spacing w:val="-5"/>
              </w:rPr>
              <w:t>45</w:t>
            </w:r>
          </w:hyperlink>
        </w:p>
        <w:p>
          <w:pPr>
            <w:pStyle w:val="TOC1"/>
            <w:numPr>
              <w:ilvl w:val="3"/>
              <w:numId w:val="1"/>
            </w:numPr>
            <w:tabs>
              <w:tab w:pos="2122" w:val="left" w:leader="none"/>
              <w:tab w:pos="8844" w:val="right" w:leader="none"/>
            </w:tabs>
            <w:spacing w:line="240" w:lineRule="auto" w:before="136" w:after="0"/>
            <w:ind w:left="2122" w:right="0" w:hanging="1440"/>
            <w:jc w:val="left"/>
          </w:pPr>
          <w:hyperlink w:history="true" w:anchor="_TOC_250069">
            <w:r>
              <w:rPr/>
              <w:t>Direct</w:t>
            </w:r>
            <w:r>
              <w:rPr>
                <w:spacing w:val="-3"/>
              </w:rPr>
              <w:t> </w:t>
            </w:r>
            <w:r>
              <w:rPr>
                <w:spacing w:val="-2"/>
              </w:rPr>
              <w:t>compression</w:t>
            </w:r>
            <w:r>
              <w:rPr/>
              <w:tab/>
            </w:r>
            <w:r>
              <w:rPr>
                <w:spacing w:val="-5"/>
              </w:rPr>
              <w:t>46</w:t>
            </w:r>
          </w:hyperlink>
        </w:p>
        <w:p>
          <w:pPr>
            <w:pStyle w:val="TOC1"/>
            <w:numPr>
              <w:ilvl w:val="3"/>
              <w:numId w:val="1"/>
            </w:numPr>
            <w:tabs>
              <w:tab w:pos="2122" w:val="left" w:leader="none"/>
              <w:tab w:pos="8844" w:val="right" w:leader="none"/>
            </w:tabs>
            <w:spacing w:line="240" w:lineRule="auto" w:before="140" w:after="0"/>
            <w:ind w:left="2122" w:right="0" w:hanging="1440"/>
            <w:jc w:val="left"/>
          </w:pPr>
          <w:hyperlink w:history="true" w:anchor="_TOC_250068">
            <w:r>
              <w:rPr/>
              <w:t>Compression</w:t>
            </w:r>
            <w:r>
              <w:rPr>
                <w:spacing w:val="-2"/>
              </w:rPr>
              <w:t> granulation</w:t>
            </w:r>
            <w:r>
              <w:rPr/>
              <w:tab/>
            </w:r>
            <w:r>
              <w:rPr>
                <w:spacing w:val="-5"/>
              </w:rPr>
              <w:t>47</w:t>
            </w:r>
          </w:hyperlink>
        </w:p>
        <w:p>
          <w:pPr>
            <w:pStyle w:val="TOC1"/>
            <w:numPr>
              <w:ilvl w:val="3"/>
              <w:numId w:val="1"/>
            </w:numPr>
            <w:tabs>
              <w:tab w:pos="2122" w:val="left" w:leader="none"/>
              <w:tab w:pos="8844" w:val="right" w:leader="none"/>
            </w:tabs>
            <w:spacing w:line="240" w:lineRule="auto" w:before="136" w:after="0"/>
            <w:ind w:left="2122" w:right="0" w:hanging="1440"/>
            <w:jc w:val="left"/>
          </w:pPr>
          <w:hyperlink w:history="true" w:anchor="_TOC_250067">
            <w:r>
              <w:rPr/>
              <w:t>Wet</w:t>
            </w:r>
            <w:r>
              <w:rPr>
                <w:spacing w:val="-2"/>
              </w:rPr>
              <w:t> granulation</w:t>
            </w:r>
            <w:r>
              <w:rPr/>
              <w:tab/>
            </w:r>
            <w:r>
              <w:rPr>
                <w:spacing w:val="-5"/>
              </w:rPr>
              <w:t>49</w:t>
            </w:r>
          </w:hyperlink>
        </w:p>
        <w:p>
          <w:pPr>
            <w:pStyle w:val="TOC1"/>
            <w:numPr>
              <w:ilvl w:val="4"/>
              <w:numId w:val="1"/>
            </w:numPr>
            <w:tabs>
              <w:tab w:pos="2122" w:val="left" w:leader="none"/>
              <w:tab w:pos="8844" w:val="right" w:leader="none"/>
            </w:tabs>
            <w:spacing w:line="240" w:lineRule="auto" w:before="140" w:after="0"/>
            <w:ind w:left="2122" w:right="0" w:hanging="1440"/>
            <w:jc w:val="left"/>
          </w:pPr>
          <w:hyperlink w:history="true" w:anchor="_TOC_250066">
            <w:r>
              <w:rPr/>
              <w:t>Stages</w:t>
            </w:r>
            <w:r>
              <w:rPr>
                <w:spacing w:val="-3"/>
              </w:rPr>
              <w:t> </w:t>
            </w:r>
            <w:r>
              <w:rPr/>
              <w:t>in the</w:t>
            </w:r>
            <w:r>
              <w:rPr>
                <w:spacing w:val="-1"/>
              </w:rPr>
              <w:t> </w:t>
            </w:r>
            <w:r>
              <w:rPr/>
              <w:t>development of moist </w:t>
            </w:r>
            <w:r>
              <w:rPr>
                <w:spacing w:val="-2"/>
              </w:rPr>
              <w:t>granules</w:t>
            </w:r>
            <w:r>
              <w:rPr/>
              <w:tab/>
            </w:r>
            <w:r>
              <w:rPr>
                <w:spacing w:val="-5"/>
              </w:rPr>
              <w:t>49</w:t>
            </w:r>
          </w:hyperlink>
        </w:p>
        <w:p>
          <w:pPr>
            <w:pStyle w:val="TOC1"/>
            <w:numPr>
              <w:ilvl w:val="5"/>
              <w:numId w:val="1"/>
            </w:numPr>
            <w:tabs>
              <w:tab w:pos="2122" w:val="left" w:leader="none"/>
              <w:tab w:pos="8844" w:val="right" w:leader="none"/>
            </w:tabs>
            <w:spacing w:line="240" w:lineRule="auto" w:before="137" w:after="0"/>
            <w:ind w:left="2122" w:right="0" w:hanging="1440"/>
            <w:jc w:val="left"/>
          </w:pPr>
          <w:hyperlink w:history="true" w:anchor="_TOC_250065">
            <w:r>
              <w:rPr/>
              <w:t>Pendular</w:t>
            </w:r>
            <w:r>
              <w:rPr>
                <w:spacing w:val="-3"/>
              </w:rPr>
              <w:t> </w:t>
            </w:r>
            <w:r>
              <w:rPr>
                <w:spacing w:val="-2"/>
              </w:rPr>
              <w:t>state</w:t>
            </w:r>
            <w:r>
              <w:rPr/>
              <w:tab/>
            </w:r>
            <w:r>
              <w:rPr>
                <w:spacing w:val="-5"/>
              </w:rPr>
              <w:t>49</w:t>
            </w:r>
          </w:hyperlink>
        </w:p>
        <w:p>
          <w:pPr>
            <w:pStyle w:val="TOC1"/>
            <w:numPr>
              <w:ilvl w:val="5"/>
              <w:numId w:val="1"/>
            </w:numPr>
            <w:tabs>
              <w:tab w:pos="2122" w:val="left" w:leader="none"/>
              <w:tab w:pos="8844" w:val="right" w:leader="none"/>
            </w:tabs>
            <w:spacing w:line="240" w:lineRule="auto" w:before="139" w:after="0"/>
            <w:ind w:left="2122" w:right="0" w:hanging="1440"/>
            <w:jc w:val="left"/>
          </w:pPr>
          <w:r>
            <w:rPr/>
            <w:t>Furnicular</w:t>
          </w:r>
          <w:r>
            <w:rPr>
              <w:spacing w:val="-2"/>
            </w:rPr>
            <w:t> state</w:t>
          </w:r>
          <w:r>
            <w:rPr/>
            <w:tab/>
          </w:r>
          <w:r>
            <w:rPr>
              <w:spacing w:val="-5"/>
            </w:rPr>
            <w:t>51</w:t>
          </w:r>
        </w:p>
        <w:p>
          <w:pPr>
            <w:pStyle w:val="TOC1"/>
            <w:numPr>
              <w:ilvl w:val="5"/>
              <w:numId w:val="1"/>
            </w:numPr>
            <w:tabs>
              <w:tab w:pos="2122" w:val="left" w:leader="none"/>
              <w:tab w:pos="8844" w:val="right" w:leader="none"/>
            </w:tabs>
            <w:spacing w:line="240" w:lineRule="auto" w:before="137" w:after="0"/>
            <w:ind w:left="2122" w:right="0" w:hanging="1440"/>
            <w:jc w:val="left"/>
          </w:pPr>
          <w:hyperlink w:history="true" w:anchor="_TOC_250064">
            <w:r>
              <w:rPr/>
              <w:t>Capillary</w:t>
            </w:r>
            <w:r>
              <w:rPr>
                <w:spacing w:val="-6"/>
              </w:rPr>
              <w:t> </w:t>
            </w:r>
            <w:r>
              <w:rPr>
                <w:spacing w:val="-2"/>
              </w:rPr>
              <w:t>state</w:t>
            </w:r>
            <w:r>
              <w:rPr/>
              <w:tab/>
            </w:r>
            <w:r>
              <w:rPr>
                <w:spacing w:val="-5"/>
              </w:rPr>
              <w:t>51</w:t>
            </w:r>
          </w:hyperlink>
        </w:p>
        <w:p>
          <w:pPr>
            <w:pStyle w:val="TOC1"/>
            <w:numPr>
              <w:ilvl w:val="5"/>
              <w:numId w:val="1"/>
            </w:numPr>
            <w:tabs>
              <w:tab w:pos="2122" w:val="left" w:leader="none"/>
              <w:tab w:pos="8844" w:val="right" w:leader="none"/>
            </w:tabs>
            <w:spacing w:line="240" w:lineRule="auto" w:before="139" w:after="0"/>
            <w:ind w:left="2122" w:right="0" w:hanging="1440"/>
            <w:jc w:val="left"/>
          </w:pPr>
          <w:hyperlink w:history="true" w:anchor="_TOC_250063">
            <w:r>
              <w:rPr/>
              <w:t>Droplet</w:t>
            </w:r>
            <w:r>
              <w:rPr>
                <w:spacing w:val="-2"/>
              </w:rPr>
              <w:t> state</w:t>
            </w:r>
            <w:r>
              <w:rPr/>
              <w:tab/>
            </w:r>
            <w:r>
              <w:rPr>
                <w:spacing w:val="-5"/>
              </w:rPr>
              <w:t>51</w:t>
            </w:r>
          </w:hyperlink>
        </w:p>
        <w:p>
          <w:pPr>
            <w:pStyle w:val="TOC1"/>
            <w:numPr>
              <w:ilvl w:val="2"/>
              <w:numId w:val="1"/>
            </w:numPr>
            <w:tabs>
              <w:tab w:pos="2122" w:val="left" w:leader="none"/>
              <w:tab w:pos="8844" w:val="right" w:leader="none"/>
            </w:tabs>
            <w:spacing w:line="240" w:lineRule="auto" w:before="137" w:after="0"/>
            <w:ind w:left="2122" w:right="0" w:hanging="1440"/>
            <w:jc w:val="left"/>
          </w:pPr>
          <w:hyperlink w:history="true" w:anchor="_TOC_250062">
            <w:r>
              <w:rPr/>
              <w:t>Tablet</w:t>
            </w:r>
            <w:r>
              <w:rPr>
                <w:spacing w:val="-2"/>
              </w:rPr>
              <w:t> compression</w:t>
            </w:r>
            <w:r>
              <w:rPr/>
              <w:tab/>
            </w:r>
            <w:r>
              <w:rPr>
                <w:spacing w:val="-5"/>
              </w:rPr>
              <w:t>52</w:t>
            </w:r>
          </w:hyperlink>
        </w:p>
        <w:p>
          <w:pPr>
            <w:pStyle w:val="TOC1"/>
            <w:numPr>
              <w:ilvl w:val="3"/>
              <w:numId w:val="1"/>
            </w:numPr>
            <w:tabs>
              <w:tab w:pos="2122" w:val="left" w:leader="none"/>
              <w:tab w:pos="8844" w:val="right" w:leader="none"/>
            </w:tabs>
            <w:spacing w:line="240" w:lineRule="auto" w:before="139" w:after="0"/>
            <w:ind w:left="2122" w:right="0" w:hanging="1440"/>
            <w:jc w:val="left"/>
          </w:pPr>
          <w:hyperlink w:history="true" w:anchor="_TOC_250061">
            <w:r>
              <w:rPr/>
              <w:t>Compression</w:t>
            </w:r>
            <w:r>
              <w:rPr>
                <w:spacing w:val="-2"/>
              </w:rPr>
              <w:t> sequence</w:t>
            </w:r>
            <w:r>
              <w:rPr/>
              <w:tab/>
            </w:r>
            <w:r>
              <w:rPr>
                <w:spacing w:val="-5"/>
              </w:rPr>
              <w:t>52</w:t>
            </w:r>
          </w:hyperlink>
        </w:p>
        <w:p>
          <w:pPr>
            <w:pStyle w:val="TOC1"/>
            <w:numPr>
              <w:ilvl w:val="2"/>
              <w:numId w:val="1"/>
            </w:numPr>
            <w:tabs>
              <w:tab w:pos="2122" w:val="left" w:leader="none"/>
              <w:tab w:pos="8844" w:val="right" w:leader="none"/>
            </w:tabs>
            <w:spacing w:line="240" w:lineRule="auto" w:before="137" w:after="0"/>
            <w:ind w:left="2122" w:right="0" w:hanging="1440"/>
            <w:jc w:val="left"/>
          </w:pPr>
          <w:r>
            <w:rPr/>
            <w:t>Tablet</w:t>
          </w:r>
          <w:r>
            <w:rPr>
              <w:spacing w:val="-3"/>
            </w:rPr>
            <w:t> </w:t>
          </w:r>
          <w:r>
            <w:rPr/>
            <w:t>compression</w:t>
          </w:r>
          <w:r>
            <w:rPr>
              <w:spacing w:val="-2"/>
            </w:rPr>
            <w:t> machinery</w:t>
          </w:r>
          <w:r>
            <w:rPr/>
            <w:tab/>
          </w:r>
          <w:r>
            <w:rPr>
              <w:spacing w:val="-5"/>
            </w:rPr>
            <w:t>52</w:t>
          </w:r>
        </w:p>
        <w:p>
          <w:pPr>
            <w:pStyle w:val="TOC1"/>
            <w:numPr>
              <w:ilvl w:val="3"/>
              <w:numId w:val="1"/>
            </w:numPr>
            <w:tabs>
              <w:tab w:pos="2122" w:val="left" w:leader="none"/>
              <w:tab w:pos="8844" w:val="right" w:leader="none"/>
            </w:tabs>
            <w:spacing w:line="240" w:lineRule="auto" w:before="139" w:after="0"/>
            <w:ind w:left="2122" w:right="0" w:hanging="1440"/>
            <w:jc w:val="left"/>
          </w:pPr>
          <w:r>
            <w:rPr/>
            <w:t>Single</w:t>
          </w:r>
          <w:r>
            <w:rPr>
              <w:spacing w:val="-2"/>
            </w:rPr>
            <w:t> </w:t>
          </w:r>
          <w:r>
            <w:rPr/>
            <w:t>punch</w:t>
          </w:r>
          <w:r>
            <w:rPr>
              <w:spacing w:val="-1"/>
            </w:rPr>
            <w:t> </w:t>
          </w:r>
          <w:r>
            <w:rPr/>
            <w:t>or eccentric </w:t>
          </w:r>
          <w:r>
            <w:rPr>
              <w:spacing w:val="-4"/>
            </w:rPr>
            <w:t>press</w:t>
          </w:r>
          <w:r>
            <w:rPr/>
            <w:tab/>
          </w:r>
          <w:r>
            <w:rPr>
              <w:spacing w:val="-5"/>
            </w:rPr>
            <w:t>55</w:t>
          </w:r>
        </w:p>
        <w:p>
          <w:pPr>
            <w:pStyle w:val="TOC1"/>
            <w:numPr>
              <w:ilvl w:val="3"/>
              <w:numId w:val="1"/>
            </w:numPr>
            <w:tabs>
              <w:tab w:pos="2122" w:val="left" w:leader="none"/>
              <w:tab w:pos="8844" w:val="right" w:leader="none"/>
            </w:tabs>
            <w:spacing w:line="240" w:lineRule="auto" w:before="138" w:after="0"/>
            <w:ind w:left="2122" w:right="0" w:hanging="1440"/>
            <w:jc w:val="left"/>
          </w:pPr>
          <w:hyperlink w:history="true" w:anchor="_TOC_250060">
            <w:r>
              <w:rPr/>
              <w:t>Multi-station</w:t>
            </w:r>
            <w:r>
              <w:rPr>
                <w:spacing w:val="-1"/>
              </w:rPr>
              <w:t> </w:t>
            </w:r>
            <w:r>
              <w:rPr/>
              <w:t>or</w:t>
            </w:r>
            <w:r>
              <w:rPr>
                <w:spacing w:val="-1"/>
              </w:rPr>
              <w:t> </w:t>
            </w:r>
            <w:r>
              <w:rPr/>
              <w:t>rotary</w:t>
            </w:r>
            <w:r>
              <w:rPr>
                <w:spacing w:val="-5"/>
              </w:rPr>
              <w:t> </w:t>
            </w:r>
            <w:r>
              <w:rPr>
                <w:spacing w:val="-4"/>
              </w:rPr>
              <w:t>press</w:t>
            </w:r>
            <w:r>
              <w:rPr/>
              <w:tab/>
            </w:r>
            <w:r>
              <w:rPr>
                <w:spacing w:val="-5"/>
              </w:rPr>
              <w:t>55</w:t>
            </w:r>
          </w:hyperlink>
        </w:p>
        <w:p>
          <w:pPr>
            <w:pStyle w:val="TOC1"/>
            <w:numPr>
              <w:ilvl w:val="3"/>
              <w:numId w:val="1"/>
            </w:numPr>
            <w:tabs>
              <w:tab w:pos="2122" w:val="left" w:leader="none"/>
              <w:tab w:pos="8844" w:val="right" w:leader="none"/>
            </w:tabs>
            <w:spacing w:line="240" w:lineRule="auto" w:before="139" w:after="0"/>
            <w:ind w:left="2122" w:right="0" w:hanging="1440"/>
            <w:jc w:val="left"/>
          </w:pPr>
          <w:r>
            <w:rPr/>
            <w:t>Advanced</w:t>
          </w:r>
          <w:r>
            <w:rPr>
              <w:spacing w:val="-5"/>
            </w:rPr>
            <w:t> </w:t>
          </w:r>
          <w:r>
            <w:rPr/>
            <w:t>high</w:t>
          </w:r>
          <w:r>
            <w:rPr>
              <w:spacing w:val="-2"/>
            </w:rPr>
            <w:t> </w:t>
          </w:r>
          <w:r>
            <w:rPr>
              <w:spacing w:val="-4"/>
            </w:rPr>
            <w:t>speed</w:t>
          </w:r>
          <w:r>
            <w:rPr/>
            <w:tab/>
          </w:r>
          <w:r>
            <w:rPr>
              <w:spacing w:val="-5"/>
            </w:rPr>
            <w:t>55</w:t>
          </w:r>
        </w:p>
        <w:p>
          <w:pPr>
            <w:pStyle w:val="TOC1"/>
            <w:numPr>
              <w:ilvl w:val="2"/>
              <w:numId w:val="1"/>
            </w:numPr>
            <w:tabs>
              <w:tab w:pos="2122" w:val="left" w:leader="none"/>
              <w:tab w:pos="8844" w:val="right" w:leader="none"/>
            </w:tabs>
            <w:spacing w:line="240" w:lineRule="auto" w:before="137" w:after="0"/>
            <w:ind w:left="2122" w:right="0" w:hanging="1440"/>
            <w:jc w:val="left"/>
          </w:pPr>
          <w:hyperlink w:history="true" w:anchor="_TOC_250059">
            <w:r>
              <w:rPr/>
              <w:t>Evaluation</w:t>
            </w:r>
            <w:r>
              <w:rPr>
                <w:spacing w:val="-1"/>
              </w:rPr>
              <w:t> </w:t>
            </w:r>
            <w:r>
              <w:rPr/>
              <w:t>of</w:t>
            </w:r>
            <w:r>
              <w:rPr>
                <w:spacing w:val="-1"/>
              </w:rPr>
              <w:t> </w:t>
            </w:r>
            <w:r>
              <w:rPr>
                <w:spacing w:val="-2"/>
              </w:rPr>
              <w:t>tablets</w:t>
            </w:r>
            <w:r>
              <w:rPr/>
              <w:tab/>
            </w:r>
            <w:r>
              <w:rPr>
                <w:spacing w:val="-5"/>
              </w:rPr>
              <w:t>56</w:t>
            </w:r>
          </w:hyperlink>
        </w:p>
        <w:p>
          <w:pPr>
            <w:pStyle w:val="TOC1"/>
            <w:numPr>
              <w:ilvl w:val="3"/>
              <w:numId w:val="1"/>
            </w:numPr>
            <w:tabs>
              <w:tab w:pos="2122" w:val="left" w:leader="none"/>
              <w:tab w:pos="8844" w:val="right" w:leader="none"/>
            </w:tabs>
            <w:spacing w:line="240" w:lineRule="auto" w:before="139" w:after="0"/>
            <w:ind w:left="2122" w:right="0" w:hanging="1440"/>
            <w:jc w:val="left"/>
          </w:pPr>
          <w:hyperlink w:history="true" w:anchor="_TOC_250058">
            <w:r>
              <w:rPr/>
              <w:t>Crushing</w:t>
            </w:r>
            <w:r>
              <w:rPr>
                <w:spacing w:val="-4"/>
              </w:rPr>
              <w:t> </w:t>
            </w:r>
            <w:r>
              <w:rPr/>
              <w:t>strength</w:t>
            </w:r>
            <w:r>
              <w:rPr>
                <w:spacing w:val="-1"/>
              </w:rPr>
              <w:t> </w:t>
            </w:r>
            <w:r>
              <w:rPr/>
              <w:t>and</w:t>
            </w:r>
            <w:r>
              <w:rPr>
                <w:spacing w:val="1"/>
              </w:rPr>
              <w:t> </w:t>
            </w:r>
            <w:r>
              <w:rPr>
                <w:spacing w:val="-2"/>
              </w:rPr>
              <w:t>friability</w:t>
            </w:r>
            <w:r>
              <w:rPr/>
              <w:tab/>
            </w:r>
            <w:r>
              <w:rPr>
                <w:spacing w:val="-5"/>
              </w:rPr>
              <w:t>56</w:t>
            </w:r>
          </w:hyperlink>
        </w:p>
        <w:p>
          <w:pPr>
            <w:pStyle w:val="TOC1"/>
            <w:numPr>
              <w:ilvl w:val="3"/>
              <w:numId w:val="1"/>
            </w:numPr>
            <w:tabs>
              <w:tab w:pos="2122" w:val="left" w:leader="none"/>
              <w:tab w:pos="8844" w:val="right" w:leader="none"/>
            </w:tabs>
            <w:spacing w:line="240" w:lineRule="auto" w:before="137" w:after="0"/>
            <w:ind w:left="2122" w:right="0" w:hanging="1440"/>
            <w:jc w:val="left"/>
          </w:pPr>
          <w:hyperlink w:history="true" w:anchor="_TOC_250057">
            <w:r>
              <w:rPr/>
              <w:t>Factors</w:t>
            </w:r>
            <w:r>
              <w:rPr>
                <w:spacing w:val="-2"/>
              </w:rPr>
              <w:t> </w:t>
            </w:r>
            <w:r>
              <w:rPr/>
              <w:t>affecting</w:t>
            </w:r>
            <w:r>
              <w:rPr>
                <w:spacing w:val="-4"/>
              </w:rPr>
              <w:t> </w:t>
            </w:r>
            <w:r>
              <w:rPr/>
              <w:t>mechanical</w:t>
            </w:r>
            <w:r>
              <w:rPr>
                <w:spacing w:val="-2"/>
              </w:rPr>
              <w:t> </w:t>
            </w:r>
            <w:r>
              <w:rPr/>
              <w:t>strength</w:t>
            </w:r>
            <w:r>
              <w:rPr>
                <w:spacing w:val="-1"/>
              </w:rPr>
              <w:t> </w:t>
            </w:r>
            <w:r>
              <w:rPr/>
              <w:t>of</w:t>
            </w:r>
            <w:r>
              <w:rPr>
                <w:spacing w:val="-1"/>
              </w:rPr>
              <w:t> </w:t>
            </w:r>
            <w:r>
              <w:rPr>
                <w:spacing w:val="-2"/>
              </w:rPr>
              <w:t>tablets</w:t>
            </w:r>
            <w:r>
              <w:rPr/>
              <w:tab/>
            </w:r>
            <w:r>
              <w:rPr>
                <w:spacing w:val="-5"/>
              </w:rPr>
              <w:t>57</w:t>
            </w:r>
          </w:hyperlink>
        </w:p>
        <w:p>
          <w:pPr>
            <w:pStyle w:val="TOC1"/>
            <w:numPr>
              <w:ilvl w:val="2"/>
              <w:numId w:val="1"/>
            </w:numPr>
            <w:tabs>
              <w:tab w:pos="2122" w:val="left" w:leader="none"/>
              <w:tab w:pos="8844" w:val="right" w:leader="none"/>
            </w:tabs>
            <w:spacing w:line="240" w:lineRule="auto" w:before="139" w:after="0"/>
            <w:ind w:left="2122" w:right="0" w:hanging="1440"/>
            <w:jc w:val="left"/>
          </w:pPr>
          <w:r>
            <w:rPr/>
            <w:t>Evaluation</w:t>
          </w:r>
          <w:r>
            <w:rPr>
              <w:spacing w:val="-1"/>
            </w:rPr>
            <w:t> </w:t>
          </w:r>
          <w:r>
            <w:rPr/>
            <w:t>of drug</w:t>
          </w:r>
          <w:r>
            <w:rPr>
              <w:spacing w:val="-3"/>
            </w:rPr>
            <w:t> </w:t>
          </w:r>
          <w:r>
            <w:rPr/>
            <w:t>content and </w:t>
          </w:r>
          <w:r>
            <w:rPr>
              <w:spacing w:val="-2"/>
            </w:rPr>
            <w:t>release</w:t>
          </w:r>
          <w:r>
            <w:rPr/>
            <w:tab/>
          </w:r>
          <w:r>
            <w:rPr>
              <w:spacing w:val="-5"/>
            </w:rPr>
            <w:t>57</w:t>
          </w:r>
        </w:p>
        <w:p>
          <w:pPr>
            <w:pStyle w:val="TOC1"/>
            <w:numPr>
              <w:ilvl w:val="3"/>
              <w:numId w:val="1"/>
            </w:numPr>
            <w:tabs>
              <w:tab w:pos="2122" w:val="left" w:leader="none"/>
              <w:tab w:pos="8844" w:val="right" w:leader="none"/>
            </w:tabs>
            <w:spacing w:line="240" w:lineRule="auto" w:before="137" w:after="0"/>
            <w:ind w:left="2122" w:right="0" w:hanging="1440"/>
            <w:jc w:val="left"/>
          </w:pPr>
          <w:hyperlink w:history="true" w:anchor="_TOC_250056">
            <w:r>
              <w:rPr>
                <w:spacing w:val="-2"/>
              </w:rPr>
              <w:t>Disintegration</w:t>
            </w:r>
            <w:r>
              <w:rPr/>
              <w:tab/>
            </w:r>
            <w:r>
              <w:rPr>
                <w:spacing w:val="-5"/>
              </w:rPr>
              <w:t>57</w:t>
            </w:r>
          </w:hyperlink>
        </w:p>
        <w:p>
          <w:pPr>
            <w:pStyle w:val="TOC1"/>
            <w:numPr>
              <w:ilvl w:val="1"/>
              <w:numId w:val="1"/>
            </w:numPr>
            <w:tabs>
              <w:tab w:pos="2122" w:val="left" w:leader="none"/>
              <w:tab w:pos="8844" w:val="right" w:leader="none"/>
            </w:tabs>
            <w:spacing w:line="240" w:lineRule="auto" w:before="139" w:after="0"/>
            <w:ind w:left="2122" w:right="0" w:hanging="1440"/>
            <w:jc w:val="left"/>
          </w:pPr>
          <w:hyperlink w:history="true" w:anchor="_TOC_250055">
            <w:r>
              <w:rPr>
                <w:spacing w:val="-2"/>
              </w:rPr>
              <w:t>Dissolution</w:t>
            </w:r>
            <w:r>
              <w:rPr/>
              <w:tab/>
            </w:r>
            <w:r>
              <w:rPr>
                <w:spacing w:val="-5"/>
              </w:rPr>
              <w:t>58</w:t>
            </w:r>
          </w:hyperlink>
        </w:p>
        <w:p>
          <w:pPr>
            <w:pStyle w:val="TOC1"/>
            <w:numPr>
              <w:ilvl w:val="2"/>
              <w:numId w:val="1"/>
            </w:numPr>
            <w:tabs>
              <w:tab w:pos="2122" w:val="left" w:leader="none"/>
              <w:tab w:pos="8844" w:val="right" w:leader="none"/>
            </w:tabs>
            <w:spacing w:line="240" w:lineRule="auto" w:before="137" w:after="0"/>
            <w:ind w:left="2122" w:right="0" w:hanging="1440"/>
            <w:jc w:val="left"/>
          </w:pPr>
          <w:hyperlink w:history="true" w:anchor="_TOC_250054">
            <w:r>
              <w:rPr/>
              <w:t>Dissolution</w:t>
            </w:r>
            <w:r>
              <w:rPr>
                <w:spacing w:val="-1"/>
              </w:rPr>
              <w:t> </w:t>
            </w:r>
            <w:r>
              <w:rPr/>
              <w:t>as</w:t>
            </w:r>
            <w:r>
              <w:rPr>
                <w:spacing w:val="-1"/>
              </w:rPr>
              <w:t> </w:t>
            </w:r>
            <w:r>
              <w:rPr/>
              <w:t>parameter</w:t>
            </w:r>
            <w:r>
              <w:rPr>
                <w:spacing w:val="1"/>
              </w:rPr>
              <w:t> </w:t>
            </w:r>
            <w:r>
              <w:rPr/>
              <w:t>affecting</w:t>
            </w:r>
            <w:r>
              <w:rPr>
                <w:spacing w:val="-3"/>
              </w:rPr>
              <w:t> </w:t>
            </w:r>
            <w:r>
              <w:rPr/>
              <w:t>drug</w:t>
            </w:r>
            <w:r>
              <w:rPr>
                <w:spacing w:val="-3"/>
              </w:rPr>
              <w:t> </w:t>
            </w:r>
            <w:r>
              <w:rPr>
                <w:spacing w:val="-2"/>
              </w:rPr>
              <w:t>absorption</w:t>
            </w:r>
            <w:r>
              <w:rPr/>
              <w:tab/>
            </w:r>
            <w:r>
              <w:rPr>
                <w:spacing w:val="-5"/>
              </w:rPr>
              <w:t>58</w:t>
            </w:r>
          </w:hyperlink>
        </w:p>
        <w:p>
          <w:pPr>
            <w:pStyle w:val="TOC1"/>
            <w:numPr>
              <w:ilvl w:val="2"/>
              <w:numId w:val="1"/>
            </w:numPr>
            <w:tabs>
              <w:tab w:pos="2122" w:val="left" w:leader="none"/>
              <w:tab w:pos="8844" w:val="right" w:leader="none"/>
            </w:tabs>
            <w:spacing w:line="240" w:lineRule="auto" w:before="140" w:after="0"/>
            <w:ind w:left="2122" w:right="0" w:hanging="1440"/>
            <w:jc w:val="left"/>
          </w:pPr>
          <w:hyperlink w:history="true" w:anchor="_TOC_250053">
            <w:r>
              <w:rPr/>
              <w:t>Methods</w:t>
            </w:r>
            <w:r>
              <w:rPr>
                <w:spacing w:val="-1"/>
              </w:rPr>
              <w:t> </w:t>
            </w:r>
            <w:r>
              <w:rPr/>
              <w:t>used</w:t>
            </w:r>
            <w:r>
              <w:rPr>
                <w:spacing w:val="-1"/>
              </w:rPr>
              <w:t> </w:t>
            </w:r>
            <w:r>
              <w:rPr/>
              <w:t>for</w:t>
            </w:r>
            <w:r>
              <w:rPr>
                <w:spacing w:val="-1"/>
              </w:rPr>
              <w:t> </w:t>
            </w:r>
            <w:r>
              <w:rPr/>
              <w:t>dissolution</w:t>
            </w:r>
            <w:r>
              <w:rPr>
                <w:spacing w:val="-1"/>
              </w:rPr>
              <w:t> </w:t>
            </w:r>
            <w:r>
              <w:rPr/>
              <w:t>rate </w:t>
            </w:r>
            <w:r>
              <w:rPr>
                <w:spacing w:val="-2"/>
              </w:rPr>
              <w:t>studies</w:t>
            </w:r>
            <w:r>
              <w:rPr/>
              <w:tab/>
            </w:r>
            <w:r>
              <w:rPr>
                <w:spacing w:val="-5"/>
              </w:rPr>
              <w:t>59</w:t>
            </w:r>
          </w:hyperlink>
        </w:p>
        <w:p>
          <w:pPr>
            <w:pStyle w:val="TOC1"/>
            <w:numPr>
              <w:ilvl w:val="1"/>
              <w:numId w:val="1"/>
            </w:numPr>
            <w:tabs>
              <w:tab w:pos="2122" w:val="left" w:leader="none"/>
              <w:tab w:pos="8844" w:val="right" w:leader="none"/>
            </w:tabs>
            <w:spacing w:line="240" w:lineRule="auto" w:before="136" w:after="0"/>
            <w:ind w:left="2122" w:right="0" w:hanging="1440"/>
            <w:jc w:val="left"/>
          </w:pPr>
          <w:hyperlink w:history="true" w:anchor="_TOC_250052">
            <w:r>
              <w:rPr/>
              <w:t>Pharmacokinetic</w:t>
            </w:r>
            <w:r>
              <w:rPr>
                <w:spacing w:val="-1"/>
              </w:rPr>
              <w:t> </w:t>
            </w:r>
            <w:r>
              <w:rPr/>
              <w:t>evaluation</w:t>
            </w:r>
            <w:r>
              <w:rPr>
                <w:spacing w:val="-1"/>
              </w:rPr>
              <w:t> </w:t>
            </w:r>
            <w:r>
              <w:rPr/>
              <w:t>of</w:t>
            </w:r>
            <w:r>
              <w:rPr>
                <w:spacing w:val="-2"/>
              </w:rPr>
              <w:t> </w:t>
            </w:r>
            <w:r>
              <w:rPr/>
              <w:t>medicinal </w:t>
            </w:r>
            <w:r>
              <w:rPr>
                <w:spacing w:val="-2"/>
              </w:rPr>
              <w:t>plants</w:t>
            </w:r>
            <w:r>
              <w:rPr/>
              <w:tab/>
            </w:r>
            <w:r>
              <w:rPr>
                <w:spacing w:val="-5"/>
              </w:rPr>
              <w:t>59</w:t>
            </w:r>
          </w:hyperlink>
        </w:p>
        <w:p>
          <w:pPr>
            <w:pStyle w:val="TOC1"/>
            <w:numPr>
              <w:ilvl w:val="1"/>
              <w:numId w:val="1"/>
            </w:numPr>
            <w:tabs>
              <w:tab w:pos="2122" w:val="left" w:leader="none"/>
              <w:tab w:pos="8844" w:val="right" w:leader="none"/>
            </w:tabs>
            <w:spacing w:line="240" w:lineRule="auto" w:before="140" w:after="0"/>
            <w:ind w:left="2122" w:right="0" w:hanging="1440"/>
            <w:jc w:val="left"/>
          </w:pPr>
          <w:r>
            <w:rPr/>
            <w:t>Aims</w:t>
          </w:r>
          <w:r>
            <w:rPr>
              <w:spacing w:val="-1"/>
            </w:rPr>
            <w:t> </w:t>
          </w:r>
          <w:r>
            <w:rPr/>
            <w:t>and objectives</w:t>
          </w:r>
          <w:r>
            <w:rPr>
              <w:spacing w:val="-1"/>
            </w:rPr>
            <w:t> </w:t>
          </w:r>
          <w:r>
            <w:rPr/>
            <w:t>of the</w:t>
          </w:r>
          <w:r>
            <w:rPr>
              <w:spacing w:val="-1"/>
            </w:rPr>
            <w:t> </w:t>
          </w:r>
          <w:r>
            <w:rPr>
              <w:spacing w:val="-2"/>
            </w:rPr>
            <w:t>study</w:t>
          </w:r>
          <w:r>
            <w:rPr/>
            <w:tab/>
          </w:r>
          <w:r>
            <w:rPr>
              <w:spacing w:val="-5"/>
            </w:rPr>
            <w:t>60</w:t>
          </w:r>
        </w:p>
      </w:sdtContent>
    </w:sdt>
    <w:p>
      <w:pPr>
        <w:spacing w:after="0" w:line="240" w:lineRule="auto"/>
        <w:jc w:val="left"/>
        <w:sectPr>
          <w:pgSz w:w="12240" w:h="15840"/>
          <w:pgMar w:header="0" w:footer="1068" w:top="1360" w:bottom="1260" w:left="1420" w:right="420"/>
        </w:sectPr>
      </w:pPr>
    </w:p>
    <w:p>
      <w:pPr>
        <w:pStyle w:val="BodyText"/>
        <w:spacing w:before="74"/>
        <w:ind w:left="682"/>
      </w:pPr>
      <w:r>
        <w:rPr/>
        <mc:AlternateContent>
          <mc:Choice Requires="wps">
            <w:drawing>
              <wp:anchor distT="0" distB="0" distL="0" distR="0" allowOverlap="1" layoutInCell="1" locked="0" behindDoc="1" simplePos="0" relativeHeight="482908160">
                <wp:simplePos x="0" y="0"/>
                <wp:positionH relativeFrom="page">
                  <wp:posOffset>-1402226</wp:posOffset>
                </wp:positionH>
                <wp:positionV relativeFrom="page">
                  <wp:posOffset>4612234</wp:posOffset>
                </wp:positionV>
                <wp:extent cx="10685780" cy="914400"/>
                <wp:effectExtent l="0" t="0" r="0" b="0"/>
                <wp:wrapNone/>
                <wp:docPr id="13" name="Textbox 13"/>
                <wp:cNvGraphicFramePr>
                  <a:graphicFrameLocks/>
                </wp:cNvGraphicFramePr>
                <a:graphic>
                  <a:graphicData uri="http://schemas.microsoft.com/office/word/2010/wordprocessingShape">
                    <wps:wsp>
                      <wps:cNvPr id="13" name="Textbox 1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8320;rotation:306" type="#_x0000_t136" fillcolor="#ff5400" stroked="f">
                <o:extrusion v:ext="view" autorotationcenter="t"/>
                <v:textpath style="font-family:&quot;Arial MT&quot;;font-size:72pt;v-text-kern:t;mso-text-shadow:auto" string="UNIVERSITY OF IBADAN"/>
                <w10:wrap type="none"/>
              </v:shape>
            </w:pict>
          </mc:Fallback>
        </mc:AlternateContent>
      </w:r>
      <w:r>
        <w:rPr/>
        <w:t>CHAPTER</w:t>
      </w:r>
      <w:r>
        <w:rPr>
          <w:spacing w:val="-2"/>
        </w:rPr>
        <w:t> </w:t>
      </w:r>
      <w:r>
        <w:rPr/>
        <w:t>TWO:</w:t>
      </w:r>
      <w:r>
        <w:rPr>
          <w:spacing w:val="-2"/>
        </w:rPr>
        <w:t> </w:t>
      </w:r>
      <w:r>
        <w:rPr/>
        <w:t>MATERIALS</w:t>
      </w:r>
      <w:r>
        <w:rPr>
          <w:spacing w:val="-2"/>
        </w:rPr>
        <w:t> </w:t>
      </w:r>
      <w:r>
        <w:rPr/>
        <w:t>AND</w:t>
      </w:r>
      <w:r>
        <w:rPr>
          <w:spacing w:val="-2"/>
        </w:rPr>
        <w:t> METHODS</w:t>
      </w:r>
    </w:p>
    <w:p>
      <w:pPr>
        <w:pStyle w:val="ListParagraph"/>
        <w:numPr>
          <w:ilvl w:val="1"/>
          <w:numId w:val="2"/>
        </w:numPr>
        <w:tabs>
          <w:tab w:pos="2122" w:val="left" w:leader="none"/>
          <w:tab w:pos="8844" w:val="right" w:leader="none"/>
        </w:tabs>
        <w:spacing w:line="240" w:lineRule="auto" w:before="552" w:after="0"/>
        <w:ind w:left="2122" w:right="0" w:hanging="1440"/>
        <w:jc w:val="left"/>
        <w:rPr>
          <w:sz w:val="24"/>
        </w:rPr>
      </w:pPr>
      <w:hyperlink w:history="true" w:anchor="_TOC_250051">
        <w:r>
          <w:rPr>
            <w:spacing w:val="-2"/>
            <w:sz w:val="24"/>
          </w:rPr>
          <w:t>Materials</w:t>
        </w:r>
        <w:r>
          <w:rPr>
            <w:sz w:val="24"/>
          </w:rPr>
          <w:tab/>
        </w:r>
        <w:r>
          <w:rPr>
            <w:spacing w:val="-5"/>
            <w:sz w:val="24"/>
          </w:rPr>
          <w:t>62</w:t>
        </w:r>
      </w:hyperlink>
    </w:p>
    <w:p>
      <w:pPr>
        <w:pStyle w:val="ListParagraph"/>
        <w:numPr>
          <w:ilvl w:val="1"/>
          <w:numId w:val="2"/>
        </w:numPr>
        <w:tabs>
          <w:tab w:pos="2122" w:val="left" w:leader="none"/>
          <w:tab w:pos="8844" w:val="right" w:leader="none"/>
        </w:tabs>
        <w:spacing w:line="240" w:lineRule="auto" w:before="137" w:after="0"/>
        <w:ind w:left="2122" w:right="0" w:hanging="1440"/>
        <w:jc w:val="left"/>
        <w:rPr>
          <w:sz w:val="24"/>
        </w:rPr>
      </w:pPr>
      <w:hyperlink w:history="true" w:anchor="_TOC_250050">
        <w:r>
          <w:rPr>
            <w:spacing w:val="-2"/>
            <w:sz w:val="24"/>
          </w:rPr>
          <w:t>Methods</w:t>
        </w:r>
        <w:r>
          <w:rPr>
            <w:sz w:val="24"/>
          </w:rPr>
          <w:tab/>
        </w:r>
        <w:r>
          <w:rPr>
            <w:spacing w:val="-5"/>
            <w:sz w:val="24"/>
          </w:rPr>
          <w:t>62</w:t>
        </w:r>
      </w:hyperlink>
    </w:p>
    <w:p>
      <w:pPr>
        <w:pStyle w:val="ListParagraph"/>
        <w:numPr>
          <w:ilvl w:val="2"/>
          <w:numId w:val="2"/>
        </w:numPr>
        <w:tabs>
          <w:tab w:pos="2122" w:val="left" w:leader="none"/>
          <w:tab w:pos="8844" w:val="right" w:leader="none"/>
        </w:tabs>
        <w:spacing w:line="240" w:lineRule="auto" w:before="140" w:after="0"/>
        <w:ind w:left="2122" w:right="0" w:hanging="1440"/>
        <w:jc w:val="left"/>
        <w:rPr>
          <w:sz w:val="24"/>
        </w:rPr>
      </w:pPr>
      <w:r>
        <w:rPr>
          <w:sz w:val="24"/>
        </w:rPr>
        <w:t>Collection,</w:t>
      </w:r>
      <w:r>
        <w:rPr>
          <w:spacing w:val="-4"/>
          <w:sz w:val="24"/>
        </w:rPr>
        <w:t> </w:t>
      </w:r>
      <w:r>
        <w:rPr>
          <w:sz w:val="24"/>
        </w:rPr>
        <w:t>selection</w:t>
      </w:r>
      <w:r>
        <w:rPr>
          <w:spacing w:val="-1"/>
          <w:sz w:val="24"/>
        </w:rPr>
        <w:t> </w:t>
      </w:r>
      <w:r>
        <w:rPr>
          <w:sz w:val="24"/>
        </w:rPr>
        <w:t>and</w:t>
      </w:r>
      <w:r>
        <w:rPr>
          <w:spacing w:val="-1"/>
          <w:sz w:val="24"/>
        </w:rPr>
        <w:t> </w:t>
      </w:r>
      <w:r>
        <w:rPr>
          <w:sz w:val="24"/>
        </w:rPr>
        <w:t>treatment</w:t>
      </w:r>
      <w:r>
        <w:rPr>
          <w:spacing w:val="-1"/>
          <w:sz w:val="24"/>
        </w:rPr>
        <w:t> </w:t>
      </w:r>
      <w:r>
        <w:rPr>
          <w:sz w:val="24"/>
        </w:rPr>
        <w:t>of</w:t>
      </w:r>
      <w:r>
        <w:rPr>
          <w:spacing w:val="-1"/>
          <w:sz w:val="24"/>
        </w:rPr>
        <w:t> </w:t>
      </w:r>
      <w:r>
        <w:rPr>
          <w:sz w:val="24"/>
        </w:rPr>
        <w:t>Mucuna</w:t>
      </w:r>
      <w:r>
        <w:rPr>
          <w:spacing w:val="-2"/>
          <w:sz w:val="24"/>
        </w:rPr>
        <w:t> </w:t>
      </w:r>
      <w:r>
        <w:rPr>
          <w:spacing w:val="-4"/>
          <w:sz w:val="24"/>
        </w:rPr>
        <w:t>seeds</w:t>
      </w:r>
      <w:r>
        <w:rPr>
          <w:sz w:val="24"/>
        </w:rPr>
        <w:tab/>
      </w:r>
      <w:r>
        <w:rPr>
          <w:spacing w:val="-5"/>
          <w:sz w:val="24"/>
        </w:rPr>
        <w:t>62</w:t>
      </w:r>
    </w:p>
    <w:p>
      <w:pPr>
        <w:pStyle w:val="ListParagraph"/>
        <w:numPr>
          <w:ilvl w:val="1"/>
          <w:numId w:val="2"/>
        </w:numPr>
        <w:tabs>
          <w:tab w:pos="2122" w:val="left" w:leader="none"/>
          <w:tab w:pos="8844" w:val="right" w:leader="none"/>
        </w:tabs>
        <w:spacing w:line="240" w:lineRule="auto" w:before="136" w:after="0"/>
        <w:ind w:left="2122" w:right="0" w:hanging="1440"/>
        <w:jc w:val="left"/>
        <w:rPr>
          <w:sz w:val="24"/>
        </w:rPr>
      </w:pPr>
      <w:r>
        <w:rPr>
          <w:sz w:val="24"/>
        </w:rPr>
        <w:t>Determination</w:t>
      </w:r>
      <w:r>
        <w:rPr>
          <w:spacing w:val="-1"/>
          <w:sz w:val="24"/>
        </w:rPr>
        <w:t> </w:t>
      </w:r>
      <w:r>
        <w:rPr>
          <w:sz w:val="24"/>
        </w:rPr>
        <w:t>of</w:t>
      </w:r>
      <w:r>
        <w:rPr>
          <w:spacing w:val="-2"/>
          <w:sz w:val="24"/>
        </w:rPr>
        <w:t> </w:t>
      </w:r>
      <w:r>
        <w:rPr>
          <w:sz w:val="24"/>
        </w:rPr>
        <w:t>total ash</w:t>
      </w:r>
      <w:r>
        <w:rPr>
          <w:spacing w:val="-1"/>
          <w:sz w:val="24"/>
        </w:rPr>
        <w:t> </w:t>
      </w:r>
      <w:r>
        <w:rPr>
          <w:sz w:val="24"/>
        </w:rPr>
        <w:t>value of</w:t>
      </w:r>
      <w:r>
        <w:rPr>
          <w:spacing w:val="-3"/>
          <w:sz w:val="24"/>
        </w:rPr>
        <w:t> </w:t>
      </w:r>
      <w:r>
        <w:rPr>
          <w:sz w:val="24"/>
        </w:rPr>
        <w:t>the </w:t>
      </w:r>
      <w:r>
        <w:rPr>
          <w:spacing w:val="-4"/>
          <w:sz w:val="24"/>
        </w:rPr>
        <w:t>seed</w:t>
      </w:r>
      <w:r>
        <w:rPr>
          <w:sz w:val="24"/>
        </w:rPr>
        <w:tab/>
      </w:r>
      <w:r>
        <w:rPr>
          <w:spacing w:val="-5"/>
          <w:sz w:val="24"/>
        </w:rPr>
        <w:t>62</w:t>
      </w:r>
    </w:p>
    <w:p>
      <w:pPr>
        <w:pStyle w:val="ListParagraph"/>
        <w:numPr>
          <w:ilvl w:val="2"/>
          <w:numId w:val="2"/>
        </w:numPr>
        <w:tabs>
          <w:tab w:pos="2122" w:val="left" w:leader="none"/>
          <w:tab w:pos="8844" w:val="right" w:leader="none"/>
        </w:tabs>
        <w:spacing w:line="240" w:lineRule="auto" w:before="140" w:after="0"/>
        <w:ind w:left="2122" w:right="0" w:hanging="1440"/>
        <w:jc w:val="left"/>
        <w:rPr>
          <w:sz w:val="24"/>
        </w:rPr>
      </w:pPr>
      <w:r>
        <w:rPr>
          <w:sz w:val="24"/>
        </w:rPr>
        <w:t>Determination</w:t>
      </w:r>
      <w:r>
        <w:rPr>
          <w:spacing w:val="-1"/>
          <w:sz w:val="24"/>
        </w:rPr>
        <w:t> </w:t>
      </w:r>
      <w:r>
        <w:rPr>
          <w:sz w:val="24"/>
        </w:rPr>
        <w:t>of</w:t>
      </w:r>
      <w:r>
        <w:rPr>
          <w:spacing w:val="-1"/>
          <w:sz w:val="24"/>
        </w:rPr>
        <w:t> </w:t>
      </w:r>
      <w:r>
        <w:rPr>
          <w:sz w:val="24"/>
        </w:rPr>
        <w:t>acid-insoluble</w:t>
      </w:r>
      <w:r>
        <w:rPr>
          <w:spacing w:val="-1"/>
          <w:sz w:val="24"/>
        </w:rPr>
        <w:t> </w:t>
      </w:r>
      <w:r>
        <w:rPr>
          <w:sz w:val="24"/>
        </w:rPr>
        <w:t>ash-value</w:t>
      </w:r>
      <w:r>
        <w:rPr>
          <w:spacing w:val="-1"/>
          <w:sz w:val="24"/>
        </w:rPr>
        <w:t> </w:t>
      </w:r>
      <w:r>
        <w:rPr>
          <w:sz w:val="24"/>
        </w:rPr>
        <w:t>of</w:t>
      </w:r>
      <w:r>
        <w:rPr>
          <w:spacing w:val="-1"/>
          <w:sz w:val="24"/>
        </w:rPr>
        <w:t> </w:t>
      </w:r>
      <w:r>
        <w:rPr>
          <w:sz w:val="24"/>
        </w:rPr>
        <w:t>the</w:t>
      </w:r>
      <w:r>
        <w:rPr>
          <w:spacing w:val="-1"/>
          <w:sz w:val="24"/>
        </w:rPr>
        <w:t> </w:t>
      </w:r>
      <w:r>
        <w:rPr>
          <w:spacing w:val="-4"/>
          <w:sz w:val="24"/>
        </w:rPr>
        <w:t>seed</w:t>
      </w:r>
      <w:r>
        <w:rPr>
          <w:sz w:val="24"/>
        </w:rPr>
        <w:tab/>
      </w:r>
      <w:r>
        <w:rPr>
          <w:spacing w:val="-5"/>
          <w:sz w:val="24"/>
        </w:rPr>
        <w:t>63</w:t>
      </w:r>
    </w:p>
    <w:p>
      <w:pPr>
        <w:pStyle w:val="ListParagraph"/>
        <w:numPr>
          <w:ilvl w:val="2"/>
          <w:numId w:val="2"/>
        </w:numPr>
        <w:tabs>
          <w:tab w:pos="2122" w:val="left" w:leader="none"/>
          <w:tab w:pos="8844" w:val="right" w:leader="none"/>
        </w:tabs>
        <w:spacing w:line="240" w:lineRule="auto" w:before="136" w:after="0"/>
        <w:ind w:left="2122" w:right="0" w:hanging="1440"/>
        <w:jc w:val="left"/>
        <w:rPr>
          <w:sz w:val="24"/>
        </w:rPr>
      </w:pPr>
      <w:hyperlink w:history="true" w:anchor="_TOC_250049">
        <w:r>
          <w:rPr>
            <w:sz w:val="24"/>
          </w:rPr>
          <w:t>Determination</w:t>
        </w:r>
        <w:r>
          <w:rPr>
            <w:spacing w:val="-3"/>
            <w:sz w:val="24"/>
          </w:rPr>
          <w:t> </w:t>
        </w:r>
        <w:r>
          <w:rPr>
            <w:sz w:val="24"/>
          </w:rPr>
          <w:t>of</w:t>
        </w:r>
        <w:r>
          <w:rPr>
            <w:spacing w:val="-1"/>
            <w:sz w:val="24"/>
          </w:rPr>
          <w:t> </w:t>
        </w:r>
        <w:r>
          <w:rPr>
            <w:sz w:val="24"/>
          </w:rPr>
          <w:t>water</w:t>
        </w:r>
        <w:r>
          <w:rPr>
            <w:spacing w:val="-2"/>
            <w:sz w:val="24"/>
          </w:rPr>
          <w:t> </w:t>
        </w:r>
        <w:r>
          <w:rPr>
            <w:sz w:val="24"/>
          </w:rPr>
          <w:t>soluble </w:t>
        </w:r>
        <w:r>
          <w:rPr>
            <w:spacing w:val="-5"/>
            <w:sz w:val="24"/>
          </w:rPr>
          <w:t>ash</w:t>
        </w:r>
        <w:r>
          <w:rPr>
            <w:sz w:val="24"/>
          </w:rPr>
          <w:tab/>
        </w:r>
        <w:r>
          <w:rPr>
            <w:spacing w:val="-5"/>
            <w:sz w:val="24"/>
          </w:rPr>
          <w:t>63</w:t>
        </w:r>
      </w:hyperlink>
    </w:p>
    <w:p>
      <w:pPr>
        <w:pStyle w:val="ListParagraph"/>
        <w:numPr>
          <w:ilvl w:val="1"/>
          <w:numId w:val="2"/>
        </w:numPr>
        <w:tabs>
          <w:tab w:pos="2122" w:val="left" w:leader="none"/>
          <w:tab w:pos="8844" w:val="right" w:leader="none"/>
        </w:tabs>
        <w:spacing w:line="240" w:lineRule="auto" w:before="140" w:after="0"/>
        <w:ind w:left="2122" w:right="0" w:hanging="1440"/>
        <w:jc w:val="left"/>
        <w:rPr>
          <w:sz w:val="24"/>
        </w:rPr>
      </w:pPr>
      <w:hyperlink w:history="true" w:anchor="_TOC_250048">
        <w:r>
          <w:rPr>
            <w:sz w:val="24"/>
          </w:rPr>
          <w:t>Determination</w:t>
        </w:r>
        <w:r>
          <w:rPr>
            <w:spacing w:val="-1"/>
            <w:sz w:val="24"/>
          </w:rPr>
          <w:t> </w:t>
        </w:r>
        <w:r>
          <w:rPr>
            <w:sz w:val="24"/>
          </w:rPr>
          <w:t>of</w:t>
        </w:r>
        <w:r>
          <w:rPr>
            <w:spacing w:val="-2"/>
            <w:sz w:val="24"/>
          </w:rPr>
          <w:t> </w:t>
        </w:r>
        <w:r>
          <w:rPr>
            <w:sz w:val="24"/>
          </w:rPr>
          <w:t>soluble </w:t>
        </w:r>
        <w:r>
          <w:rPr>
            <w:spacing w:val="-2"/>
            <w:sz w:val="24"/>
          </w:rPr>
          <w:t>extractives</w:t>
        </w:r>
        <w:r>
          <w:rPr>
            <w:sz w:val="24"/>
          </w:rPr>
          <w:tab/>
        </w:r>
        <w:r>
          <w:rPr>
            <w:spacing w:val="-5"/>
            <w:sz w:val="24"/>
          </w:rPr>
          <w:t>64</w:t>
        </w:r>
      </w:hyperlink>
    </w:p>
    <w:p>
      <w:pPr>
        <w:pStyle w:val="ListParagraph"/>
        <w:numPr>
          <w:ilvl w:val="2"/>
          <w:numId w:val="2"/>
        </w:numPr>
        <w:tabs>
          <w:tab w:pos="2122" w:val="left" w:leader="none"/>
          <w:tab w:pos="8844" w:val="right" w:leader="none"/>
        </w:tabs>
        <w:spacing w:line="240" w:lineRule="auto" w:before="137" w:after="0"/>
        <w:ind w:left="2122" w:right="0" w:hanging="1440"/>
        <w:jc w:val="left"/>
        <w:rPr>
          <w:sz w:val="24"/>
        </w:rPr>
      </w:pPr>
      <w:hyperlink w:history="true" w:anchor="_TOC_250047">
        <w:r>
          <w:rPr>
            <w:sz w:val="24"/>
          </w:rPr>
          <w:t>Water</w:t>
        </w:r>
        <w:r>
          <w:rPr>
            <w:spacing w:val="-2"/>
            <w:sz w:val="24"/>
          </w:rPr>
          <w:t> </w:t>
        </w:r>
        <w:r>
          <w:rPr>
            <w:sz w:val="24"/>
          </w:rPr>
          <w:t>soluble</w:t>
        </w:r>
        <w:r>
          <w:rPr>
            <w:spacing w:val="-1"/>
            <w:sz w:val="24"/>
          </w:rPr>
          <w:t> </w:t>
        </w:r>
        <w:r>
          <w:rPr>
            <w:spacing w:val="-2"/>
            <w:sz w:val="24"/>
          </w:rPr>
          <w:t>extractives</w:t>
        </w:r>
        <w:r>
          <w:rPr>
            <w:sz w:val="24"/>
          </w:rPr>
          <w:tab/>
        </w:r>
        <w:r>
          <w:rPr>
            <w:spacing w:val="-5"/>
            <w:sz w:val="24"/>
          </w:rPr>
          <w:t>64</w:t>
        </w:r>
      </w:hyperlink>
    </w:p>
    <w:p>
      <w:pPr>
        <w:pStyle w:val="ListParagraph"/>
        <w:numPr>
          <w:ilvl w:val="2"/>
          <w:numId w:val="2"/>
        </w:numPr>
        <w:tabs>
          <w:tab w:pos="2122" w:val="left" w:leader="none"/>
          <w:tab w:pos="8844" w:val="right" w:leader="none"/>
        </w:tabs>
        <w:spacing w:line="240" w:lineRule="auto" w:before="139" w:after="0"/>
        <w:ind w:left="2122" w:right="0" w:hanging="1440"/>
        <w:jc w:val="left"/>
        <w:rPr>
          <w:sz w:val="24"/>
        </w:rPr>
      </w:pPr>
      <w:hyperlink w:history="true" w:anchor="_TOC_250046">
        <w:r>
          <w:rPr>
            <w:sz w:val="24"/>
          </w:rPr>
          <w:t>Alcohol-soluble</w:t>
        </w:r>
        <w:r>
          <w:rPr>
            <w:spacing w:val="-1"/>
            <w:sz w:val="24"/>
          </w:rPr>
          <w:t> </w:t>
        </w:r>
        <w:r>
          <w:rPr>
            <w:spacing w:val="-2"/>
            <w:sz w:val="24"/>
          </w:rPr>
          <w:t>extractives</w:t>
        </w:r>
        <w:r>
          <w:rPr>
            <w:sz w:val="24"/>
          </w:rPr>
          <w:tab/>
        </w:r>
        <w:r>
          <w:rPr>
            <w:spacing w:val="-5"/>
            <w:sz w:val="24"/>
          </w:rPr>
          <w:t>65</w:t>
        </w:r>
      </w:hyperlink>
    </w:p>
    <w:p>
      <w:pPr>
        <w:pStyle w:val="ListParagraph"/>
        <w:numPr>
          <w:ilvl w:val="1"/>
          <w:numId w:val="2"/>
        </w:numPr>
        <w:tabs>
          <w:tab w:pos="2122" w:val="left" w:leader="none"/>
          <w:tab w:pos="8844" w:val="right" w:leader="none"/>
        </w:tabs>
        <w:spacing w:line="240" w:lineRule="auto" w:before="137" w:after="0"/>
        <w:ind w:left="2122" w:right="0" w:hanging="1440"/>
        <w:jc w:val="left"/>
        <w:rPr>
          <w:sz w:val="24"/>
        </w:rPr>
      </w:pPr>
      <w:r>
        <w:rPr>
          <w:sz w:val="24"/>
        </w:rPr>
        <w:t>Determination</w:t>
      </w:r>
      <w:r>
        <w:rPr>
          <w:spacing w:val="-1"/>
          <w:sz w:val="24"/>
        </w:rPr>
        <w:t> </w:t>
      </w:r>
      <w:r>
        <w:rPr>
          <w:sz w:val="24"/>
        </w:rPr>
        <w:t>of</w:t>
      </w:r>
      <w:r>
        <w:rPr>
          <w:spacing w:val="-2"/>
          <w:sz w:val="24"/>
        </w:rPr>
        <w:t> </w:t>
      </w:r>
      <w:r>
        <w:rPr>
          <w:sz w:val="24"/>
        </w:rPr>
        <w:t>moisture and</w:t>
      </w:r>
      <w:r>
        <w:rPr>
          <w:spacing w:val="-1"/>
          <w:sz w:val="24"/>
        </w:rPr>
        <w:t> </w:t>
      </w:r>
      <w:r>
        <w:rPr>
          <w:sz w:val="24"/>
        </w:rPr>
        <w:t>volatile</w:t>
      </w:r>
      <w:r>
        <w:rPr>
          <w:spacing w:val="-2"/>
          <w:sz w:val="24"/>
        </w:rPr>
        <w:t> </w:t>
      </w:r>
      <w:r>
        <w:rPr>
          <w:sz w:val="24"/>
        </w:rPr>
        <w:t>matter </w:t>
      </w:r>
      <w:r>
        <w:rPr>
          <w:spacing w:val="-2"/>
          <w:sz w:val="24"/>
        </w:rPr>
        <w:t>content</w:t>
      </w:r>
      <w:r>
        <w:rPr>
          <w:sz w:val="24"/>
        </w:rPr>
        <w:tab/>
      </w:r>
      <w:r>
        <w:rPr>
          <w:spacing w:val="-5"/>
          <w:sz w:val="24"/>
        </w:rPr>
        <w:t>65</w:t>
      </w:r>
    </w:p>
    <w:p>
      <w:pPr>
        <w:pStyle w:val="ListParagraph"/>
        <w:numPr>
          <w:ilvl w:val="1"/>
          <w:numId w:val="2"/>
        </w:numPr>
        <w:tabs>
          <w:tab w:pos="2122" w:val="left" w:leader="none"/>
          <w:tab w:pos="8844" w:val="right" w:leader="none"/>
        </w:tabs>
        <w:spacing w:line="240" w:lineRule="auto" w:before="139" w:after="0"/>
        <w:ind w:left="2122" w:right="0" w:hanging="1440"/>
        <w:jc w:val="left"/>
        <w:rPr>
          <w:sz w:val="24"/>
        </w:rPr>
      </w:pPr>
      <w:r>
        <w:rPr>
          <w:sz w:val="24"/>
        </w:rPr>
        <w:t>Phytochemical</w:t>
      </w:r>
      <w:r>
        <w:rPr>
          <w:spacing w:val="-2"/>
          <w:sz w:val="24"/>
        </w:rPr>
        <w:t> </w:t>
      </w:r>
      <w:r>
        <w:rPr>
          <w:sz w:val="24"/>
        </w:rPr>
        <w:t>screening</w:t>
      </w:r>
      <w:r>
        <w:rPr>
          <w:spacing w:val="-1"/>
          <w:sz w:val="24"/>
        </w:rPr>
        <w:t> </w:t>
      </w:r>
      <w:r>
        <w:rPr>
          <w:sz w:val="24"/>
        </w:rPr>
        <w:t>of the</w:t>
      </w:r>
      <w:r>
        <w:rPr>
          <w:spacing w:val="-1"/>
          <w:sz w:val="24"/>
        </w:rPr>
        <w:t> </w:t>
      </w:r>
      <w:r>
        <w:rPr>
          <w:spacing w:val="-2"/>
          <w:sz w:val="24"/>
        </w:rPr>
        <w:t>extract</w:t>
      </w:r>
      <w:r>
        <w:rPr>
          <w:sz w:val="24"/>
        </w:rPr>
        <w:tab/>
      </w:r>
      <w:r>
        <w:rPr>
          <w:spacing w:val="-5"/>
          <w:sz w:val="24"/>
        </w:rPr>
        <w:t>66</w:t>
      </w:r>
    </w:p>
    <w:p>
      <w:pPr>
        <w:pStyle w:val="ListParagraph"/>
        <w:numPr>
          <w:ilvl w:val="2"/>
          <w:numId w:val="2"/>
        </w:numPr>
        <w:tabs>
          <w:tab w:pos="2122" w:val="left" w:leader="none"/>
          <w:tab w:pos="8844" w:val="right" w:leader="none"/>
        </w:tabs>
        <w:spacing w:line="240" w:lineRule="auto" w:before="137" w:after="0"/>
        <w:ind w:left="2122" w:right="0" w:hanging="1440"/>
        <w:jc w:val="left"/>
        <w:rPr>
          <w:sz w:val="24"/>
        </w:rPr>
      </w:pPr>
      <w:hyperlink w:history="true" w:anchor="_TOC_250045">
        <w:r>
          <w:rPr>
            <w:sz w:val="24"/>
          </w:rPr>
          <w:t>Test</w:t>
        </w:r>
        <w:r>
          <w:rPr>
            <w:spacing w:val="-1"/>
            <w:sz w:val="24"/>
          </w:rPr>
          <w:t> </w:t>
        </w:r>
        <w:r>
          <w:rPr>
            <w:sz w:val="24"/>
          </w:rPr>
          <w:t>for</w:t>
        </w:r>
        <w:r>
          <w:rPr>
            <w:spacing w:val="-2"/>
            <w:sz w:val="24"/>
          </w:rPr>
          <w:t> alkaloids</w:t>
        </w:r>
        <w:r>
          <w:rPr>
            <w:sz w:val="24"/>
          </w:rPr>
          <w:tab/>
        </w:r>
        <w:r>
          <w:rPr>
            <w:spacing w:val="-5"/>
            <w:sz w:val="24"/>
          </w:rPr>
          <w:t>66</w:t>
        </w:r>
      </w:hyperlink>
    </w:p>
    <w:p>
      <w:pPr>
        <w:pStyle w:val="ListParagraph"/>
        <w:numPr>
          <w:ilvl w:val="2"/>
          <w:numId w:val="2"/>
        </w:numPr>
        <w:tabs>
          <w:tab w:pos="2122" w:val="left" w:leader="none"/>
          <w:tab w:pos="8844" w:val="right" w:leader="none"/>
        </w:tabs>
        <w:spacing w:line="240" w:lineRule="auto" w:before="139" w:after="0"/>
        <w:ind w:left="2122" w:right="0" w:hanging="1440"/>
        <w:jc w:val="left"/>
        <w:rPr>
          <w:sz w:val="24"/>
        </w:rPr>
      </w:pPr>
      <w:hyperlink w:history="true" w:anchor="_TOC_250044">
        <w:r>
          <w:rPr>
            <w:sz w:val="24"/>
          </w:rPr>
          <w:t>Test</w:t>
        </w:r>
        <w:r>
          <w:rPr>
            <w:spacing w:val="-1"/>
            <w:sz w:val="24"/>
          </w:rPr>
          <w:t> </w:t>
        </w:r>
        <w:r>
          <w:rPr>
            <w:sz w:val="24"/>
          </w:rPr>
          <w:t>for</w:t>
        </w:r>
        <w:r>
          <w:rPr>
            <w:spacing w:val="-2"/>
            <w:sz w:val="24"/>
          </w:rPr>
          <w:t> cardenolides</w:t>
        </w:r>
        <w:r>
          <w:rPr>
            <w:sz w:val="24"/>
          </w:rPr>
          <w:tab/>
        </w:r>
        <w:r>
          <w:rPr>
            <w:spacing w:val="-5"/>
            <w:sz w:val="24"/>
          </w:rPr>
          <w:t>66</w:t>
        </w:r>
      </w:hyperlink>
    </w:p>
    <w:p>
      <w:pPr>
        <w:pStyle w:val="ListParagraph"/>
        <w:numPr>
          <w:ilvl w:val="2"/>
          <w:numId w:val="2"/>
        </w:numPr>
        <w:tabs>
          <w:tab w:pos="2122" w:val="left" w:leader="none"/>
          <w:tab w:pos="8844" w:val="right" w:leader="none"/>
        </w:tabs>
        <w:spacing w:line="240" w:lineRule="auto" w:before="137" w:after="0"/>
        <w:ind w:left="2122" w:right="0" w:hanging="1440"/>
        <w:jc w:val="left"/>
        <w:rPr>
          <w:sz w:val="24"/>
        </w:rPr>
      </w:pPr>
      <w:hyperlink w:history="true" w:anchor="_TOC_250043">
        <w:r>
          <w:rPr>
            <w:sz w:val="24"/>
          </w:rPr>
          <w:t>Test</w:t>
        </w:r>
        <w:r>
          <w:rPr>
            <w:spacing w:val="-1"/>
            <w:sz w:val="24"/>
          </w:rPr>
          <w:t> </w:t>
        </w:r>
        <w:r>
          <w:rPr>
            <w:sz w:val="24"/>
          </w:rPr>
          <w:t>for</w:t>
        </w:r>
        <w:r>
          <w:rPr>
            <w:spacing w:val="-2"/>
            <w:sz w:val="24"/>
          </w:rPr>
          <w:t> anthraquinones</w:t>
        </w:r>
        <w:r>
          <w:rPr>
            <w:sz w:val="24"/>
          </w:rPr>
          <w:tab/>
        </w:r>
        <w:r>
          <w:rPr>
            <w:spacing w:val="-5"/>
            <w:sz w:val="24"/>
          </w:rPr>
          <w:t>67</w:t>
        </w:r>
      </w:hyperlink>
    </w:p>
    <w:p>
      <w:pPr>
        <w:pStyle w:val="ListParagraph"/>
        <w:numPr>
          <w:ilvl w:val="2"/>
          <w:numId w:val="2"/>
        </w:numPr>
        <w:tabs>
          <w:tab w:pos="2122" w:val="left" w:leader="none"/>
          <w:tab w:pos="8844" w:val="right" w:leader="none"/>
        </w:tabs>
        <w:spacing w:line="240" w:lineRule="auto" w:before="139" w:after="0"/>
        <w:ind w:left="2122" w:right="0" w:hanging="1440"/>
        <w:jc w:val="left"/>
        <w:rPr>
          <w:sz w:val="24"/>
        </w:rPr>
      </w:pPr>
      <w:hyperlink w:history="true" w:anchor="_TOC_250042">
        <w:r>
          <w:rPr>
            <w:sz w:val="24"/>
          </w:rPr>
          <w:t>Test</w:t>
        </w:r>
        <w:r>
          <w:rPr>
            <w:spacing w:val="-1"/>
            <w:sz w:val="24"/>
          </w:rPr>
          <w:t> </w:t>
        </w:r>
        <w:r>
          <w:rPr>
            <w:sz w:val="24"/>
          </w:rPr>
          <w:t>for</w:t>
        </w:r>
        <w:r>
          <w:rPr>
            <w:spacing w:val="-2"/>
            <w:sz w:val="24"/>
          </w:rPr>
          <w:t> saponins</w:t>
        </w:r>
        <w:r>
          <w:rPr>
            <w:sz w:val="24"/>
          </w:rPr>
          <w:tab/>
        </w:r>
        <w:r>
          <w:rPr>
            <w:spacing w:val="-5"/>
            <w:sz w:val="24"/>
          </w:rPr>
          <w:t>67</w:t>
        </w:r>
      </w:hyperlink>
    </w:p>
    <w:p>
      <w:pPr>
        <w:pStyle w:val="ListParagraph"/>
        <w:numPr>
          <w:ilvl w:val="2"/>
          <w:numId w:val="2"/>
        </w:numPr>
        <w:tabs>
          <w:tab w:pos="2122" w:val="left" w:leader="none"/>
          <w:tab w:pos="8844" w:val="right" w:leader="none"/>
        </w:tabs>
        <w:spacing w:line="240" w:lineRule="auto" w:before="138" w:after="0"/>
        <w:ind w:left="2122" w:right="0" w:hanging="1440"/>
        <w:jc w:val="left"/>
        <w:rPr>
          <w:sz w:val="24"/>
        </w:rPr>
      </w:pPr>
      <w:hyperlink w:history="true" w:anchor="_TOC_250041">
        <w:r>
          <w:rPr>
            <w:sz w:val="24"/>
          </w:rPr>
          <w:t>Test</w:t>
        </w:r>
        <w:r>
          <w:rPr>
            <w:spacing w:val="-1"/>
            <w:sz w:val="24"/>
          </w:rPr>
          <w:t> </w:t>
        </w:r>
        <w:r>
          <w:rPr>
            <w:sz w:val="24"/>
          </w:rPr>
          <w:t>for</w:t>
        </w:r>
        <w:r>
          <w:rPr>
            <w:spacing w:val="-2"/>
            <w:sz w:val="24"/>
          </w:rPr>
          <w:t> tannins</w:t>
        </w:r>
        <w:r>
          <w:rPr>
            <w:sz w:val="24"/>
          </w:rPr>
          <w:tab/>
        </w:r>
        <w:r>
          <w:rPr>
            <w:spacing w:val="-5"/>
            <w:sz w:val="24"/>
          </w:rPr>
          <w:t>68</w:t>
        </w:r>
      </w:hyperlink>
    </w:p>
    <w:p>
      <w:pPr>
        <w:pStyle w:val="ListParagraph"/>
        <w:numPr>
          <w:ilvl w:val="2"/>
          <w:numId w:val="2"/>
        </w:numPr>
        <w:tabs>
          <w:tab w:pos="2122" w:val="left" w:leader="none"/>
          <w:tab w:pos="8844" w:val="right" w:leader="none"/>
        </w:tabs>
        <w:spacing w:line="240" w:lineRule="auto" w:before="139" w:after="0"/>
        <w:ind w:left="2122" w:right="0" w:hanging="1440"/>
        <w:jc w:val="left"/>
        <w:rPr>
          <w:sz w:val="24"/>
        </w:rPr>
      </w:pPr>
      <w:hyperlink w:history="true" w:anchor="_TOC_250040">
        <w:r>
          <w:rPr>
            <w:sz w:val="24"/>
          </w:rPr>
          <w:t>Test</w:t>
        </w:r>
        <w:r>
          <w:rPr>
            <w:spacing w:val="-1"/>
            <w:sz w:val="24"/>
          </w:rPr>
          <w:t> </w:t>
        </w:r>
        <w:r>
          <w:rPr>
            <w:sz w:val="24"/>
          </w:rPr>
          <w:t>for</w:t>
        </w:r>
        <w:r>
          <w:rPr>
            <w:spacing w:val="-2"/>
            <w:sz w:val="24"/>
          </w:rPr>
          <w:t> steroids</w:t>
        </w:r>
        <w:r>
          <w:rPr>
            <w:sz w:val="24"/>
          </w:rPr>
          <w:tab/>
        </w:r>
        <w:r>
          <w:rPr>
            <w:spacing w:val="-5"/>
            <w:sz w:val="24"/>
          </w:rPr>
          <w:t>68</w:t>
        </w:r>
      </w:hyperlink>
    </w:p>
    <w:p>
      <w:pPr>
        <w:pStyle w:val="ListParagraph"/>
        <w:numPr>
          <w:ilvl w:val="2"/>
          <w:numId w:val="2"/>
        </w:numPr>
        <w:tabs>
          <w:tab w:pos="2122" w:val="left" w:leader="none"/>
          <w:tab w:pos="8844" w:val="right" w:leader="none"/>
        </w:tabs>
        <w:spacing w:line="240" w:lineRule="auto" w:before="137" w:after="0"/>
        <w:ind w:left="2122" w:right="0" w:hanging="1440"/>
        <w:jc w:val="left"/>
        <w:rPr>
          <w:sz w:val="24"/>
        </w:rPr>
      </w:pPr>
      <w:hyperlink w:history="true" w:anchor="_TOC_250039">
        <w:r>
          <w:rPr>
            <w:sz w:val="24"/>
          </w:rPr>
          <w:t>Test</w:t>
        </w:r>
        <w:r>
          <w:rPr>
            <w:spacing w:val="-1"/>
            <w:sz w:val="24"/>
          </w:rPr>
          <w:t> </w:t>
        </w:r>
        <w:r>
          <w:rPr>
            <w:sz w:val="24"/>
          </w:rPr>
          <w:t>for</w:t>
        </w:r>
        <w:r>
          <w:rPr>
            <w:spacing w:val="-2"/>
            <w:sz w:val="24"/>
          </w:rPr>
          <w:t> flavonoids</w:t>
        </w:r>
        <w:r>
          <w:rPr>
            <w:sz w:val="24"/>
          </w:rPr>
          <w:tab/>
        </w:r>
        <w:r>
          <w:rPr>
            <w:spacing w:val="-5"/>
            <w:sz w:val="24"/>
          </w:rPr>
          <w:t>68</w:t>
        </w:r>
      </w:hyperlink>
    </w:p>
    <w:p>
      <w:pPr>
        <w:pStyle w:val="ListParagraph"/>
        <w:numPr>
          <w:ilvl w:val="1"/>
          <w:numId w:val="2"/>
        </w:numPr>
        <w:tabs>
          <w:tab w:pos="2122" w:val="left" w:leader="none"/>
          <w:tab w:pos="8844" w:val="right" w:leader="none"/>
        </w:tabs>
        <w:spacing w:line="240" w:lineRule="auto" w:before="139" w:after="0"/>
        <w:ind w:left="2122" w:right="0" w:hanging="1440"/>
        <w:jc w:val="left"/>
        <w:rPr>
          <w:sz w:val="24"/>
        </w:rPr>
      </w:pPr>
      <w:hyperlink w:history="true" w:anchor="_TOC_250038">
        <w:r>
          <w:rPr>
            <w:sz w:val="24"/>
          </w:rPr>
          <w:t>Antidiabetic</w:t>
        </w:r>
        <w:r>
          <w:rPr>
            <w:spacing w:val="-3"/>
            <w:sz w:val="24"/>
          </w:rPr>
          <w:t> </w:t>
        </w:r>
        <w:r>
          <w:rPr>
            <w:spacing w:val="-2"/>
            <w:sz w:val="24"/>
          </w:rPr>
          <w:t>tests</w:t>
        </w:r>
        <w:r>
          <w:rPr>
            <w:sz w:val="24"/>
          </w:rPr>
          <w:tab/>
        </w:r>
        <w:r>
          <w:rPr>
            <w:spacing w:val="-5"/>
            <w:sz w:val="24"/>
          </w:rPr>
          <w:t>69</w:t>
        </w:r>
      </w:hyperlink>
    </w:p>
    <w:p>
      <w:pPr>
        <w:pStyle w:val="ListParagraph"/>
        <w:numPr>
          <w:ilvl w:val="2"/>
          <w:numId w:val="2"/>
        </w:numPr>
        <w:tabs>
          <w:tab w:pos="2122" w:val="left" w:leader="none"/>
          <w:tab w:pos="8844" w:val="right" w:leader="none"/>
        </w:tabs>
        <w:spacing w:line="240" w:lineRule="auto" w:before="137" w:after="0"/>
        <w:ind w:left="2122" w:right="0" w:hanging="1440"/>
        <w:jc w:val="left"/>
        <w:rPr>
          <w:sz w:val="24"/>
        </w:rPr>
      </w:pPr>
      <w:hyperlink w:history="true" w:anchor="_TOC_250037">
        <w:r>
          <w:rPr>
            <w:spacing w:val="-2"/>
            <w:sz w:val="24"/>
          </w:rPr>
          <w:t>Animals</w:t>
        </w:r>
        <w:r>
          <w:rPr>
            <w:sz w:val="24"/>
          </w:rPr>
          <w:tab/>
        </w:r>
        <w:r>
          <w:rPr>
            <w:spacing w:val="-5"/>
            <w:sz w:val="24"/>
          </w:rPr>
          <w:t>69</w:t>
        </w:r>
      </w:hyperlink>
    </w:p>
    <w:p>
      <w:pPr>
        <w:pStyle w:val="ListParagraph"/>
        <w:numPr>
          <w:ilvl w:val="2"/>
          <w:numId w:val="2"/>
        </w:numPr>
        <w:tabs>
          <w:tab w:pos="2122" w:val="left" w:leader="none"/>
          <w:tab w:pos="8844" w:val="right" w:leader="none"/>
        </w:tabs>
        <w:spacing w:line="240" w:lineRule="auto" w:before="139" w:after="0"/>
        <w:ind w:left="2122" w:right="0" w:hanging="1440"/>
        <w:jc w:val="left"/>
        <w:rPr>
          <w:sz w:val="24"/>
        </w:rPr>
      </w:pPr>
      <w:hyperlink w:history="true" w:anchor="_TOC_250036">
        <w:r>
          <w:rPr>
            <w:sz w:val="24"/>
          </w:rPr>
          <w:t>Induction</w:t>
        </w:r>
        <w:r>
          <w:rPr>
            <w:spacing w:val="-2"/>
            <w:sz w:val="24"/>
          </w:rPr>
          <w:t> </w:t>
        </w:r>
        <w:r>
          <w:rPr>
            <w:sz w:val="24"/>
          </w:rPr>
          <w:t>of</w:t>
        </w:r>
        <w:r>
          <w:rPr>
            <w:spacing w:val="-2"/>
            <w:sz w:val="24"/>
          </w:rPr>
          <w:t> diabetes</w:t>
        </w:r>
        <w:r>
          <w:rPr>
            <w:sz w:val="24"/>
          </w:rPr>
          <w:tab/>
        </w:r>
        <w:r>
          <w:rPr>
            <w:spacing w:val="-5"/>
            <w:sz w:val="24"/>
          </w:rPr>
          <w:t>69</w:t>
        </w:r>
      </w:hyperlink>
    </w:p>
    <w:p>
      <w:pPr>
        <w:pStyle w:val="ListParagraph"/>
        <w:numPr>
          <w:ilvl w:val="2"/>
          <w:numId w:val="2"/>
        </w:numPr>
        <w:tabs>
          <w:tab w:pos="2122" w:val="left" w:leader="none"/>
          <w:tab w:pos="8844" w:val="right" w:leader="none"/>
        </w:tabs>
        <w:spacing w:line="240" w:lineRule="auto" w:before="137" w:after="0"/>
        <w:ind w:left="2122" w:right="0" w:hanging="1440"/>
        <w:jc w:val="left"/>
        <w:rPr>
          <w:sz w:val="24"/>
        </w:rPr>
      </w:pPr>
      <w:r>
        <w:rPr>
          <w:sz w:val="24"/>
        </w:rPr>
        <w:t>Acute</w:t>
      </w:r>
      <w:r>
        <w:rPr>
          <w:spacing w:val="-3"/>
          <w:sz w:val="24"/>
        </w:rPr>
        <w:t> </w:t>
      </w:r>
      <w:r>
        <w:rPr>
          <w:sz w:val="24"/>
        </w:rPr>
        <w:t>hypoglyaemic</w:t>
      </w:r>
      <w:r>
        <w:rPr>
          <w:spacing w:val="-2"/>
          <w:sz w:val="24"/>
        </w:rPr>
        <w:t> activity</w:t>
      </w:r>
      <w:r>
        <w:rPr>
          <w:sz w:val="24"/>
        </w:rPr>
        <w:tab/>
      </w:r>
      <w:r>
        <w:rPr>
          <w:spacing w:val="-5"/>
          <w:sz w:val="24"/>
        </w:rPr>
        <w:t>69</w:t>
      </w:r>
    </w:p>
    <w:p>
      <w:pPr>
        <w:pStyle w:val="BodyText"/>
        <w:tabs>
          <w:tab w:pos="2122" w:val="left" w:leader="none"/>
          <w:tab w:pos="8844" w:val="right" w:leader="none"/>
        </w:tabs>
        <w:spacing w:before="139"/>
        <w:ind w:left="682"/>
      </w:pPr>
      <w:r>
        <w:rPr>
          <w:spacing w:val="-2"/>
        </w:rPr>
        <w:t>2.7.5</w:t>
      </w:r>
      <w:r>
        <w:rPr/>
        <w:tab/>
        <w:t>Chronic</w:t>
      </w:r>
      <w:r>
        <w:rPr>
          <w:spacing w:val="-4"/>
        </w:rPr>
        <w:t> </w:t>
      </w:r>
      <w:r>
        <w:rPr/>
        <w:t>hypoglycaemic</w:t>
      </w:r>
      <w:r>
        <w:rPr>
          <w:spacing w:val="-2"/>
        </w:rPr>
        <w:t> activity</w:t>
      </w:r>
      <w:r>
        <w:rPr/>
        <w:tab/>
      </w:r>
      <w:r>
        <w:rPr>
          <w:spacing w:val="-5"/>
        </w:rPr>
        <w:t>69</w:t>
      </w:r>
    </w:p>
    <w:p>
      <w:pPr>
        <w:pStyle w:val="ListParagraph"/>
        <w:numPr>
          <w:ilvl w:val="2"/>
          <w:numId w:val="3"/>
        </w:numPr>
        <w:tabs>
          <w:tab w:pos="2122" w:val="left" w:leader="none"/>
          <w:tab w:pos="8844" w:val="right" w:leader="none"/>
        </w:tabs>
        <w:spacing w:line="240" w:lineRule="auto" w:before="137" w:after="0"/>
        <w:ind w:left="2122" w:right="0" w:hanging="1440"/>
        <w:jc w:val="left"/>
        <w:rPr>
          <w:sz w:val="24"/>
        </w:rPr>
      </w:pPr>
      <w:r>
        <w:rPr>
          <w:sz w:val="24"/>
        </w:rPr>
        <w:t>Effects</w:t>
      </w:r>
      <w:r>
        <w:rPr>
          <w:spacing w:val="-2"/>
          <w:sz w:val="24"/>
        </w:rPr>
        <w:t> </w:t>
      </w:r>
      <w:r>
        <w:rPr>
          <w:sz w:val="24"/>
        </w:rPr>
        <w:t>of</w:t>
      </w:r>
      <w:r>
        <w:rPr>
          <w:spacing w:val="1"/>
          <w:sz w:val="24"/>
        </w:rPr>
        <w:t> </w:t>
      </w:r>
      <w:r>
        <w:rPr>
          <w:sz w:val="24"/>
        </w:rPr>
        <w:t>fraction</w:t>
      </w:r>
      <w:r>
        <w:rPr>
          <w:spacing w:val="-1"/>
          <w:sz w:val="24"/>
        </w:rPr>
        <w:t> </w:t>
      </w:r>
      <w:r>
        <w:rPr>
          <w:sz w:val="24"/>
        </w:rPr>
        <w:t>of</w:t>
      </w:r>
      <w:r>
        <w:rPr>
          <w:spacing w:val="-1"/>
          <w:sz w:val="24"/>
        </w:rPr>
        <w:t> </w:t>
      </w:r>
      <w:r>
        <w:rPr>
          <w:i/>
          <w:sz w:val="24"/>
        </w:rPr>
        <w:t>Mucuna</w:t>
      </w:r>
      <w:r>
        <w:rPr>
          <w:i/>
          <w:spacing w:val="-1"/>
          <w:sz w:val="24"/>
        </w:rPr>
        <w:t> </w:t>
      </w:r>
      <w:r>
        <w:rPr>
          <w:i/>
          <w:sz w:val="24"/>
        </w:rPr>
        <w:t>pruriens</w:t>
      </w:r>
      <w:r>
        <w:rPr>
          <w:i/>
          <w:spacing w:val="-1"/>
          <w:sz w:val="24"/>
        </w:rPr>
        <w:t> </w:t>
      </w:r>
      <w:r>
        <w:rPr>
          <w:sz w:val="24"/>
        </w:rPr>
        <w:t>on</w:t>
      </w:r>
      <w:r>
        <w:rPr>
          <w:spacing w:val="-1"/>
          <w:sz w:val="24"/>
        </w:rPr>
        <w:t> </w:t>
      </w:r>
      <w:r>
        <w:rPr>
          <w:sz w:val="24"/>
        </w:rPr>
        <w:t>diabetic</w:t>
      </w:r>
      <w:r>
        <w:rPr>
          <w:spacing w:val="-2"/>
          <w:sz w:val="24"/>
        </w:rPr>
        <w:t> </w:t>
      </w:r>
      <w:r>
        <w:rPr>
          <w:spacing w:val="-4"/>
          <w:sz w:val="24"/>
        </w:rPr>
        <w:t>rats</w:t>
      </w:r>
      <w:r>
        <w:rPr>
          <w:sz w:val="24"/>
        </w:rPr>
        <w:tab/>
      </w:r>
      <w:r>
        <w:rPr>
          <w:spacing w:val="-5"/>
          <w:sz w:val="24"/>
        </w:rPr>
        <w:t>70</w:t>
      </w:r>
    </w:p>
    <w:p>
      <w:pPr>
        <w:pStyle w:val="ListParagraph"/>
        <w:numPr>
          <w:ilvl w:val="2"/>
          <w:numId w:val="3"/>
        </w:numPr>
        <w:tabs>
          <w:tab w:pos="2122" w:val="left" w:leader="none"/>
          <w:tab w:pos="8844" w:val="right" w:leader="none"/>
        </w:tabs>
        <w:spacing w:line="240" w:lineRule="auto" w:before="140" w:after="0"/>
        <w:ind w:left="2122" w:right="0" w:hanging="1440"/>
        <w:jc w:val="left"/>
        <w:rPr>
          <w:sz w:val="24"/>
        </w:rPr>
      </w:pPr>
      <w:hyperlink w:history="true" w:anchor="_TOC_250035">
        <w:r>
          <w:rPr>
            <w:sz w:val="24"/>
          </w:rPr>
          <w:t>Acute</w:t>
        </w:r>
        <w:r>
          <w:rPr>
            <w:spacing w:val="1"/>
            <w:sz w:val="24"/>
          </w:rPr>
          <w:t> </w:t>
        </w:r>
        <w:r>
          <w:rPr>
            <w:sz w:val="24"/>
          </w:rPr>
          <w:t>toxicity</w:t>
        </w:r>
        <w:r>
          <w:rPr>
            <w:spacing w:val="-7"/>
            <w:sz w:val="24"/>
          </w:rPr>
          <w:t> </w:t>
        </w:r>
        <w:r>
          <w:rPr>
            <w:spacing w:val="-2"/>
            <w:sz w:val="24"/>
          </w:rPr>
          <w:t>studies</w:t>
        </w:r>
        <w:r>
          <w:rPr>
            <w:sz w:val="24"/>
          </w:rPr>
          <w:tab/>
        </w:r>
        <w:r>
          <w:rPr>
            <w:spacing w:val="-5"/>
            <w:sz w:val="24"/>
          </w:rPr>
          <w:t>70</w:t>
        </w:r>
      </w:hyperlink>
    </w:p>
    <w:p>
      <w:pPr>
        <w:pStyle w:val="ListParagraph"/>
        <w:numPr>
          <w:ilvl w:val="1"/>
          <w:numId w:val="2"/>
        </w:numPr>
        <w:tabs>
          <w:tab w:pos="2122" w:val="left" w:leader="none"/>
          <w:tab w:pos="8844" w:val="right" w:leader="none"/>
        </w:tabs>
        <w:spacing w:line="240" w:lineRule="auto" w:before="136" w:after="0"/>
        <w:ind w:left="2122" w:right="0" w:hanging="1440"/>
        <w:jc w:val="left"/>
        <w:rPr>
          <w:sz w:val="24"/>
        </w:rPr>
      </w:pPr>
      <w:r>
        <w:rPr>
          <w:sz w:val="24"/>
        </w:rPr>
        <w:t>Biochemical</w:t>
      </w:r>
      <w:r>
        <w:rPr>
          <w:spacing w:val="-2"/>
          <w:sz w:val="24"/>
        </w:rPr>
        <w:t> </w:t>
      </w:r>
      <w:r>
        <w:rPr>
          <w:sz w:val="24"/>
        </w:rPr>
        <w:t>and</w:t>
      </w:r>
      <w:r>
        <w:rPr>
          <w:spacing w:val="-2"/>
          <w:sz w:val="24"/>
        </w:rPr>
        <w:t> </w:t>
      </w:r>
      <w:r>
        <w:rPr>
          <w:sz w:val="24"/>
        </w:rPr>
        <w:t>hematological</w:t>
      </w:r>
      <w:r>
        <w:rPr>
          <w:spacing w:val="-2"/>
          <w:sz w:val="24"/>
        </w:rPr>
        <w:t> studies</w:t>
      </w:r>
      <w:r>
        <w:rPr>
          <w:sz w:val="24"/>
        </w:rPr>
        <w:tab/>
      </w:r>
      <w:r>
        <w:rPr>
          <w:spacing w:val="-5"/>
          <w:sz w:val="24"/>
        </w:rPr>
        <w:t>70</w:t>
      </w:r>
    </w:p>
    <w:p>
      <w:pPr>
        <w:pStyle w:val="ListParagraph"/>
        <w:numPr>
          <w:ilvl w:val="1"/>
          <w:numId w:val="2"/>
        </w:numPr>
        <w:tabs>
          <w:tab w:pos="2122" w:val="left" w:leader="none"/>
          <w:tab w:pos="8844" w:val="right" w:leader="none"/>
        </w:tabs>
        <w:spacing w:line="240" w:lineRule="auto" w:before="140" w:after="0"/>
        <w:ind w:left="2122" w:right="0" w:hanging="1440"/>
        <w:jc w:val="left"/>
        <w:rPr>
          <w:sz w:val="24"/>
        </w:rPr>
      </w:pPr>
      <w:r>
        <w:rPr>
          <w:sz w:val="24"/>
        </w:rPr>
        <w:t>Histopathological</w:t>
      </w:r>
      <w:r>
        <w:rPr>
          <w:spacing w:val="-7"/>
          <w:sz w:val="24"/>
        </w:rPr>
        <w:t> </w:t>
      </w:r>
      <w:r>
        <w:rPr>
          <w:spacing w:val="-2"/>
          <w:sz w:val="24"/>
        </w:rPr>
        <w:t>studies</w:t>
      </w:r>
      <w:r>
        <w:rPr>
          <w:sz w:val="24"/>
        </w:rPr>
        <w:tab/>
      </w:r>
      <w:r>
        <w:rPr>
          <w:spacing w:val="-5"/>
          <w:sz w:val="24"/>
        </w:rPr>
        <w:t>71</w:t>
      </w:r>
    </w:p>
    <w:p>
      <w:pPr>
        <w:pStyle w:val="ListParagraph"/>
        <w:numPr>
          <w:ilvl w:val="1"/>
          <w:numId w:val="2"/>
        </w:numPr>
        <w:tabs>
          <w:tab w:pos="2122" w:val="left" w:leader="none"/>
          <w:tab w:pos="8844" w:val="right" w:leader="none"/>
        </w:tabs>
        <w:spacing w:line="240" w:lineRule="auto" w:before="136" w:after="0"/>
        <w:ind w:left="2122" w:right="0" w:hanging="1440"/>
        <w:jc w:val="left"/>
        <w:rPr>
          <w:sz w:val="24"/>
        </w:rPr>
      </w:pPr>
      <w:hyperlink w:history="true" w:anchor="_TOC_250034">
        <w:r>
          <w:rPr>
            <w:sz w:val="24"/>
          </w:rPr>
          <w:t>Powders</w:t>
        </w:r>
        <w:r>
          <w:rPr>
            <w:spacing w:val="-2"/>
            <w:sz w:val="24"/>
          </w:rPr>
          <w:t> characterization</w:t>
        </w:r>
        <w:r>
          <w:rPr>
            <w:sz w:val="24"/>
          </w:rPr>
          <w:tab/>
        </w:r>
        <w:r>
          <w:rPr>
            <w:spacing w:val="-5"/>
            <w:sz w:val="24"/>
          </w:rPr>
          <w:t>71</w:t>
        </w:r>
      </w:hyperlink>
    </w:p>
    <w:p>
      <w:pPr>
        <w:pStyle w:val="ListParagraph"/>
        <w:numPr>
          <w:ilvl w:val="2"/>
          <w:numId w:val="2"/>
        </w:numPr>
        <w:tabs>
          <w:tab w:pos="2182" w:val="left" w:leader="none"/>
          <w:tab w:pos="8844" w:val="right" w:leader="none"/>
        </w:tabs>
        <w:spacing w:line="240" w:lineRule="auto" w:before="140" w:after="0"/>
        <w:ind w:left="2182" w:right="0" w:hanging="1500"/>
        <w:jc w:val="left"/>
        <w:rPr>
          <w:sz w:val="24"/>
        </w:rPr>
      </w:pPr>
      <w:hyperlink w:history="true" w:anchor="_TOC_250033">
        <w:r>
          <w:rPr>
            <w:sz w:val="24"/>
          </w:rPr>
          <w:t>Bulk</w:t>
        </w:r>
        <w:r>
          <w:rPr>
            <w:spacing w:val="-4"/>
            <w:sz w:val="24"/>
          </w:rPr>
          <w:t> </w:t>
        </w:r>
        <w:r>
          <w:rPr>
            <w:spacing w:val="-2"/>
            <w:sz w:val="24"/>
          </w:rPr>
          <w:t>density</w:t>
        </w:r>
        <w:r>
          <w:rPr>
            <w:sz w:val="24"/>
          </w:rPr>
          <w:tab/>
        </w:r>
        <w:r>
          <w:rPr>
            <w:spacing w:val="-5"/>
            <w:sz w:val="24"/>
          </w:rPr>
          <w:t>72</w:t>
        </w:r>
      </w:hyperlink>
    </w:p>
    <w:p>
      <w:pPr>
        <w:spacing w:after="0" w:line="240" w:lineRule="auto"/>
        <w:jc w:val="left"/>
        <w:rPr>
          <w:sz w:val="24"/>
        </w:rPr>
        <w:sectPr>
          <w:pgSz w:w="12240" w:h="15840"/>
          <w:pgMar w:header="0" w:footer="1068" w:top="1360" w:bottom="1260" w:left="1420" w:right="420"/>
        </w:sectPr>
      </w:pPr>
    </w:p>
    <w:p>
      <w:pPr>
        <w:pStyle w:val="ListParagraph"/>
        <w:numPr>
          <w:ilvl w:val="2"/>
          <w:numId w:val="2"/>
        </w:numPr>
        <w:tabs>
          <w:tab w:pos="2182" w:val="left" w:leader="none"/>
          <w:tab w:pos="8604" w:val="left" w:leader="none"/>
        </w:tabs>
        <w:spacing w:line="240" w:lineRule="auto" w:before="74" w:after="0"/>
        <w:ind w:left="2182" w:right="0" w:hanging="1500"/>
        <w:jc w:val="left"/>
        <w:rPr>
          <w:sz w:val="24"/>
        </w:rPr>
      </w:pPr>
      <w:r>
        <w:rPr/>
        <mc:AlternateContent>
          <mc:Choice Requires="wps">
            <w:drawing>
              <wp:anchor distT="0" distB="0" distL="0" distR="0" allowOverlap="1" layoutInCell="1" locked="0" behindDoc="1" simplePos="0" relativeHeight="482908672">
                <wp:simplePos x="0" y="0"/>
                <wp:positionH relativeFrom="page">
                  <wp:posOffset>-1402226</wp:posOffset>
                </wp:positionH>
                <wp:positionV relativeFrom="page">
                  <wp:posOffset>4612234</wp:posOffset>
                </wp:positionV>
                <wp:extent cx="10685780" cy="914400"/>
                <wp:effectExtent l="0" t="0" r="0" b="0"/>
                <wp:wrapNone/>
                <wp:docPr id="14" name="Textbox 14"/>
                <wp:cNvGraphicFramePr>
                  <a:graphicFrameLocks/>
                </wp:cNvGraphicFramePr>
                <a:graphic>
                  <a:graphicData uri="http://schemas.microsoft.com/office/word/2010/wordprocessingShape">
                    <wps:wsp>
                      <wps:cNvPr id="14" name="Textbox 1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7808;rotation:306" type="#_x0000_t136" fillcolor="#ff5400" stroked="f">
                <o:extrusion v:ext="view" autorotationcenter="t"/>
                <v:textpath style="font-family:&quot;Arial MT&quot;;font-size:72pt;v-text-kern:t;mso-text-shadow:auto" string="UNIVERSITY OF IBADAN"/>
                <w10:wrap type="none"/>
              </v:shape>
            </w:pict>
          </mc:Fallback>
        </mc:AlternateContent>
      </w:r>
      <w:hyperlink w:history="true" w:anchor="_TOC_250032">
        <w:r>
          <w:rPr>
            <w:sz w:val="24"/>
          </w:rPr>
          <w:t>Tapped</w:t>
        </w:r>
        <w:r>
          <w:rPr>
            <w:spacing w:val="-3"/>
            <w:sz w:val="24"/>
          </w:rPr>
          <w:t> </w:t>
        </w:r>
        <w:r>
          <w:rPr>
            <w:spacing w:val="-2"/>
            <w:sz w:val="24"/>
          </w:rPr>
          <w:t>density</w:t>
        </w:r>
        <w:r>
          <w:rPr>
            <w:sz w:val="24"/>
          </w:rPr>
          <w:tab/>
        </w:r>
        <w:r>
          <w:rPr>
            <w:spacing w:val="-5"/>
            <w:sz w:val="24"/>
          </w:rPr>
          <w:t>72</w:t>
        </w:r>
      </w:hyperlink>
    </w:p>
    <w:p>
      <w:pPr>
        <w:pStyle w:val="ListParagraph"/>
        <w:numPr>
          <w:ilvl w:val="2"/>
          <w:numId w:val="2"/>
        </w:numPr>
        <w:tabs>
          <w:tab w:pos="2182" w:val="left" w:leader="none"/>
          <w:tab w:pos="8604" w:val="left" w:leader="none"/>
        </w:tabs>
        <w:spacing w:line="240" w:lineRule="auto" w:before="137" w:after="0"/>
        <w:ind w:left="2182" w:right="0" w:hanging="1500"/>
        <w:jc w:val="left"/>
        <w:rPr>
          <w:sz w:val="24"/>
        </w:rPr>
      </w:pPr>
      <w:hyperlink w:history="true" w:anchor="_TOC_250031">
        <w:r>
          <w:rPr>
            <w:sz w:val="24"/>
          </w:rPr>
          <w:t>Percentage</w:t>
        </w:r>
        <w:r>
          <w:rPr>
            <w:spacing w:val="-4"/>
            <w:sz w:val="24"/>
          </w:rPr>
          <w:t> </w:t>
        </w:r>
        <w:r>
          <w:rPr>
            <w:spacing w:val="-2"/>
            <w:sz w:val="24"/>
          </w:rPr>
          <w:t>compressibility</w:t>
        </w:r>
        <w:r>
          <w:rPr>
            <w:sz w:val="24"/>
          </w:rPr>
          <w:tab/>
        </w:r>
        <w:r>
          <w:rPr>
            <w:spacing w:val="-5"/>
            <w:sz w:val="24"/>
          </w:rPr>
          <w:t>72</w:t>
        </w:r>
      </w:hyperlink>
    </w:p>
    <w:p>
      <w:pPr>
        <w:pStyle w:val="ListParagraph"/>
        <w:numPr>
          <w:ilvl w:val="2"/>
          <w:numId w:val="2"/>
        </w:numPr>
        <w:tabs>
          <w:tab w:pos="2182" w:val="left" w:leader="none"/>
          <w:tab w:pos="8604" w:val="left" w:leader="none"/>
        </w:tabs>
        <w:spacing w:line="240" w:lineRule="auto" w:before="139" w:after="0"/>
        <w:ind w:left="2182" w:right="0" w:hanging="1500"/>
        <w:jc w:val="left"/>
        <w:rPr>
          <w:sz w:val="24"/>
        </w:rPr>
      </w:pPr>
      <w:hyperlink w:history="true" w:anchor="_TOC_250030">
        <w:r>
          <w:rPr>
            <w:sz w:val="24"/>
          </w:rPr>
          <w:t>Determination</w:t>
        </w:r>
        <w:r>
          <w:rPr>
            <w:spacing w:val="-1"/>
            <w:sz w:val="24"/>
          </w:rPr>
          <w:t> </w:t>
        </w:r>
        <w:r>
          <w:rPr>
            <w:sz w:val="24"/>
          </w:rPr>
          <w:t>of</w:t>
        </w:r>
        <w:r>
          <w:rPr>
            <w:spacing w:val="-2"/>
            <w:sz w:val="24"/>
          </w:rPr>
          <w:t> </w:t>
        </w:r>
        <w:r>
          <w:rPr>
            <w:sz w:val="24"/>
          </w:rPr>
          <w:t>moisture</w:t>
        </w:r>
        <w:r>
          <w:rPr>
            <w:spacing w:val="-1"/>
            <w:sz w:val="24"/>
          </w:rPr>
          <w:t> </w:t>
        </w:r>
        <w:r>
          <w:rPr>
            <w:spacing w:val="-2"/>
            <w:sz w:val="24"/>
          </w:rPr>
          <w:t>content</w:t>
        </w:r>
        <w:r>
          <w:rPr>
            <w:sz w:val="24"/>
          </w:rPr>
          <w:tab/>
        </w:r>
        <w:r>
          <w:rPr>
            <w:spacing w:val="-5"/>
            <w:sz w:val="24"/>
          </w:rPr>
          <w:t>72</w:t>
        </w:r>
      </w:hyperlink>
    </w:p>
    <w:p>
      <w:pPr>
        <w:pStyle w:val="ListParagraph"/>
        <w:numPr>
          <w:ilvl w:val="2"/>
          <w:numId w:val="2"/>
        </w:numPr>
        <w:tabs>
          <w:tab w:pos="2182" w:val="left" w:leader="none"/>
          <w:tab w:pos="8604" w:val="left" w:leader="none"/>
        </w:tabs>
        <w:spacing w:line="240" w:lineRule="auto" w:before="137" w:after="0"/>
        <w:ind w:left="2182" w:right="0" w:hanging="1500"/>
        <w:jc w:val="left"/>
        <w:rPr>
          <w:sz w:val="24"/>
        </w:rPr>
      </w:pPr>
      <w:hyperlink w:history="true" w:anchor="_TOC_250029">
        <w:r>
          <w:rPr>
            <w:sz w:val="24"/>
          </w:rPr>
          <w:t>Particle</w:t>
        </w:r>
        <w:r>
          <w:rPr>
            <w:spacing w:val="-3"/>
            <w:sz w:val="24"/>
          </w:rPr>
          <w:t> </w:t>
        </w:r>
        <w:r>
          <w:rPr>
            <w:spacing w:val="-4"/>
            <w:sz w:val="24"/>
          </w:rPr>
          <w:t>size</w:t>
        </w:r>
        <w:r>
          <w:rPr>
            <w:sz w:val="24"/>
          </w:rPr>
          <w:tab/>
        </w:r>
        <w:r>
          <w:rPr>
            <w:spacing w:val="-5"/>
            <w:sz w:val="24"/>
          </w:rPr>
          <w:t>73</w:t>
        </w:r>
      </w:hyperlink>
    </w:p>
    <w:p>
      <w:pPr>
        <w:pStyle w:val="ListParagraph"/>
        <w:numPr>
          <w:ilvl w:val="2"/>
          <w:numId w:val="4"/>
        </w:numPr>
        <w:tabs>
          <w:tab w:pos="2182" w:val="left" w:leader="none"/>
          <w:tab w:pos="8604" w:val="left" w:leader="none"/>
        </w:tabs>
        <w:spacing w:line="240" w:lineRule="auto" w:before="140" w:after="0"/>
        <w:ind w:left="2182" w:right="0" w:hanging="1500"/>
        <w:jc w:val="left"/>
        <w:rPr>
          <w:sz w:val="24"/>
        </w:rPr>
      </w:pPr>
      <w:r>
        <w:rPr>
          <w:sz w:val="24"/>
        </w:rPr>
        <w:t>Determination</w:t>
      </w:r>
      <w:r>
        <w:rPr>
          <w:spacing w:val="-2"/>
          <w:sz w:val="24"/>
        </w:rPr>
        <w:t> </w:t>
      </w:r>
      <w:r>
        <w:rPr>
          <w:sz w:val="24"/>
        </w:rPr>
        <w:t>of</w:t>
      </w:r>
      <w:r>
        <w:rPr>
          <w:spacing w:val="-2"/>
          <w:sz w:val="24"/>
        </w:rPr>
        <w:t> </w:t>
      </w:r>
      <w:r>
        <w:rPr>
          <w:sz w:val="24"/>
        </w:rPr>
        <w:t>particle</w:t>
      </w:r>
      <w:r>
        <w:rPr>
          <w:spacing w:val="-2"/>
          <w:sz w:val="24"/>
        </w:rPr>
        <w:t> density</w:t>
      </w:r>
      <w:r>
        <w:rPr>
          <w:sz w:val="24"/>
        </w:rPr>
        <w:tab/>
      </w:r>
      <w:r>
        <w:rPr>
          <w:spacing w:val="-5"/>
          <w:sz w:val="24"/>
        </w:rPr>
        <w:t>73</w:t>
      </w:r>
    </w:p>
    <w:p>
      <w:pPr>
        <w:pStyle w:val="ListParagraph"/>
        <w:numPr>
          <w:ilvl w:val="2"/>
          <w:numId w:val="4"/>
        </w:numPr>
        <w:tabs>
          <w:tab w:pos="2182" w:val="left" w:leader="none"/>
          <w:tab w:pos="8604" w:val="left" w:leader="none"/>
        </w:tabs>
        <w:spacing w:line="240" w:lineRule="auto" w:before="136" w:after="0"/>
        <w:ind w:left="2182" w:right="0" w:hanging="1440"/>
        <w:jc w:val="left"/>
        <w:rPr>
          <w:sz w:val="24"/>
        </w:rPr>
      </w:pPr>
      <w:r>
        <w:rPr>
          <w:sz w:val="24"/>
        </w:rPr>
        <w:t>Determination</w:t>
      </w:r>
      <w:r>
        <w:rPr>
          <w:spacing w:val="-2"/>
          <w:sz w:val="24"/>
        </w:rPr>
        <w:t> </w:t>
      </w:r>
      <w:r>
        <w:rPr>
          <w:sz w:val="24"/>
        </w:rPr>
        <w:t>of</w:t>
      </w:r>
      <w:r>
        <w:rPr>
          <w:spacing w:val="-1"/>
          <w:sz w:val="24"/>
        </w:rPr>
        <w:t> </w:t>
      </w:r>
      <w:r>
        <w:rPr>
          <w:sz w:val="24"/>
        </w:rPr>
        <w:t>powder </w:t>
      </w:r>
      <w:r>
        <w:rPr>
          <w:spacing w:val="-2"/>
          <w:sz w:val="24"/>
        </w:rPr>
        <w:t>flowability</w:t>
      </w:r>
      <w:r>
        <w:rPr>
          <w:sz w:val="24"/>
        </w:rPr>
        <w:tab/>
      </w:r>
      <w:r>
        <w:rPr>
          <w:spacing w:val="-5"/>
          <w:sz w:val="24"/>
        </w:rPr>
        <w:t>73</w:t>
      </w:r>
    </w:p>
    <w:p>
      <w:pPr>
        <w:pStyle w:val="BodyText"/>
        <w:tabs>
          <w:tab w:pos="8604" w:val="left" w:leader="none"/>
        </w:tabs>
        <w:spacing w:before="140"/>
        <w:ind w:left="2182"/>
      </w:pPr>
      <w:r>
        <w:rPr/>
        <w:t>Angle</w:t>
      </w:r>
      <w:r>
        <w:rPr>
          <w:spacing w:val="-1"/>
        </w:rPr>
        <w:t> </w:t>
      </w:r>
      <w:r>
        <w:rPr/>
        <w:t>of</w:t>
      </w:r>
      <w:r>
        <w:rPr>
          <w:spacing w:val="-1"/>
        </w:rPr>
        <w:t> </w:t>
      </w:r>
      <w:r>
        <w:rPr>
          <w:spacing w:val="-2"/>
        </w:rPr>
        <w:t>repose</w:t>
      </w:r>
      <w:r>
        <w:rPr/>
        <w:tab/>
      </w:r>
      <w:r>
        <w:rPr>
          <w:spacing w:val="-5"/>
        </w:rPr>
        <w:t>73</w:t>
      </w:r>
    </w:p>
    <w:p>
      <w:pPr>
        <w:pStyle w:val="ListParagraph"/>
        <w:numPr>
          <w:ilvl w:val="1"/>
          <w:numId w:val="2"/>
        </w:numPr>
        <w:tabs>
          <w:tab w:pos="2182" w:val="left" w:leader="none"/>
          <w:tab w:pos="8604" w:val="left" w:leader="none"/>
        </w:tabs>
        <w:spacing w:line="240" w:lineRule="auto" w:before="136" w:after="0"/>
        <w:ind w:left="2182" w:right="0" w:hanging="1500"/>
        <w:jc w:val="left"/>
        <w:rPr>
          <w:sz w:val="24"/>
        </w:rPr>
      </w:pPr>
      <w:hyperlink w:history="true" w:anchor="_TOC_250028">
        <w:r>
          <w:rPr>
            <w:sz w:val="24"/>
          </w:rPr>
          <w:t>Preparation</w:t>
        </w:r>
        <w:r>
          <w:rPr>
            <w:spacing w:val="-1"/>
            <w:sz w:val="24"/>
          </w:rPr>
          <w:t> </w:t>
        </w:r>
        <w:r>
          <w:rPr>
            <w:sz w:val="24"/>
          </w:rPr>
          <w:t>of</w:t>
        </w:r>
        <w:r>
          <w:rPr>
            <w:spacing w:val="-2"/>
            <w:sz w:val="24"/>
          </w:rPr>
          <w:t> </w:t>
        </w:r>
        <w:r>
          <w:rPr>
            <w:sz w:val="24"/>
          </w:rPr>
          <w:t>powder</w:t>
        </w:r>
        <w:r>
          <w:rPr>
            <w:spacing w:val="-1"/>
            <w:sz w:val="24"/>
          </w:rPr>
          <w:t> </w:t>
        </w:r>
        <w:r>
          <w:rPr>
            <w:sz w:val="24"/>
          </w:rPr>
          <w:t>mixtures</w:t>
        </w:r>
        <w:r>
          <w:rPr>
            <w:spacing w:val="-1"/>
            <w:sz w:val="24"/>
          </w:rPr>
          <w:t> </w:t>
        </w:r>
        <w:r>
          <w:rPr>
            <w:sz w:val="24"/>
          </w:rPr>
          <w:t>for</w:t>
        </w:r>
        <w:r>
          <w:rPr>
            <w:spacing w:val="-3"/>
            <w:sz w:val="24"/>
          </w:rPr>
          <w:t> </w:t>
        </w:r>
        <w:r>
          <w:rPr>
            <w:sz w:val="24"/>
          </w:rPr>
          <w:t>direct </w:t>
        </w:r>
        <w:r>
          <w:rPr>
            <w:spacing w:val="-2"/>
            <w:sz w:val="24"/>
          </w:rPr>
          <w:t>compression</w:t>
        </w:r>
        <w:r>
          <w:rPr>
            <w:sz w:val="24"/>
          </w:rPr>
          <w:tab/>
        </w:r>
        <w:r>
          <w:rPr>
            <w:spacing w:val="-5"/>
            <w:sz w:val="24"/>
          </w:rPr>
          <w:t>74</w:t>
        </w:r>
      </w:hyperlink>
    </w:p>
    <w:p>
      <w:pPr>
        <w:pStyle w:val="ListParagraph"/>
        <w:numPr>
          <w:ilvl w:val="1"/>
          <w:numId w:val="2"/>
        </w:numPr>
        <w:tabs>
          <w:tab w:pos="2182" w:val="left" w:leader="none"/>
          <w:tab w:pos="8604" w:val="left" w:leader="none"/>
        </w:tabs>
        <w:spacing w:line="240" w:lineRule="auto" w:before="140" w:after="0"/>
        <w:ind w:left="2182" w:right="0" w:hanging="1500"/>
        <w:jc w:val="left"/>
        <w:rPr>
          <w:sz w:val="24"/>
        </w:rPr>
      </w:pPr>
      <w:r>
        <w:rPr>
          <w:sz w:val="24"/>
        </w:rPr>
        <w:t>Preparation</w:t>
      </w:r>
      <w:r>
        <w:rPr>
          <w:spacing w:val="-4"/>
          <w:sz w:val="24"/>
        </w:rPr>
        <w:t> </w:t>
      </w:r>
      <w:r>
        <w:rPr>
          <w:sz w:val="24"/>
        </w:rPr>
        <w:t>of</w:t>
      </w:r>
      <w:r>
        <w:rPr>
          <w:spacing w:val="-2"/>
          <w:sz w:val="24"/>
        </w:rPr>
        <w:t> </w:t>
      </w:r>
      <w:r>
        <w:rPr>
          <w:sz w:val="24"/>
        </w:rPr>
        <w:t>tablets</w:t>
      </w:r>
      <w:r>
        <w:rPr>
          <w:spacing w:val="-1"/>
          <w:sz w:val="24"/>
        </w:rPr>
        <w:t> </w:t>
      </w:r>
      <w:r>
        <w:rPr>
          <w:sz w:val="24"/>
        </w:rPr>
        <w:t>by</w:t>
      </w:r>
      <w:r>
        <w:rPr>
          <w:spacing w:val="-3"/>
          <w:sz w:val="24"/>
        </w:rPr>
        <w:t> </w:t>
      </w:r>
      <w:r>
        <w:rPr>
          <w:sz w:val="24"/>
        </w:rPr>
        <w:t>direct</w:t>
      </w:r>
      <w:r>
        <w:rPr>
          <w:spacing w:val="-1"/>
          <w:sz w:val="24"/>
        </w:rPr>
        <w:t> </w:t>
      </w:r>
      <w:r>
        <w:rPr>
          <w:spacing w:val="-2"/>
          <w:sz w:val="24"/>
        </w:rPr>
        <w:t>compression</w:t>
      </w:r>
      <w:r>
        <w:rPr>
          <w:sz w:val="24"/>
        </w:rPr>
        <w:tab/>
      </w:r>
      <w:r>
        <w:rPr>
          <w:spacing w:val="-5"/>
          <w:sz w:val="24"/>
        </w:rPr>
        <w:t>74</w:t>
      </w:r>
    </w:p>
    <w:p>
      <w:pPr>
        <w:pStyle w:val="ListParagraph"/>
        <w:numPr>
          <w:ilvl w:val="1"/>
          <w:numId w:val="2"/>
        </w:numPr>
        <w:tabs>
          <w:tab w:pos="2182" w:val="left" w:leader="none"/>
          <w:tab w:pos="8604" w:val="left" w:leader="none"/>
        </w:tabs>
        <w:spacing w:line="240" w:lineRule="auto" w:before="137" w:after="0"/>
        <w:ind w:left="2182" w:right="0" w:hanging="1500"/>
        <w:jc w:val="left"/>
        <w:rPr>
          <w:sz w:val="24"/>
        </w:rPr>
      </w:pPr>
      <w:hyperlink w:history="true" w:anchor="_TOC_250027">
        <w:r>
          <w:rPr>
            <w:sz w:val="24"/>
          </w:rPr>
          <w:t>Preparation</w:t>
        </w:r>
        <w:r>
          <w:rPr>
            <w:spacing w:val="-1"/>
            <w:sz w:val="24"/>
          </w:rPr>
          <w:t> </w:t>
        </w:r>
        <w:r>
          <w:rPr>
            <w:sz w:val="24"/>
          </w:rPr>
          <w:t>of</w:t>
        </w:r>
        <w:r>
          <w:rPr>
            <w:spacing w:val="-2"/>
            <w:sz w:val="24"/>
          </w:rPr>
          <w:t> </w:t>
        </w:r>
        <w:r>
          <w:rPr>
            <w:sz w:val="24"/>
          </w:rPr>
          <w:t>granules</w:t>
        </w:r>
        <w:r>
          <w:rPr>
            <w:spacing w:val="-1"/>
            <w:sz w:val="24"/>
          </w:rPr>
          <w:t> </w:t>
        </w:r>
        <w:r>
          <w:rPr>
            <w:sz w:val="24"/>
          </w:rPr>
          <w:t>for</w:t>
        </w:r>
        <w:r>
          <w:rPr>
            <w:spacing w:val="-2"/>
            <w:sz w:val="24"/>
          </w:rPr>
          <w:t> </w:t>
        </w:r>
        <w:r>
          <w:rPr>
            <w:sz w:val="24"/>
          </w:rPr>
          <w:t>wet</w:t>
        </w:r>
        <w:r>
          <w:rPr>
            <w:spacing w:val="2"/>
            <w:sz w:val="24"/>
          </w:rPr>
          <w:t> </w:t>
        </w:r>
        <w:r>
          <w:rPr>
            <w:spacing w:val="-2"/>
            <w:sz w:val="24"/>
          </w:rPr>
          <w:t>granulation</w:t>
        </w:r>
        <w:r>
          <w:rPr>
            <w:sz w:val="24"/>
          </w:rPr>
          <w:tab/>
        </w:r>
        <w:r>
          <w:rPr>
            <w:spacing w:val="-5"/>
            <w:sz w:val="24"/>
          </w:rPr>
          <w:t>74</w:t>
        </w:r>
      </w:hyperlink>
    </w:p>
    <w:p>
      <w:pPr>
        <w:pStyle w:val="ListParagraph"/>
        <w:numPr>
          <w:ilvl w:val="2"/>
          <w:numId w:val="2"/>
        </w:numPr>
        <w:tabs>
          <w:tab w:pos="2182" w:val="left" w:leader="none"/>
          <w:tab w:pos="8604" w:val="left" w:leader="none"/>
        </w:tabs>
        <w:spacing w:line="240" w:lineRule="auto" w:before="139" w:after="0"/>
        <w:ind w:left="2182" w:right="0" w:hanging="1500"/>
        <w:jc w:val="left"/>
        <w:rPr>
          <w:sz w:val="24"/>
        </w:rPr>
      </w:pPr>
      <w:hyperlink w:history="true" w:anchor="_TOC_250026">
        <w:r>
          <w:rPr>
            <w:sz w:val="24"/>
          </w:rPr>
          <w:t>Granule</w:t>
        </w:r>
        <w:r>
          <w:rPr>
            <w:spacing w:val="-3"/>
            <w:sz w:val="24"/>
          </w:rPr>
          <w:t> </w:t>
        </w:r>
        <w:r>
          <w:rPr>
            <w:sz w:val="24"/>
          </w:rPr>
          <w:t>size</w:t>
        </w:r>
        <w:r>
          <w:rPr>
            <w:spacing w:val="-2"/>
            <w:sz w:val="24"/>
          </w:rPr>
          <w:t> distribution</w:t>
        </w:r>
        <w:r>
          <w:rPr>
            <w:sz w:val="24"/>
          </w:rPr>
          <w:tab/>
        </w:r>
        <w:r>
          <w:rPr>
            <w:spacing w:val="-5"/>
            <w:sz w:val="24"/>
          </w:rPr>
          <w:t>74</w:t>
        </w:r>
      </w:hyperlink>
    </w:p>
    <w:p>
      <w:pPr>
        <w:pStyle w:val="ListParagraph"/>
        <w:numPr>
          <w:ilvl w:val="2"/>
          <w:numId w:val="5"/>
        </w:numPr>
        <w:tabs>
          <w:tab w:pos="2182" w:val="left" w:leader="none"/>
          <w:tab w:pos="8604" w:val="left" w:leader="none"/>
        </w:tabs>
        <w:spacing w:line="240" w:lineRule="auto" w:before="137" w:after="0"/>
        <w:ind w:left="2182" w:right="0" w:hanging="1500"/>
        <w:jc w:val="left"/>
        <w:rPr>
          <w:sz w:val="24"/>
        </w:rPr>
      </w:pPr>
      <w:hyperlink w:history="true" w:anchor="_TOC_250025">
        <w:r>
          <w:rPr>
            <w:sz w:val="24"/>
          </w:rPr>
          <w:t>Compression</w:t>
        </w:r>
        <w:r>
          <w:rPr>
            <w:spacing w:val="-1"/>
            <w:sz w:val="24"/>
          </w:rPr>
          <w:t> </w:t>
        </w:r>
        <w:r>
          <w:rPr>
            <w:sz w:val="24"/>
          </w:rPr>
          <w:t>of</w:t>
        </w:r>
        <w:r>
          <w:rPr>
            <w:spacing w:val="-2"/>
            <w:sz w:val="24"/>
          </w:rPr>
          <w:t> tablets</w:t>
        </w:r>
        <w:r>
          <w:rPr>
            <w:sz w:val="24"/>
          </w:rPr>
          <w:tab/>
        </w:r>
        <w:r>
          <w:rPr>
            <w:spacing w:val="-5"/>
            <w:sz w:val="24"/>
          </w:rPr>
          <w:t>75</w:t>
        </w:r>
      </w:hyperlink>
    </w:p>
    <w:p>
      <w:pPr>
        <w:pStyle w:val="ListParagraph"/>
        <w:numPr>
          <w:ilvl w:val="1"/>
          <w:numId w:val="2"/>
        </w:numPr>
        <w:tabs>
          <w:tab w:pos="2182" w:val="left" w:leader="none"/>
          <w:tab w:pos="8604" w:val="left" w:leader="none"/>
        </w:tabs>
        <w:spacing w:line="240" w:lineRule="auto" w:before="139" w:after="0"/>
        <w:ind w:left="2182" w:right="0" w:hanging="1500"/>
        <w:jc w:val="left"/>
        <w:rPr>
          <w:sz w:val="24"/>
        </w:rPr>
      </w:pPr>
      <w:hyperlink w:history="true" w:anchor="_TOC_250024">
        <w:r>
          <w:rPr>
            <w:sz w:val="24"/>
          </w:rPr>
          <w:t>Evaluation</w:t>
        </w:r>
        <w:r>
          <w:rPr>
            <w:spacing w:val="-1"/>
            <w:sz w:val="24"/>
          </w:rPr>
          <w:t> </w:t>
        </w:r>
        <w:r>
          <w:rPr>
            <w:sz w:val="24"/>
          </w:rPr>
          <w:t>of</w:t>
        </w:r>
        <w:r>
          <w:rPr>
            <w:spacing w:val="-1"/>
            <w:sz w:val="24"/>
          </w:rPr>
          <w:t> </w:t>
        </w:r>
        <w:r>
          <w:rPr>
            <w:sz w:val="24"/>
          </w:rPr>
          <w:t>tablet </w:t>
        </w:r>
        <w:r>
          <w:rPr>
            <w:spacing w:val="-2"/>
            <w:sz w:val="24"/>
          </w:rPr>
          <w:t>properties</w:t>
        </w:r>
        <w:r>
          <w:rPr>
            <w:sz w:val="24"/>
          </w:rPr>
          <w:tab/>
        </w:r>
        <w:r>
          <w:rPr>
            <w:spacing w:val="-5"/>
            <w:sz w:val="24"/>
          </w:rPr>
          <w:t>75</w:t>
        </w:r>
      </w:hyperlink>
    </w:p>
    <w:p>
      <w:pPr>
        <w:pStyle w:val="ListParagraph"/>
        <w:numPr>
          <w:ilvl w:val="2"/>
          <w:numId w:val="2"/>
        </w:numPr>
        <w:tabs>
          <w:tab w:pos="2182" w:val="left" w:leader="none"/>
          <w:tab w:pos="8604" w:val="left" w:leader="none"/>
        </w:tabs>
        <w:spacing w:line="240" w:lineRule="auto" w:before="137" w:after="0"/>
        <w:ind w:left="2182" w:right="0" w:hanging="1500"/>
        <w:jc w:val="left"/>
        <w:rPr>
          <w:sz w:val="24"/>
        </w:rPr>
      </w:pPr>
      <w:hyperlink w:history="true" w:anchor="_TOC_250023">
        <w:r>
          <w:rPr>
            <w:sz w:val="24"/>
          </w:rPr>
          <w:t>Test</w:t>
        </w:r>
        <w:r>
          <w:rPr>
            <w:spacing w:val="1"/>
            <w:sz w:val="24"/>
          </w:rPr>
          <w:t> </w:t>
        </w:r>
        <w:r>
          <w:rPr>
            <w:sz w:val="24"/>
          </w:rPr>
          <w:t>for</w:t>
        </w:r>
        <w:r>
          <w:rPr>
            <w:spacing w:val="-1"/>
            <w:sz w:val="24"/>
          </w:rPr>
          <w:t> </w:t>
        </w:r>
        <w:r>
          <w:rPr>
            <w:sz w:val="24"/>
          </w:rPr>
          <w:t>uniformity</w:t>
        </w:r>
        <w:r>
          <w:rPr>
            <w:spacing w:val="-5"/>
            <w:sz w:val="24"/>
          </w:rPr>
          <w:t> </w:t>
        </w:r>
        <w:r>
          <w:rPr>
            <w:sz w:val="24"/>
          </w:rPr>
          <w:t>of</w:t>
        </w:r>
        <w:r>
          <w:rPr>
            <w:spacing w:val="1"/>
            <w:sz w:val="24"/>
          </w:rPr>
          <w:t> </w:t>
        </w:r>
        <w:r>
          <w:rPr>
            <w:spacing w:val="-2"/>
            <w:sz w:val="24"/>
          </w:rPr>
          <w:t>weight</w:t>
        </w:r>
        <w:r>
          <w:rPr>
            <w:sz w:val="24"/>
          </w:rPr>
          <w:tab/>
        </w:r>
        <w:r>
          <w:rPr>
            <w:spacing w:val="-5"/>
            <w:sz w:val="24"/>
          </w:rPr>
          <w:t>75</w:t>
        </w:r>
      </w:hyperlink>
    </w:p>
    <w:p>
      <w:pPr>
        <w:pStyle w:val="ListParagraph"/>
        <w:numPr>
          <w:ilvl w:val="2"/>
          <w:numId w:val="2"/>
        </w:numPr>
        <w:tabs>
          <w:tab w:pos="2182" w:val="left" w:leader="none"/>
          <w:tab w:pos="8604" w:val="left" w:leader="none"/>
        </w:tabs>
        <w:spacing w:line="240" w:lineRule="auto" w:before="139" w:after="0"/>
        <w:ind w:left="2182" w:right="0" w:hanging="1500"/>
        <w:jc w:val="left"/>
        <w:rPr>
          <w:sz w:val="24"/>
        </w:rPr>
      </w:pPr>
      <w:hyperlink w:history="true" w:anchor="_TOC_250022">
        <w:r>
          <w:rPr>
            <w:sz w:val="24"/>
          </w:rPr>
          <w:t>Determination</w:t>
        </w:r>
        <w:r>
          <w:rPr>
            <w:spacing w:val="-4"/>
            <w:sz w:val="24"/>
          </w:rPr>
          <w:t> </w:t>
        </w:r>
        <w:r>
          <w:rPr>
            <w:sz w:val="24"/>
          </w:rPr>
          <w:t>of tablet</w:t>
        </w:r>
        <w:r>
          <w:rPr>
            <w:spacing w:val="-1"/>
            <w:sz w:val="24"/>
          </w:rPr>
          <w:t> </w:t>
        </w:r>
        <w:r>
          <w:rPr>
            <w:sz w:val="24"/>
          </w:rPr>
          <w:t>crushing</w:t>
        </w:r>
        <w:r>
          <w:rPr>
            <w:spacing w:val="-4"/>
            <w:sz w:val="24"/>
          </w:rPr>
          <w:t> </w:t>
        </w:r>
        <w:r>
          <w:rPr>
            <w:sz w:val="24"/>
          </w:rPr>
          <w:t>strength</w:t>
        </w:r>
        <w:r>
          <w:rPr>
            <w:spacing w:val="1"/>
            <w:sz w:val="24"/>
          </w:rPr>
          <w:t> </w:t>
        </w:r>
        <w:r>
          <w:rPr>
            <w:sz w:val="24"/>
          </w:rPr>
          <w:t>and</w:t>
        </w:r>
        <w:r>
          <w:rPr>
            <w:spacing w:val="-1"/>
            <w:sz w:val="24"/>
          </w:rPr>
          <w:t> </w:t>
        </w:r>
        <w:r>
          <w:rPr>
            <w:spacing w:val="-2"/>
            <w:sz w:val="24"/>
          </w:rPr>
          <w:t>friability</w:t>
        </w:r>
        <w:r>
          <w:rPr>
            <w:sz w:val="24"/>
          </w:rPr>
          <w:tab/>
        </w:r>
        <w:r>
          <w:rPr>
            <w:spacing w:val="-5"/>
            <w:sz w:val="24"/>
          </w:rPr>
          <w:t>75</w:t>
        </w:r>
      </w:hyperlink>
    </w:p>
    <w:p>
      <w:pPr>
        <w:pStyle w:val="ListParagraph"/>
        <w:numPr>
          <w:ilvl w:val="2"/>
          <w:numId w:val="2"/>
        </w:numPr>
        <w:tabs>
          <w:tab w:pos="2182" w:val="left" w:leader="none"/>
          <w:tab w:pos="8604" w:val="left" w:leader="none"/>
        </w:tabs>
        <w:spacing w:line="240" w:lineRule="auto" w:before="137" w:after="0"/>
        <w:ind w:left="2182" w:right="0" w:hanging="1500"/>
        <w:jc w:val="left"/>
        <w:rPr>
          <w:sz w:val="24"/>
        </w:rPr>
      </w:pPr>
      <w:hyperlink w:history="true" w:anchor="_TOC_250021">
        <w:r>
          <w:rPr>
            <w:sz w:val="24"/>
          </w:rPr>
          <w:t>Determination</w:t>
        </w:r>
        <w:r>
          <w:rPr>
            <w:spacing w:val="-4"/>
            <w:sz w:val="24"/>
          </w:rPr>
          <w:t> </w:t>
        </w:r>
        <w:r>
          <w:rPr>
            <w:sz w:val="24"/>
          </w:rPr>
          <w:t>of</w:t>
        </w:r>
        <w:r>
          <w:rPr>
            <w:spacing w:val="-2"/>
            <w:sz w:val="24"/>
          </w:rPr>
          <w:t> </w:t>
        </w:r>
        <w:r>
          <w:rPr>
            <w:sz w:val="24"/>
          </w:rPr>
          <w:t>disintegration</w:t>
        </w:r>
        <w:r>
          <w:rPr>
            <w:spacing w:val="-2"/>
            <w:sz w:val="24"/>
          </w:rPr>
          <w:t> </w:t>
        </w:r>
        <w:r>
          <w:rPr>
            <w:spacing w:val="-4"/>
            <w:sz w:val="24"/>
          </w:rPr>
          <w:t>time</w:t>
        </w:r>
        <w:r>
          <w:rPr>
            <w:sz w:val="24"/>
          </w:rPr>
          <w:tab/>
        </w:r>
        <w:r>
          <w:rPr>
            <w:spacing w:val="-5"/>
            <w:sz w:val="24"/>
          </w:rPr>
          <w:t>75</w:t>
        </w:r>
      </w:hyperlink>
    </w:p>
    <w:p>
      <w:pPr>
        <w:pStyle w:val="ListParagraph"/>
        <w:numPr>
          <w:ilvl w:val="2"/>
          <w:numId w:val="2"/>
        </w:numPr>
        <w:tabs>
          <w:tab w:pos="2182" w:val="left" w:leader="none"/>
          <w:tab w:pos="8604" w:val="left" w:leader="none"/>
        </w:tabs>
        <w:spacing w:line="240" w:lineRule="auto" w:before="139" w:after="0"/>
        <w:ind w:left="2182" w:right="0" w:hanging="1500"/>
        <w:jc w:val="left"/>
        <w:rPr>
          <w:sz w:val="24"/>
        </w:rPr>
      </w:pPr>
      <w:r>
        <w:rPr>
          <w:sz w:val="24"/>
        </w:rPr>
        <w:t>Dissolution</w:t>
      </w:r>
      <w:r>
        <w:rPr>
          <w:spacing w:val="-1"/>
          <w:sz w:val="24"/>
        </w:rPr>
        <w:t> </w:t>
      </w:r>
      <w:r>
        <w:rPr>
          <w:sz w:val="24"/>
        </w:rPr>
        <w:t>profile</w:t>
      </w:r>
      <w:r>
        <w:rPr>
          <w:spacing w:val="-2"/>
          <w:sz w:val="24"/>
        </w:rPr>
        <w:t> </w:t>
      </w:r>
      <w:r>
        <w:rPr>
          <w:sz w:val="24"/>
        </w:rPr>
        <w:t>of</w:t>
      </w:r>
      <w:r>
        <w:rPr>
          <w:spacing w:val="-1"/>
          <w:sz w:val="24"/>
        </w:rPr>
        <w:t> </w:t>
      </w:r>
      <w:r>
        <w:rPr>
          <w:i/>
          <w:sz w:val="24"/>
        </w:rPr>
        <w:t>Mucuna</w:t>
      </w:r>
      <w:r>
        <w:rPr>
          <w:i/>
          <w:spacing w:val="-1"/>
          <w:sz w:val="24"/>
        </w:rPr>
        <w:t> </w:t>
      </w:r>
      <w:r>
        <w:rPr>
          <w:i/>
          <w:sz w:val="24"/>
        </w:rPr>
        <w:t>pruriens</w:t>
      </w:r>
      <w:r>
        <w:rPr>
          <w:i/>
          <w:spacing w:val="-1"/>
          <w:sz w:val="24"/>
        </w:rPr>
        <w:t> </w:t>
      </w:r>
      <w:r>
        <w:rPr>
          <w:spacing w:val="-2"/>
          <w:sz w:val="24"/>
        </w:rPr>
        <w:t>tablets</w:t>
      </w:r>
      <w:r>
        <w:rPr>
          <w:sz w:val="24"/>
        </w:rPr>
        <w:tab/>
      </w:r>
      <w:r>
        <w:rPr>
          <w:spacing w:val="-5"/>
          <w:sz w:val="24"/>
        </w:rPr>
        <w:t>76</w:t>
      </w:r>
    </w:p>
    <w:p>
      <w:pPr>
        <w:pStyle w:val="ListParagraph"/>
        <w:numPr>
          <w:ilvl w:val="3"/>
          <w:numId w:val="2"/>
        </w:numPr>
        <w:tabs>
          <w:tab w:pos="2182" w:val="left" w:leader="none"/>
        </w:tabs>
        <w:spacing w:line="240" w:lineRule="auto" w:before="138" w:after="0"/>
        <w:ind w:left="2182" w:right="0" w:hanging="1500"/>
        <w:jc w:val="left"/>
        <w:rPr>
          <w:i/>
          <w:sz w:val="24"/>
        </w:rPr>
      </w:pPr>
      <w:r>
        <w:rPr>
          <w:sz w:val="24"/>
        </w:rPr>
        <w:t>Determination</w:t>
      </w:r>
      <w:r>
        <w:rPr>
          <w:spacing w:val="-4"/>
          <w:sz w:val="24"/>
        </w:rPr>
        <w:t> </w:t>
      </w:r>
      <w:r>
        <w:rPr>
          <w:sz w:val="24"/>
        </w:rPr>
        <w:t>of</w:t>
      </w:r>
      <w:r>
        <w:rPr>
          <w:spacing w:val="-2"/>
          <w:sz w:val="24"/>
        </w:rPr>
        <w:t> </w:t>
      </w:r>
      <w:r>
        <w:rPr>
          <w:sz w:val="24"/>
        </w:rPr>
        <w:t>absorption</w:t>
      </w:r>
      <w:r>
        <w:rPr>
          <w:spacing w:val="-1"/>
          <w:sz w:val="24"/>
        </w:rPr>
        <w:t> </w:t>
      </w:r>
      <w:r>
        <w:rPr>
          <w:sz w:val="24"/>
        </w:rPr>
        <w:t>maxima</w:t>
      </w:r>
      <w:r>
        <w:rPr>
          <w:spacing w:val="-2"/>
          <w:sz w:val="24"/>
        </w:rPr>
        <w:t> </w:t>
      </w:r>
      <w:r>
        <w:rPr>
          <w:sz w:val="24"/>
        </w:rPr>
        <w:t>for</w:t>
      </w:r>
      <w:r>
        <w:rPr>
          <w:spacing w:val="1"/>
          <w:sz w:val="24"/>
        </w:rPr>
        <w:t> </w:t>
      </w:r>
      <w:r>
        <w:rPr>
          <w:i/>
          <w:sz w:val="24"/>
        </w:rPr>
        <w:t>Mucuna</w:t>
      </w:r>
      <w:r>
        <w:rPr>
          <w:i/>
          <w:spacing w:val="1"/>
          <w:sz w:val="24"/>
        </w:rPr>
        <w:t> </w:t>
      </w:r>
      <w:r>
        <w:rPr>
          <w:i/>
          <w:spacing w:val="-2"/>
          <w:sz w:val="24"/>
        </w:rPr>
        <w:t>prurien6</w:t>
      </w:r>
    </w:p>
    <w:p>
      <w:pPr>
        <w:pStyle w:val="BodyText"/>
        <w:tabs>
          <w:tab w:pos="8604" w:val="left" w:leader="none"/>
        </w:tabs>
        <w:spacing w:before="139"/>
        <w:ind w:left="2302"/>
      </w:pPr>
      <w:r>
        <w:rPr/>
        <w:t>seed</w:t>
      </w:r>
      <w:r>
        <w:rPr>
          <w:spacing w:val="-4"/>
        </w:rPr>
        <w:t> </w:t>
      </w:r>
      <w:r>
        <w:rPr>
          <w:spacing w:val="-2"/>
        </w:rPr>
        <w:t>extracts</w:t>
      </w:r>
      <w:r>
        <w:rPr/>
        <w:tab/>
      </w:r>
      <w:r>
        <w:rPr>
          <w:spacing w:val="-5"/>
        </w:rPr>
        <w:t>76</w:t>
      </w:r>
    </w:p>
    <w:p>
      <w:pPr>
        <w:pStyle w:val="ListParagraph"/>
        <w:numPr>
          <w:ilvl w:val="3"/>
          <w:numId w:val="2"/>
        </w:numPr>
        <w:tabs>
          <w:tab w:pos="2182" w:val="left" w:leader="none"/>
        </w:tabs>
        <w:spacing w:line="240" w:lineRule="auto" w:before="41" w:after="0"/>
        <w:ind w:left="2182" w:right="0" w:hanging="1500"/>
        <w:jc w:val="left"/>
        <w:rPr>
          <w:sz w:val="24"/>
        </w:rPr>
      </w:pPr>
      <w:r>
        <w:rPr>
          <w:sz w:val="24"/>
        </w:rPr>
        <w:t>Beer</w:t>
      </w:r>
      <w:r>
        <w:rPr>
          <w:spacing w:val="-5"/>
          <w:sz w:val="24"/>
        </w:rPr>
        <w:t> </w:t>
      </w:r>
      <w:r>
        <w:rPr>
          <w:sz w:val="24"/>
        </w:rPr>
        <w:t>Lambert</w:t>
      </w:r>
      <w:r>
        <w:rPr>
          <w:spacing w:val="-1"/>
          <w:sz w:val="24"/>
        </w:rPr>
        <w:t> </w:t>
      </w:r>
      <w:r>
        <w:rPr>
          <w:sz w:val="24"/>
        </w:rPr>
        <w:t>plot</w:t>
      </w:r>
      <w:r>
        <w:rPr>
          <w:spacing w:val="-2"/>
          <w:sz w:val="24"/>
        </w:rPr>
        <w:t> </w:t>
      </w:r>
      <w:r>
        <w:rPr>
          <w:sz w:val="24"/>
        </w:rPr>
        <w:t>(calibration</w:t>
      </w:r>
      <w:r>
        <w:rPr>
          <w:spacing w:val="-2"/>
          <w:sz w:val="24"/>
        </w:rPr>
        <w:t> </w:t>
      </w:r>
      <w:r>
        <w:rPr>
          <w:sz w:val="24"/>
        </w:rPr>
        <w:t>curve)</w:t>
      </w:r>
      <w:r>
        <w:rPr>
          <w:spacing w:val="-2"/>
          <w:sz w:val="24"/>
        </w:rPr>
        <w:t> </w:t>
      </w:r>
      <w:r>
        <w:rPr>
          <w:sz w:val="24"/>
        </w:rPr>
        <w:t>for</w:t>
      </w:r>
      <w:r>
        <w:rPr>
          <w:spacing w:val="3"/>
          <w:sz w:val="24"/>
        </w:rPr>
        <w:t> </w:t>
      </w:r>
      <w:r>
        <w:rPr>
          <w:i/>
          <w:sz w:val="24"/>
        </w:rPr>
        <w:t>Mucuna</w:t>
      </w:r>
      <w:r>
        <w:rPr>
          <w:i/>
          <w:spacing w:val="1"/>
          <w:sz w:val="24"/>
        </w:rPr>
        <w:t> </w:t>
      </w:r>
      <w:r>
        <w:rPr>
          <w:i/>
          <w:sz w:val="24"/>
        </w:rPr>
        <w:t>pruriens</w:t>
      </w:r>
      <w:r>
        <w:rPr>
          <w:i/>
          <w:spacing w:val="-18"/>
          <w:sz w:val="24"/>
        </w:rPr>
        <w:t> </w:t>
      </w:r>
      <w:r>
        <w:rPr>
          <w:spacing w:val="-5"/>
          <w:sz w:val="24"/>
        </w:rPr>
        <w:t>76</w:t>
      </w:r>
    </w:p>
    <w:p>
      <w:pPr>
        <w:pStyle w:val="ListParagraph"/>
        <w:numPr>
          <w:ilvl w:val="4"/>
          <w:numId w:val="2"/>
        </w:numPr>
        <w:tabs>
          <w:tab w:pos="2182" w:val="left" w:leader="none"/>
          <w:tab w:pos="8604" w:val="left" w:leader="none"/>
        </w:tabs>
        <w:spacing w:line="240" w:lineRule="auto" w:before="41" w:after="0"/>
        <w:ind w:left="2182" w:right="0" w:hanging="1500"/>
        <w:jc w:val="left"/>
        <w:rPr>
          <w:sz w:val="24"/>
        </w:rPr>
      </w:pPr>
      <w:hyperlink w:history="true" w:anchor="_TOC_250020">
        <w:r>
          <w:rPr>
            <w:sz w:val="24"/>
          </w:rPr>
          <w:t>Dissolution</w:t>
        </w:r>
        <w:r>
          <w:rPr>
            <w:spacing w:val="-3"/>
            <w:sz w:val="24"/>
          </w:rPr>
          <w:t> </w:t>
        </w:r>
        <w:r>
          <w:rPr>
            <w:sz w:val="24"/>
          </w:rPr>
          <w:t>profile</w:t>
        </w:r>
        <w:r>
          <w:rPr>
            <w:spacing w:val="-2"/>
            <w:sz w:val="24"/>
          </w:rPr>
          <w:t> </w:t>
        </w:r>
        <w:r>
          <w:rPr>
            <w:spacing w:val="-4"/>
            <w:sz w:val="24"/>
          </w:rPr>
          <w:t>study</w:t>
        </w:r>
        <w:r>
          <w:rPr>
            <w:sz w:val="24"/>
          </w:rPr>
          <w:tab/>
        </w:r>
        <w:r>
          <w:rPr>
            <w:spacing w:val="-5"/>
            <w:sz w:val="24"/>
          </w:rPr>
          <w:t>76</w:t>
        </w:r>
      </w:hyperlink>
    </w:p>
    <w:p>
      <w:pPr>
        <w:pStyle w:val="ListParagraph"/>
        <w:numPr>
          <w:ilvl w:val="1"/>
          <w:numId w:val="2"/>
        </w:numPr>
        <w:tabs>
          <w:tab w:pos="2182" w:val="left" w:leader="none"/>
          <w:tab w:pos="8604" w:val="left" w:leader="none"/>
        </w:tabs>
        <w:spacing w:line="240" w:lineRule="auto" w:before="139" w:after="0"/>
        <w:ind w:left="2182" w:right="0" w:hanging="1500"/>
        <w:jc w:val="left"/>
        <w:rPr>
          <w:sz w:val="24"/>
        </w:rPr>
      </w:pPr>
      <w:r>
        <w:rPr>
          <w:sz w:val="24"/>
        </w:rPr>
        <w:t>Preparation</w:t>
      </w:r>
      <w:r>
        <w:rPr>
          <w:spacing w:val="-2"/>
          <w:sz w:val="24"/>
        </w:rPr>
        <w:t> </w:t>
      </w:r>
      <w:r>
        <w:rPr>
          <w:sz w:val="24"/>
        </w:rPr>
        <w:t>of animal</w:t>
      </w:r>
      <w:r>
        <w:rPr>
          <w:spacing w:val="-1"/>
          <w:sz w:val="24"/>
        </w:rPr>
        <w:t> </w:t>
      </w:r>
      <w:r>
        <w:rPr>
          <w:sz w:val="24"/>
        </w:rPr>
        <w:t>for </w:t>
      </w:r>
      <w:r>
        <w:rPr>
          <w:i/>
          <w:sz w:val="24"/>
        </w:rPr>
        <w:t>in</w:t>
      </w:r>
      <w:r>
        <w:rPr>
          <w:i/>
          <w:spacing w:val="-1"/>
          <w:sz w:val="24"/>
        </w:rPr>
        <w:t> </w:t>
      </w:r>
      <w:r>
        <w:rPr>
          <w:i/>
          <w:sz w:val="24"/>
        </w:rPr>
        <w:t>vivo</w:t>
      </w:r>
      <w:r>
        <w:rPr>
          <w:i/>
          <w:spacing w:val="-1"/>
          <w:sz w:val="24"/>
        </w:rPr>
        <w:t> </w:t>
      </w:r>
      <w:r>
        <w:rPr>
          <w:spacing w:val="-4"/>
          <w:sz w:val="24"/>
        </w:rPr>
        <w:t>test</w:t>
      </w:r>
      <w:r>
        <w:rPr>
          <w:sz w:val="24"/>
        </w:rPr>
        <w:tab/>
      </w:r>
      <w:r>
        <w:rPr>
          <w:spacing w:val="-5"/>
          <w:sz w:val="24"/>
        </w:rPr>
        <w:t>77</w:t>
      </w:r>
    </w:p>
    <w:p>
      <w:pPr>
        <w:pStyle w:val="ListParagraph"/>
        <w:numPr>
          <w:ilvl w:val="2"/>
          <w:numId w:val="2"/>
        </w:numPr>
        <w:tabs>
          <w:tab w:pos="2182" w:val="left" w:leader="none"/>
          <w:tab w:pos="8604" w:val="left" w:leader="none"/>
        </w:tabs>
        <w:spacing w:line="360" w:lineRule="auto" w:before="137" w:after="0"/>
        <w:ind w:left="2182" w:right="1553" w:hanging="1500"/>
        <w:jc w:val="left"/>
        <w:rPr>
          <w:sz w:val="24"/>
        </w:rPr>
      </w:pPr>
      <w:r>
        <w:rPr>
          <w:i/>
          <w:sz w:val="24"/>
        </w:rPr>
        <w:t>In vivo </w:t>
      </w:r>
      <w:r>
        <w:rPr>
          <w:sz w:val="24"/>
        </w:rPr>
        <w:t>release of </w:t>
      </w:r>
      <w:r>
        <w:rPr>
          <w:i/>
          <w:sz w:val="24"/>
        </w:rPr>
        <w:t>Mucuna pruriens </w:t>
      </w:r>
      <w:r>
        <w:rPr>
          <w:sz w:val="24"/>
        </w:rPr>
        <w:t>tablets prepared by direct compression</w:t>
      </w:r>
      <w:r>
        <w:rPr>
          <w:spacing w:val="-1"/>
          <w:sz w:val="24"/>
        </w:rPr>
        <w:t> </w:t>
      </w:r>
      <w:r>
        <w:rPr>
          <w:sz w:val="24"/>
        </w:rPr>
        <w:t>and</w:t>
      </w:r>
      <w:r>
        <w:rPr>
          <w:spacing w:val="-1"/>
          <w:sz w:val="24"/>
        </w:rPr>
        <w:t> </w:t>
      </w:r>
      <w:r>
        <w:rPr>
          <w:sz w:val="24"/>
        </w:rPr>
        <w:t>wet granulation</w:t>
      </w:r>
      <w:r>
        <w:rPr>
          <w:spacing w:val="-1"/>
          <w:sz w:val="24"/>
        </w:rPr>
        <w:t> </w:t>
      </w:r>
      <w:r>
        <w:rPr>
          <w:sz w:val="24"/>
        </w:rPr>
        <w:t>methods</w:t>
      </w:r>
      <w:r>
        <w:rPr>
          <w:spacing w:val="-1"/>
          <w:sz w:val="24"/>
        </w:rPr>
        <w:t> </w:t>
      </w:r>
      <w:r>
        <w:rPr>
          <w:sz w:val="24"/>
        </w:rPr>
        <w:t>in </w:t>
      </w:r>
      <w:r>
        <w:rPr>
          <w:spacing w:val="-2"/>
          <w:sz w:val="24"/>
        </w:rPr>
        <w:t>rabbits</w:t>
      </w:r>
      <w:r>
        <w:rPr>
          <w:sz w:val="24"/>
        </w:rPr>
        <w:tab/>
      </w:r>
      <w:r>
        <w:rPr>
          <w:spacing w:val="-5"/>
          <w:sz w:val="24"/>
        </w:rPr>
        <w:t>77</w:t>
      </w:r>
    </w:p>
    <w:p>
      <w:pPr>
        <w:pStyle w:val="ListParagraph"/>
        <w:numPr>
          <w:ilvl w:val="1"/>
          <w:numId w:val="2"/>
        </w:numPr>
        <w:tabs>
          <w:tab w:pos="2182" w:val="left" w:leader="none"/>
          <w:tab w:pos="8604" w:val="left" w:leader="none"/>
        </w:tabs>
        <w:spacing w:line="240" w:lineRule="auto" w:before="0" w:after="0"/>
        <w:ind w:left="2182" w:right="0" w:hanging="1500"/>
        <w:jc w:val="left"/>
        <w:rPr>
          <w:sz w:val="24"/>
        </w:rPr>
      </w:pPr>
      <w:hyperlink w:history="true" w:anchor="_TOC_250019">
        <w:r>
          <w:rPr>
            <w:sz w:val="24"/>
          </w:rPr>
          <w:t>Statistical</w:t>
        </w:r>
        <w:r>
          <w:rPr>
            <w:spacing w:val="-2"/>
            <w:sz w:val="24"/>
          </w:rPr>
          <w:t> analysis</w:t>
        </w:r>
        <w:r>
          <w:rPr>
            <w:sz w:val="24"/>
          </w:rPr>
          <w:tab/>
        </w:r>
        <w:r>
          <w:rPr>
            <w:spacing w:val="-5"/>
            <w:sz w:val="24"/>
          </w:rPr>
          <w:t>78</w:t>
        </w:r>
      </w:hyperlink>
    </w:p>
    <w:p>
      <w:pPr>
        <w:pStyle w:val="BodyText"/>
        <w:tabs>
          <w:tab w:pos="8604" w:val="left" w:leader="none"/>
        </w:tabs>
        <w:spacing w:before="967"/>
        <w:ind w:left="682"/>
      </w:pPr>
      <w:hyperlink w:history="true" w:anchor="_TOC_250018">
        <w:r>
          <w:rPr/>
          <w:t>RESULTS</w:t>
        </w:r>
        <w:r>
          <w:rPr>
            <w:spacing w:val="-3"/>
          </w:rPr>
          <w:t> </w:t>
        </w:r>
        <w:r>
          <w:rPr/>
          <w:t>AND</w:t>
        </w:r>
        <w:r>
          <w:rPr>
            <w:spacing w:val="-2"/>
          </w:rPr>
          <w:t> DISCUSSION</w:t>
        </w:r>
        <w:r>
          <w:rPr/>
          <w:tab/>
        </w:r>
        <w:r>
          <w:rPr>
            <w:spacing w:val="-5"/>
          </w:rPr>
          <w:t>79</w:t>
        </w:r>
      </w:hyperlink>
    </w:p>
    <w:p>
      <w:pPr>
        <w:spacing w:before="687"/>
        <w:ind w:left="682" w:right="0" w:firstLine="0"/>
        <w:jc w:val="left"/>
        <w:rPr>
          <w:i/>
          <w:sz w:val="24"/>
        </w:rPr>
      </w:pPr>
      <w:r>
        <w:rPr>
          <w:sz w:val="24"/>
        </w:rPr>
        <w:t>CHAPTER</w:t>
      </w:r>
      <w:r>
        <w:rPr>
          <w:spacing w:val="-3"/>
          <w:sz w:val="24"/>
        </w:rPr>
        <w:t> </w:t>
      </w:r>
      <w:r>
        <w:rPr>
          <w:sz w:val="24"/>
        </w:rPr>
        <w:t>THREE:</w:t>
      </w:r>
      <w:r>
        <w:rPr>
          <w:spacing w:val="-2"/>
          <w:sz w:val="24"/>
        </w:rPr>
        <w:t> </w:t>
      </w:r>
      <w:r>
        <w:rPr>
          <w:sz w:val="24"/>
        </w:rPr>
        <w:t>ANTIDIABETIC</w:t>
      </w:r>
      <w:r>
        <w:rPr>
          <w:spacing w:val="-2"/>
          <w:sz w:val="24"/>
        </w:rPr>
        <w:t> </w:t>
      </w:r>
      <w:r>
        <w:rPr>
          <w:sz w:val="24"/>
        </w:rPr>
        <w:t>PROPERTIES</w:t>
      </w:r>
      <w:r>
        <w:rPr>
          <w:spacing w:val="-2"/>
          <w:sz w:val="24"/>
        </w:rPr>
        <w:t> </w:t>
      </w:r>
      <w:r>
        <w:rPr>
          <w:sz w:val="24"/>
        </w:rPr>
        <w:t>OF</w:t>
      </w:r>
      <w:r>
        <w:rPr>
          <w:spacing w:val="-2"/>
          <w:sz w:val="24"/>
        </w:rPr>
        <w:t> </w:t>
      </w:r>
      <w:r>
        <w:rPr>
          <w:i/>
          <w:sz w:val="24"/>
        </w:rPr>
        <w:t>MUCUNA</w:t>
      </w:r>
      <w:r>
        <w:rPr>
          <w:i/>
          <w:spacing w:val="-2"/>
          <w:sz w:val="24"/>
        </w:rPr>
        <w:t> PRURIENS</w:t>
      </w:r>
    </w:p>
    <w:p>
      <w:pPr>
        <w:pStyle w:val="ListParagraph"/>
        <w:numPr>
          <w:ilvl w:val="1"/>
          <w:numId w:val="6"/>
        </w:numPr>
        <w:tabs>
          <w:tab w:pos="2122" w:val="left" w:leader="none"/>
        </w:tabs>
        <w:spacing w:line="240" w:lineRule="auto" w:before="278" w:after="0"/>
        <w:ind w:left="2122" w:right="0" w:hanging="1440"/>
        <w:jc w:val="left"/>
        <w:rPr>
          <w:sz w:val="24"/>
        </w:rPr>
      </w:pPr>
      <w:r>
        <w:rPr>
          <w:sz w:val="24"/>
        </w:rPr>
        <w:t>Yields</w:t>
      </w:r>
      <w:r>
        <w:rPr>
          <w:spacing w:val="-3"/>
          <w:sz w:val="24"/>
        </w:rPr>
        <w:t> </w:t>
      </w:r>
      <w:r>
        <w:rPr>
          <w:sz w:val="24"/>
        </w:rPr>
        <w:t>of</w:t>
      </w:r>
      <w:r>
        <w:rPr>
          <w:spacing w:val="-1"/>
          <w:sz w:val="24"/>
        </w:rPr>
        <w:t> </w:t>
      </w:r>
      <w:r>
        <w:rPr>
          <w:sz w:val="24"/>
        </w:rPr>
        <w:t>successive</w:t>
      </w:r>
      <w:r>
        <w:rPr>
          <w:spacing w:val="-1"/>
          <w:sz w:val="24"/>
        </w:rPr>
        <w:t> </w:t>
      </w:r>
      <w:r>
        <w:rPr>
          <w:sz w:val="24"/>
        </w:rPr>
        <w:t>extraction</w:t>
      </w:r>
      <w:r>
        <w:rPr>
          <w:spacing w:val="-1"/>
          <w:sz w:val="24"/>
        </w:rPr>
        <w:t> </w:t>
      </w:r>
      <w:r>
        <w:rPr>
          <w:sz w:val="24"/>
        </w:rPr>
        <w:t>in</w:t>
      </w:r>
      <w:r>
        <w:rPr>
          <w:spacing w:val="-1"/>
          <w:sz w:val="24"/>
        </w:rPr>
        <w:t> </w:t>
      </w:r>
      <w:r>
        <w:rPr>
          <w:sz w:val="24"/>
        </w:rPr>
        <w:t>n-hexane, </w:t>
      </w:r>
      <w:r>
        <w:rPr>
          <w:spacing w:val="-2"/>
          <w:sz w:val="24"/>
        </w:rPr>
        <w:t>chloroform</w:t>
      </w:r>
    </w:p>
    <w:p>
      <w:pPr>
        <w:spacing w:after="0" w:line="240" w:lineRule="auto"/>
        <w:jc w:val="left"/>
        <w:rPr>
          <w:sz w:val="24"/>
        </w:rPr>
        <w:sectPr>
          <w:pgSz w:w="12240" w:h="15840"/>
          <w:pgMar w:header="0" w:footer="1068" w:top="1360" w:bottom="1260" w:left="1420" w:right="420"/>
        </w:sectPr>
      </w:pPr>
    </w:p>
    <w:p>
      <w:pPr>
        <w:pStyle w:val="BodyText"/>
        <w:tabs>
          <w:tab w:pos="8604" w:val="left" w:leader="none"/>
        </w:tabs>
        <w:spacing w:before="74"/>
        <w:ind w:left="2122"/>
      </w:pPr>
      <w:r>
        <w:rPr/>
        <mc:AlternateContent>
          <mc:Choice Requires="wps">
            <w:drawing>
              <wp:anchor distT="0" distB="0" distL="0" distR="0" allowOverlap="1" layoutInCell="1" locked="0" behindDoc="1" simplePos="0" relativeHeight="482909184">
                <wp:simplePos x="0" y="0"/>
                <wp:positionH relativeFrom="page">
                  <wp:posOffset>-1402226</wp:posOffset>
                </wp:positionH>
                <wp:positionV relativeFrom="page">
                  <wp:posOffset>4612234</wp:posOffset>
                </wp:positionV>
                <wp:extent cx="10685780" cy="914400"/>
                <wp:effectExtent l="0" t="0" r="0" b="0"/>
                <wp:wrapNone/>
                <wp:docPr id="15" name="Textbox 15"/>
                <wp:cNvGraphicFramePr>
                  <a:graphicFrameLocks/>
                </wp:cNvGraphicFramePr>
                <a:graphic>
                  <a:graphicData uri="http://schemas.microsoft.com/office/word/2010/wordprocessingShape">
                    <wps:wsp>
                      <wps:cNvPr id="15" name="Textbox 1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7296;rotation:306" type="#_x0000_t136" fillcolor="#ff5400" stroked="f">
                <o:extrusion v:ext="view" autorotationcenter="t"/>
                <v:textpath style="font-family:&quot;Arial MT&quot;;font-size:72pt;v-text-kern:t;mso-text-shadow:auto" string="UNIVERSITY OF IBADAN"/>
                <w10:wrap type="none"/>
              </v:shape>
            </w:pict>
          </mc:Fallback>
        </mc:AlternateContent>
      </w:r>
      <w:r>
        <w:rPr/>
        <w:t>ethylacetate,</w:t>
      </w:r>
      <w:r>
        <w:rPr>
          <w:spacing w:val="-2"/>
        </w:rPr>
        <w:t> </w:t>
      </w:r>
      <w:r>
        <w:rPr/>
        <w:t>ethanol</w:t>
      </w:r>
      <w:r>
        <w:rPr>
          <w:spacing w:val="-3"/>
        </w:rPr>
        <w:t> </w:t>
      </w:r>
      <w:r>
        <w:rPr/>
        <w:t>and </w:t>
      </w:r>
      <w:r>
        <w:rPr>
          <w:spacing w:val="-2"/>
        </w:rPr>
        <w:t>methanol</w:t>
      </w:r>
      <w:r>
        <w:rPr/>
        <w:tab/>
      </w:r>
      <w:r>
        <w:rPr>
          <w:spacing w:val="-5"/>
        </w:rPr>
        <w:t>80`</w:t>
      </w:r>
    </w:p>
    <w:p>
      <w:pPr>
        <w:pStyle w:val="ListParagraph"/>
        <w:numPr>
          <w:ilvl w:val="1"/>
          <w:numId w:val="6"/>
        </w:numPr>
        <w:tabs>
          <w:tab w:pos="2122" w:val="left" w:leader="none"/>
          <w:tab w:pos="8604" w:val="left" w:leader="none"/>
        </w:tabs>
        <w:spacing w:line="240" w:lineRule="auto" w:before="41" w:after="0"/>
        <w:ind w:left="2122" w:right="0" w:hanging="1440"/>
        <w:jc w:val="left"/>
        <w:rPr>
          <w:sz w:val="24"/>
        </w:rPr>
      </w:pPr>
      <w:r>
        <w:rPr>
          <w:sz w:val="24"/>
        </w:rPr>
        <w:t>Proximate</w:t>
      </w:r>
      <w:r>
        <w:rPr>
          <w:spacing w:val="-4"/>
          <w:sz w:val="24"/>
        </w:rPr>
        <w:t> </w:t>
      </w:r>
      <w:r>
        <w:rPr>
          <w:sz w:val="24"/>
        </w:rPr>
        <w:t>analysis</w:t>
      </w:r>
      <w:r>
        <w:rPr>
          <w:spacing w:val="-1"/>
          <w:sz w:val="24"/>
        </w:rPr>
        <w:t> </w:t>
      </w:r>
      <w:r>
        <w:rPr>
          <w:sz w:val="24"/>
        </w:rPr>
        <w:t>of </w:t>
      </w:r>
      <w:r>
        <w:rPr>
          <w:i/>
          <w:sz w:val="24"/>
        </w:rPr>
        <w:t>Mucuna</w:t>
      </w:r>
      <w:r>
        <w:rPr>
          <w:i/>
          <w:spacing w:val="58"/>
          <w:sz w:val="24"/>
        </w:rPr>
        <w:t> </w:t>
      </w:r>
      <w:r>
        <w:rPr>
          <w:i/>
          <w:sz w:val="24"/>
        </w:rPr>
        <w:t>pruriens</w:t>
      </w:r>
      <w:r>
        <w:rPr>
          <w:i/>
          <w:spacing w:val="-1"/>
          <w:sz w:val="24"/>
        </w:rPr>
        <w:t> </w:t>
      </w:r>
      <w:r>
        <w:rPr>
          <w:spacing w:val="-4"/>
          <w:sz w:val="24"/>
        </w:rPr>
        <w:t>seed</w:t>
      </w:r>
      <w:r>
        <w:rPr>
          <w:sz w:val="24"/>
        </w:rPr>
        <w:tab/>
      </w:r>
      <w:r>
        <w:rPr>
          <w:spacing w:val="-5"/>
          <w:sz w:val="24"/>
        </w:rPr>
        <w:t>80</w:t>
      </w:r>
    </w:p>
    <w:p>
      <w:pPr>
        <w:pStyle w:val="ListParagraph"/>
        <w:numPr>
          <w:ilvl w:val="1"/>
          <w:numId w:val="6"/>
        </w:numPr>
        <w:tabs>
          <w:tab w:pos="2122" w:val="left" w:leader="none"/>
        </w:tabs>
        <w:spacing w:line="240" w:lineRule="auto" w:before="475" w:after="0"/>
        <w:ind w:left="2122" w:right="0" w:hanging="1440"/>
        <w:jc w:val="left"/>
        <w:rPr>
          <w:sz w:val="24"/>
        </w:rPr>
      </w:pPr>
      <w:r>
        <w:rPr>
          <w:sz w:val="24"/>
        </w:rPr>
        <w:t>Phytochemical</w:t>
      </w:r>
      <w:r>
        <w:rPr>
          <w:spacing w:val="-2"/>
          <w:sz w:val="24"/>
        </w:rPr>
        <w:t> </w:t>
      </w:r>
      <w:r>
        <w:rPr>
          <w:sz w:val="24"/>
        </w:rPr>
        <w:t>screening</w:t>
      </w:r>
      <w:r>
        <w:rPr>
          <w:spacing w:val="-1"/>
          <w:sz w:val="24"/>
        </w:rPr>
        <w:t> </w:t>
      </w:r>
      <w:r>
        <w:rPr>
          <w:sz w:val="24"/>
        </w:rPr>
        <w:t>of</w:t>
      </w:r>
      <w:r>
        <w:rPr>
          <w:spacing w:val="-1"/>
          <w:sz w:val="24"/>
        </w:rPr>
        <w:t> </w:t>
      </w:r>
      <w:r>
        <w:rPr>
          <w:sz w:val="24"/>
        </w:rPr>
        <w:t>the</w:t>
      </w:r>
      <w:r>
        <w:rPr>
          <w:spacing w:val="-3"/>
          <w:sz w:val="24"/>
        </w:rPr>
        <w:t> </w:t>
      </w:r>
      <w:r>
        <w:rPr>
          <w:sz w:val="24"/>
        </w:rPr>
        <w:t>ethanol</w:t>
      </w:r>
      <w:r>
        <w:rPr>
          <w:spacing w:val="-1"/>
          <w:sz w:val="24"/>
        </w:rPr>
        <w:t> </w:t>
      </w:r>
      <w:r>
        <w:rPr>
          <w:sz w:val="24"/>
        </w:rPr>
        <w:t>extract</w:t>
      </w:r>
      <w:r>
        <w:rPr>
          <w:spacing w:val="-1"/>
          <w:sz w:val="24"/>
        </w:rPr>
        <w:t> </w:t>
      </w:r>
      <w:r>
        <w:rPr>
          <w:sz w:val="24"/>
        </w:rPr>
        <w:t>of </w:t>
      </w:r>
      <w:r>
        <w:rPr>
          <w:spacing w:val="-5"/>
          <w:sz w:val="24"/>
        </w:rPr>
        <w:t>the</w:t>
      </w:r>
    </w:p>
    <w:p>
      <w:pPr>
        <w:tabs>
          <w:tab w:pos="8604" w:val="left" w:leader="none"/>
        </w:tabs>
        <w:spacing w:before="157"/>
        <w:ind w:left="2122" w:right="0" w:firstLine="0"/>
        <w:jc w:val="left"/>
        <w:rPr>
          <w:sz w:val="24"/>
        </w:rPr>
      </w:pPr>
      <w:r>
        <w:rPr>
          <w:sz w:val="24"/>
        </w:rPr>
        <w:t>seed</w:t>
      </w:r>
      <w:r>
        <w:rPr>
          <w:spacing w:val="-1"/>
          <w:sz w:val="24"/>
        </w:rPr>
        <w:t> </w:t>
      </w:r>
      <w:r>
        <w:rPr>
          <w:sz w:val="24"/>
        </w:rPr>
        <w:t>of</w:t>
      </w:r>
      <w:r>
        <w:rPr>
          <w:spacing w:val="-1"/>
          <w:sz w:val="24"/>
        </w:rPr>
        <w:t> </w:t>
      </w:r>
      <w:r>
        <w:rPr>
          <w:i/>
          <w:sz w:val="24"/>
        </w:rPr>
        <w:t>Mucuna</w:t>
      </w:r>
      <w:r>
        <w:rPr>
          <w:i/>
          <w:spacing w:val="59"/>
          <w:sz w:val="24"/>
        </w:rPr>
        <w:t> </w:t>
      </w:r>
      <w:r>
        <w:rPr>
          <w:i/>
          <w:spacing w:val="-2"/>
          <w:sz w:val="24"/>
        </w:rPr>
        <w:t>pruriens</w:t>
      </w:r>
      <w:r>
        <w:rPr>
          <w:i/>
          <w:sz w:val="24"/>
        </w:rPr>
        <w:tab/>
      </w:r>
      <w:r>
        <w:rPr>
          <w:spacing w:val="-5"/>
          <w:sz w:val="24"/>
        </w:rPr>
        <w:t>82</w:t>
      </w:r>
    </w:p>
    <w:p>
      <w:pPr>
        <w:pStyle w:val="ListParagraph"/>
        <w:numPr>
          <w:ilvl w:val="1"/>
          <w:numId w:val="6"/>
        </w:numPr>
        <w:tabs>
          <w:tab w:pos="2122" w:val="left" w:leader="none"/>
          <w:tab w:pos="8604" w:val="left" w:leader="none"/>
        </w:tabs>
        <w:spacing w:line="376" w:lineRule="auto" w:before="156" w:after="0"/>
        <w:ind w:left="2122" w:right="1553" w:hanging="1440"/>
        <w:jc w:val="left"/>
        <w:rPr>
          <w:sz w:val="24"/>
        </w:rPr>
      </w:pPr>
      <w:r>
        <w:rPr>
          <w:sz w:val="24"/>
        </w:rPr>
        <w:t>Effects of fractions of ethanolic extract of </w:t>
      </w:r>
      <w:r>
        <w:rPr>
          <w:i/>
          <w:sz w:val="24"/>
        </w:rPr>
        <w:t>Mucuna pruriens </w:t>
      </w:r>
      <w:r>
        <w:rPr>
          <w:sz w:val="24"/>
        </w:rPr>
        <w:t>on diabetic rats</w:t>
        <w:tab/>
      </w:r>
      <w:r>
        <w:rPr>
          <w:spacing w:val="-6"/>
          <w:sz w:val="24"/>
        </w:rPr>
        <w:t>84</w:t>
      </w:r>
    </w:p>
    <w:p>
      <w:pPr>
        <w:pStyle w:val="ListParagraph"/>
        <w:numPr>
          <w:ilvl w:val="1"/>
          <w:numId w:val="6"/>
        </w:numPr>
        <w:tabs>
          <w:tab w:pos="2122" w:val="left" w:leader="none"/>
        </w:tabs>
        <w:spacing w:line="273" w:lineRule="exact" w:before="0" w:after="0"/>
        <w:ind w:left="2122" w:right="0" w:hanging="1440"/>
        <w:jc w:val="left"/>
        <w:rPr>
          <w:i/>
          <w:sz w:val="24"/>
        </w:rPr>
      </w:pPr>
      <w:r>
        <w:rPr>
          <w:sz w:val="24"/>
        </w:rPr>
        <w:t>Anti-diabetic</w:t>
      </w:r>
      <w:r>
        <w:rPr>
          <w:spacing w:val="-2"/>
          <w:sz w:val="24"/>
        </w:rPr>
        <w:t> </w:t>
      </w:r>
      <w:r>
        <w:rPr>
          <w:sz w:val="24"/>
        </w:rPr>
        <w:t>properties of</w:t>
      </w:r>
      <w:r>
        <w:rPr>
          <w:spacing w:val="-1"/>
          <w:sz w:val="24"/>
        </w:rPr>
        <w:t> </w:t>
      </w:r>
      <w:r>
        <w:rPr>
          <w:sz w:val="24"/>
        </w:rPr>
        <w:t>ethanolic</w:t>
      </w:r>
      <w:r>
        <w:rPr>
          <w:spacing w:val="-1"/>
          <w:sz w:val="24"/>
        </w:rPr>
        <w:t> </w:t>
      </w:r>
      <w:r>
        <w:rPr>
          <w:sz w:val="24"/>
        </w:rPr>
        <w:t>extract</w:t>
      </w:r>
      <w:r>
        <w:rPr>
          <w:spacing w:val="-1"/>
          <w:sz w:val="24"/>
        </w:rPr>
        <w:t> </w:t>
      </w:r>
      <w:r>
        <w:rPr>
          <w:sz w:val="24"/>
        </w:rPr>
        <w:t>of</w:t>
      </w:r>
      <w:r>
        <w:rPr>
          <w:spacing w:val="1"/>
          <w:sz w:val="24"/>
        </w:rPr>
        <w:t> </w:t>
      </w:r>
      <w:r>
        <w:rPr>
          <w:i/>
          <w:sz w:val="24"/>
        </w:rPr>
        <w:t>Mucuna </w:t>
      </w:r>
      <w:r>
        <w:rPr>
          <w:i/>
          <w:spacing w:val="-2"/>
          <w:sz w:val="24"/>
        </w:rPr>
        <w:t>pruriens</w:t>
      </w:r>
    </w:p>
    <w:p>
      <w:pPr>
        <w:pStyle w:val="BodyText"/>
        <w:tabs>
          <w:tab w:pos="8604" w:val="left" w:leader="none"/>
        </w:tabs>
        <w:spacing w:before="156"/>
        <w:ind w:left="2122"/>
      </w:pPr>
      <w:r>
        <w:rPr>
          <w:spacing w:val="-4"/>
        </w:rPr>
        <w:t>seed</w:t>
      </w:r>
      <w:r>
        <w:rPr/>
        <w:tab/>
      </w:r>
      <w:r>
        <w:rPr>
          <w:spacing w:val="-5"/>
        </w:rPr>
        <w:t>84</w:t>
      </w:r>
    </w:p>
    <w:p>
      <w:pPr>
        <w:pStyle w:val="ListParagraph"/>
        <w:numPr>
          <w:ilvl w:val="2"/>
          <w:numId w:val="6"/>
        </w:numPr>
        <w:tabs>
          <w:tab w:pos="2062" w:val="left" w:leader="none"/>
          <w:tab w:pos="8604" w:val="left" w:leader="none"/>
        </w:tabs>
        <w:spacing w:line="240" w:lineRule="auto" w:before="159" w:after="0"/>
        <w:ind w:left="2062" w:right="0" w:hanging="1380"/>
        <w:jc w:val="left"/>
        <w:rPr>
          <w:sz w:val="24"/>
        </w:rPr>
      </w:pPr>
      <w:hyperlink w:history="true" w:anchor="_TOC_250017">
        <w:r>
          <w:rPr>
            <w:sz w:val="24"/>
          </w:rPr>
          <w:t>Acute</w:t>
        </w:r>
        <w:r>
          <w:rPr>
            <w:spacing w:val="-2"/>
            <w:sz w:val="24"/>
          </w:rPr>
          <w:t> </w:t>
        </w:r>
        <w:r>
          <w:rPr>
            <w:sz w:val="24"/>
          </w:rPr>
          <w:t>anti-diabetic</w:t>
        </w:r>
        <w:r>
          <w:rPr>
            <w:spacing w:val="-2"/>
            <w:sz w:val="24"/>
          </w:rPr>
          <w:t> </w:t>
        </w:r>
        <w:r>
          <w:rPr>
            <w:sz w:val="24"/>
          </w:rPr>
          <w:t>effects</w:t>
        </w:r>
        <w:r>
          <w:rPr>
            <w:spacing w:val="-2"/>
            <w:sz w:val="24"/>
          </w:rPr>
          <w:t> </w:t>
        </w:r>
        <w:r>
          <w:rPr>
            <w:sz w:val="24"/>
          </w:rPr>
          <w:t>on</w:t>
        </w:r>
        <w:r>
          <w:rPr>
            <w:spacing w:val="-1"/>
            <w:sz w:val="24"/>
          </w:rPr>
          <w:t> </w:t>
        </w:r>
        <w:r>
          <w:rPr>
            <w:sz w:val="24"/>
          </w:rPr>
          <w:t>alloxan</w:t>
        </w:r>
        <w:r>
          <w:rPr>
            <w:spacing w:val="1"/>
            <w:sz w:val="24"/>
          </w:rPr>
          <w:t> </w:t>
        </w:r>
        <w:r>
          <w:rPr>
            <w:sz w:val="24"/>
          </w:rPr>
          <w:t>–</w:t>
        </w:r>
        <w:r>
          <w:rPr>
            <w:spacing w:val="-2"/>
            <w:sz w:val="24"/>
          </w:rPr>
          <w:t> </w:t>
        </w:r>
        <w:r>
          <w:rPr>
            <w:sz w:val="24"/>
          </w:rPr>
          <w:t>induced</w:t>
        </w:r>
        <w:r>
          <w:rPr>
            <w:spacing w:val="-1"/>
            <w:sz w:val="24"/>
          </w:rPr>
          <w:t> </w:t>
        </w:r>
        <w:r>
          <w:rPr>
            <w:sz w:val="24"/>
          </w:rPr>
          <w:t>diabetic</w:t>
        </w:r>
        <w:r>
          <w:rPr>
            <w:spacing w:val="-2"/>
            <w:sz w:val="24"/>
          </w:rPr>
          <w:t> </w:t>
        </w:r>
        <w:r>
          <w:rPr>
            <w:spacing w:val="-4"/>
            <w:sz w:val="24"/>
          </w:rPr>
          <w:t>rats</w:t>
        </w:r>
        <w:r>
          <w:rPr>
            <w:sz w:val="24"/>
          </w:rPr>
          <w:tab/>
        </w:r>
        <w:r>
          <w:rPr>
            <w:spacing w:val="-5"/>
            <w:sz w:val="24"/>
          </w:rPr>
          <w:t>84</w:t>
        </w:r>
      </w:hyperlink>
    </w:p>
    <w:p>
      <w:pPr>
        <w:pStyle w:val="ListParagraph"/>
        <w:numPr>
          <w:ilvl w:val="2"/>
          <w:numId w:val="6"/>
        </w:numPr>
        <w:tabs>
          <w:tab w:pos="2122" w:val="left" w:leader="none"/>
          <w:tab w:pos="8604" w:val="left" w:leader="none"/>
        </w:tabs>
        <w:spacing w:line="240" w:lineRule="auto" w:before="156" w:after="0"/>
        <w:ind w:left="2122" w:right="0" w:hanging="1440"/>
        <w:jc w:val="left"/>
        <w:rPr>
          <w:sz w:val="24"/>
        </w:rPr>
      </w:pPr>
      <w:hyperlink w:history="true" w:anchor="_TOC_250016">
        <w:r>
          <w:rPr>
            <w:sz w:val="24"/>
          </w:rPr>
          <w:t>Chronic</w:t>
        </w:r>
        <w:r>
          <w:rPr>
            <w:spacing w:val="-2"/>
            <w:sz w:val="24"/>
          </w:rPr>
          <w:t> </w:t>
        </w:r>
        <w:r>
          <w:rPr>
            <w:sz w:val="24"/>
          </w:rPr>
          <w:t>anti-diabetic</w:t>
        </w:r>
        <w:r>
          <w:rPr>
            <w:spacing w:val="-2"/>
            <w:sz w:val="24"/>
          </w:rPr>
          <w:t> </w:t>
        </w:r>
        <w:r>
          <w:rPr>
            <w:sz w:val="24"/>
          </w:rPr>
          <w:t>effects</w:t>
        </w:r>
        <w:r>
          <w:rPr>
            <w:spacing w:val="-1"/>
            <w:sz w:val="24"/>
          </w:rPr>
          <w:t> </w:t>
        </w:r>
        <w:r>
          <w:rPr>
            <w:sz w:val="24"/>
          </w:rPr>
          <w:t>on</w:t>
        </w:r>
        <w:r>
          <w:rPr>
            <w:spacing w:val="-1"/>
            <w:sz w:val="24"/>
          </w:rPr>
          <w:t> </w:t>
        </w:r>
        <w:r>
          <w:rPr>
            <w:sz w:val="24"/>
          </w:rPr>
          <w:t>alloxan</w:t>
        </w:r>
        <w:r>
          <w:rPr>
            <w:spacing w:val="1"/>
            <w:sz w:val="24"/>
          </w:rPr>
          <w:t> </w:t>
        </w:r>
        <w:r>
          <w:rPr>
            <w:sz w:val="24"/>
          </w:rPr>
          <w:t>–</w:t>
        </w:r>
        <w:r>
          <w:rPr>
            <w:spacing w:val="-1"/>
            <w:sz w:val="24"/>
          </w:rPr>
          <w:t> </w:t>
        </w:r>
        <w:r>
          <w:rPr>
            <w:sz w:val="24"/>
          </w:rPr>
          <w:t>induced</w:t>
        </w:r>
        <w:r>
          <w:rPr>
            <w:spacing w:val="-1"/>
            <w:sz w:val="24"/>
          </w:rPr>
          <w:t> </w:t>
        </w:r>
        <w:r>
          <w:rPr>
            <w:sz w:val="24"/>
          </w:rPr>
          <w:t>diabetic</w:t>
        </w:r>
        <w:r>
          <w:rPr>
            <w:spacing w:val="-2"/>
            <w:sz w:val="24"/>
          </w:rPr>
          <w:t> </w:t>
        </w:r>
        <w:r>
          <w:rPr>
            <w:spacing w:val="-4"/>
            <w:sz w:val="24"/>
          </w:rPr>
          <w:t>rats</w:t>
        </w:r>
        <w:r>
          <w:rPr>
            <w:sz w:val="24"/>
          </w:rPr>
          <w:tab/>
        </w:r>
        <w:r>
          <w:rPr>
            <w:spacing w:val="-5"/>
            <w:sz w:val="24"/>
          </w:rPr>
          <w:t>88</w:t>
        </w:r>
      </w:hyperlink>
    </w:p>
    <w:p>
      <w:pPr>
        <w:pStyle w:val="ListParagraph"/>
        <w:numPr>
          <w:ilvl w:val="1"/>
          <w:numId w:val="7"/>
        </w:numPr>
        <w:tabs>
          <w:tab w:pos="2122" w:val="left" w:leader="none"/>
          <w:tab w:pos="8604" w:val="left" w:leader="none"/>
        </w:tabs>
        <w:spacing w:line="240" w:lineRule="auto" w:before="136" w:after="0"/>
        <w:ind w:left="2122" w:right="0" w:hanging="1440"/>
        <w:jc w:val="left"/>
        <w:rPr>
          <w:sz w:val="24"/>
        </w:rPr>
      </w:pPr>
      <w:r>
        <w:rPr>
          <w:sz w:val="24"/>
        </w:rPr>
        <w:t>Changes</w:t>
      </w:r>
      <w:r>
        <w:rPr>
          <w:spacing w:val="-1"/>
          <w:sz w:val="24"/>
        </w:rPr>
        <w:t> </w:t>
      </w:r>
      <w:r>
        <w:rPr>
          <w:sz w:val="24"/>
        </w:rPr>
        <w:t>in body</w:t>
      </w:r>
      <w:r>
        <w:rPr>
          <w:spacing w:val="-5"/>
          <w:sz w:val="24"/>
        </w:rPr>
        <w:t> </w:t>
      </w:r>
      <w:r>
        <w:rPr>
          <w:spacing w:val="-2"/>
          <w:sz w:val="24"/>
        </w:rPr>
        <w:t>weight</w:t>
      </w:r>
      <w:r>
        <w:rPr>
          <w:sz w:val="24"/>
        </w:rPr>
        <w:tab/>
      </w:r>
      <w:r>
        <w:rPr>
          <w:spacing w:val="-5"/>
          <w:sz w:val="24"/>
        </w:rPr>
        <w:t>92</w:t>
      </w:r>
    </w:p>
    <w:p>
      <w:pPr>
        <w:pStyle w:val="BodyText"/>
        <w:tabs>
          <w:tab w:pos="8604" w:val="left" w:leader="none"/>
        </w:tabs>
        <w:spacing w:before="339"/>
        <w:ind w:left="2122"/>
      </w:pPr>
      <w:r>
        <w:rPr/>
        <w:t>Acute</w:t>
      </w:r>
      <w:r>
        <w:rPr>
          <w:spacing w:val="-3"/>
        </w:rPr>
        <w:t> </w:t>
      </w:r>
      <w:r>
        <w:rPr/>
        <w:t>toxicity</w:t>
      </w:r>
      <w:r>
        <w:rPr>
          <w:spacing w:val="-6"/>
        </w:rPr>
        <w:t> </w:t>
      </w:r>
      <w:r>
        <w:rPr/>
        <w:t>determination</w:t>
      </w:r>
      <w:r>
        <w:rPr>
          <w:spacing w:val="1"/>
        </w:rPr>
        <w:t> </w:t>
      </w:r>
      <w:r>
        <w:rPr/>
        <w:t>in</w:t>
      </w:r>
      <w:r>
        <w:rPr>
          <w:spacing w:val="1"/>
        </w:rPr>
        <w:t> </w:t>
      </w:r>
      <w:r>
        <w:rPr>
          <w:spacing w:val="-4"/>
        </w:rPr>
        <w:t>mice</w:t>
      </w:r>
      <w:r>
        <w:rPr/>
        <w:tab/>
      </w:r>
      <w:r>
        <w:rPr>
          <w:spacing w:val="-5"/>
        </w:rPr>
        <w:t>92</w:t>
      </w:r>
    </w:p>
    <w:p>
      <w:pPr>
        <w:pStyle w:val="ListParagraph"/>
        <w:numPr>
          <w:ilvl w:val="1"/>
          <w:numId w:val="7"/>
        </w:numPr>
        <w:tabs>
          <w:tab w:pos="2182" w:val="left" w:leader="none"/>
        </w:tabs>
        <w:spacing w:line="240" w:lineRule="auto" w:before="139" w:after="0"/>
        <w:ind w:left="2182" w:right="0" w:hanging="1500"/>
        <w:jc w:val="left"/>
        <w:rPr>
          <w:i/>
          <w:sz w:val="24"/>
        </w:rPr>
      </w:pPr>
      <w:r>
        <w:rPr>
          <w:sz w:val="24"/>
        </w:rPr>
        <w:t>Determination</w:t>
      </w:r>
      <w:r>
        <w:rPr>
          <w:spacing w:val="-3"/>
          <w:sz w:val="24"/>
        </w:rPr>
        <w:t> </w:t>
      </w:r>
      <w:r>
        <w:rPr>
          <w:sz w:val="24"/>
        </w:rPr>
        <w:t>of</w:t>
      </w:r>
      <w:r>
        <w:rPr>
          <w:spacing w:val="-2"/>
          <w:sz w:val="24"/>
        </w:rPr>
        <w:t> </w:t>
      </w:r>
      <w:r>
        <w:rPr>
          <w:sz w:val="24"/>
        </w:rPr>
        <w:t>ameliorative</w:t>
      </w:r>
      <w:r>
        <w:rPr>
          <w:spacing w:val="-2"/>
          <w:sz w:val="24"/>
        </w:rPr>
        <w:t> </w:t>
      </w:r>
      <w:r>
        <w:rPr>
          <w:sz w:val="24"/>
        </w:rPr>
        <w:t>potentials</w:t>
      </w:r>
      <w:r>
        <w:rPr>
          <w:spacing w:val="-1"/>
          <w:sz w:val="24"/>
        </w:rPr>
        <w:t> </w:t>
      </w:r>
      <w:r>
        <w:rPr>
          <w:sz w:val="24"/>
        </w:rPr>
        <w:t>of</w:t>
      </w:r>
      <w:r>
        <w:rPr>
          <w:spacing w:val="1"/>
          <w:sz w:val="24"/>
        </w:rPr>
        <w:t> </w:t>
      </w:r>
      <w:r>
        <w:rPr>
          <w:i/>
          <w:sz w:val="24"/>
        </w:rPr>
        <w:t>Mucuna </w:t>
      </w:r>
      <w:r>
        <w:rPr>
          <w:i/>
          <w:spacing w:val="-2"/>
          <w:sz w:val="24"/>
        </w:rPr>
        <w:t>pruriens</w:t>
      </w:r>
    </w:p>
    <w:p>
      <w:pPr>
        <w:pStyle w:val="BodyText"/>
        <w:tabs>
          <w:tab w:pos="8604" w:val="left" w:leader="none"/>
        </w:tabs>
        <w:spacing w:before="240"/>
        <w:ind w:left="2182"/>
      </w:pPr>
      <w:r>
        <w:rPr/>
        <w:t>on</w:t>
      </w:r>
      <w:r>
        <w:rPr>
          <w:spacing w:val="-1"/>
        </w:rPr>
        <w:t> </w:t>
      </w:r>
      <w:r>
        <w:rPr/>
        <w:t>the</w:t>
      </w:r>
      <w:r>
        <w:rPr>
          <w:spacing w:val="-1"/>
        </w:rPr>
        <w:t> </w:t>
      </w:r>
      <w:r>
        <w:rPr/>
        <w:t>complication</w:t>
      </w:r>
      <w:r>
        <w:rPr>
          <w:spacing w:val="-1"/>
        </w:rPr>
        <w:t> </w:t>
      </w:r>
      <w:r>
        <w:rPr/>
        <w:t>of</w:t>
      </w:r>
      <w:r>
        <w:rPr>
          <w:spacing w:val="-2"/>
        </w:rPr>
        <w:t> </w:t>
      </w:r>
      <w:r>
        <w:rPr/>
        <w:t>diabetes </w:t>
      </w:r>
      <w:r>
        <w:rPr>
          <w:spacing w:val="-2"/>
        </w:rPr>
        <w:t>mellitus</w:t>
      </w:r>
      <w:r>
        <w:rPr/>
        <w:tab/>
      </w:r>
      <w:r>
        <w:rPr>
          <w:spacing w:val="-5"/>
        </w:rPr>
        <w:t>95</w:t>
      </w:r>
    </w:p>
    <w:p>
      <w:pPr>
        <w:pStyle w:val="ListParagraph"/>
        <w:numPr>
          <w:ilvl w:val="2"/>
          <w:numId w:val="7"/>
        </w:numPr>
        <w:tabs>
          <w:tab w:pos="2122" w:val="left" w:leader="none"/>
          <w:tab w:pos="8604" w:val="left" w:leader="none"/>
        </w:tabs>
        <w:spacing w:line="240" w:lineRule="auto" w:before="243" w:after="0"/>
        <w:ind w:left="2122" w:right="0" w:hanging="1440"/>
        <w:jc w:val="left"/>
        <w:rPr>
          <w:sz w:val="24"/>
        </w:rPr>
      </w:pPr>
      <w:hyperlink w:history="true" w:anchor="_TOC_250015">
        <w:r>
          <w:rPr>
            <w:sz w:val="24"/>
          </w:rPr>
          <w:t>Biochemical</w:t>
        </w:r>
        <w:r>
          <w:rPr>
            <w:spacing w:val="-2"/>
            <w:sz w:val="24"/>
          </w:rPr>
          <w:t> </w:t>
        </w:r>
        <w:r>
          <w:rPr>
            <w:sz w:val="24"/>
          </w:rPr>
          <w:t>and</w:t>
        </w:r>
        <w:r>
          <w:rPr>
            <w:spacing w:val="-2"/>
            <w:sz w:val="24"/>
          </w:rPr>
          <w:t> </w:t>
        </w:r>
        <w:r>
          <w:rPr>
            <w:sz w:val="24"/>
          </w:rPr>
          <w:t>hematological</w:t>
        </w:r>
        <w:r>
          <w:rPr>
            <w:spacing w:val="-2"/>
            <w:sz w:val="24"/>
          </w:rPr>
          <w:t> studies</w:t>
        </w:r>
        <w:r>
          <w:rPr>
            <w:sz w:val="24"/>
          </w:rPr>
          <w:tab/>
        </w:r>
        <w:r>
          <w:rPr>
            <w:spacing w:val="-5"/>
            <w:sz w:val="24"/>
          </w:rPr>
          <w:t>95</w:t>
        </w:r>
      </w:hyperlink>
    </w:p>
    <w:p>
      <w:pPr>
        <w:pStyle w:val="ListParagraph"/>
        <w:numPr>
          <w:ilvl w:val="2"/>
          <w:numId w:val="7"/>
        </w:numPr>
        <w:tabs>
          <w:tab w:pos="2122" w:val="left" w:leader="none"/>
          <w:tab w:pos="8604" w:val="left" w:leader="none"/>
        </w:tabs>
        <w:spacing w:line="240" w:lineRule="auto" w:before="240" w:after="0"/>
        <w:ind w:left="2122" w:right="0" w:hanging="1440"/>
        <w:jc w:val="left"/>
        <w:rPr>
          <w:sz w:val="24"/>
        </w:rPr>
      </w:pPr>
      <w:hyperlink w:history="true" w:anchor="_TOC_250014">
        <w:r>
          <w:rPr>
            <w:sz w:val="24"/>
          </w:rPr>
          <w:t>Histopathological</w:t>
        </w:r>
        <w:r>
          <w:rPr>
            <w:spacing w:val="-6"/>
            <w:sz w:val="24"/>
          </w:rPr>
          <w:t> </w:t>
        </w:r>
        <w:r>
          <w:rPr>
            <w:spacing w:val="-2"/>
            <w:sz w:val="24"/>
          </w:rPr>
          <w:t>studies</w:t>
        </w:r>
        <w:r>
          <w:rPr>
            <w:sz w:val="24"/>
          </w:rPr>
          <w:tab/>
        </w:r>
        <w:r>
          <w:rPr>
            <w:spacing w:val="-5"/>
            <w:sz w:val="24"/>
          </w:rPr>
          <w:t>106</w:t>
        </w:r>
      </w:hyperlink>
    </w:p>
    <w:p>
      <w:pPr>
        <w:pStyle w:val="BodyText"/>
        <w:spacing w:before="754"/>
        <w:ind w:left="682"/>
      </w:pPr>
      <w:hyperlink w:history="true" w:anchor="_TOC_250013">
        <w:r>
          <w:rPr/>
          <w:t>CHAPTER</w:t>
        </w:r>
        <w:r>
          <w:rPr>
            <w:spacing w:val="-4"/>
          </w:rPr>
          <w:t> </w:t>
        </w:r>
        <w:r>
          <w:rPr/>
          <w:t>FOUR:</w:t>
        </w:r>
        <w:r>
          <w:rPr>
            <w:spacing w:val="-3"/>
          </w:rPr>
          <w:t> </w:t>
        </w:r>
        <w:r>
          <w:rPr/>
          <w:t>FORMULATION</w:t>
        </w:r>
        <w:r>
          <w:rPr>
            <w:spacing w:val="-4"/>
          </w:rPr>
          <w:t> </w:t>
        </w:r>
        <w:r>
          <w:rPr>
            <w:spacing w:val="-2"/>
          </w:rPr>
          <w:t>STUDIES</w:t>
        </w:r>
      </w:hyperlink>
    </w:p>
    <w:p>
      <w:pPr>
        <w:pStyle w:val="ListParagraph"/>
        <w:numPr>
          <w:ilvl w:val="1"/>
          <w:numId w:val="8"/>
        </w:numPr>
        <w:tabs>
          <w:tab w:pos="2122" w:val="left" w:leader="none"/>
          <w:tab w:pos="8604" w:val="left" w:leader="none"/>
        </w:tabs>
        <w:spacing w:line="240" w:lineRule="auto" w:before="667" w:after="0"/>
        <w:ind w:left="2122" w:right="0" w:hanging="1440"/>
        <w:jc w:val="left"/>
        <w:rPr>
          <w:sz w:val="24"/>
        </w:rPr>
      </w:pPr>
      <w:r>
        <w:rPr>
          <w:sz w:val="24"/>
        </w:rPr>
        <w:t>Material</w:t>
      </w:r>
      <w:r>
        <w:rPr>
          <w:spacing w:val="-3"/>
          <w:sz w:val="24"/>
        </w:rPr>
        <w:t> </w:t>
      </w:r>
      <w:r>
        <w:rPr>
          <w:sz w:val="24"/>
        </w:rPr>
        <w:t>properties</w:t>
      </w:r>
      <w:r>
        <w:rPr>
          <w:spacing w:val="-1"/>
          <w:sz w:val="24"/>
        </w:rPr>
        <w:t> </w:t>
      </w:r>
      <w:r>
        <w:rPr>
          <w:sz w:val="24"/>
        </w:rPr>
        <w:t>of</w:t>
      </w:r>
      <w:r>
        <w:rPr>
          <w:spacing w:val="-2"/>
          <w:sz w:val="24"/>
        </w:rPr>
        <w:t> </w:t>
      </w:r>
      <w:r>
        <w:rPr>
          <w:sz w:val="24"/>
        </w:rPr>
        <w:t>the</w:t>
      </w:r>
      <w:r>
        <w:rPr>
          <w:spacing w:val="2"/>
          <w:sz w:val="24"/>
        </w:rPr>
        <w:t> </w:t>
      </w:r>
      <w:r>
        <w:rPr>
          <w:i/>
          <w:sz w:val="24"/>
        </w:rPr>
        <w:t>Mucuna</w:t>
      </w:r>
      <w:r>
        <w:rPr>
          <w:i/>
          <w:spacing w:val="58"/>
          <w:sz w:val="24"/>
        </w:rPr>
        <w:t> </w:t>
      </w:r>
      <w:r>
        <w:rPr>
          <w:i/>
          <w:sz w:val="24"/>
        </w:rPr>
        <w:t>pruriens</w:t>
      </w:r>
      <w:r>
        <w:rPr>
          <w:i/>
          <w:spacing w:val="-1"/>
          <w:sz w:val="24"/>
        </w:rPr>
        <w:t> </w:t>
      </w:r>
      <w:r>
        <w:rPr>
          <w:sz w:val="24"/>
        </w:rPr>
        <w:t>ethanol </w:t>
      </w:r>
      <w:r>
        <w:rPr>
          <w:spacing w:val="-2"/>
          <w:sz w:val="24"/>
        </w:rPr>
        <w:t>extract</w:t>
      </w:r>
      <w:r>
        <w:rPr>
          <w:sz w:val="24"/>
        </w:rPr>
        <w:tab/>
      </w:r>
      <w:r>
        <w:rPr>
          <w:spacing w:val="-5"/>
          <w:sz w:val="24"/>
        </w:rPr>
        <w:t>120</w:t>
      </w:r>
    </w:p>
    <w:p>
      <w:pPr>
        <w:pStyle w:val="ListParagraph"/>
        <w:numPr>
          <w:ilvl w:val="1"/>
          <w:numId w:val="8"/>
        </w:numPr>
        <w:tabs>
          <w:tab w:pos="2122" w:val="left" w:leader="none"/>
          <w:tab w:pos="8604" w:val="left" w:leader="none"/>
        </w:tabs>
        <w:spacing w:line="458" w:lineRule="auto" w:before="252" w:after="0"/>
        <w:ind w:left="2122" w:right="1433" w:hanging="1440"/>
        <w:jc w:val="left"/>
        <w:rPr>
          <w:sz w:val="24"/>
        </w:rPr>
      </w:pPr>
      <w:hyperlink w:history="true" w:anchor="_TOC_250012">
        <w:r>
          <w:rPr>
            <w:sz w:val="24"/>
          </w:rPr>
          <w:t>Particle size and size distribution of formulations for direct </w:t>
        </w:r>
        <w:r>
          <w:rPr>
            <w:spacing w:val="-2"/>
            <w:sz w:val="24"/>
          </w:rPr>
          <w:t>Compression</w:t>
        </w:r>
        <w:r>
          <w:rPr>
            <w:sz w:val="24"/>
          </w:rPr>
          <w:tab/>
        </w:r>
        <w:r>
          <w:rPr>
            <w:spacing w:val="-5"/>
            <w:sz w:val="24"/>
          </w:rPr>
          <w:t>122</w:t>
        </w:r>
      </w:hyperlink>
    </w:p>
    <w:p>
      <w:pPr>
        <w:pStyle w:val="ListParagraph"/>
        <w:numPr>
          <w:ilvl w:val="1"/>
          <w:numId w:val="8"/>
        </w:numPr>
        <w:tabs>
          <w:tab w:pos="2122" w:val="left" w:leader="none"/>
          <w:tab w:pos="8604" w:val="left" w:leader="none"/>
        </w:tabs>
        <w:spacing w:line="240" w:lineRule="auto" w:before="5" w:after="0"/>
        <w:ind w:left="2122" w:right="0" w:hanging="1440"/>
        <w:jc w:val="left"/>
        <w:rPr>
          <w:sz w:val="24"/>
        </w:rPr>
      </w:pPr>
      <w:r>
        <w:rPr>
          <w:sz w:val="24"/>
        </w:rPr>
        <w:t>Binding</w:t>
      </w:r>
      <w:r>
        <w:rPr>
          <w:spacing w:val="-4"/>
          <w:sz w:val="24"/>
        </w:rPr>
        <w:t> </w:t>
      </w:r>
      <w:r>
        <w:rPr>
          <w:sz w:val="24"/>
        </w:rPr>
        <w:t>properties</w:t>
      </w:r>
      <w:r>
        <w:rPr>
          <w:spacing w:val="-1"/>
          <w:sz w:val="24"/>
        </w:rPr>
        <w:t> </w:t>
      </w:r>
      <w:r>
        <w:rPr>
          <w:sz w:val="24"/>
        </w:rPr>
        <w:t>of</w:t>
      </w:r>
      <w:r>
        <w:rPr>
          <w:spacing w:val="2"/>
          <w:sz w:val="24"/>
        </w:rPr>
        <w:t> </w:t>
      </w:r>
      <w:r>
        <w:rPr>
          <w:i/>
          <w:sz w:val="24"/>
        </w:rPr>
        <w:t>Mucuna</w:t>
      </w:r>
      <w:r>
        <w:rPr>
          <w:i/>
          <w:spacing w:val="-1"/>
          <w:sz w:val="24"/>
        </w:rPr>
        <w:t> </w:t>
      </w:r>
      <w:r>
        <w:rPr>
          <w:i/>
          <w:sz w:val="24"/>
        </w:rPr>
        <w:t>pruriens </w:t>
      </w:r>
      <w:r>
        <w:rPr>
          <w:spacing w:val="-2"/>
          <w:sz w:val="24"/>
        </w:rPr>
        <w:t>granules</w:t>
      </w:r>
      <w:r>
        <w:rPr>
          <w:sz w:val="24"/>
        </w:rPr>
        <w:tab/>
      </w:r>
      <w:r>
        <w:rPr>
          <w:spacing w:val="-5"/>
          <w:sz w:val="24"/>
        </w:rPr>
        <w:t>122</w:t>
      </w:r>
    </w:p>
    <w:p>
      <w:pPr>
        <w:pStyle w:val="ListParagraph"/>
        <w:numPr>
          <w:ilvl w:val="2"/>
          <w:numId w:val="8"/>
        </w:numPr>
        <w:tabs>
          <w:tab w:pos="2122" w:val="left" w:leader="none"/>
          <w:tab w:pos="8604" w:val="left" w:leader="none"/>
        </w:tabs>
        <w:spacing w:line="240" w:lineRule="auto" w:before="252" w:after="0"/>
        <w:ind w:left="2122" w:right="0" w:hanging="1440"/>
        <w:jc w:val="left"/>
        <w:rPr>
          <w:sz w:val="24"/>
        </w:rPr>
      </w:pPr>
      <w:hyperlink w:history="true" w:anchor="_TOC_250011">
        <w:r>
          <w:rPr>
            <w:sz w:val="24"/>
          </w:rPr>
          <w:t>Granule</w:t>
        </w:r>
        <w:r>
          <w:rPr>
            <w:spacing w:val="-3"/>
            <w:sz w:val="24"/>
          </w:rPr>
          <w:t> </w:t>
        </w:r>
        <w:r>
          <w:rPr>
            <w:sz w:val="24"/>
          </w:rPr>
          <w:t>size</w:t>
        </w:r>
        <w:r>
          <w:rPr>
            <w:spacing w:val="-2"/>
            <w:sz w:val="24"/>
          </w:rPr>
          <w:t> distribution</w:t>
        </w:r>
        <w:r>
          <w:rPr>
            <w:sz w:val="24"/>
          </w:rPr>
          <w:tab/>
        </w:r>
        <w:r>
          <w:rPr>
            <w:spacing w:val="-5"/>
            <w:sz w:val="24"/>
          </w:rPr>
          <w:t>122</w:t>
        </w:r>
      </w:hyperlink>
    </w:p>
    <w:p>
      <w:pPr>
        <w:pStyle w:val="ListParagraph"/>
        <w:numPr>
          <w:ilvl w:val="1"/>
          <w:numId w:val="8"/>
        </w:numPr>
        <w:tabs>
          <w:tab w:pos="2122" w:val="left" w:leader="none"/>
          <w:tab w:pos="8604" w:val="left" w:leader="none"/>
        </w:tabs>
        <w:spacing w:line="240" w:lineRule="auto" w:before="254" w:after="0"/>
        <w:ind w:left="2122" w:right="0" w:hanging="1440"/>
        <w:jc w:val="left"/>
        <w:rPr>
          <w:sz w:val="24"/>
        </w:rPr>
      </w:pPr>
      <w:hyperlink w:history="true" w:anchor="_TOC_250010">
        <w:r>
          <w:rPr>
            <w:sz w:val="24"/>
          </w:rPr>
          <w:t>Evaluation</w:t>
        </w:r>
        <w:r>
          <w:rPr>
            <w:spacing w:val="-1"/>
            <w:sz w:val="24"/>
          </w:rPr>
          <w:t> </w:t>
        </w:r>
        <w:r>
          <w:rPr>
            <w:sz w:val="24"/>
          </w:rPr>
          <w:t>of</w:t>
        </w:r>
        <w:r>
          <w:rPr>
            <w:spacing w:val="-1"/>
            <w:sz w:val="24"/>
          </w:rPr>
          <w:t> </w:t>
        </w:r>
        <w:r>
          <w:rPr>
            <w:sz w:val="24"/>
          </w:rPr>
          <w:t>tablet</w:t>
        </w:r>
        <w:r>
          <w:rPr>
            <w:spacing w:val="-1"/>
            <w:sz w:val="24"/>
          </w:rPr>
          <w:t> </w:t>
        </w:r>
        <w:r>
          <w:rPr>
            <w:spacing w:val="-2"/>
            <w:sz w:val="24"/>
          </w:rPr>
          <w:t>properties</w:t>
        </w:r>
        <w:r>
          <w:rPr>
            <w:sz w:val="24"/>
          </w:rPr>
          <w:tab/>
        </w:r>
        <w:r>
          <w:rPr>
            <w:spacing w:val="-5"/>
            <w:sz w:val="24"/>
          </w:rPr>
          <w:t>122</w:t>
        </w:r>
      </w:hyperlink>
    </w:p>
    <w:p>
      <w:pPr>
        <w:pStyle w:val="ListParagraph"/>
        <w:numPr>
          <w:ilvl w:val="2"/>
          <w:numId w:val="8"/>
        </w:numPr>
        <w:tabs>
          <w:tab w:pos="2122" w:val="left" w:leader="none"/>
          <w:tab w:pos="8604" w:val="left" w:leader="none"/>
        </w:tabs>
        <w:spacing w:line="240" w:lineRule="auto" w:before="252" w:after="0"/>
        <w:ind w:left="2122" w:right="0" w:hanging="1440"/>
        <w:jc w:val="left"/>
        <w:rPr>
          <w:sz w:val="24"/>
        </w:rPr>
      </w:pPr>
      <w:hyperlink w:history="true" w:anchor="_TOC_250009">
        <w:r>
          <w:rPr>
            <w:sz w:val="24"/>
          </w:rPr>
          <w:t>Test for uniformity</w:t>
        </w:r>
        <w:r>
          <w:rPr>
            <w:spacing w:val="-5"/>
            <w:sz w:val="24"/>
          </w:rPr>
          <w:t> </w:t>
        </w:r>
        <w:r>
          <w:rPr>
            <w:sz w:val="24"/>
          </w:rPr>
          <w:t>of</w:t>
        </w:r>
        <w:r>
          <w:rPr>
            <w:spacing w:val="1"/>
            <w:sz w:val="24"/>
          </w:rPr>
          <w:t> </w:t>
        </w:r>
        <w:r>
          <w:rPr>
            <w:spacing w:val="-2"/>
            <w:sz w:val="24"/>
          </w:rPr>
          <w:t>weight</w:t>
        </w:r>
        <w:r>
          <w:rPr>
            <w:sz w:val="24"/>
          </w:rPr>
          <w:tab/>
        </w:r>
        <w:r>
          <w:rPr>
            <w:spacing w:val="-5"/>
            <w:sz w:val="24"/>
          </w:rPr>
          <w:t>122</w:t>
        </w:r>
      </w:hyperlink>
    </w:p>
    <w:p>
      <w:pPr>
        <w:spacing w:after="0" w:line="240" w:lineRule="auto"/>
        <w:jc w:val="left"/>
        <w:rPr>
          <w:sz w:val="24"/>
        </w:rPr>
        <w:sectPr>
          <w:pgSz w:w="12240" w:h="15840"/>
          <w:pgMar w:header="0" w:footer="1068" w:top="1360" w:bottom="1260" w:left="1420" w:right="420"/>
        </w:sectPr>
      </w:pPr>
    </w:p>
    <w:p>
      <w:pPr>
        <w:pStyle w:val="ListParagraph"/>
        <w:numPr>
          <w:ilvl w:val="2"/>
          <w:numId w:val="8"/>
        </w:numPr>
        <w:tabs>
          <w:tab w:pos="2122" w:val="left" w:leader="none"/>
          <w:tab w:pos="8604" w:val="left" w:leader="none"/>
        </w:tabs>
        <w:spacing w:line="240" w:lineRule="auto" w:before="74" w:after="0"/>
        <w:ind w:left="2122" w:right="0" w:hanging="1440"/>
        <w:jc w:val="left"/>
        <w:rPr>
          <w:sz w:val="24"/>
        </w:rPr>
      </w:pPr>
      <w:r>
        <w:rPr/>
        <mc:AlternateContent>
          <mc:Choice Requires="wps">
            <w:drawing>
              <wp:anchor distT="0" distB="0" distL="0" distR="0" allowOverlap="1" layoutInCell="1" locked="0" behindDoc="1" simplePos="0" relativeHeight="482909696">
                <wp:simplePos x="0" y="0"/>
                <wp:positionH relativeFrom="page">
                  <wp:posOffset>-1402226</wp:posOffset>
                </wp:positionH>
                <wp:positionV relativeFrom="page">
                  <wp:posOffset>4612234</wp:posOffset>
                </wp:positionV>
                <wp:extent cx="10685780" cy="914400"/>
                <wp:effectExtent l="0" t="0" r="0" b="0"/>
                <wp:wrapNone/>
                <wp:docPr id="16" name="Textbox 16"/>
                <wp:cNvGraphicFramePr>
                  <a:graphicFrameLocks/>
                </wp:cNvGraphicFramePr>
                <a:graphic>
                  <a:graphicData uri="http://schemas.microsoft.com/office/word/2010/wordprocessingShape">
                    <wps:wsp>
                      <wps:cNvPr id="16" name="Textbox 1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6784;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Mechanical</w:t>
      </w:r>
      <w:r>
        <w:rPr>
          <w:spacing w:val="-2"/>
          <w:sz w:val="24"/>
        </w:rPr>
        <w:t> </w:t>
      </w:r>
      <w:r>
        <w:rPr>
          <w:sz w:val="24"/>
        </w:rPr>
        <w:t>properties</w:t>
      </w:r>
      <w:r>
        <w:rPr>
          <w:spacing w:val="-1"/>
          <w:sz w:val="24"/>
        </w:rPr>
        <w:t> </w:t>
      </w:r>
      <w:r>
        <w:rPr>
          <w:sz w:val="24"/>
        </w:rPr>
        <w:t>of</w:t>
      </w:r>
      <w:r>
        <w:rPr>
          <w:spacing w:val="1"/>
          <w:sz w:val="24"/>
        </w:rPr>
        <w:t> </w:t>
      </w:r>
      <w:r>
        <w:rPr>
          <w:i/>
          <w:sz w:val="24"/>
        </w:rPr>
        <w:t>Mucuna</w:t>
      </w:r>
      <w:r>
        <w:rPr>
          <w:i/>
          <w:spacing w:val="-1"/>
          <w:sz w:val="24"/>
        </w:rPr>
        <w:t> </w:t>
      </w:r>
      <w:r>
        <w:rPr>
          <w:i/>
          <w:sz w:val="24"/>
        </w:rPr>
        <w:t>pruriens</w:t>
      </w:r>
      <w:r>
        <w:rPr>
          <w:i/>
          <w:spacing w:val="-1"/>
          <w:sz w:val="24"/>
        </w:rPr>
        <w:t> </w:t>
      </w:r>
      <w:r>
        <w:rPr>
          <w:spacing w:val="-2"/>
          <w:sz w:val="24"/>
        </w:rPr>
        <w:t>tablets</w:t>
      </w:r>
      <w:r>
        <w:rPr>
          <w:sz w:val="24"/>
        </w:rPr>
        <w:tab/>
      </w:r>
      <w:r>
        <w:rPr>
          <w:spacing w:val="-5"/>
          <w:sz w:val="24"/>
        </w:rPr>
        <w:t>130</w:t>
      </w:r>
    </w:p>
    <w:p>
      <w:pPr>
        <w:pStyle w:val="ListParagraph"/>
        <w:numPr>
          <w:ilvl w:val="3"/>
          <w:numId w:val="8"/>
        </w:numPr>
        <w:tabs>
          <w:tab w:pos="2122" w:val="left" w:leader="none"/>
          <w:tab w:pos="8604" w:val="left" w:leader="none"/>
        </w:tabs>
        <w:spacing w:line="240" w:lineRule="auto" w:before="252" w:after="0"/>
        <w:ind w:left="2122" w:right="0" w:hanging="1440"/>
        <w:jc w:val="left"/>
        <w:rPr>
          <w:sz w:val="24"/>
        </w:rPr>
      </w:pPr>
      <w:hyperlink w:history="true" w:anchor="_TOC_250008">
        <w:r>
          <w:rPr>
            <w:sz w:val="24"/>
          </w:rPr>
          <w:t>Crushing</w:t>
        </w:r>
        <w:r>
          <w:rPr>
            <w:spacing w:val="-3"/>
            <w:sz w:val="24"/>
          </w:rPr>
          <w:t> </w:t>
        </w:r>
        <w:r>
          <w:rPr>
            <w:spacing w:val="-2"/>
            <w:sz w:val="24"/>
          </w:rPr>
          <w:t>strength</w:t>
        </w:r>
        <w:r>
          <w:rPr>
            <w:sz w:val="24"/>
          </w:rPr>
          <w:tab/>
        </w:r>
        <w:r>
          <w:rPr>
            <w:spacing w:val="-5"/>
            <w:sz w:val="24"/>
          </w:rPr>
          <w:t>130</w:t>
        </w:r>
      </w:hyperlink>
    </w:p>
    <w:p>
      <w:pPr>
        <w:pStyle w:val="ListParagraph"/>
        <w:numPr>
          <w:ilvl w:val="3"/>
          <w:numId w:val="8"/>
        </w:numPr>
        <w:tabs>
          <w:tab w:pos="2122" w:val="left" w:leader="none"/>
          <w:tab w:pos="8604" w:val="left" w:leader="none"/>
        </w:tabs>
        <w:spacing w:line="240" w:lineRule="auto" w:before="255" w:after="0"/>
        <w:ind w:left="2122" w:right="0" w:hanging="1440"/>
        <w:jc w:val="left"/>
        <w:rPr>
          <w:sz w:val="24"/>
        </w:rPr>
      </w:pPr>
      <w:hyperlink w:history="true" w:anchor="_TOC_250007">
        <w:r>
          <w:rPr>
            <w:spacing w:val="-2"/>
            <w:sz w:val="24"/>
          </w:rPr>
          <w:t>Friability</w:t>
        </w:r>
        <w:r>
          <w:rPr>
            <w:sz w:val="24"/>
          </w:rPr>
          <w:tab/>
        </w:r>
        <w:r>
          <w:rPr>
            <w:spacing w:val="-5"/>
            <w:sz w:val="24"/>
          </w:rPr>
          <w:t>132</w:t>
        </w:r>
      </w:hyperlink>
    </w:p>
    <w:p>
      <w:pPr>
        <w:pStyle w:val="ListParagraph"/>
        <w:numPr>
          <w:ilvl w:val="3"/>
          <w:numId w:val="8"/>
        </w:numPr>
        <w:tabs>
          <w:tab w:pos="2122" w:val="left" w:leader="none"/>
          <w:tab w:pos="8604" w:val="left" w:leader="none"/>
        </w:tabs>
        <w:spacing w:line="240" w:lineRule="auto" w:before="252" w:after="0"/>
        <w:ind w:left="2122" w:right="0" w:hanging="1440"/>
        <w:jc w:val="left"/>
        <w:rPr>
          <w:sz w:val="24"/>
        </w:rPr>
      </w:pPr>
      <w:hyperlink w:history="true" w:anchor="_TOC_250006">
        <w:r>
          <w:rPr>
            <w:sz w:val="24"/>
          </w:rPr>
          <w:t>Crushing</w:t>
        </w:r>
        <w:r>
          <w:rPr>
            <w:spacing w:val="-3"/>
            <w:sz w:val="24"/>
          </w:rPr>
          <w:t> </w:t>
        </w:r>
        <w:r>
          <w:rPr>
            <w:sz w:val="24"/>
          </w:rPr>
          <w:t>strength</w:t>
        </w:r>
        <w:r>
          <w:rPr>
            <w:spacing w:val="1"/>
            <w:sz w:val="24"/>
          </w:rPr>
          <w:t> </w:t>
        </w:r>
        <w:r>
          <w:rPr>
            <w:sz w:val="24"/>
          </w:rPr>
          <w:t>– friability</w:t>
        </w:r>
        <w:r>
          <w:rPr>
            <w:spacing w:val="-7"/>
            <w:sz w:val="24"/>
          </w:rPr>
          <w:t> </w:t>
        </w:r>
        <w:r>
          <w:rPr>
            <w:spacing w:val="-2"/>
            <w:sz w:val="24"/>
          </w:rPr>
          <w:t>ratio</w:t>
        </w:r>
        <w:r>
          <w:rPr>
            <w:sz w:val="24"/>
          </w:rPr>
          <w:tab/>
        </w:r>
        <w:r>
          <w:rPr>
            <w:spacing w:val="-5"/>
            <w:sz w:val="24"/>
          </w:rPr>
          <w:t>134</w:t>
        </w:r>
      </w:hyperlink>
    </w:p>
    <w:p>
      <w:pPr>
        <w:pStyle w:val="ListParagraph"/>
        <w:numPr>
          <w:ilvl w:val="2"/>
          <w:numId w:val="8"/>
        </w:numPr>
        <w:tabs>
          <w:tab w:pos="2122" w:val="left" w:leader="none"/>
        </w:tabs>
        <w:spacing w:line="240" w:lineRule="auto" w:before="254" w:after="0"/>
        <w:ind w:left="2122" w:right="0" w:hanging="1440"/>
        <w:jc w:val="left"/>
        <w:rPr>
          <w:sz w:val="24"/>
        </w:rPr>
      </w:pPr>
      <w:r>
        <w:rPr>
          <w:sz w:val="24"/>
        </w:rPr>
        <w:t>Release</w:t>
      </w:r>
      <w:r>
        <w:rPr>
          <w:spacing w:val="-2"/>
          <w:sz w:val="24"/>
        </w:rPr>
        <w:t> </w:t>
      </w:r>
      <w:r>
        <w:rPr>
          <w:sz w:val="24"/>
        </w:rPr>
        <w:t>properties</w:t>
      </w:r>
      <w:r>
        <w:rPr>
          <w:spacing w:val="-1"/>
          <w:sz w:val="24"/>
        </w:rPr>
        <w:t> </w:t>
      </w:r>
      <w:r>
        <w:rPr>
          <w:sz w:val="24"/>
        </w:rPr>
        <w:t>of</w:t>
      </w:r>
      <w:r>
        <w:rPr>
          <w:spacing w:val="-1"/>
          <w:sz w:val="24"/>
        </w:rPr>
        <w:t> </w:t>
      </w:r>
      <w:r>
        <w:rPr>
          <w:i/>
          <w:sz w:val="24"/>
        </w:rPr>
        <w:t>Mucuna</w:t>
      </w:r>
      <w:r>
        <w:rPr>
          <w:i/>
          <w:spacing w:val="-1"/>
          <w:sz w:val="24"/>
        </w:rPr>
        <w:t> </w:t>
      </w:r>
      <w:r>
        <w:rPr>
          <w:i/>
          <w:sz w:val="24"/>
        </w:rPr>
        <w:t>pruriens </w:t>
      </w:r>
      <w:r>
        <w:rPr>
          <w:sz w:val="24"/>
        </w:rPr>
        <w:t>tablets</w:t>
      </w:r>
      <w:r>
        <w:rPr>
          <w:spacing w:val="-1"/>
          <w:sz w:val="24"/>
        </w:rPr>
        <w:t> </w:t>
      </w:r>
      <w:r>
        <w:rPr>
          <w:sz w:val="24"/>
        </w:rPr>
        <w:t>prepared</w:t>
      </w:r>
      <w:r>
        <w:rPr>
          <w:spacing w:val="-1"/>
          <w:sz w:val="24"/>
        </w:rPr>
        <w:t> </w:t>
      </w:r>
      <w:r>
        <w:rPr>
          <w:spacing w:val="-5"/>
          <w:sz w:val="24"/>
        </w:rPr>
        <w:t>by</w:t>
      </w:r>
    </w:p>
    <w:p>
      <w:pPr>
        <w:pStyle w:val="BodyText"/>
        <w:tabs>
          <w:tab w:pos="8604" w:val="left" w:leader="none"/>
        </w:tabs>
        <w:spacing w:before="252"/>
        <w:ind w:left="2122"/>
      </w:pPr>
      <w:r>
        <w:rPr/>
        <w:t>direct</w:t>
      </w:r>
      <w:r>
        <w:rPr>
          <w:spacing w:val="-3"/>
        </w:rPr>
        <w:t> </w:t>
      </w:r>
      <w:r>
        <w:rPr>
          <w:spacing w:val="-2"/>
        </w:rPr>
        <w:t>compression</w:t>
      </w:r>
      <w:r>
        <w:rPr/>
        <w:tab/>
      </w:r>
      <w:r>
        <w:rPr>
          <w:spacing w:val="-5"/>
        </w:rPr>
        <w:t>134</w:t>
      </w:r>
    </w:p>
    <w:p>
      <w:pPr>
        <w:pStyle w:val="ListParagraph"/>
        <w:numPr>
          <w:ilvl w:val="3"/>
          <w:numId w:val="8"/>
        </w:numPr>
        <w:tabs>
          <w:tab w:pos="2122" w:val="left" w:leader="none"/>
          <w:tab w:pos="8604" w:val="left" w:leader="none"/>
        </w:tabs>
        <w:spacing w:line="240" w:lineRule="auto" w:before="252" w:after="0"/>
        <w:ind w:left="2122" w:right="0" w:hanging="1440"/>
        <w:jc w:val="left"/>
        <w:rPr>
          <w:sz w:val="24"/>
        </w:rPr>
      </w:pPr>
      <w:hyperlink w:history="true" w:anchor="_TOC_250005">
        <w:r>
          <w:rPr>
            <w:sz w:val="24"/>
          </w:rPr>
          <w:t>Disintegration</w:t>
        </w:r>
        <w:r>
          <w:rPr>
            <w:spacing w:val="-3"/>
            <w:sz w:val="24"/>
          </w:rPr>
          <w:t> </w:t>
        </w:r>
        <w:r>
          <w:rPr>
            <w:spacing w:val="-4"/>
            <w:sz w:val="24"/>
          </w:rPr>
          <w:t>time</w:t>
        </w:r>
        <w:r>
          <w:rPr>
            <w:sz w:val="24"/>
          </w:rPr>
          <w:tab/>
        </w:r>
        <w:r>
          <w:rPr>
            <w:spacing w:val="-5"/>
            <w:sz w:val="24"/>
          </w:rPr>
          <w:t>134</w:t>
        </w:r>
      </w:hyperlink>
    </w:p>
    <w:p>
      <w:pPr>
        <w:pStyle w:val="ListParagraph"/>
        <w:numPr>
          <w:ilvl w:val="3"/>
          <w:numId w:val="8"/>
        </w:numPr>
        <w:tabs>
          <w:tab w:pos="2122" w:val="left" w:leader="none"/>
          <w:tab w:pos="8604" w:val="left" w:leader="none"/>
        </w:tabs>
        <w:spacing w:line="240" w:lineRule="auto" w:before="255" w:after="0"/>
        <w:ind w:left="2122" w:right="0" w:hanging="1440"/>
        <w:jc w:val="left"/>
        <w:rPr>
          <w:sz w:val="24"/>
        </w:rPr>
      </w:pPr>
      <w:r>
        <w:rPr>
          <w:sz w:val="24"/>
        </w:rPr>
        <w:t>Dissolution</w:t>
      </w:r>
      <w:r>
        <w:rPr>
          <w:spacing w:val="-1"/>
          <w:sz w:val="24"/>
        </w:rPr>
        <w:t> </w:t>
      </w:r>
      <w:r>
        <w:rPr>
          <w:sz w:val="24"/>
        </w:rPr>
        <w:t>profile</w:t>
      </w:r>
      <w:r>
        <w:rPr>
          <w:spacing w:val="-1"/>
          <w:sz w:val="24"/>
        </w:rPr>
        <w:t> </w:t>
      </w:r>
      <w:r>
        <w:rPr>
          <w:sz w:val="24"/>
        </w:rPr>
        <w:t>of</w:t>
      </w:r>
      <w:r>
        <w:rPr>
          <w:spacing w:val="-2"/>
          <w:sz w:val="24"/>
        </w:rPr>
        <w:t> </w:t>
      </w:r>
      <w:r>
        <w:rPr>
          <w:i/>
          <w:sz w:val="24"/>
        </w:rPr>
        <w:t>Mucuna</w:t>
      </w:r>
      <w:r>
        <w:rPr>
          <w:i/>
          <w:spacing w:val="-1"/>
          <w:sz w:val="24"/>
        </w:rPr>
        <w:t> </w:t>
      </w:r>
      <w:r>
        <w:rPr>
          <w:i/>
          <w:sz w:val="24"/>
        </w:rPr>
        <w:t>pruriens</w:t>
      </w:r>
      <w:r>
        <w:rPr>
          <w:i/>
          <w:spacing w:val="-1"/>
          <w:sz w:val="24"/>
        </w:rPr>
        <w:t> </w:t>
      </w:r>
      <w:r>
        <w:rPr>
          <w:spacing w:val="-2"/>
          <w:sz w:val="24"/>
        </w:rPr>
        <w:t>tablets</w:t>
      </w:r>
      <w:r>
        <w:rPr>
          <w:sz w:val="24"/>
        </w:rPr>
        <w:tab/>
      </w:r>
      <w:r>
        <w:rPr>
          <w:spacing w:val="-5"/>
          <w:sz w:val="24"/>
        </w:rPr>
        <w:t>136</w:t>
      </w:r>
    </w:p>
    <w:p>
      <w:pPr>
        <w:pStyle w:val="ListParagraph"/>
        <w:numPr>
          <w:ilvl w:val="3"/>
          <w:numId w:val="8"/>
        </w:numPr>
        <w:tabs>
          <w:tab w:pos="2122" w:val="left" w:leader="none"/>
          <w:tab w:pos="8604" w:val="left" w:leader="none"/>
        </w:tabs>
        <w:spacing w:line="240" w:lineRule="auto" w:before="252" w:after="0"/>
        <w:ind w:left="2122" w:right="0" w:hanging="1440"/>
        <w:jc w:val="left"/>
        <w:rPr>
          <w:sz w:val="24"/>
        </w:rPr>
      </w:pPr>
      <w:hyperlink w:history="true" w:anchor="_TOC_250004">
        <w:r>
          <w:rPr>
            <w:sz w:val="24"/>
          </w:rPr>
          <w:t>Kitazawa</w:t>
        </w:r>
        <w:r>
          <w:rPr>
            <w:spacing w:val="-3"/>
            <w:sz w:val="24"/>
          </w:rPr>
          <w:t> </w:t>
        </w:r>
        <w:r>
          <w:rPr>
            <w:spacing w:val="-2"/>
            <w:sz w:val="24"/>
          </w:rPr>
          <w:t>plots</w:t>
        </w:r>
        <w:r>
          <w:rPr>
            <w:sz w:val="24"/>
          </w:rPr>
          <w:tab/>
        </w:r>
        <w:r>
          <w:rPr>
            <w:spacing w:val="-5"/>
            <w:sz w:val="24"/>
          </w:rPr>
          <w:t>145</w:t>
        </w:r>
      </w:hyperlink>
    </w:p>
    <w:p>
      <w:pPr>
        <w:pStyle w:val="BodyText"/>
        <w:spacing w:before="692"/>
        <w:ind w:left="742"/>
      </w:pPr>
      <w:hyperlink w:history="true" w:anchor="_TOC_250003">
        <w:r>
          <w:rPr/>
          <w:t>CHAPTER</w:t>
        </w:r>
        <w:r>
          <w:rPr>
            <w:spacing w:val="-4"/>
          </w:rPr>
          <w:t> </w:t>
        </w:r>
        <w:r>
          <w:rPr/>
          <w:t>FIVE-IN</w:t>
        </w:r>
        <w:r>
          <w:rPr>
            <w:spacing w:val="-2"/>
          </w:rPr>
          <w:t> </w:t>
        </w:r>
        <w:r>
          <w:rPr/>
          <w:t>VIVO</w:t>
        </w:r>
        <w:r>
          <w:rPr>
            <w:spacing w:val="-3"/>
          </w:rPr>
          <w:t> </w:t>
        </w:r>
        <w:r>
          <w:rPr>
            <w:spacing w:val="-2"/>
          </w:rPr>
          <w:t>STUDIES</w:t>
        </w:r>
      </w:hyperlink>
    </w:p>
    <w:p>
      <w:pPr>
        <w:pStyle w:val="ListParagraph"/>
        <w:numPr>
          <w:ilvl w:val="1"/>
          <w:numId w:val="9"/>
        </w:numPr>
        <w:tabs>
          <w:tab w:pos="2122" w:val="left" w:leader="none"/>
          <w:tab w:pos="8784" w:val="left" w:leader="none"/>
        </w:tabs>
        <w:spacing w:line="360" w:lineRule="auto" w:before="552" w:after="0"/>
        <w:ind w:left="2122" w:right="1253" w:hanging="1440"/>
        <w:jc w:val="left"/>
        <w:rPr>
          <w:sz w:val="24"/>
        </w:rPr>
      </w:pPr>
      <w:r>
        <w:rPr>
          <w:sz w:val="24"/>
        </w:rPr>
        <w:t>Anti- diabetic investigation of </w:t>
      </w:r>
      <w:r>
        <w:rPr>
          <w:i/>
          <w:sz w:val="24"/>
        </w:rPr>
        <w:t>Mucuna pruriens </w:t>
      </w:r>
      <w:r>
        <w:rPr>
          <w:sz w:val="24"/>
        </w:rPr>
        <w:t>tablets and glucose </w:t>
      </w:r>
      <w:r>
        <w:rPr>
          <w:spacing w:val="-2"/>
          <w:sz w:val="24"/>
        </w:rPr>
        <w:t>kinetics</w:t>
      </w:r>
      <w:r>
        <w:rPr>
          <w:sz w:val="24"/>
        </w:rPr>
        <w:tab/>
      </w:r>
      <w:r>
        <w:rPr>
          <w:spacing w:val="-5"/>
          <w:sz w:val="24"/>
        </w:rPr>
        <w:t>148</w:t>
      </w:r>
    </w:p>
    <w:p>
      <w:pPr>
        <w:pStyle w:val="BodyText"/>
        <w:tabs>
          <w:tab w:pos="8784" w:val="left" w:leader="none"/>
        </w:tabs>
        <w:spacing w:before="413"/>
        <w:ind w:left="682"/>
      </w:pPr>
      <w:hyperlink w:history="true" w:anchor="_TOC_250002">
        <w:r>
          <w:rPr/>
          <w:t>CHAPTER</w:t>
        </w:r>
        <w:r>
          <w:rPr>
            <w:spacing w:val="-2"/>
          </w:rPr>
          <w:t> </w:t>
        </w:r>
        <w:r>
          <w:rPr/>
          <w:t>SIX</w:t>
        </w:r>
        <w:r>
          <w:rPr>
            <w:spacing w:val="-1"/>
          </w:rPr>
          <w:t> </w:t>
        </w:r>
        <w:r>
          <w:rPr/>
          <w:t>–</w:t>
        </w:r>
        <w:r>
          <w:rPr>
            <w:spacing w:val="-1"/>
          </w:rPr>
          <w:t> </w:t>
        </w:r>
        <w:r>
          <w:rPr/>
          <w:t>GENERAL</w:t>
        </w:r>
        <w:r>
          <w:rPr>
            <w:spacing w:val="-6"/>
          </w:rPr>
          <w:t> </w:t>
        </w:r>
        <w:r>
          <w:rPr>
            <w:spacing w:val="-2"/>
          </w:rPr>
          <w:t>DISCUSSION</w:t>
        </w:r>
        <w:r>
          <w:rPr/>
          <w:tab/>
        </w:r>
        <w:r>
          <w:rPr>
            <w:spacing w:val="-5"/>
          </w:rPr>
          <w:t>153</w:t>
        </w:r>
      </w:hyperlink>
    </w:p>
    <w:p>
      <w:pPr>
        <w:pStyle w:val="BodyText"/>
        <w:tabs>
          <w:tab w:pos="8784" w:val="left" w:leader="none"/>
        </w:tabs>
        <w:spacing w:before="552"/>
        <w:ind w:left="682"/>
      </w:pPr>
      <w:hyperlink w:history="true" w:anchor="_TOC_250001">
        <w:r>
          <w:rPr/>
          <w:t>CHAPTER</w:t>
        </w:r>
        <w:r>
          <w:rPr>
            <w:spacing w:val="-1"/>
          </w:rPr>
          <w:t> </w:t>
        </w:r>
        <w:r>
          <w:rPr/>
          <w:t>SEVEN</w:t>
        </w:r>
        <w:r>
          <w:rPr>
            <w:spacing w:val="-1"/>
          </w:rPr>
          <w:t> </w:t>
        </w:r>
        <w:r>
          <w:rPr/>
          <w:t>–</w:t>
        </w:r>
        <w:r>
          <w:rPr>
            <w:spacing w:val="-1"/>
          </w:rPr>
          <w:t> </w:t>
        </w:r>
        <w:r>
          <w:rPr>
            <w:spacing w:val="-2"/>
          </w:rPr>
          <w:t>CONCLUSION</w:t>
        </w:r>
        <w:r>
          <w:rPr/>
          <w:tab/>
        </w:r>
        <w:r>
          <w:rPr>
            <w:spacing w:val="-5"/>
          </w:rPr>
          <w:t>163</w:t>
        </w:r>
      </w:hyperlink>
    </w:p>
    <w:p>
      <w:pPr>
        <w:pStyle w:val="BodyText"/>
        <w:tabs>
          <w:tab w:pos="8844" w:val="left" w:leader="none"/>
        </w:tabs>
        <w:spacing w:before="552"/>
        <w:ind w:left="682"/>
      </w:pPr>
      <w:hyperlink w:history="true" w:anchor="_TOC_250000">
        <w:r>
          <w:rPr>
            <w:spacing w:val="-2"/>
          </w:rPr>
          <w:t>REFERENCES</w:t>
        </w:r>
        <w:r>
          <w:rPr/>
          <w:tab/>
        </w:r>
        <w:r>
          <w:rPr>
            <w:spacing w:val="-5"/>
          </w:rPr>
          <w:t>165</w:t>
        </w:r>
      </w:hyperlink>
    </w:p>
    <w:p>
      <w:pPr>
        <w:pStyle w:val="BodyText"/>
        <w:tabs>
          <w:tab w:pos="8904" w:val="left" w:leader="none"/>
        </w:tabs>
        <w:spacing w:before="552"/>
        <w:ind w:left="682"/>
      </w:pPr>
      <w:r>
        <w:rPr>
          <w:spacing w:val="-2"/>
        </w:rPr>
        <w:t>APPENDICES</w:t>
      </w:r>
      <w:r>
        <w:rPr/>
        <w:tab/>
      </w:r>
      <w:r>
        <w:rPr>
          <w:spacing w:val="-5"/>
        </w:rPr>
        <w:t>189</w:t>
      </w:r>
    </w:p>
    <w:p>
      <w:pPr>
        <w:spacing w:after="0"/>
        <w:sectPr>
          <w:pgSz w:w="12240" w:h="15840"/>
          <w:pgMar w:header="0" w:footer="1068" w:top="1360" w:bottom="1260" w:left="1420" w:right="420"/>
        </w:sectPr>
      </w:pPr>
    </w:p>
    <w:p>
      <w:pPr>
        <w:pStyle w:val="BodyText"/>
        <w:spacing w:before="169"/>
      </w:pPr>
      <w:r>
        <w:rPr/>
        <mc:AlternateContent>
          <mc:Choice Requires="wps">
            <w:drawing>
              <wp:anchor distT="0" distB="0" distL="0" distR="0" allowOverlap="1" layoutInCell="1" locked="0" behindDoc="1" simplePos="0" relativeHeight="482910208">
                <wp:simplePos x="0" y="0"/>
                <wp:positionH relativeFrom="page">
                  <wp:posOffset>-1402226</wp:posOffset>
                </wp:positionH>
                <wp:positionV relativeFrom="page">
                  <wp:posOffset>4612234</wp:posOffset>
                </wp:positionV>
                <wp:extent cx="10685780" cy="914400"/>
                <wp:effectExtent l="0" t="0" r="0" b="0"/>
                <wp:wrapNone/>
                <wp:docPr id="17" name="Textbox 17"/>
                <wp:cNvGraphicFramePr>
                  <a:graphicFrameLocks/>
                </wp:cNvGraphicFramePr>
                <a:graphic>
                  <a:graphicData uri="http://schemas.microsoft.com/office/word/2010/wordprocessingShape">
                    <wps:wsp>
                      <wps:cNvPr id="17" name="Textbox 1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627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Heading2"/>
        <w:ind w:left="561" w:right="1885"/>
        <w:jc w:val="center"/>
      </w:pPr>
      <w:bookmarkStart w:name="_TOC_250128" w:id="5"/>
      <w:r>
        <w:rPr/>
        <w:t>LIST OF</w:t>
      </w:r>
      <w:r>
        <w:rPr>
          <w:spacing w:val="-3"/>
        </w:rPr>
        <w:t> </w:t>
      </w:r>
      <w:bookmarkEnd w:id="5"/>
      <w:r>
        <w:rPr>
          <w:spacing w:val="-2"/>
        </w:rPr>
        <w:t>TABLES</w:t>
      </w:r>
    </w:p>
    <w:p>
      <w:pPr>
        <w:pStyle w:val="ListParagraph"/>
        <w:numPr>
          <w:ilvl w:val="1"/>
          <w:numId w:val="10"/>
        </w:numPr>
        <w:tabs>
          <w:tab w:pos="1342" w:val="left" w:leader="none"/>
          <w:tab w:pos="8604" w:val="left" w:leader="none"/>
        </w:tabs>
        <w:spacing w:line="240" w:lineRule="auto" w:before="686" w:after="0"/>
        <w:ind w:left="1342" w:right="0" w:hanging="660"/>
        <w:jc w:val="left"/>
        <w:rPr>
          <w:sz w:val="24"/>
        </w:rPr>
      </w:pPr>
      <w:r>
        <w:rPr>
          <w:sz w:val="24"/>
        </w:rPr>
        <w:t>Some</w:t>
      </w:r>
      <w:r>
        <w:rPr>
          <w:spacing w:val="-1"/>
          <w:sz w:val="24"/>
        </w:rPr>
        <w:t> </w:t>
      </w:r>
      <w:r>
        <w:rPr>
          <w:sz w:val="24"/>
        </w:rPr>
        <w:t>common</w:t>
      </w:r>
      <w:r>
        <w:rPr>
          <w:spacing w:val="-1"/>
          <w:sz w:val="24"/>
        </w:rPr>
        <w:t> </w:t>
      </w:r>
      <w:r>
        <w:rPr>
          <w:sz w:val="24"/>
        </w:rPr>
        <w:t>tablet</w:t>
      </w:r>
      <w:r>
        <w:rPr>
          <w:spacing w:val="-1"/>
          <w:sz w:val="24"/>
        </w:rPr>
        <w:t> </w:t>
      </w:r>
      <w:r>
        <w:rPr>
          <w:sz w:val="24"/>
        </w:rPr>
        <w:t>excipients</w:t>
      </w:r>
      <w:r>
        <w:rPr>
          <w:spacing w:val="-1"/>
          <w:sz w:val="24"/>
        </w:rPr>
        <w:t> </w:t>
      </w:r>
      <w:r>
        <w:rPr>
          <w:sz w:val="24"/>
        </w:rPr>
        <w:t>by</w:t>
      </w:r>
      <w:r>
        <w:rPr>
          <w:spacing w:val="-7"/>
          <w:sz w:val="24"/>
        </w:rPr>
        <w:t> </w:t>
      </w:r>
      <w:r>
        <w:rPr>
          <w:sz w:val="24"/>
        </w:rPr>
        <w:t>Banker and</w:t>
      </w:r>
      <w:r>
        <w:rPr>
          <w:spacing w:val="1"/>
          <w:sz w:val="24"/>
        </w:rPr>
        <w:t> </w:t>
      </w:r>
      <w:r>
        <w:rPr>
          <w:sz w:val="24"/>
        </w:rPr>
        <w:t>Anderson, </w:t>
      </w:r>
      <w:r>
        <w:rPr>
          <w:spacing w:val="-4"/>
          <w:sz w:val="24"/>
        </w:rPr>
        <w:t>1986</w:t>
      </w:r>
      <w:r>
        <w:rPr>
          <w:sz w:val="24"/>
        </w:rPr>
        <w:tab/>
      </w:r>
      <w:r>
        <w:rPr>
          <w:spacing w:val="-5"/>
          <w:sz w:val="24"/>
        </w:rPr>
        <w:t>43</w:t>
      </w:r>
    </w:p>
    <w:p>
      <w:pPr>
        <w:pStyle w:val="ListParagraph"/>
        <w:numPr>
          <w:ilvl w:val="1"/>
          <w:numId w:val="11"/>
        </w:numPr>
        <w:tabs>
          <w:tab w:pos="1342" w:val="left" w:leader="none"/>
          <w:tab w:pos="8604" w:val="left" w:leader="none"/>
        </w:tabs>
        <w:spacing w:line="240" w:lineRule="auto" w:before="140" w:after="0"/>
        <w:ind w:left="1342" w:right="0" w:hanging="660"/>
        <w:jc w:val="left"/>
        <w:rPr>
          <w:sz w:val="24"/>
        </w:rPr>
      </w:pPr>
      <w:r>
        <w:rPr>
          <w:sz w:val="24"/>
        </w:rPr>
        <w:t>Proximate</w:t>
      </w:r>
      <w:r>
        <w:rPr>
          <w:spacing w:val="-4"/>
          <w:sz w:val="24"/>
        </w:rPr>
        <w:t> </w:t>
      </w:r>
      <w:r>
        <w:rPr>
          <w:sz w:val="24"/>
        </w:rPr>
        <w:t>analysis</w:t>
      </w:r>
      <w:r>
        <w:rPr>
          <w:spacing w:val="-1"/>
          <w:sz w:val="24"/>
        </w:rPr>
        <w:t> </w:t>
      </w:r>
      <w:r>
        <w:rPr>
          <w:sz w:val="24"/>
        </w:rPr>
        <w:t>of</w:t>
      </w:r>
      <w:r>
        <w:rPr>
          <w:spacing w:val="-2"/>
          <w:sz w:val="24"/>
        </w:rPr>
        <w:t> </w:t>
      </w:r>
      <w:r>
        <w:rPr>
          <w:sz w:val="24"/>
        </w:rPr>
        <w:t>the</w:t>
      </w:r>
      <w:r>
        <w:rPr>
          <w:spacing w:val="-3"/>
          <w:sz w:val="24"/>
        </w:rPr>
        <w:t> </w:t>
      </w:r>
      <w:r>
        <w:rPr>
          <w:sz w:val="24"/>
        </w:rPr>
        <w:t>seed</w:t>
      </w:r>
      <w:r>
        <w:rPr>
          <w:spacing w:val="-2"/>
          <w:sz w:val="24"/>
        </w:rPr>
        <w:t> </w:t>
      </w:r>
      <w:r>
        <w:rPr>
          <w:sz w:val="24"/>
        </w:rPr>
        <w:t>of</w:t>
      </w:r>
      <w:r>
        <w:rPr>
          <w:spacing w:val="2"/>
          <w:sz w:val="24"/>
        </w:rPr>
        <w:t> </w:t>
      </w:r>
      <w:r>
        <w:rPr>
          <w:i/>
          <w:sz w:val="24"/>
        </w:rPr>
        <w:t>Mucuna</w:t>
      </w:r>
      <w:r>
        <w:rPr>
          <w:i/>
          <w:spacing w:val="1"/>
          <w:sz w:val="24"/>
        </w:rPr>
        <w:t> </w:t>
      </w:r>
      <w:r>
        <w:rPr>
          <w:i/>
          <w:spacing w:val="-2"/>
          <w:sz w:val="24"/>
        </w:rPr>
        <w:t>pruriens</w:t>
      </w:r>
      <w:r>
        <w:rPr>
          <w:i/>
          <w:sz w:val="24"/>
        </w:rPr>
        <w:tab/>
      </w:r>
      <w:r>
        <w:rPr>
          <w:spacing w:val="-5"/>
          <w:sz w:val="24"/>
        </w:rPr>
        <w:t>81</w:t>
      </w:r>
    </w:p>
    <w:p>
      <w:pPr>
        <w:pStyle w:val="ListParagraph"/>
        <w:numPr>
          <w:ilvl w:val="1"/>
          <w:numId w:val="11"/>
        </w:numPr>
        <w:tabs>
          <w:tab w:pos="1342" w:val="left" w:leader="none"/>
          <w:tab w:pos="8604" w:val="left" w:leader="none"/>
        </w:tabs>
        <w:spacing w:line="240" w:lineRule="auto" w:before="136" w:after="0"/>
        <w:ind w:left="1342" w:right="0" w:hanging="660"/>
        <w:jc w:val="left"/>
        <w:rPr>
          <w:sz w:val="24"/>
        </w:rPr>
      </w:pPr>
      <w:r>
        <w:rPr>
          <w:sz w:val="24"/>
        </w:rPr>
        <w:t>Phyto-chemical</w:t>
      </w:r>
      <w:r>
        <w:rPr>
          <w:spacing w:val="-2"/>
          <w:sz w:val="24"/>
        </w:rPr>
        <w:t> </w:t>
      </w:r>
      <w:r>
        <w:rPr>
          <w:sz w:val="24"/>
        </w:rPr>
        <w:t>screening</w:t>
      </w:r>
      <w:r>
        <w:rPr>
          <w:spacing w:val="-4"/>
          <w:sz w:val="24"/>
        </w:rPr>
        <w:t> </w:t>
      </w:r>
      <w:r>
        <w:rPr>
          <w:sz w:val="24"/>
        </w:rPr>
        <w:t>of</w:t>
      </w:r>
      <w:r>
        <w:rPr>
          <w:spacing w:val="-2"/>
          <w:sz w:val="24"/>
        </w:rPr>
        <w:t> </w:t>
      </w:r>
      <w:r>
        <w:rPr>
          <w:i/>
          <w:sz w:val="24"/>
        </w:rPr>
        <w:t>Mucuna</w:t>
      </w:r>
      <w:r>
        <w:rPr>
          <w:i/>
          <w:spacing w:val="-1"/>
          <w:sz w:val="24"/>
        </w:rPr>
        <w:t> </w:t>
      </w:r>
      <w:r>
        <w:rPr>
          <w:i/>
          <w:sz w:val="24"/>
        </w:rPr>
        <w:t>pruriens</w:t>
      </w:r>
      <w:r>
        <w:rPr>
          <w:i/>
          <w:spacing w:val="-1"/>
          <w:sz w:val="24"/>
        </w:rPr>
        <w:t> </w:t>
      </w:r>
      <w:r>
        <w:rPr>
          <w:sz w:val="24"/>
        </w:rPr>
        <w:t>ethanol </w:t>
      </w:r>
      <w:r>
        <w:rPr>
          <w:spacing w:val="-2"/>
          <w:sz w:val="24"/>
        </w:rPr>
        <w:t>extract</w:t>
      </w:r>
      <w:r>
        <w:rPr>
          <w:sz w:val="24"/>
        </w:rPr>
        <w:tab/>
      </w:r>
      <w:r>
        <w:rPr>
          <w:spacing w:val="-5"/>
          <w:sz w:val="24"/>
        </w:rPr>
        <w:t>83</w:t>
      </w:r>
    </w:p>
    <w:p>
      <w:pPr>
        <w:pStyle w:val="ListParagraph"/>
        <w:numPr>
          <w:ilvl w:val="1"/>
          <w:numId w:val="11"/>
        </w:numPr>
        <w:tabs>
          <w:tab w:pos="1342" w:val="left" w:leader="none"/>
          <w:tab w:pos="1402" w:val="left" w:leader="none"/>
          <w:tab w:pos="8604" w:val="left" w:leader="none"/>
        </w:tabs>
        <w:spacing w:line="360" w:lineRule="auto" w:before="140" w:after="0"/>
        <w:ind w:left="1402" w:right="1553" w:hanging="720"/>
        <w:jc w:val="left"/>
        <w:rPr>
          <w:sz w:val="24"/>
        </w:rPr>
      </w:pPr>
      <w:r>
        <w:rPr>
          <w:sz w:val="24"/>
        </w:rPr>
        <w:t>Biological screening-effect of crude fractions of n-hexane, chloroform, ethylacetate, methanol and ethanol on alloxan-induced diabetic rats</w:t>
        <w:tab/>
      </w:r>
      <w:r>
        <w:rPr>
          <w:spacing w:val="-6"/>
          <w:sz w:val="24"/>
        </w:rPr>
        <w:t>85</w:t>
      </w:r>
    </w:p>
    <w:p>
      <w:pPr>
        <w:pStyle w:val="ListParagraph"/>
        <w:numPr>
          <w:ilvl w:val="1"/>
          <w:numId w:val="11"/>
        </w:numPr>
        <w:tabs>
          <w:tab w:pos="1342" w:val="left" w:leader="none"/>
        </w:tabs>
        <w:spacing w:line="240" w:lineRule="auto" w:before="0" w:after="0"/>
        <w:ind w:left="1342" w:right="0" w:hanging="660"/>
        <w:jc w:val="left"/>
        <w:rPr>
          <w:sz w:val="24"/>
        </w:rPr>
      </w:pPr>
      <w:r>
        <w:rPr>
          <w:sz w:val="24"/>
        </w:rPr>
        <w:t>Acute</w:t>
      </w:r>
      <w:r>
        <w:rPr>
          <w:spacing w:val="-2"/>
          <w:sz w:val="24"/>
        </w:rPr>
        <w:t> </w:t>
      </w:r>
      <w:r>
        <w:rPr>
          <w:sz w:val="24"/>
        </w:rPr>
        <w:t>anti-diabetic</w:t>
      </w:r>
      <w:r>
        <w:rPr>
          <w:spacing w:val="-2"/>
          <w:sz w:val="24"/>
        </w:rPr>
        <w:t> </w:t>
      </w:r>
      <w:r>
        <w:rPr>
          <w:sz w:val="24"/>
        </w:rPr>
        <w:t>effect</w:t>
      </w:r>
      <w:r>
        <w:rPr>
          <w:spacing w:val="-1"/>
          <w:sz w:val="24"/>
        </w:rPr>
        <w:t> </w:t>
      </w:r>
      <w:r>
        <w:rPr>
          <w:sz w:val="24"/>
        </w:rPr>
        <w:t>on</w:t>
      </w:r>
      <w:r>
        <w:rPr>
          <w:spacing w:val="-2"/>
          <w:sz w:val="24"/>
        </w:rPr>
        <w:t> </w:t>
      </w:r>
      <w:r>
        <w:rPr>
          <w:sz w:val="24"/>
        </w:rPr>
        <w:t>alloxan-induced</w:t>
      </w:r>
      <w:r>
        <w:rPr>
          <w:spacing w:val="-1"/>
          <w:sz w:val="24"/>
        </w:rPr>
        <w:t> </w:t>
      </w:r>
      <w:r>
        <w:rPr>
          <w:sz w:val="24"/>
        </w:rPr>
        <w:t>diabetic</w:t>
      </w:r>
      <w:r>
        <w:rPr>
          <w:spacing w:val="-2"/>
          <w:sz w:val="24"/>
        </w:rPr>
        <w:t> </w:t>
      </w:r>
      <w:r>
        <w:rPr>
          <w:spacing w:val="-4"/>
          <w:sz w:val="24"/>
        </w:rPr>
        <w:t>rats</w:t>
      </w:r>
    </w:p>
    <w:p>
      <w:pPr>
        <w:pStyle w:val="BodyText"/>
        <w:tabs>
          <w:tab w:pos="8604" w:val="left" w:leader="none"/>
        </w:tabs>
        <w:spacing w:before="137"/>
        <w:ind w:left="1342"/>
      </w:pPr>
      <w:r>
        <w:rPr/>
        <w:t>(mean</w:t>
      </w:r>
      <w:r>
        <w:rPr>
          <w:spacing w:val="-3"/>
        </w:rPr>
        <w:t> </w:t>
      </w:r>
      <w:r>
        <w:rPr/>
        <w:t>±</w:t>
      </w:r>
      <w:r>
        <w:rPr>
          <w:spacing w:val="-1"/>
        </w:rPr>
        <w:t> </w:t>
      </w:r>
      <w:r>
        <w:rPr/>
        <w:t>SD,</w:t>
      </w:r>
      <w:r>
        <w:rPr>
          <w:spacing w:val="-1"/>
        </w:rPr>
        <w:t> </w:t>
      </w:r>
      <w:r>
        <w:rPr>
          <w:spacing w:val="-4"/>
        </w:rPr>
        <w:t>n=6)</w:t>
      </w:r>
      <w:r>
        <w:rPr/>
        <w:tab/>
      </w:r>
      <w:r>
        <w:rPr>
          <w:spacing w:val="-5"/>
        </w:rPr>
        <w:t>86</w:t>
      </w:r>
    </w:p>
    <w:p>
      <w:pPr>
        <w:pStyle w:val="ListParagraph"/>
        <w:numPr>
          <w:ilvl w:val="1"/>
          <w:numId w:val="11"/>
        </w:numPr>
        <w:tabs>
          <w:tab w:pos="1342" w:val="left" w:leader="none"/>
          <w:tab w:pos="8604" w:val="left" w:leader="none"/>
        </w:tabs>
        <w:spacing w:line="240" w:lineRule="auto" w:before="139" w:after="0"/>
        <w:ind w:left="1342" w:right="0" w:hanging="660"/>
        <w:jc w:val="left"/>
        <w:rPr>
          <w:sz w:val="24"/>
        </w:rPr>
      </w:pPr>
      <w:r>
        <w:rPr>
          <w:sz w:val="24"/>
        </w:rPr>
        <w:t>Chronic</w:t>
      </w:r>
      <w:r>
        <w:rPr>
          <w:spacing w:val="-2"/>
          <w:sz w:val="24"/>
        </w:rPr>
        <w:t> </w:t>
      </w:r>
      <w:r>
        <w:rPr>
          <w:sz w:val="24"/>
        </w:rPr>
        <w:t>anti-diabetic</w:t>
      </w:r>
      <w:r>
        <w:rPr>
          <w:spacing w:val="-2"/>
          <w:sz w:val="24"/>
        </w:rPr>
        <w:t> </w:t>
      </w:r>
      <w:r>
        <w:rPr>
          <w:sz w:val="24"/>
        </w:rPr>
        <w:t>effect</w:t>
      </w:r>
      <w:r>
        <w:rPr>
          <w:spacing w:val="-1"/>
          <w:sz w:val="24"/>
        </w:rPr>
        <w:t> </w:t>
      </w:r>
      <w:r>
        <w:rPr>
          <w:sz w:val="24"/>
        </w:rPr>
        <w:t>on</w:t>
      </w:r>
      <w:r>
        <w:rPr>
          <w:spacing w:val="-2"/>
          <w:sz w:val="24"/>
        </w:rPr>
        <w:t> </w:t>
      </w:r>
      <w:r>
        <w:rPr>
          <w:sz w:val="24"/>
        </w:rPr>
        <w:t>alloxan-induced</w:t>
      </w:r>
      <w:r>
        <w:rPr>
          <w:spacing w:val="-1"/>
          <w:sz w:val="24"/>
        </w:rPr>
        <w:t> </w:t>
      </w:r>
      <w:r>
        <w:rPr>
          <w:sz w:val="24"/>
        </w:rPr>
        <w:t>diabetic </w:t>
      </w:r>
      <w:r>
        <w:rPr>
          <w:spacing w:val="-4"/>
          <w:sz w:val="24"/>
        </w:rPr>
        <w:t>rats</w:t>
      </w:r>
      <w:r>
        <w:rPr>
          <w:sz w:val="24"/>
        </w:rPr>
        <w:tab/>
      </w:r>
      <w:r>
        <w:rPr>
          <w:spacing w:val="-5"/>
          <w:sz w:val="24"/>
        </w:rPr>
        <w:t>89</w:t>
      </w:r>
    </w:p>
    <w:p>
      <w:pPr>
        <w:pStyle w:val="ListParagraph"/>
        <w:numPr>
          <w:ilvl w:val="1"/>
          <w:numId w:val="11"/>
        </w:numPr>
        <w:tabs>
          <w:tab w:pos="1342" w:val="left" w:leader="none"/>
        </w:tabs>
        <w:spacing w:line="360" w:lineRule="auto" w:before="137" w:after="0"/>
        <w:ind w:left="1342" w:right="2356" w:hanging="660"/>
        <w:jc w:val="left"/>
        <w:rPr>
          <w:i/>
          <w:sz w:val="24"/>
        </w:rPr>
      </w:pPr>
      <w:r>
        <w:rPr>
          <w:sz w:val="24"/>
        </w:rPr>
        <w:t>Changes in the body weight in normal control, non-diabetic and diabetic</w:t>
      </w:r>
      <w:r>
        <w:rPr>
          <w:spacing w:val="-5"/>
          <w:sz w:val="24"/>
        </w:rPr>
        <w:t> </w:t>
      </w:r>
      <w:r>
        <w:rPr>
          <w:sz w:val="24"/>
        </w:rPr>
        <w:t>rats</w:t>
      </w:r>
      <w:r>
        <w:rPr>
          <w:spacing w:val="-4"/>
          <w:sz w:val="24"/>
        </w:rPr>
        <w:t> </w:t>
      </w:r>
      <w:r>
        <w:rPr>
          <w:sz w:val="24"/>
        </w:rPr>
        <w:t>after</w:t>
      </w:r>
      <w:r>
        <w:rPr>
          <w:spacing w:val="40"/>
          <w:sz w:val="24"/>
        </w:rPr>
        <w:t> </w:t>
      </w:r>
      <w:r>
        <w:rPr>
          <w:sz w:val="24"/>
        </w:rPr>
        <w:t>treatment</w:t>
      </w:r>
      <w:r>
        <w:rPr>
          <w:spacing w:val="-4"/>
          <w:sz w:val="24"/>
        </w:rPr>
        <w:t> </w:t>
      </w:r>
      <w:r>
        <w:rPr>
          <w:sz w:val="24"/>
        </w:rPr>
        <w:t>with</w:t>
      </w:r>
      <w:r>
        <w:rPr>
          <w:spacing w:val="-4"/>
          <w:sz w:val="24"/>
        </w:rPr>
        <w:t> </w:t>
      </w:r>
      <w:r>
        <w:rPr>
          <w:sz w:val="24"/>
        </w:rPr>
        <w:t>different</w:t>
      </w:r>
      <w:r>
        <w:rPr>
          <w:spacing w:val="-2"/>
          <w:sz w:val="24"/>
        </w:rPr>
        <w:t> </w:t>
      </w:r>
      <w:r>
        <w:rPr>
          <w:sz w:val="24"/>
        </w:rPr>
        <w:t>doses</w:t>
      </w:r>
      <w:r>
        <w:rPr>
          <w:spacing w:val="-4"/>
          <w:sz w:val="24"/>
        </w:rPr>
        <w:t> </w:t>
      </w:r>
      <w:r>
        <w:rPr>
          <w:sz w:val="24"/>
        </w:rPr>
        <w:t>of</w:t>
      </w:r>
      <w:r>
        <w:rPr>
          <w:spacing w:val="-4"/>
          <w:sz w:val="24"/>
        </w:rPr>
        <w:t> </w:t>
      </w:r>
      <w:r>
        <w:rPr>
          <w:i/>
          <w:sz w:val="24"/>
        </w:rPr>
        <w:t>Mucuna</w:t>
      </w:r>
      <w:r>
        <w:rPr>
          <w:i/>
          <w:spacing w:val="40"/>
          <w:sz w:val="24"/>
        </w:rPr>
        <w:t> </w:t>
      </w:r>
      <w:r>
        <w:rPr>
          <w:i/>
          <w:sz w:val="24"/>
        </w:rPr>
        <w:t>pruriens</w:t>
      </w:r>
    </w:p>
    <w:p>
      <w:pPr>
        <w:pStyle w:val="BodyText"/>
        <w:tabs>
          <w:tab w:pos="8604" w:val="left" w:leader="none"/>
        </w:tabs>
        <w:ind w:left="1342"/>
      </w:pPr>
      <w:r>
        <w:rPr/>
        <w:t>ethanol</w:t>
      </w:r>
      <w:r>
        <w:rPr>
          <w:spacing w:val="-1"/>
        </w:rPr>
        <w:t> </w:t>
      </w:r>
      <w:r>
        <w:rPr>
          <w:spacing w:val="-2"/>
        </w:rPr>
        <w:t>extract</w:t>
      </w:r>
      <w:r>
        <w:rPr/>
        <w:tab/>
      </w:r>
      <w:r>
        <w:rPr>
          <w:spacing w:val="-5"/>
        </w:rPr>
        <w:t>93</w:t>
      </w:r>
    </w:p>
    <w:p>
      <w:pPr>
        <w:pStyle w:val="ListParagraph"/>
        <w:numPr>
          <w:ilvl w:val="1"/>
          <w:numId w:val="11"/>
        </w:numPr>
        <w:tabs>
          <w:tab w:pos="1342" w:val="left" w:leader="none"/>
        </w:tabs>
        <w:spacing w:line="240" w:lineRule="auto" w:before="139" w:after="0"/>
        <w:ind w:left="1342" w:right="0" w:hanging="660"/>
        <w:jc w:val="left"/>
        <w:rPr>
          <w:sz w:val="24"/>
        </w:rPr>
      </w:pPr>
      <w:r>
        <w:rPr>
          <w:sz w:val="24"/>
        </w:rPr>
        <w:t>Effect</w:t>
      </w:r>
      <w:r>
        <w:rPr>
          <w:spacing w:val="-1"/>
          <w:sz w:val="24"/>
        </w:rPr>
        <w:t> </w:t>
      </w:r>
      <w:r>
        <w:rPr>
          <w:sz w:val="24"/>
        </w:rPr>
        <w:t>of</w:t>
      </w:r>
      <w:r>
        <w:rPr>
          <w:spacing w:val="-1"/>
          <w:sz w:val="24"/>
        </w:rPr>
        <w:t> </w:t>
      </w:r>
      <w:r>
        <w:rPr>
          <w:sz w:val="24"/>
        </w:rPr>
        <w:t>ethanolic seed</w:t>
      </w:r>
      <w:r>
        <w:rPr>
          <w:spacing w:val="-1"/>
          <w:sz w:val="24"/>
        </w:rPr>
        <w:t> </w:t>
      </w:r>
      <w:r>
        <w:rPr>
          <w:sz w:val="24"/>
        </w:rPr>
        <w:t>extract</w:t>
      </w:r>
      <w:r>
        <w:rPr>
          <w:spacing w:val="-1"/>
          <w:sz w:val="24"/>
        </w:rPr>
        <w:t> </w:t>
      </w:r>
      <w:r>
        <w:rPr>
          <w:sz w:val="24"/>
        </w:rPr>
        <w:t>of</w:t>
      </w:r>
      <w:r>
        <w:rPr>
          <w:spacing w:val="-1"/>
          <w:sz w:val="24"/>
        </w:rPr>
        <w:t> </w:t>
      </w:r>
      <w:r>
        <w:rPr>
          <w:i/>
          <w:sz w:val="24"/>
        </w:rPr>
        <w:t>Mucuna</w:t>
      </w:r>
      <w:r>
        <w:rPr>
          <w:i/>
          <w:spacing w:val="1"/>
          <w:sz w:val="24"/>
        </w:rPr>
        <w:t> </w:t>
      </w:r>
      <w:r>
        <w:rPr>
          <w:i/>
          <w:sz w:val="24"/>
        </w:rPr>
        <w:t>pruriens </w:t>
      </w:r>
      <w:r>
        <w:rPr>
          <w:sz w:val="24"/>
        </w:rPr>
        <w:t>on</w:t>
      </w:r>
      <w:r>
        <w:rPr>
          <w:spacing w:val="-1"/>
          <w:sz w:val="24"/>
        </w:rPr>
        <w:t> </w:t>
      </w:r>
      <w:r>
        <w:rPr>
          <w:spacing w:val="-2"/>
          <w:sz w:val="24"/>
        </w:rPr>
        <w:t>plasma</w:t>
      </w:r>
    </w:p>
    <w:p>
      <w:pPr>
        <w:pStyle w:val="BodyText"/>
        <w:tabs>
          <w:tab w:pos="8604" w:val="left" w:leader="none"/>
        </w:tabs>
        <w:spacing w:before="137"/>
        <w:ind w:left="1342"/>
      </w:pPr>
      <w:r>
        <w:rPr/>
        <w:t>lipid</w:t>
      </w:r>
      <w:r>
        <w:rPr>
          <w:spacing w:val="-1"/>
        </w:rPr>
        <w:t> </w:t>
      </w:r>
      <w:r>
        <w:rPr/>
        <w:t>profiles</w:t>
      </w:r>
      <w:r>
        <w:rPr>
          <w:spacing w:val="59"/>
        </w:rPr>
        <w:t> </w:t>
      </w:r>
      <w:r>
        <w:rPr/>
        <w:t>and </w:t>
      </w:r>
      <w:r>
        <w:rPr>
          <w:spacing w:val="-2"/>
        </w:rPr>
        <w:t>metabolites</w:t>
      </w:r>
      <w:r>
        <w:rPr/>
        <w:tab/>
      </w:r>
      <w:r>
        <w:rPr>
          <w:spacing w:val="-5"/>
        </w:rPr>
        <w:t>96</w:t>
      </w:r>
    </w:p>
    <w:p>
      <w:pPr>
        <w:pStyle w:val="ListParagraph"/>
        <w:numPr>
          <w:ilvl w:val="1"/>
          <w:numId w:val="11"/>
        </w:numPr>
        <w:tabs>
          <w:tab w:pos="1342" w:val="left" w:leader="none"/>
        </w:tabs>
        <w:spacing w:line="240" w:lineRule="auto" w:before="140" w:after="0"/>
        <w:ind w:left="1342" w:right="0" w:hanging="660"/>
        <w:jc w:val="left"/>
        <w:rPr>
          <w:sz w:val="24"/>
        </w:rPr>
      </w:pPr>
      <w:r>
        <w:rPr>
          <w:sz w:val="24"/>
        </w:rPr>
        <w:t>Effect</w:t>
      </w:r>
      <w:r>
        <w:rPr>
          <w:spacing w:val="-2"/>
          <w:sz w:val="24"/>
        </w:rPr>
        <w:t> </w:t>
      </w:r>
      <w:r>
        <w:rPr>
          <w:sz w:val="24"/>
        </w:rPr>
        <w:t>of</w:t>
      </w:r>
      <w:r>
        <w:rPr>
          <w:spacing w:val="-1"/>
          <w:sz w:val="24"/>
        </w:rPr>
        <w:t> </w:t>
      </w:r>
      <w:r>
        <w:rPr>
          <w:sz w:val="24"/>
        </w:rPr>
        <w:t>ethanolic seed</w:t>
      </w:r>
      <w:r>
        <w:rPr>
          <w:spacing w:val="-1"/>
          <w:sz w:val="24"/>
        </w:rPr>
        <w:t> </w:t>
      </w:r>
      <w:r>
        <w:rPr>
          <w:sz w:val="24"/>
        </w:rPr>
        <w:t>extract</w:t>
      </w:r>
      <w:r>
        <w:rPr>
          <w:spacing w:val="-1"/>
          <w:sz w:val="24"/>
        </w:rPr>
        <w:t> </w:t>
      </w:r>
      <w:r>
        <w:rPr>
          <w:sz w:val="24"/>
        </w:rPr>
        <w:t>of </w:t>
      </w:r>
      <w:r>
        <w:rPr>
          <w:i/>
          <w:sz w:val="24"/>
        </w:rPr>
        <w:t>Mucuna</w:t>
      </w:r>
      <w:r>
        <w:rPr>
          <w:i/>
          <w:spacing w:val="2"/>
          <w:sz w:val="24"/>
        </w:rPr>
        <w:t> </w:t>
      </w:r>
      <w:r>
        <w:rPr>
          <w:i/>
          <w:sz w:val="24"/>
        </w:rPr>
        <w:t>pruriens</w:t>
      </w:r>
      <w:r>
        <w:rPr>
          <w:i/>
          <w:spacing w:val="-1"/>
          <w:sz w:val="24"/>
        </w:rPr>
        <w:t> </w:t>
      </w:r>
      <w:r>
        <w:rPr>
          <w:sz w:val="24"/>
        </w:rPr>
        <w:t>on</w:t>
      </w:r>
      <w:r>
        <w:rPr>
          <w:spacing w:val="-1"/>
          <w:sz w:val="24"/>
        </w:rPr>
        <w:t> </w:t>
      </w:r>
      <w:r>
        <w:rPr>
          <w:spacing w:val="-2"/>
          <w:sz w:val="24"/>
        </w:rPr>
        <w:t>liver</w:t>
      </w:r>
    </w:p>
    <w:p>
      <w:pPr>
        <w:pStyle w:val="BodyText"/>
        <w:tabs>
          <w:tab w:pos="8604" w:val="left" w:leader="none"/>
        </w:tabs>
        <w:spacing w:before="137"/>
        <w:ind w:left="1342"/>
      </w:pPr>
      <w:r>
        <w:rPr/>
        <w:t>function</w:t>
      </w:r>
      <w:r>
        <w:rPr>
          <w:spacing w:val="-1"/>
        </w:rPr>
        <w:t> </w:t>
      </w:r>
      <w:r>
        <w:rPr/>
        <w:t>tests </w:t>
      </w:r>
      <w:r>
        <w:rPr>
          <w:spacing w:val="-2"/>
        </w:rPr>
        <w:t>(LFTs)</w:t>
      </w:r>
      <w:r>
        <w:rPr/>
        <w:tab/>
      </w:r>
      <w:r>
        <w:rPr>
          <w:spacing w:val="-5"/>
        </w:rPr>
        <w:t>97</w:t>
      </w:r>
    </w:p>
    <w:p>
      <w:pPr>
        <w:pStyle w:val="ListParagraph"/>
        <w:numPr>
          <w:ilvl w:val="1"/>
          <w:numId w:val="11"/>
        </w:numPr>
        <w:tabs>
          <w:tab w:pos="1342" w:val="left" w:leader="none"/>
        </w:tabs>
        <w:spacing w:line="240" w:lineRule="auto" w:before="139" w:after="0"/>
        <w:ind w:left="1342" w:right="0" w:hanging="660"/>
        <w:jc w:val="left"/>
        <w:rPr>
          <w:sz w:val="24"/>
        </w:rPr>
      </w:pPr>
      <w:r>
        <w:rPr>
          <w:sz w:val="24"/>
        </w:rPr>
        <w:t>Effect</w:t>
      </w:r>
      <w:r>
        <w:rPr>
          <w:spacing w:val="-3"/>
          <w:sz w:val="24"/>
        </w:rPr>
        <w:t> </w:t>
      </w:r>
      <w:r>
        <w:rPr>
          <w:sz w:val="24"/>
        </w:rPr>
        <w:t>of</w:t>
      </w:r>
      <w:r>
        <w:rPr>
          <w:spacing w:val="-1"/>
          <w:sz w:val="24"/>
        </w:rPr>
        <w:t> </w:t>
      </w:r>
      <w:r>
        <w:rPr>
          <w:sz w:val="24"/>
        </w:rPr>
        <w:t>ethanolic seed</w:t>
      </w:r>
      <w:r>
        <w:rPr>
          <w:spacing w:val="-1"/>
          <w:sz w:val="24"/>
        </w:rPr>
        <w:t> </w:t>
      </w:r>
      <w:r>
        <w:rPr>
          <w:sz w:val="24"/>
        </w:rPr>
        <w:t>extract</w:t>
      </w:r>
      <w:r>
        <w:rPr>
          <w:spacing w:val="-1"/>
          <w:sz w:val="24"/>
        </w:rPr>
        <w:t> </w:t>
      </w:r>
      <w:r>
        <w:rPr>
          <w:sz w:val="24"/>
        </w:rPr>
        <w:t>of</w:t>
      </w:r>
      <w:r>
        <w:rPr>
          <w:spacing w:val="-2"/>
          <w:sz w:val="24"/>
        </w:rPr>
        <w:t> </w:t>
      </w:r>
      <w:r>
        <w:rPr>
          <w:i/>
          <w:sz w:val="24"/>
        </w:rPr>
        <w:t>Mucuna</w:t>
      </w:r>
      <w:r>
        <w:rPr>
          <w:i/>
          <w:spacing w:val="1"/>
          <w:sz w:val="24"/>
        </w:rPr>
        <w:t> </w:t>
      </w:r>
      <w:r>
        <w:rPr>
          <w:i/>
          <w:sz w:val="24"/>
        </w:rPr>
        <w:t>pruriens </w:t>
      </w:r>
      <w:r>
        <w:rPr>
          <w:sz w:val="24"/>
        </w:rPr>
        <w:t>on</w:t>
      </w:r>
      <w:r>
        <w:rPr>
          <w:spacing w:val="-1"/>
          <w:sz w:val="24"/>
        </w:rPr>
        <w:t> </w:t>
      </w:r>
      <w:r>
        <w:rPr>
          <w:spacing w:val="-2"/>
          <w:sz w:val="24"/>
        </w:rPr>
        <w:t>plasma</w:t>
      </w:r>
    </w:p>
    <w:p>
      <w:pPr>
        <w:pStyle w:val="BodyText"/>
        <w:tabs>
          <w:tab w:pos="8604" w:val="left" w:leader="none"/>
        </w:tabs>
        <w:spacing w:before="137"/>
        <w:ind w:left="1342"/>
      </w:pPr>
      <w:r>
        <w:rPr>
          <w:spacing w:val="-2"/>
        </w:rPr>
        <w:t>electrolytes</w:t>
      </w:r>
      <w:r>
        <w:rPr/>
        <w:tab/>
      </w:r>
      <w:r>
        <w:rPr>
          <w:spacing w:val="-5"/>
        </w:rPr>
        <w:t>98</w:t>
      </w:r>
    </w:p>
    <w:p>
      <w:pPr>
        <w:pStyle w:val="ListParagraph"/>
        <w:numPr>
          <w:ilvl w:val="1"/>
          <w:numId w:val="12"/>
        </w:numPr>
        <w:tabs>
          <w:tab w:pos="1342" w:val="left" w:leader="none"/>
        </w:tabs>
        <w:spacing w:line="240" w:lineRule="auto" w:before="139" w:after="0"/>
        <w:ind w:left="1342" w:right="0" w:hanging="660"/>
        <w:jc w:val="left"/>
        <w:rPr>
          <w:sz w:val="24"/>
        </w:rPr>
      </w:pPr>
      <w:r>
        <w:rPr>
          <w:sz w:val="24"/>
        </w:rPr>
        <w:t>Material</w:t>
      </w:r>
      <w:r>
        <w:rPr>
          <w:spacing w:val="-1"/>
          <w:sz w:val="24"/>
        </w:rPr>
        <w:t> </w:t>
      </w:r>
      <w:r>
        <w:rPr>
          <w:sz w:val="24"/>
        </w:rPr>
        <w:t>properties of</w:t>
      </w:r>
      <w:r>
        <w:rPr>
          <w:spacing w:val="-1"/>
          <w:sz w:val="24"/>
        </w:rPr>
        <w:t> </w:t>
      </w:r>
      <w:r>
        <w:rPr>
          <w:sz w:val="24"/>
        </w:rPr>
        <w:t>tablets prepared</w:t>
      </w:r>
      <w:r>
        <w:rPr>
          <w:spacing w:val="-1"/>
          <w:sz w:val="24"/>
        </w:rPr>
        <w:t> </w:t>
      </w:r>
      <w:r>
        <w:rPr>
          <w:sz w:val="24"/>
        </w:rPr>
        <w:t>by</w:t>
      </w:r>
      <w:r>
        <w:rPr>
          <w:spacing w:val="-5"/>
          <w:sz w:val="24"/>
        </w:rPr>
        <w:t> </w:t>
      </w:r>
      <w:r>
        <w:rPr>
          <w:sz w:val="24"/>
        </w:rPr>
        <w:t>direct </w:t>
      </w:r>
      <w:r>
        <w:rPr>
          <w:spacing w:val="-2"/>
          <w:sz w:val="24"/>
        </w:rPr>
        <w:t>compression</w:t>
      </w:r>
    </w:p>
    <w:p>
      <w:pPr>
        <w:tabs>
          <w:tab w:pos="8604" w:val="left" w:leader="none"/>
        </w:tabs>
        <w:spacing w:before="137"/>
        <w:ind w:left="1342" w:right="0" w:firstLine="0"/>
        <w:jc w:val="left"/>
        <w:rPr>
          <w:sz w:val="24"/>
        </w:rPr>
      </w:pPr>
      <w:r>
        <w:rPr>
          <w:sz w:val="24"/>
        </w:rPr>
        <w:t>and</w:t>
      </w:r>
      <w:r>
        <w:rPr>
          <w:spacing w:val="-4"/>
          <w:sz w:val="24"/>
        </w:rPr>
        <w:t> </w:t>
      </w:r>
      <w:r>
        <w:rPr>
          <w:sz w:val="24"/>
        </w:rPr>
        <w:t>wet</w:t>
      </w:r>
      <w:r>
        <w:rPr>
          <w:spacing w:val="1"/>
          <w:sz w:val="24"/>
        </w:rPr>
        <w:t> </w:t>
      </w:r>
      <w:r>
        <w:rPr>
          <w:sz w:val="24"/>
        </w:rPr>
        <w:t>granulation</w:t>
      </w:r>
      <w:r>
        <w:rPr>
          <w:spacing w:val="-1"/>
          <w:sz w:val="24"/>
        </w:rPr>
        <w:t> </w:t>
      </w:r>
      <w:r>
        <w:rPr>
          <w:sz w:val="24"/>
        </w:rPr>
        <w:t>from</w:t>
      </w:r>
      <w:r>
        <w:rPr>
          <w:spacing w:val="-1"/>
          <w:sz w:val="24"/>
        </w:rPr>
        <w:t> </w:t>
      </w:r>
      <w:r>
        <w:rPr>
          <w:sz w:val="24"/>
        </w:rPr>
        <w:t>ethanolic</w:t>
      </w:r>
      <w:r>
        <w:rPr>
          <w:spacing w:val="-3"/>
          <w:sz w:val="24"/>
        </w:rPr>
        <w:t> </w:t>
      </w:r>
      <w:r>
        <w:rPr>
          <w:sz w:val="24"/>
        </w:rPr>
        <w:t>seed</w:t>
      </w:r>
      <w:r>
        <w:rPr>
          <w:spacing w:val="-1"/>
          <w:sz w:val="24"/>
        </w:rPr>
        <w:t> </w:t>
      </w:r>
      <w:r>
        <w:rPr>
          <w:sz w:val="24"/>
        </w:rPr>
        <w:t>extract</w:t>
      </w:r>
      <w:r>
        <w:rPr>
          <w:spacing w:val="2"/>
          <w:sz w:val="24"/>
        </w:rPr>
        <w:t> </w:t>
      </w:r>
      <w:r>
        <w:rPr>
          <w:i/>
          <w:sz w:val="24"/>
        </w:rPr>
        <w:t>Mucuna</w:t>
      </w:r>
      <w:r>
        <w:rPr>
          <w:i/>
          <w:spacing w:val="-1"/>
          <w:sz w:val="24"/>
        </w:rPr>
        <w:t> </w:t>
      </w:r>
      <w:r>
        <w:rPr>
          <w:i/>
          <w:spacing w:val="-2"/>
          <w:sz w:val="24"/>
        </w:rPr>
        <w:t>pruriens</w:t>
      </w:r>
      <w:r>
        <w:rPr>
          <w:i/>
          <w:sz w:val="24"/>
        </w:rPr>
        <w:tab/>
      </w:r>
      <w:r>
        <w:rPr>
          <w:spacing w:val="-5"/>
          <w:sz w:val="24"/>
        </w:rPr>
        <w:t>120</w:t>
      </w:r>
    </w:p>
    <w:p>
      <w:pPr>
        <w:pStyle w:val="ListParagraph"/>
        <w:numPr>
          <w:ilvl w:val="1"/>
          <w:numId w:val="12"/>
        </w:numPr>
        <w:tabs>
          <w:tab w:pos="1342" w:val="left" w:leader="none"/>
          <w:tab w:pos="8604" w:val="left" w:leader="none"/>
        </w:tabs>
        <w:spacing w:line="240" w:lineRule="auto" w:before="139" w:after="0"/>
        <w:ind w:left="1342" w:right="0" w:hanging="660"/>
        <w:jc w:val="left"/>
        <w:rPr>
          <w:sz w:val="24"/>
        </w:rPr>
      </w:pPr>
      <w:r>
        <w:rPr>
          <w:sz w:val="24"/>
        </w:rPr>
        <w:t>Particle</w:t>
      </w:r>
      <w:r>
        <w:rPr>
          <w:spacing w:val="-5"/>
          <w:sz w:val="24"/>
        </w:rPr>
        <w:t> </w:t>
      </w:r>
      <w:r>
        <w:rPr>
          <w:sz w:val="24"/>
        </w:rPr>
        <w:t>size</w:t>
      </w:r>
      <w:r>
        <w:rPr>
          <w:spacing w:val="-1"/>
          <w:sz w:val="24"/>
        </w:rPr>
        <w:t> </w:t>
      </w:r>
      <w:r>
        <w:rPr>
          <w:sz w:val="24"/>
        </w:rPr>
        <w:t>distribution of</w:t>
      </w:r>
      <w:r>
        <w:rPr>
          <w:spacing w:val="-2"/>
          <w:sz w:val="24"/>
        </w:rPr>
        <w:t> </w:t>
      </w:r>
      <w:r>
        <w:rPr>
          <w:sz w:val="24"/>
        </w:rPr>
        <w:t>formulations by</w:t>
      </w:r>
      <w:r>
        <w:rPr>
          <w:spacing w:val="-3"/>
          <w:sz w:val="24"/>
        </w:rPr>
        <w:t> </w:t>
      </w:r>
      <w:r>
        <w:rPr>
          <w:sz w:val="24"/>
        </w:rPr>
        <w:t>direct </w:t>
      </w:r>
      <w:r>
        <w:rPr>
          <w:spacing w:val="-2"/>
          <w:sz w:val="24"/>
        </w:rPr>
        <w:t>compression</w:t>
      </w:r>
      <w:r>
        <w:rPr>
          <w:sz w:val="24"/>
        </w:rPr>
        <w:tab/>
      </w:r>
      <w:r>
        <w:rPr>
          <w:spacing w:val="-5"/>
          <w:sz w:val="24"/>
        </w:rPr>
        <w:t>123</w:t>
      </w:r>
    </w:p>
    <w:p>
      <w:pPr>
        <w:pStyle w:val="ListParagraph"/>
        <w:numPr>
          <w:ilvl w:val="1"/>
          <w:numId w:val="12"/>
        </w:numPr>
        <w:tabs>
          <w:tab w:pos="1342" w:val="left" w:leader="none"/>
        </w:tabs>
        <w:spacing w:line="240" w:lineRule="auto" w:before="137" w:after="0"/>
        <w:ind w:left="1342" w:right="0" w:hanging="660"/>
        <w:jc w:val="left"/>
        <w:rPr>
          <w:sz w:val="24"/>
        </w:rPr>
      </w:pPr>
      <w:r>
        <w:rPr>
          <w:sz w:val="24"/>
        </w:rPr>
        <w:t>Size</w:t>
      </w:r>
      <w:r>
        <w:rPr>
          <w:spacing w:val="-3"/>
          <w:sz w:val="24"/>
        </w:rPr>
        <w:t> </w:t>
      </w:r>
      <w:r>
        <w:rPr>
          <w:sz w:val="24"/>
        </w:rPr>
        <w:t>distribution</w:t>
      </w:r>
      <w:r>
        <w:rPr>
          <w:spacing w:val="-1"/>
          <w:sz w:val="24"/>
        </w:rPr>
        <w:t> </w:t>
      </w:r>
      <w:r>
        <w:rPr>
          <w:sz w:val="24"/>
        </w:rPr>
        <w:t>of</w:t>
      </w:r>
      <w:r>
        <w:rPr>
          <w:spacing w:val="-1"/>
          <w:sz w:val="24"/>
        </w:rPr>
        <w:t> </w:t>
      </w:r>
      <w:r>
        <w:rPr>
          <w:i/>
          <w:sz w:val="24"/>
        </w:rPr>
        <w:t>Mucuna</w:t>
      </w:r>
      <w:r>
        <w:rPr>
          <w:i/>
          <w:spacing w:val="-1"/>
          <w:sz w:val="24"/>
        </w:rPr>
        <w:t> </w:t>
      </w:r>
      <w:r>
        <w:rPr>
          <w:i/>
          <w:sz w:val="24"/>
        </w:rPr>
        <w:t>pruriens</w:t>
      </w:r>
      <w:r>
        <w:rPr>
          <w:i/>
          <w:spacing w:val="-1"/>
          <w:sz w:val="24"/>
        </w:rPr>
        <w:t> </w:t>
      </w:r>
      <w:r>
        <w:rPr>
          <w:sz w:val="24"/>
        </w:rPr>
        <w:t>seed</w:t>
      </w:r>
      <w:r>
        <w:rPr>
          <w:spacing w:val="-1"/>
          <w:sz w:val="24"/>
        </w:rPr>
        <w:t> </w:t>
      </w:r>
      <w:r>
        <w:rPr>
          <w:sz w:val="24"/>
        </w:rPr>
        <w:t>ethanolic</w:t>
      </w:r>
      <w:r>
        <w:rPr>
          <w:spacing w:val="-1"/>
          <w:sz w:val="24"/>
        </w:rPr>
        <w:t> </w:t>
      </w:r>
      <w:r>
        <w:rPr>
          <w:sz w:val="24"/>
        </w:rPr>
        <w:t>extract</w:t>
      </w:r>
      <w:r>
        <w:rPr>
          <w:spacing w:val="-1"/>
          <w:sz w:val="24"/>
        </w:rPr>
        <w:t> </w:t>
      </w:r>
      <w:r>
        <w:rPr>
          <w:spacing w:val="-2"/>
          <w:sz w:val="24"/>
        </w:rPr>
        <w:t>containing</w:t>
      </w:r>
    </w:p>
    <w:p>
      <w:pPr>
        <w:pStyle w:val="BodyText"/>
        <w:tabs>
          <w:tab w:pos="8604" w:val="left" w:leader="none"/>
        </w:tabs>
        <w:spacing w:before="140"/>
        <w:ind w:left="1342"/>
      </w:pPr>
      <w:r>
        <w:rPr/>
        <w:t>PVP</w:t>
      </w:r>
      <w:r>
        <w:rPr>
          <w:spacing w:val="-1"/>
        </w:rPr>
        <w:t> </w:t>
      </w:r>
      <w:r>
        <w:rPr/>
        <w:t>and</w:t>
      </w:r>
      <w:r>
        <w:rPr>
          <w:spacing w:val="-2"/>
        </w:rPr>
        <w:t> </w:t>
      </w:r>
      <w:r>
        <w:rPr/>
        <w:t>corn</w:t>
      </w:r>
      <w:r>
        <w:rPr>
          <w:spacing w:val="-1"/>
        </w:rPr>
        <w:t> </w:t>
      </w:r>
      <w:r>
        <w:rPr/>
        <w:t>starch</w:t>
      </w:r>
      <w:r>
        <w:rPr>
          <w:spacing w:val="-1"/>
        </w:rPr>
        <w:t> </w:t>
      </w:r>
      <w:r>
        <w:rPr/>
        <w:t>as </w:t>
      </w:r>
      <w:r>
        <w:rPr>
          <w:spacing w:val="-2"/>
        </w:rPr>
        <w:t>binders</w:t>
      </w:r>
      <w:r>
        <w:rPr/>
        <w:tab/>
      </w:r>
      <w:r>
        <w:rPr>
          <w:spacing w:val="-5"/>
        </w:rPr>
        <w:t>124</w:t>
      </w:r>
    </w:p>
    <w:p>
      <w:pPr>
        <w:pStyle w:val="ListParagraph"/>
        <w:numPr>
          <w:ilvl w:val="1"/>
          <w:numId w:val="12"/>
        </w:numPr>
        <w:tabs>
          <w:tab w:pos="1342" w:val="left" w:leader="none"/>
        </w:tabs>
        <w:spacing w:line="240" w:lineRule="auto" w:before="136" w:after="0"/>
        <w:ind w:left="1342" w:right="0" w:hanging="660"/>
        <w:jc w:val="left"/>
        <w:rPr>
          <w:sz w:val="24"/>
        </w:rPr>
      </w:pPr>
      <w:r>
        <w:rPr>
          <w:sz w:val="24"/>
        </w:rPr>
        <w:t>Values</w:t>
      </w:r>
      <w:r>
        <w:rPr>
          <w:spacing w:val="-3"/>
          <w:sz w:val="24"/>
        </w:rPr>
        <w:t> </w:t>
      </w:r>
      <w:r>
        <w:rPr>
          <w:sz w:val="24"/>
        </w:rPr>
        <w:t>of</w:t>
      </w:r>
      <w:r>
        <w:rPr>
          <w:spacing w:val="-2"/>
          <w:sz w:val="24"/>
        </w:rPr>
        <w:t> </w:t>
      </w:r>
      <w:r>
        <w:rPr>
          <w:sz w:val="24"/>
        </w:rPr>
        <w:t>mean</w:t>
      </w:r>
      <w:r>
        <w:rPr>
          <w:spacing w:val="1"/>
          <w:sz w:val="24"/>
        </w:rPr>
        <w:t> </w:t>
      </w:r>
      <w:r>
        <w:rPr>
          <w:sz w:val="24"/>
        </w:rPr>
        <w:t>granule</w:t>
      </w:r>
      <w:r>
        <w:rPr>
          <w:spacing w:val="-1"/>
          <w:sz w:val="24"/>
        </w:rPr>
        <w:t> </w:t>
      </w:r>
      <w:r>
        <w:rPr>
          <w:sz w:val="24"/>
        </w:rPr>
        <w:t>size</w:t>
      </w:r>
      <w:r>
        <w:rPr>
          <w:spacing w:val="-1"/>
          <w:sz w:val="24"/>
        </w:rPr>
        <w:t> </w:t>
      </w:r>
      <w:r>
        <w:rPr>
          <w:sz w:val="24"/>
        </w:rPr>
        <w:t>(G)</w:t>
      </w:r>
      <w:r>
        <w:rPr>
          <w:spacing w:val="-3"/>
          <w:sz w:val="24"/>
        </w:rPr>
        <w:t> </w:t>
      </w:r>
      <w:r>
        <w:rPr>
          <w:sz w:val="24"/>
        </w:rPr>
        <w:t>of </w:t>
      </w:r>
      <w:r>
        <w:rPr>
          <w:i/>
          <w:sz w:val="24"/>
        </w:rPr>
        <w:t>Mucuna</w:t>
      </w:r>
      <w:r>
        <w:rPr>
          <w:i/>
          <w:spacing w:val="1"/>
          <w:sz w:val="24"/>
        </w:rPr>
        <w:t> </w:t>
      </w:r>
      <w:r>
        <w:rPr>
          <w:i/>
          <w:sz w:val="24"/>
        </w:rPr>
        <w:t>pruriens </w:t>
      </w:r>
      <w:r>
        <w:rPr>
          <w:spacing w:val="-2"/>
          <w:sz w:val="24"/>
        </w:rPr>
        <w:t>containing</w:t>
      </w:r>
    </w:p>
    <w:p>
      <w:pPr>
        <w:pStyle w:val="BodyText"/>
        <w:tabs>
          <w:tab w:pos="8604" w:val="left" w:leader="none"/>
        </w:tabs>
        <w:spacing w:before="140"/>
        <w:ind w:left="1342"/>
      </w:pPr>
      <w:r>
        <w:rPr/>
        <w:t>no</w:t>
      </w:r>
      <w:r>
        <w:rPr>
          <w:spacing w:val="-2"/>
        </w:rPr>
        <w:t> </w:t>
      </w:r>
      <w:r>
        <w:rPr/>
        <w:t>binder,</w:t>
      </w:r>
      <w:r>
        <w:rPr>
          <w:spacing w:val="-1"/>
        </w:rPr>
        <w:t> </w:t>
      </w:r>
      <w:r>
        <w:rPr/>
        <w:t>PVP,</w:t>
      </w:r>
      <w:r>
        <w:rPr>
          <w:spacing w:val="-1"/>
        </w:rPr>
        <w:t> </w:t>
      </w:r>
      <w:r>
        <w:rPr/>
        <w:t>corn</w:t>
      </w:r>
      <w:r>
        <w:rPr>
          <w:spacing w:val="-2"/>
        </w:rPr>
        <w:t> </w:t>
      </w:r>
      <w:r>
        <w:rPr/>
        <w:t>starch</w:t>
      </w:r>
      <w:r>
        <w:rPr>
          <w:spacing w:val="-1"/>
        </w:rPr>
        <w:t> </w:t>
      </w:r>
      <w:r>
        <w:rPr/>
        <w:t>as</w:t>
      </w:r>
      <w:r>
        <w:rPr>
          <w:spacing w:val="-1"/>
        </w:rPr>
        <w:t> </w:t>
      </w:r>
      <w:r>
        <w:rPr>
          <w:spacing w:val="-2"/>
        </w:rPr>
        <w:t>binders.</w:t>
      </w:r>
      <w:r>
        <w:rPr/>
        <w:tab/>
      </w:r>
      <w:r>
        <w:rPr>
          <w:spacing w:val="-5"/>
        </w:rPr>
        <w:t>127</w:t>
      </w:r>
    </w:p>
    <w:p>
      <w:pPr>
        <w:pStyle w:val="ListParagraph"/>
        <w:numPr>
          <w:ilvl w:val="1"/>
          <w:numId w:val="12"/>
        </w:numPr>
        <w:tabs>
          <w:tab w:pos="1342" w:val="left" w:leader="none"/>
        </w:tabs>
        <w:spacing w:line="240" w:lineRule="auto" w:before="136" w:after="0"/>
        <w:ind w:left="1342" w:right="0" w:hanging="660"/>
        <w:jc w:val="left"/>
        <w:rPr>
          <w:sz w:val="24"/>
        </w:rPr>
      </w:pPr>
      <w:r>
        <w:rPr>
          <w:sz w:val="24"/>
        </w:rPr>
        <w:t>Uniformity</w:t>
      </w:r>
      <w:r>
        <w:rPr>
          <w:spacing w:val="-8"/>
          <w:sz w:val="24"/>
        </w:rPr>
        <w:t> </w:t>
      </w:r>
      <w:r>
        <w:rPr>
          <w:sz w:val="24"/>
        </w:rPr>
        <w:t>of weight of </w:t>
      </w:r>
      <w:r>
        <w:rPr>
          <w:i/>
          <w:sz w:val="24"/>
        </w:rPr>
        <w:t>Mucuna</w:t>
      </w:r>
      <w:r>
        <w:rPr>
          <w:i/>
          <w:spacing w:val="-1"/>
          <w:sz w:val="24"/>
        </w:rPr>
        <w:t> </w:t>
      </w:r>
      <w:r>
        <w:rPr>
          <w:i/>
          <w:sz w:val="24"/>
        </w:rPr>
        <w:t>pruriens</w:t>
      </w:r>
      <w:r>
        <w:rPr>
          <w:i/>
          <w:spacing w:val="1"/>
          <w:sz w:val="24"/>
        </w:rPr>
        <w:t> </w:t>
      </w:r>
      <w:r>
        <w:rPr>
          <w:sz w:val="24"/>
        </w:rPr>
        <w:t>tablets</w:t>
      </w:r>
      <w:r>
        <w:rPr>
          <w:spacing w:val="-1"/>
          <w:sz w:val="24"/>
        </w:rPr>
        <w:t> </w:t>
      </w:r>
      <w:r>
        <w:rPr>
          <w:sz w:val="24"/>
        </w:rPr>
        <w:t>prepared </w:t>
      </w:r>
      <w:r>
        <w:rPr>
          <w:spacing w:val="-5"/>
          <w:sz w:val="24"/>
        </w:rPr>
        <w:t>by</w:t>
      </w:r>
    </w:p>
    <w:p>
      <w:pPr>
        <w:pStyle w:val="BodyText"/>
        <w:tabs>
          <w:tab w:pos="8604" w:val="left" w:leader="none"/>
        </w:tabs>
        <w:spacing w:before="140"/>
        <w:ind w:left="1342"/>
      </w:pPr>
      <w:r>
        <w:rPr/>
        <w:t>direct</w:t>
      </w:r>
      <w:r>
        <w:rPr>
          <w:spacing w:val="-3"/>
        </w:rPr>
        <w:t> </w:t>
      </w:r>
      <w:r>
        <w:rPr>
          <w:spacing w:val="-2"/>
        </w:rPr>
        <w:t>compression</w:t>
      </w:r>
      <w:r>
        <w:rPr/>
        <w:tab/>
      </w:r>
      <w:r>
        <w:rPr>
          <w:spacing w:val="-5"/>
        </w:rPr>
        <w:t>128</w:t>
      </w:r>
    </w:p>
    <w:p>
      <w:pPr>
        <w:pStyle w:val="ListParagraph"/>
        <w:numPr>
          <w:ilvl w:val="1"/>
          <w:numId w:val="12"/>
        </w:numPr>
        <w:tabs>
          <w:tab w:pos="1342" w:val="left" w:leader="none"/>
        </w:tabs>
        <w:spacing w:line="240" w:lineRule="auto" w:before="136" w:after="0"/>
        <w:ind w:left="1342" w:right="0" w:hanging="600"/>
        <w:jc w:val="left"/>
        <w:rPr>
          <w:sz w:val="24"/>
        </w:rPr>
      </w:pPr>
      <w:r>
        <w:rPr>
          <w:sz w:val="24"/>
        </w:rPr>
        <w:t>Uniformity</w:t>
      </w:r>
      <w:r>
        <w:rPr>
          <w:spacing w:val="-8"/>
          <w:sz w:val="24"/>
        </w:rPr>
        <w:t> </w:t>
      </w:r>
      <w:r>
        <w:rPr>
          <w:sz w:val="24"/>
        </w:rPr>
        <w:t>of weight of </w:t>
      </w:r>
      <w:r>
        <w:rPr>
          <w:i/>
          <w:sz w:val="24"/>
        </w:rPr>
        <w:t>Mucuna</w:t>
      </w:r>
      <w:r>
        <w:rPr>
          <w:i/>
          <w:spacing w:val="-1"/>
          <w:sz w:val="24"/>
        </w:rPr>
        <w:t> </w:t>
      </w:r>
      <w:r>
        <w:rPr>
          <w:i/>
          <w:sz w:val="24"/>
        </w:rPr>
        <w:t>pruriens</w:t>
      </w:r>
      <w:r>
        <w:rPr>
          <w:i/>
          <w:spacing w:val="1"/>
          <w:sz w:val="24"/>
        </w:rPr>
        <w:t> </w:t>
      </w:r>
      <w:r>
        <w:rPr>
          <w:sz w:val="24"/>
        </w:rPr>
        <w:t>tablets</w:t>
      </w:r>
      <w:r>
        <w:rPr>
          <w:spacing w:val="-1"/>
          <w:sz w:val="24"/>
        </w:rPr>
        <w:t> </w:t>
      </w:r>
      <w:r>
        <w:rPr>
          <w:sz w:val="24"/>
        </w:rPr>
        <w:t>prepared </w:t>
      </w:r>
      <w:r>
        <w:rPr>
          <w:spacing w:val="-5"/>
          <w:sz w:val="24"/>
        </w:rPr>
        <w:t>by</w:t>
      </w:r>
    </w:p>
    <w:p>
      <w:pPr>
        <w:spacing w:after="0" w:line="240" w:lineRule="auto"/>
        <w:jc w:val="left"/>
        <w:rPr>
          <w:sz w:val="24"/>
        </w:rPr>
        <w:sectPr>
          <w:pgSz w:w="12240" w:h="15840"/>
          <w:pgMar w:header="0" w:footer="1068" w:top="1820" w:bottom="1260" w:left="1420" w:right="420"/>
        </w:sectPr>
      </w:pPr>
    </w:p>
    <w:p>
      <w:pPr>
        <w:pStyle w:val="BodyText"/>
        <w:tabs>
          <w:tab w:pos="8964" w:val="right" w:leader="none"/>
        </w:tabs>
        <w:spacing w:before="74"/>
        <w:ind w:left="1402"/>
      </w:pPr>
      <w:r>
        <w:rPr/>
        <mc:AlternateContent>
          <mc:Choice Requires="wps">
            <w:drawing>
              <wp:anchor distT="0" distB="0" distL="0" distR="0" allowOverlap="1" layoutInCell="1" locked="0" behindDoc="1" simplePos="0" relativeHeight="482910720">
                <wp:simplePos x="0" y="0"/>
                <wp:positionH relativeFrom="page">
                  <wp:posOffset>-1402226</wp:posOffset>
                </wp:positionH>
                <wp:positionV relativeFrom="page">
                  <wp:posOffset>4612234</wp:posOffset>
                </wp:positionV>
                <wp:extent cx="10685780" cy="914400"/>
                <wp:effectExtent l="0" t="0" r="0" b="0"/>
                <wp:wrapNone/>
                <wp:docPr id="18" name="Textbox 18"/>
                <wp:cNvGraphicFramePr>
                  <a:graphicFrameLocks/>
                </wp:cNvGraphicFramePr>
                <a:graphic>
                  <a:graphicData uri="http://schemas.microsoft.com/office/word/2010/wordprocessingShape">
                    <wps:wsp>
                      <wps:cNvPr id="18" name="Textbox 1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5760;rotation:306" type="#_x0000_t136" fillcolor="#ff5400" stroked="f">
                <o:extrusion v:ext="view" autorotationcenter="t"/>
                <v:textpath style="font-family:&quot;Arial MT&quot;;font-size:72pt;v-text-kern:t;mso-text-shadow:auto" string="UNIVERSITY OF IBADAN"/>
                <w10:wrap type="none"/>
              </v:shape>
            </w:pict>
          </mc:Fallback>
        </mc:AlternateContent>
      </w:r>
      <w:r>
        <w:rPr/>
        <w:t>wet</w:t>
      </w:r>
      <w:r>
        <w:rPr>
          <w:spacing w:val="-2"/>
        </w:rPr>
        <w:t> granulation</w:t>
      </w:r>
      <w:r>
        <w:rPr/>
        <w:tab/>
      </w:r>
      <w:r>
        <w:rPr>
          <w:spacing w:val="-5"/>
        </w:rPr>
        <w:t>129</w:t>
      </w:r>
    </w:p>
    <w:p>
      <w:pPr>
        <w:pStyle w:val="ListParagraph"/>
        <w:numPr>
          <w:ilvl w:val="1"/>
          <w:numId w:val="13"/>
        </w:numPr>
        <w:tabs>
          <w:tab w:pos="1522" w:val="left" w:leader="none"/>
        </w:tabs>
        <w:spacing w:line="240" w:lineRule="auto" w:before="137" w:after="0"/>
        <w:ind w:left="1522" w:right="0" w:hanging="660"/>
        <w:jc w:val="left"/>
        <w:rPr>
          <w:sz w:val="24"/>
        </w:rPr>
      </w:pPr>
      <w:r>
        <w:rPr>
          <w:sz w:val="24"/>
        </w:rPr>
        <w:t>Mechanical</w:t>
      </w:r>
      <w:r>
        <w:rPr>
          <w:spacing w:val="-2"/>
          <w:sz w:val="24"/>
        </w:rPr>
        <w:t> </w:t>
      </w:r>
      <w:r>
        <w:rPr>
          <w:sz w:val="24"/>
        </w:rPr>
        <w:t>properties of</w:t>
      </w:r>
      <w:r>
        <w:rPr>
          <w:spacing w:val="-2"/>
          <w:sz w:val="24"/>
        </w:rPr>
        <w:t> </w:t>
      </w:r>
      <w:r>
        <w:rPr>
          <w:sz w:val="24"/>
        </w:rPr>
        <w:t>tablets prepared by</w:t>
      </w:r>
      <w:r>
        <w:rPr>
          <w:spacing w:val="-5"/>
          <w:sz w:val="24"/>
        </w:rPr>
        <w:t> </w:t>
      </w:r>
      <w:r>
        <w:rPr>
          <w:spacing w:val="-2"/>
          <w:sz w:val="24"/>
        </w:rPr>
        <w:t>direct</w:t>
      </w:r>
    </w:p>
    <w:p>
      <w:pPr>
        <w:pStyle w:val="BodyText"/>
        <w:tabs>
          <w:tab w:pos="8964" w:val="right" w:leader="none"/>
        </w:tabs>
        <w:spacing w:before="139"/>
        <w:ind w:left="1522"/>
      </w:pPr>
      <w:r>
        <w:rPr>
          <w:spacing w:val="-2"/>
        </w:rPr>
        <w:t>compression</w:t>
      </w:r>
      <w:r>
        <w:rPr/>
        <w:tab/>
      </w:r>
      <w:r>
        <w:rPr>
          <w:spacing w:val="-5"/>
        </w:rPr>
        <w:t>131</w:t>
      </w:r>
    </w:p>
    <w:p>
      <w:pPr>
        <w:pStyle w:val="ListParagraph"/>
        <w:numPr>
          <w:ilvl w:val="1"/>
          <w:numId w:val="13"/>
        </w:numPr>
        <w:tabs>
          <w:tab w:pos="1522" w:val="left" w:leader="none"/>
        </w:tabs>
        <w:spacing w:line="240" w:lineRule="auto" w:before="137" w:after="0"/>
        <w:ind w:left="1522" w:right="0" w:hanging="660"/>
        <w:jc w:val="left"/>
        <w:rPr>
          <w:sz w:val="24"/>
        </w:rPr>
      </w:pPr>
      <w:r>
        <w:rPr>
          <w:sz w:val="24"/>
        </w:rPr>
        <w:t>Mechanical</w:t>
      </w:r>
      <w:r>
        <w:rPr>
          <w:spacing w:val="-3"/>
          <w:sz w:val="24"/>
        </w:rPr>
        <w:t> </w:t>
      </w:r>
      <w:r>
        <w:rPr>
          <w:sz w:val="24"/>
        </w:rPr>
        <w:t>properties</w:t>
      </w:r>
      <w:r>
        <w:rPr>
          <w:spacing w:val="-1"/>
          <w:sz w:val="24"/>
        </w:rPr>
        <w:t> </w:t>
      </w:r>
      <w:r>
        <w:rPr>
          <w:sz w:val="24"/>
        </w:rPr>
        <w:t>of</w:t>
      </w:r>
      <w:r>
        <w:rPr>
          <w:spacing w:val="-1"/>
          <w:sz w:val="24"/>
        </w:rPr>
        <w:t> </w:t>
      </w:r>
      <w:r>
        <w:rPr>
          <w:i/>
          <w:sz w:val="24"/>
        </w:rPr>
        <w:t>Mucuna pruriens</w:t>
      </w:r>
      <w:r>
        <w:rPr>
          <w:i/>
          <w:spacing w:val="-1"/>
          <w:sz w:val="24"/>
        </w:rPr>
        <w:t> </w:t>
      </w:r>
      <w:r>
        <w:rPr>
          <w:sz w:val="24"/>
        </w:rPr>
        <w:t>tablets</w:t>
      </w:r>
      <w:r>
        <w:rPr>
          <w:spacing w:val="-1"/>
          <w:sz w:val="24"/>
        </w:rPr>
        <w:t> </w:t>
      </w:r>
      <w:r>
        <w:rPr>
          <w:sz w:val="24"/>
        </w:rPr>
        <w:t>prepared </w:t>
      </w:r>
      <w:r>
        <w:rPr>
          <w:spacing w:val="-5"/>
          <w:sz w:val="24"/>
        </w:rPr>
        <w:t>by</w:t>
      </w:r>
    </w:p>
    <w:p>
      <w:pPr>
        <w:pStyle w:val="BodyText"/>
        <w:tabs>
          <w:tab w:pos="8964" w:val="right" w:leader="none"/>
        </w:tabs>
        <w:spacing w:before="140"/>
        <w:ind w:left="1522"/>
      </w:pPr>
      <w:r>
        <w:rPr/>
        <w:t>wet</w:t>
      </w:r>
      <w:r>
        <w:rPr>
          <w:spacing w:val="-2"/>
        </w:rPr>
        <w:t> granulation</w:t>
      </w:r>
      <w:r>
        <w:rPr/>
        <w:tab/>
      </w:r>
      <w:r>
        <w:rPr>
          <w:spacing w:val="-5"/>
        </w:rPr>
        <w:t>133</w:t>
      </w:r>
    </w:p>
    <w:p>
      <w:pPr>
        <w:pStyle w:val="ListParagraph"/>
        <w:numPr>
          <w:ilvl w:val="1"/>
          <w:numId w:val="13"/>
        </w:numPr>
        <w:tabs>
          <w:tab w:pos="1522" w:val="left" w:leader="none"/>
        </w:tabs>
        <w:spacing w:line="240" w:lineRule="auto" w:before="552" w:after="0"/>
        <w:ind w:left="1522" w:right="0" w:hanging="660"/>
        <w:jc w:val="left"/>
        <w:rPr>
          <w:i/>
          <w:sz w:val="24"/>
        </w:rPr>
      </w:pPr>
      <w:r>
        <w:rPr>
          <w:sz w:val="24"/>
        </w:rPr>
        <w:t>Disintegration</w:t>
      </w:r>
      <w:r>
        <w:rPr>
          <w:spacing w:val="-4"/>
          <w:sz w:val="24"/>
        </w:rPr>
        <w:t> </w:t>
      </w:r>
      <w:r>
        <w:rPr>
          <w:sz w:val="24"/>
        </w:rPr>
        <w:t>and</w:t>
      </w:r>
      <w:r>
        <w:rPr>
          <w:spacing w:val="-2"/>
          <w:sz w:val="24"/>
        </w:rPr>
        <w:t> </w:t>
      </w:r>
      <w:r>
        <w:rPr>
          <w:sz w:val="24"/>
        </w:rPr>
        <w:t>dissolution</w:t>
      </w:r>
      <w:r>
        <w:rPr>
          <w:spacing w:val="-1"/>
          <w:sz w:val="24"/>
        </w:rPr>
        <w:t> </w:t>
      </w:r>
      <w:r>
        <w:rPr>
          <w:sz w:val="24"/>
        </w:rPr>
        <w:t>characteristics</w:t>
      </w:r>
      <w:r>
        <w:rPr>
          <w:spacing w:val="-2"/>
          <w:sz w:val="24"/>
        </w:rPr>
        <w:t> </w:t>
      </w:r>
      <w:r>
        <w:rPr>
          <w:sz w:val="24"/>
        </w:rPr>
        <w:t>of</w:t>
      </w:r>
      <w:r>
        <w:rPr>
          <w:spacing w:val="1"/>
          <w:sz w:val="24"/>
        </w:rPr>
        <w:t> </w:t>
      </w:r>
      <w:r>
        <w:rPr>
          <w:i/>
          <w:sz w:val="24"/>
        </w:rPr>
        <w:t>Mucuna</w:t>
      </w:r>
      <w:r>
        <w:rPr>
          <w:i/>
          <w:spacing w:val="-1"/>
          <w:sz w:val="24"/>
        </w:rPr>
        <w:t> </w:t>
      </w:r>
      <w:r>
        <w:rPr>
          <w:i/>
          <w:spacing w:val="-2"/>
          <w:sz w:val="24"/>
        </w:rPr>
        <w:t>pruriens</w:t>
      </w:r>
    </w:p>
    <w:p>
      <w:pPr>
        <w:pStyle w:val="BodyText"/>
        <w:tabs>
          <w:tab w:pos="8964" w:val="right" w:leader="none"/>
        </w:tabs>
        <w:spacing w:before="136"/>
        <w:ind w:left="1582"/>
      </w:pPr>
      <w:r>
        <w:rPr/>
        <w:t>tablets</w:t>
      </w:r>
      <w:r>
        <w:rPr>
          <w:spacing w:val="-3"/>
        </w:rPr>
        <w:t> </w:t>
      </w:r>
      <w:r>
        <w:rPr/>
        <w:t>prepared by</w:t>
      </w:r>
      <w:r>
        <w:rPr>
          <w:spacing w:val="-6"/>
        </w:rPr>
        <w:t> </w:t>
      </w:r>
      <w:r>
        <w:rPr/>
        <w:t>direct compression and wet</w:t>
      </w:r>
      <w:r>
        <w:rPr>
          <w:spacing w:val="-1"/>
        </w:rPr>
        <w:t> </w:t>
      </w:r>
      <w:r>
        <w:rPr/>
        <w:t>granulation </w:t>
      </w:r>
      <w:r>
        <w:rPr>
          <w:spacing w:val="-2"/>
        </w:rPr>
        <w:t>methods</w:t>
      </w:r>
      <w:r>
        <w:rPr/>
        <w:tab/>
      </w:r>
      <w:r>
        <w:rPr>
          <w:spacing w:val="-5"/>
        </w:rPr>
        <w:t>135</w:t>
      </w:r>
    </w:p>
    <w:p>
      <w:pPr>
        <w:pStyle w:val="ListParagraph"/>
        <w:numPr>
          <w:ilvl w:val="1"/>
          <w:numId w:val="13"/>
        </w:numPr>
        <w:tabs>
          <w:tab w:pos="1582" w:val="left" w:leader="none"/>
        </w:tabs>
        <w:spacing w:line="240" w:lineRule="auto" w:before="140" w:after="0"/>
        <w:ind w:left="1582" w:right="0" w:hanging="720"/>
        <w:jc w:val="left"/>
        <w:rPr>
          <w:sz w:val="24"/>
        </w:rPr>
      </w:pPr>
      <w:r>
        <w:rPr>
          <w:sz w:val="24"/>
        </w:rPr>
        <w:t>Concentrations</w:t>
      </w:r>
      <w:r>
        <w:rPr>
          <w:spacing w:val="-4"/>
          <w:sz w:val="24"/>
        </w:rPr>
        <w:t> </w:t>
      </w:r>
      <w:r>
        <w:rPr>
          <w:sz w:val="24"/>
        </w:rPr>
        <w:t>and</w:t>
      </w:r>
      <w:r>
        <w:rPr>
          <w:spacing w:val="-1"/>
          <w:sz w:val="24"/>
        </w:rPr>
        <w:t> </w:t>
      </w:r>
      <w:r>
        <w:rPr>
          <w:sz w:val="24"/>
        </w:rPr>
        <w:t>corresponding</w:t>
      </w:r>
      <w:r>
        <w:rPr>
          <w:spacing w:val="-4"/>
          <w:sz w:val="24"/>
        </w:rPr>
        <w:t> </w:t>
      </w:r>
      <w:r>
        <w:rPr>
          <w:sz w:val="24"/>
        </w:rPr>
        <w:t>absorbance</w:t>
      </w:r>
      <w:r>
        <w:rPr>
          <w:spacing w:val="-3"/>
          <w:sz w:val="24"/>
        </w:rPr>
        <w:t> </w:t>
      </w:r>
      <w:r>
        <w:rPr>
          <w:sz w:val="24"/>
        </w:rPr>
        <w:t>for</w:t>
      </w:r>
      <w:r>
        <w:rPr>
          <w:spacing w:val="-1"/>
          <w:sz w:val="24"/>
        </w:rPr>
        <w:t> </w:t>
      </w:r>
      <w:r>
        <w:rPr>
          <w:sz w:val="24"/>
        </w:rPr>
        <w:t>ethanolic extract</w:t>
      </w:r>
      <w:r>
        <w:rPr>
          <w:spacing w:val="-1"/>
          <w:sz w:val="24"/>
        </w:rPr>
        <w:t> </w:t>
      </w:r>
      <w:r>
        <w:rPr>
          <w:spacing w:val="-5"/>
          <w:sz w:val="24"/>
        </w:rPr>
        <w:t>of</w:t>
      </w:r>
    </w:p>
    <w:p>
      <w:pPr>
        <w:tabs>
          <w:tab w:pos="8964" w:val="right" w:leader="none"/>
        </w:tabs>
        <w:spacing w:before="137"/>
        <w:ind w:left="1582" w:right="0" w:firstLine="0"/>
        <w:jc w:val="left"/>
        <w:rPr>
          <w:sz w:val="24"/>
        </w:rPr>
      </w:pPr>
      <w:r>
        <w:rPr>
          <w:i/>
          <w:sz w:val="24"/>
        </w:rPr>
        <w:t>Mucuna</w:t>
      </w:r>
      <w:r>
        <w:rPr>
          <w:i/>
          <w:spacing w:val="-2"/>
          <w:sz w:val="24"/>
        </w:rPr>
        <w:t> pruriens</w:t>
      </w:r>
      <w:r>
        <w:rPr>
          <w:i/>
          <w:sz w:val="24"/>
        </w:rPr>
        <w:tab/>
      </w:r>
      <w:r>
        <w:rPr>
          <w:spacing w:val="-5"/>
          <w:sz w:val="24"/>
        </w:rPr>
        <w:t>137</w:t>
      </w:r>
    </w:p>
    <w:p>
      <w:pPr>
        <w:pStyle w:val="ListParagraph"/>
        <w:numPr>
          <w:ilvl w:val="1"/>
          <w:numId w:val="14"/>
        </w:numPr>
        <w:tabs>
          <w:tab w:pos="1582" w:val="left" w:leader="none"/>
        </w:tabs>
        <w:spacing w:line="240" w:lineRule="auto" w:before="139" w:after="0"/>
        <w:ind w:left="1582" w:right="0" w:hanging="720"/>
        <w:jc w:val="left"/>
        <w:rPr>
          <w:sz w:val="24"/>
        </w:rPr>
      </w:pPr>
      <w:r>
        <w:rPr>
          <w:sz w:val="24"/>
        </w:rPr>
        <w:t>Effects</w:t>
      </w:r>
      <w:r>
        <w:rPr>
          <w:spacing w:val="-3"/>
          <w:sz w:val="24"/>
        </w:rPr>
        <w:t> </w:t>
      </w:r>
      <w:r>
        <w:rPr>
          <w:sz w:val="24"/>
        </w:rPr>
        <w:t>of</w:t>
      </w:r>
      <w:r>
        <w:rPr>
          <w:spacing w:val="-1"/>
          <w:sz w:val="24"/>
        </w:rPr>
        <w:t> </w:t>
      </w:r>
      <w:r>
        <w:rPr>
          <w:sz w:val="24"/>
        </w:rPr>
        <w:t>the</w:t>
      </w:r>
      <w:r>
        <w:rPr>
          <w:spacing w:val="-1"/>
          <w:sz w:val="24"/>
        </w:rPr>
        <w:t> </w:t>
      </w:r>
      <w:r>
        <w:rPr>
          <w:i/>
          <w:sz w:val="24"/>
        </w:rPr>
        <w:t>Mucuna pruriens</w:t>
      </w:r>
      <w:r>
        <w:rPr>
          <w:i/>
          <w:spacing w:val="-1"/>
          <w:sz w:val="24"/>
        </w:rPr>
        <w:t> </w:t>
      </w:r>
      <w:r>
        <w:rPr>
          <w:sz w:val="24"/>
        </w:rPr>
        <w:t>tablets</w:t>
      </w:r>
      <w:r>
        <w:rPr>
          <w:spacing w:val="-1"/>
          <w:sz w:val="24"/>
        </w:rPr>
        <w:t> </w:t>
      </w:r>
      <w:r>
        <w:rPr>
          <w:sz w:val="24"/>
        </w:rPr>
        <w:t>on</w:t>
      </w:r>
      <w:r>
        <w:rPr>
          <w:spacing w:val="-1"/>
          <w:sz w:val="24"/>
        </w:rPr>
        <w:t> </w:t>
      </w:r>
      <w:r>
        <w:rPr>
          <w:sz w:val="24"/>
        </w:rPr>
        <w:t>alloxan-induced </w:t>
      </w:r>
      <w:r>
        <w:rPr>
          <w:spacing w:val="-2"/>
          <w:sz w:val="24"/>
        </w:rPr>
        <w:t>diabetic</w:t>
      </w:r>
    </w:p>
    <w:p>
      <w:pPr>
        <w:pStyle w:val="BodyText"/>
        <w:tabs>
          <w:tab w:pos="8964" w:val="right" w:leader="none"/>
        </w:tabs>
        <w:spacing w:before="137"/>
        <w:ind w:left="1642"/>
      </w:pPr>
      <w:r>
        <w:rPr/>
        <w:t>rabbits</w:t>
      </w:r>
      <w:r>
        <w:rPr>
          <w:spacing w:val="-2"/>
        </w:rPr>
        <w:t> </w:t>
      </w:r>
      <w:r>
        <w:rPr/>
        <w:t>and</w:t>
      </w:r>
      <w:r>
        <w:rPr>
          <w:spacing w:val="-1"/>
        </w:rPr>
        <w:t> </w:t>
      </w:r>
      <w:r>
        <w:rPr/>
        <w:t>glucose</w:t>
      </w:r>
      <w:r>
        <w:rPr>
          <w:spacing w:val="-3"/>
        </w:rPr>
        <w:t> </w:t>
      </w:r>
      <w:r>
        <w:rPr>
          <w:spacing w:val="-2"/>
        </w:rPr>
        <w:t>kinetics</w:t>
      </w:r>
      <w:r>
        <w:rPr/>
        <w:tab/>
      </w:r>
      <w:r>
        <w:rPr>
          <w:spacing w:val="-5"/>
        </w:rPr>
        <w:t>150</w:t>
      </w:r>
    </w:p>
    <w:p>
      <w:pPr>
        <w:pStyle w:val="ListParagraph"/>
        <w:numPr>
          <w:ilvl w:val="1"/>
          <w:numId w:val="14"/>
        </w:numPr>
        <w:tabs>
          <w:tab w:pos="1582" w:val="left" w:leader="none"/>
        </w:tabs>
        <w:spacing w:line="240" w:lineRule="auto" w:before="139" w:after="0"/>
        <w:ind w:left="1582" w:right="0" w:hanging="720"/>
        <w:jc w:val="left"/>
        <w:rPr>
          <w:sz w:val="24"/>
        </w:rPr>
      </w:pPr>
      <w:r>
        <w:rPr>
          <w:sz w:val="24"/>
        </w:rPr>
        <w:t>Glucose</w:t>
      </w:r>
      <w:r>
        <w:rPr>
          <w:spacing w:val="-5"/>
          <w:sz w:val="24"/>
        </w:rPr>
        <w:t> </w:t>
      </w:r>
      <w:r>
        <w:rPr>
          <w:sz w:val="24"/>
        </w:rPr>
        <w:t>kinetics:</w:t>
      </w:r>
      <w:r>
        <w:rPr>
          <w:spacing w:val="-2"/>
          <w:sz w:val="24"/>
        </w:rPr>
        <w:t> </w:t>
      </w:r>
      <w:r>
        <w:rPr>
          <w:sz w:val="24"/>
        </w:rPr>
        <w:t>different</w:t>
      </w:r>
      <w:r>
        <w:rPr>
          <w:spacing w:val="-1"/>
          <w:sz w:val="24"/>
        </w:rPr>
        <w:t> </w:t>
      </w:r>
      <w:r>
        <w:rPr>
          <w:sz w:val="24"/>
        </w:rPr>
        <w:t>rate</w:t>
      </w:r>
      <w:r>
        <w:rPr>
          <w:spacing w:val="-2"/>
          <w:sz w:val="24"/>
        </w:rPr>
        <w:t> </w:t>
      </w:r>
      <w:r>
        <w:rPr>
          <w:sz w:val="24"/>
        </w:rPr>
        <w:t>constants</w:t>
      </w:r>
      <w:r>
        <w:rPr>
          <w:spacing w:val="1"/>
          <w:sz w:val="24"/>
        </w:rPr>
        <w:t> </w:t>
      </w:r>
      <w:r>
        <w:rPr>
          <w:sz w:val="24"/>
        </w:rPr>
        <w:t>and</w:t>
      </w:r>
      <w:r>
        <w:rPr>
          <w:spacing w:val="-2"/>
          <w:sz w:val="24"/>
        </w:rPr>
        <w:t> </w:t>
      </w:r>
      <w:r>
        <w:rPr>
          <w:sz w:val="24"/>
        </w:rPr>
        <w:t>correlation</w:t>
      </w:r>
      <w:r>
        <w:rPr>
          <w:spacing w:val="-1"/>
          <w:sz w:val="24"/>
        </w:rPr>
        <w:t> </w:t>
      </w:r>
      <w:r>
        <w:rPr>
          <w:spacing w:val="-2"/>
          <w:sz w:val="24"/>
        </w:rPr>
        <w:t>coefficients</w:t>
      </w:r>
    </w:p>
    <w:p>
      <w:pPr>
        <w:pStyle w:val="BodyText"/>
        <w:tabs>
          <w:tab w:pos="8964" w:val="right" w:leader="none"/>
        </w:tabs>
        <w:spacing w:before="137"/>
        <w:ind w:left="1582"/>
      </w:pPr>
      <w:r>
        <w:rPr/>
        <w:t>for</w:t>
      </w:r>
      <w:r>
        <w:rPr>
          <w:spacing w:val="-3"/>
        </w:rPr>
        <w:t> </w:t>
      </w:r>
      <w:r>
        <w:rPr/>
        <w:t>tablets</w:t>
      </w:r>
      <w:r>
        <w:rPr>
          <w:spacing w:val="1"/>
        </w:rPr>
        <w:t> </w:t>
      </w:r>
      <w:r>
        <w:rPr/>
        <w:t>prepared</w:t>
      </w:r>
      <w:r>
        <w:rPr>
          <w:spacing w:val="-1"/>
        </w:rPr>
        <w:t> </w:t>
      </w:r>
      <w:r>
        <w:rPr/>
        <w:t>by</w:t>
      </w:r>
      <w:r>
        <w:rPr>
          <w:spacing w:val="-5"/>
        </w:rPr>
        <w:t> </w:t>
      </w:r>
      <w:r>
        <w:rPr/>
        <w:t>direct</w:t>
      </w:r>
      <w:r>
        <w:rPr>
          <w:spacing w:val="-1"/>
        </w:rPr>
        <w:t> </w:t>
      </w:r>
      <w:r>
        <w:rPr/>
        <w:t>compression and wet</w:t>
      </w:r>
      <w:r>
        <w:rPr>
          <w:spacing w:val="2"/>
        </w:rPr>
        <w:t> </w:t>
      </w:r>
      <w:r>
        <w:rPr>
          <w:spacing w:val="-2"/>
        </w:rPr>
        <w:t>granulation</w:t>
      </w:r>
      <w:r>
        <w:rPr/>
        <w:tab/>
      </w:r>
      <w:r>
        <w:rPr>
          <w:spacing w:val="-5"/>
        </w:rPr>
        <w:t>152</w:t>
      </w:r>
    </w:p>
    <w:p>
      <w:pPr>
        <w:spacing w:after="0"/>
        <w:sectPr>
          <w:pgSz w:w="12240" w:h="15840"/>
          <w:pgMar w:header="0" w:footer="1068" w:top="1360" w:bottom="1260" w:left="1420" w:right="420"/>
        </w:sectPr>
      </w:pPr>
    </w:p>
    <w:p>
      <w:pPr>
        <w:pStyle w:val="BodyText"/>
        <w:spacing w:before="169"/>
      </w:pPr>
      <w:r>
        <w:rPr/>
        <mc:AlternateContent>
          <mc:Choice Requires="wps">
            <w:drawing>
              <wp:anchor distT="0" distB="0" distL="0" distR="0" allowOverlap="1" layoutInCell="1" locked="0" behindDoc="1" simplePos="0" relativeHeight="482911232">
                <wp:simplePos x="0" y="0"/>
                <wp:positionH relativeFrom="page">
                  <wp:posOffset>-1402226</wp:posOffset>
                </wp:positionH>
                <wp:positionV relativeFrom="page">
                  <wp:posOffset>4612234</wp:posOffset>
                </wp:positionV>
                <wp:extent cx="10685780" cy="914400"/>
                <wp:effectExtent l="0" t="0" r="0" b="0"/>
                <wp:wrapNone/>
                <wp:docPr id="19" name="Textbox 19"/>
                <wp:cNvGraphicFramePr>
                  <a:graphicFrameLocks/>
                </wp:cNvGraphicFramePr>
                <a:graphic>
                  <a:graphicData uri="http://schemas.microsoft.com/office/word/2010/wordprocessingShape">
                    <wps:wsp>
                      <wps:cNvPr id="19" name="Textbox 1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524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Heading2"/>
        <w:ind w:left="0" w:right="1206"/>
        <w:jc w:val="center"/>
      </w:pPr>
      <w:bookmarkStart w:name="_TOC_250127" w:id="6"/>
      <w:r>
        <w:rPr/>
        <w:t>LIST OF</w:t>
      </w:r>
      <w:r>
        <w:rPr>
          <w:spacing w:val="-3"/>
        </w:rPr>
        <w:t> </w:t>
      </w:r>
      <w:bookmarkEnd w:id="6"/>
      <w:r>
        <w:rPr>
          <w:spacing w:val="-2"/>
        </w:rPr>
        <w:t>FIGURES</w:t>
      </w:r>
    </w:p>
    <w:p>
      <w:pPr>
        <w:pStyle w:val="ListParagraph"/>
        <w:numPr>
          <w:ilvl w:val="1"/>
          <w:numId w:val="15"/>
        </w:numPr>
        <w:tabs>
          <w:tab w:pos="2122" w:val="left" w:leader="none"/>
          <w:tab w:pos="8604" w:val="left" w:leader="none"/>
        </w:tabs>
        <w:spacing w:line="360" w:lineRule="auto" w:before="581" w:after="0"/>
        <w:ind w:left="2122" w:right="1534" w:hanging="1440"/>
        <w:jc w:val="left"/>
        <w:rPr>
          <w:sz w:val="24"/>
        </w:rPr>
      </w:pPr>
      <w:r>
        <w:rPr>
          <w:i/>
          <w:w w:val="105"/>
          <w:sz w:val="24"/>
        </w:rPr>
        <w:t>Mucuna pruriens </w:t>
      </w:r>
      <w:r>
        <w:rPr>
          <w:w w:val="105"/>
          <w:sz w:val="24"/>
        </w:rPr>
        <w:t>growing on trees at Tosa village near Moniya, Ibadan, Nigeria</w:t>
      </w:r>
      <w:r>
        <w:rPr>
          <w:sz w:val="24"/>
        </w:rPr>
        <w:tab/>
      </w:r>
      <w:r>
        <w:rPr>
          <w:spacing w:val="-6"/>
          <w:w w:val="105"/>
          <w:sz w:val="24"/>
        </w:rPr>
        <w:t>25</w:t>
      </w:r>
    </w:p>
    <w:p>
      <w:pPr>
        <w:pStyle w:val="ListParagraph"/>
        <w:numPr>
          <w:ilvl w:val="1"/>
          <w:numId w:val="15"/>
        </w:numPr>
        <w:tabs>
          <w:tab w:pos="2122" w:val="left" w:leader="none"/>
        </w:tabs>
        <w:spacing w:line="240" w:lineRule="auto" w:before="0" w:after="0"/>
        <w:ind w:left="2122" w:right="0" w:hanging="1440"/>
        <w:jc w:val="left"/>
        <w:rPr>
          <w:sz w:val="24"/>
        </w:rPr>
      </w:pPr>
      <w:r>
        <w:rPr>
          <w:i/>
          <w:w w:val="105"/>
          <w:sz w:val="24"/>
        </w:rPr>
        <w:t>Mucuna</w:t>
      </w:r>
      <w:r>
        <w:rPr>
          <w:i/>
          <w:spacing w:val="20"/>
          <w:w w:val="105"/>
          <w:sz w:val="24"/>
        </w:rPr>
        <w:t> </w:t>
      </w:r>
      <w:r>
        <w:rPr>
          <w:i/>
          <w:w w:val="105"/>
          <w:sz w:val="24"/>
        </w:rPr>
        <w:t>pruriens</w:t>
      </w:r>
      <w:r>
        <w:rPr>
          <w:i/>
          <w:spacing w:val="22"/>
          <w:w w:val="105"/>
          <w:sz w:val="24"/>
        </w:rPr>
        <w:t> </w:t>
      </w:r>
      <w:r>
        <w:rPr>
          <w:w w:val="105"/>
          <w:sz w:val="24"/>
        </w:rPr>
        <w:t>climber</w:t>
      </w:r>
      <w:r>
        <w:rPr>
          <w:spacing w:val="21"/>
          <w:w w:val="105"/>
          <w:sz w:val="24"/>
        </w:rPr>
        <w:t> </w:t>
      </w:r>
      <w:r>
        <w:rPr>
          <w:w w:val="105"/>
          <w:sz w:val="24"/>
        </w:rPr>
        <w:t>in</w:t>
      </w:r>
      <w:r>
        <w:rPr>
          <w:spacing w:val="21"/>
          <w:w w:val="105"/>
          <w:sz w:val="24"/>
        </w:rPr>
        <w:t> </w:t>
      </w:r>
      <w:r>
        <w:rPr>
          <w:w w:val="105"/>
          <w:sz w:val="24"/>
        </w:rPr>
        <w:t>natural</w:t>
      </w:r>
      <w:r>
        <w:rPr>
          <w:spacing w:val="17"/>
          <w:w w:val="105"/>
          <w:sz w:val="24"/>
        </w:rPr>
        <w:t> </w:t>
      </w:r>
      <w:r>
        <w:rPr>
          <w:w w:val="105"/>
          <w:sz w:val="24"/>
        </w:rPr>
        <w:t>habitat</w:t>
      </w:r>
      <w:r>
        <w:rPr>
          <w:spacing w:val="23"/>
          <w:w w:val="105"/>
          <w:sz w:val="24"/>
        </w:rPr>
        <w:t> </w:t>
      </w:r>
      <w:r>
        <w:rPr>
          <w:w w:val="105"/>
          <w:sz w:val="24"/>
        </w:rPr>
        <w:t>with</w:t>
      </w:r>
      <w:r>
        <w:rPr>
          <w:spacing w:val="21"/>
          <w:w w:val="105"/>
          <w:sz w:val="24"/>
        </w:rPr>
        <w:t> </w:t>
      </w:r>
      <w:r>
        <w:rPr>
          <w:spacing w:val="-2"/>
          <w:w w:val="105"/>
          <w:sz w:val="24"/>
        </w:rPr>
        <w:t>hanging</w:t>
      </w:r>
    </w:p>
    <w:p>
      <w:pPr>
        <w:pStyle w:val="BodyText"/>
        <w:tabs>
          <w:tab w:pos="8604" w:val="left" w:leader="none"/>
        </w:tabs>
        <w:spacing w:before="137"/>
        <w:ind w:left="2153"/>
      </w:pPr>
      <w:r>
        <w:rPr>
          <w:w w:val="105"/>
        </w:rPr>
        <w:t>bunch</w:t>
      </w:r>
      <w:r>
        <w:rPr>
          <w:spacing w:val="16"/>
          <w:w w:val="105"/>
        </w:rPr>
        <w:t> </w:t>
      </w:r>
      <w:r>
        <w:rPr>
          <w:w w:val="105"/>
        </w:rPr>
        <w:t>of</w:t>
      </w:r>
      <w:r>
        <w:rPr>
          <w:spacing w:val="18"/>
          <w:w w:val="105"/>
        </w:rPr>
        <w:t> </w:t>
      </w:r>
      <w:r>
        <w:rPr>
          <w:w w:val="105"/>
        </w:rPr>
        <w:t>pods</w:t>
      </w:r>
      <w:r>
        <w:rPr>
          <w:spacing w:val="15"/>
          <w:w w:val="105"/>
        </w:rPr>
        <w:t> </w:t>
      </w:r>
      <w:r>
        <w:rPr>
          <w:w w:val="105"/>
        </w:rPr>
        <w:t>in</w:t>
      </w:r>
      <w:r>
        <w:rPr>
          <w:spacing w:val="18"/>
          <w:w w:val="105"/>
        </w:rPr>
        <w:t> </w:t>
      </w:r>
      <w:r>
        <w:rPr>
          <w:w w:val="105"/>
        </w:rPr>
        <w:t>Abeokuta,</w:t>
      </w:r>
      <w:r>
        <w:rPr>
          <w:spacing w:val="19"/>
          <w:w w:val="105"/>
        </w:rPr>
        <w:t> </w:t>
      </w:r>
      <w:r>
        <w:rPr>
          <w:spacing w:val="-2"/>
          <w:w w:val="105"/>
        </w:rPr>
        <w:t>Nigeria.</w:t>
      </w:r>
      <w:r>
        <w:rPr/>
        <w:tab/>
      </w:r>
      <w:r>
        <w:rPr>
          <w:spacing w:val="-5"/>
          <w:w w:val="105"/>
        </w:rPr>
        <w:t>26</w:t>
      </w:r>
    </w:p>
    <w:p>
      <w:pPr>
        <w:pStyle w:val="ListParagraph"/>
        <w:numPr>
          <w:ilvl w:val="1"/>
          <w:numId w:val="15"/>
        </w:numPr>
        <w:tabs>
          <w:tab w:pos="2122" w:val="left" w:leader="none"/>
          <w:tab w:pos="8604" w:val="left" w:leader="none"/>
        </w:tabs>
        <w:spacing w:line="240" w:lineRule="auto" w:before="139" w:after="0"/>
        <w:ind w:left="2122" w:right="0" w:hanging="1440"/>
        <w:jc w:val="left"/>
        <w:rPr>
          <w:sz w:val="24"/>
        </w:rPr>
      </w:pPr>
      <w:r>
        <w:rPr>
          <w:sz w:val="24"/>
        </w:rPr>
        <w:t>Schematic</w:t>
      </w:r>
      <w:r>
        <w:rPr>
          <w:spacing w:val="-3"/>
          <w:sz w:val="24"/>
        </w:rPr>
        <w:t> </w:t>
      </w:r>
      <w:r>
        <w:rPr>
          <w:sz w:val="24"/>
        </w:rPr>
        <w:t>diagram</w:t>
      </w:r>
      <w:r>
        <w:rPr>
          <w:spacing w:val="-1"/>
          <w:sz w:val="24"/>
        </w:rPr>
        <w:t> </w:t>
      </w:r>
      <w:r>
        <w:rPr>
          <w:sz w:val="24"/>
        </w:rPr>
        <w:t>of</w:t>
      </w:r>
      <w:r>
        <w:rPr>
          <w:spacing w:val="-1"/>
          <w:sz w:val="24"/>
        </w:rPr>
        <w:t> </w:t>
      </w:r>
      <w:r>
        <w:rPr>
          <w:sz w:val="24"/>
        </w:rPr>
        <w:t>the</w:t>
      </w:r>
      <w:r>
        <w:rPr>
          <w:spacing w:val="-2"/>
          <w:sz w:val="24"/>
        </w:rPr>
        <w:t> </w:t>
      </w:r>
      <w:r>
        <w:rPr>
          <w:sz w:val="24"/>
        </w:rPr>
        <w:t>oxidative</w:t>
      </w:r>
      <w:r>
        <w:rPr>
          <w:spacing w:val="-1"/>
          <w:sz w:val="24"/>
        </w:rPr>
        <w:t> </w:t>
      </w:r>
      <w:r>
        <w:rPr>
          <w:sz w:val="24"/>
        </w:rPr>
        <w:t>reactions</w:t>
      </w:r>
      <w:r>
        <w:rPr>
          <w:spacing w:val="-1"/>
          <w:sz w:val="24"/>
        </w:rPr>
        <w:t> </w:t>
      </w:r>
      <w:r>
        <w:rPr>
          <w:sz w:val="24"/>
        </w:rPr>
        <w:t>of </w:t>
      </w:r>
      <w:r>
        <w:rPr>
          <w:spacing w:val="-2"/>
          <w:sz w:val="24"/>
        </w:rPr>
        <w:t>alloxan</w:t>
      </w:r>
      <w:r>
        <w:rPr>
          <w:sz w:val="24"/>
        </w:rPr>
        <w:tab/>
      </w:r>
      <w:r>
        <w:rPr>
          <w:spacing w:val="-5"/>
          <w:sz w:val="24"/>
        </w:rPr>
        <w:t>36</w:t>
      </w:r>
    </w:p>
    <w:p>
      <w:pPr>
        <w:pStyle w:val="ListParagraph"/>
        <w:numPr>
          <w:ilvl w:val="1"/>
          <w:numId w:val="15"/>
        </w:numPr>
        <w:tabs>
          <w:tab w:pos="2122" w:val="left" w:leader="none"/>
          <w:tab w:pos="8604" w:val="left" w:leader="none"/>
        </w:tabs>
        <w:spacing w:line="240" w:lineRule="auto" w:before="137" w:after="0"/>
        <w:ind w:left="2122" w:right="0" w:hanging="1440"/>
        <w:jc w:val="left"/>
        <w:rPr>
          <w:sz w:val="24"/>
        </w:rPr>
      </w:pPr>
      <w:r>
        <w:rPr>
          <w:sz w:val="24"/>
        </w:rPr>
        <w:t>Stages</w:t>
      </w:r>
      <w:r>
        <w:rPr>
          <w:spacing w:val="-1"/>
          <w:sz w:val="24"/>
        </w:rPr>
        <w:t> </w:t>
      </w:r>
      <w:r>
        <w:rPr>
          <w:sz w:val="24"/>
        </w:rPr>
        <w:t>in the</w:t>
      </w:r>
      <w:r>
        <w:rPr>
          <w:spacing w:val="-1"/>
          <w:sz w:val="24"/>
        </w:rPr>
        <w:t> </w:t>
      </w:r>
      <w:r>
        <w:rPr>
          <w:sz w:val="24"/>
        </w:rPr>
        <w:t>development</w:t>
      </w:r>
      <w:r>
        <w:rPr>
          <w:spacing w:val="-1"/>
          <w:sz w:val="24"/>
        </w:rPr>
        <w:t> </w:t>
      </w:r>
      <w:r>
        <w:rPr>
          <w:sz w:val="24"/>
        </w:rPr>
        <w:t>of moist </w:t>
      </w:r>
      <w:r>
        <w:rPr>
          <w:spacing w:val="-2"/>
          <w:sz w:val="24"/>
        </w:rPr>
        <w:t>granules</w:t>
      </w:r>
      <w:r>
        <w:rPr>
          <w:sz w:val="24"/>
        </w:rPr>
        <w:tab/>
      </w:r>
      <w:r>
        <w:rPr>
          <w:spacing w:val="-5"/>
          <w:sz w:val="24"/>
        </w:rPr>
        <w:t>50</w:t>
      </w:r>
    </w:p>
    <w:p>
      <w:pPr>
        <w:pStyle w:val="ListParagraph"/>
        <w:numPr>
          <w:ilvl w:val="1"/>
          <w:numId w:val="15"/>
        </w:numPr>
        <w:tabs>
          <w:tab w:pos="2122" w:val="left" w:leader="none"/>
        </w:tabs>
        <w:spacing w:line="240" w:lineRule="auto" w:before="139" w:after="0"/>
        <w:ind w:left="2122" w:right="0" w:hanging="1440"/>
        <w:jc w:val="left"/>
        <w:rPr>
          <w:sz w:val="24"/>
        </w:rPr>
      </w:pPr>
      <w:r>
        <w:rPr>
          <w:sz w:val="24"/>
        </w:rPr>
        <w:t>Change</w:t>
      </w:r>
      <w:r>
        <w:rPr>
          <w:spacing w:val="-2"/>
          <w:sz w:val="24"/>
        </w:rPr>
        <w:t> </w:t>
      </w:r>
      <w:r>
        <w:rPr>
          <w:sz w:val="24"/>
        </w:rPr>
        <w:t>in toque</w:t>
      </w:r>
      <w:r>
        <w:rPr>
          <w:spacing w:val="-1"/>
          <w:sz w:val="24"/>
        </w:rPr>
        <w:t> </w:t>
      </w:r>
      <w:r>
        <w:rPr>
          <w:sz w:val="24"/>
        </w:rPr>
        <w:t>of</w:t>
      </w:r>
      <w:r>
        <w:rPr>
          <w:spacing w:val="-1"/>
          <w:sz w:val="24"/>
        </w:rPr>
        <w:t> </w:t>
      </w:r>
      <w:r>
        <w:rPr>
          <w:sz w:val="24"/>
        </w:rPr>
        <w:t>mixer shaft during</w:t>
      </w:r>
      <w:r>
        <w:rPr>
          <w:spacing w:val="-4"/>
          <w:sz w:val="24"/>
        </w:rPr>
        <w:t> </w:t>
      </w:r>
      <w:r>
        <w:rPr>
          <w:sz w:val="24"/>
        </w:rPr>
        <w:t>addition of</w:t>
      </w:r>
      <w:r>
        <w:rPr>
          <w:spacing w:val="1"/>
          <w:sz w:val="24"/>
        </w:rPr>
        <w:t> </w:t>
      </w:r>
      <w:r>
        <w:rPr>
          <w:spacing w:val="-2"/>
          <w:sz w:val="24"/>
        </w:rPr>
        <w:t>granulating</w:t>
      </w:r>
    </w:p>
    <w:p>
      <w:pPr>
        <w:pStyle w:val="BodyText"/>
        <w:tabs>
          <w:tab w:pos="8604" w:val="left" w:leader="none"/>
        </w:tabs>
        <w:spacing w:before="137"/>
        <w:ind w:left="2122"/>
      </w:pPr>
      <w:r>
        <w:rPr>
          <w:spacing w:val="-2"/>
        </w:rPr>
        <w:t>fluid</w:t>
      </w:r>
      <w:r>
        <w:rPr/>
        <w:tab/>
      </w:r>
      <w:r>
        <w:rPr>
          <w:spacing w:val="-5"/>
        </w:rPr>
        <w:t>53</w:t>
      </w:r>
    </w:p>
    <w:p>
      <w:pPr>
        <w:pStyle w:val="ListParagraph"/>
        <w:numPr>
          <w:ilvl w:val="1"/>
          <w:numId w:val="15"/>
        </w:numPr>
        <w:tabs>
          <w:tab w:pos="2122" w:val="left" w:leader="none"/>
          <w:tab w:pos="8604" w:val="left" w:leader="none"/>
        </w:tabs>
        <w:spacing w:line="240" w:lineRule="auto" w:before="139" w:after="0"/>
        <w:ind w:left="2122" w:right="0" w:hanging="1440"/>
        <w:jc w:val="left"/>
        <w:rPr>
          <w:sz w:val="24"/>
        </w:rPr>
      </w:pPr>
      <w:r>
        <w:rPr>
          <w:sz w:val="24"/>
        </w:rPr>
        <w:t>Stages</w:t>
      </w:r>
      <w:r>
        <w:rPr>
          <w:spacing w:val="-2"/>
          <w:sz w:val="24"/>
        </w:rPr>
        <w:t> </w:t>
      </w:r>
      <w:r>
        <w:rPr>
          <w:sz w:val="24"/>
        </w:rPr>
        <w:t>involved</w:t>
      </w:r>
      <w:r>
        <w:rPr>
          <w:spacing w:val="-1"/>
          <w:sz w:val="24"/>
        </w:rPr>
        <w:t> </w:t>
      </w:r>
      <w:r>
        <w:rPr>
          <w:sz w:val="24"/>
        </w:rPr>
        <w:t>in</w:t>
      </w:r>
      <w:r>
        <w:rPr>
          <w:spacing w:val="-2"/>
          <w:sz w:val="24"/>
        </w:rPr>
        <w:t> </w:t>
      </w:r>
      <w:r>
        <w:rPr>
          <w:sz w:val="24"/>
        </w:rPr>
        <w:t>compression</w:t>
      </w:r>
      <w:r>
        <w:rPr>
          <w:spacing w:val="-1"/>
          <w:sz w:val="24"/>
        </w:rPr>
        <w:t> </w:t>
      </w:r>
      <w:r>
        <w:rPr>
          <w:sz w:val="24"/>
        </w:rPr>
        <w:t>(I-IV)</w:t>
      </w:r>
      <w:r>
        <w:rPr>
          <w:spacing w:val="-2"/>
          <w:sz w:val="24"/>
        </w:rPr>
        <w:t> </w:t>
      </w:r>
      <w:r>
        <w:rPr>
          <w:sz w:val="24"/>
        </w:rPr>
        <w:t>and</w:t>
      </w:r>
      <w:r>
        <w:rPr>
          <w:spacing w:val="-1"/>
          <w:sz w:val="24"/>
        </w:rPr>
        <w:t> </w:t>
      </w:r>
      <w:r>
        <w:rPr>
          <w:spacing w:val="-2"/>
          <w:sz w:val="24"/>
        </w:rPr>
        <w:t>decompression</w:t>
      </w:r>
      <w:r>
        <w:rPr>
          <w:sz w:val="24"/>
        </w:rPr>
        <w:tab/>
      </w:r>
      <w:r>
        <w:rPr>
          <w:spacing w:val="-5"/>
          <w:sz w:val="24"/>
        </w:rPr>
        <w:t>54</w:t>
      </w:r>
    </w:p>
    <w:p>
      <w:pPr>
        <w:pStyle w:val="ListParagraph"/>
        <w:numPr>
          <w:ilvl w:val="1"/>
          <w:numId w:val="16"/>
        </w:numPr>
        <w:tabs>
          <w:tab w:pos="2062" w:val="left" w:leader="none"/>
          <w:tab w:pos="2122" w:val="left" w:leader="none"/>
        </w:tabs>
        <w:spacing w:line="360" w:lineRule="auto" w:before="137" w:after="0"/>
        <w:ind w:left="2062" w:right="2436" w:hanging="1380"/>
        <w:jc w:val="left"/>
        <w:rPr>
          <w:sz w:val="24"/>
        </w:rPr>
      </w:pPr>
      <w:r>
        <w:rPr>
          <w:sz w:val="24"/>
        </w:rPr>
        <w:tab/>
        <w:t>Plots of the effects of various doses of ethanol extract and Glibenclamide</w:t>
      </w:r>
      <w:r>
        <w:rPr>
          <w:spacing w:val="-4"/>
          <w:sz w:val="24"/>
        </w:rPr>
        <w:t> </w:t>
      </w:r>
      <w:r>
        <w:rPr>
          <w:sz w:val="24"/>
        </w:rPr>
        <w:t>on</w:t>
      </w:r>
      <w:r>
        <w:rPr>
          <w:spacing w:val="-4"/>
          <w:sz w:val="24"/>
        </w:rPr>
        <w:t> </w:t>
      </w:r>
      <w:r>
        <w:rPr>
          <w:sz w:val="24"/>
        </w:rPr>
        <w:t>diabetic</w:t>
      </w:r>
      <w:r>
        <w:rPr>
          <w:spacing w:val="-5"/>
          <w:sz w:val="24"/>
        </w:rPr>
        <w:t> </w:t>
      </w:r>
      <w:r>
        <w:rPr>
          <w:sz w:val="24"/>
        </w:rPr>
        <w:t>rats</w:t>
      </w:r>
      <w:r>
        <w:rPr>
          <w:spacing w:val="-4"/>
          <w:sz w:val="24"/>
        </w:rPr>
        <w:t> </w:t>
      </w:r>
      <w:r>
        <w:rPr>
          <w:sz w:val="24"/>
        </w:rPr>
        <w:t>with</w:t>
      </w:r>
      <w:r>
        <w:rPr>
          <w:spacing w:val="-4"/>
          <w:sz w:val="24"/>
        </w:rPr>
        <w:t> </w:t>
      </w:r>
      <w:r>
        <w:rPr>
          <w:sz w:val="24"/>
        </w:rPr>
        <w:t>time</w:t>
      </w:r>
      <w:r>
        <w:rPr>
          <w:spacing w:val="-4"/>
          <w:sz w:val="24"/>
        </w:rPr>
        <w:t> </w:t>
      </w:r>
      <w:r>
        <w:rPr>
          <w:sz w:val="24"/>
        </w:rPr>
        <w:t>in</w:t>
      </w:r>
      <w:r>
        <w:rPr>
          <w:spacing w:val="-4"/>
          <w:sz w:val="24"/>
        </w:rPr>
        <w:t> </w:t>
      </w:r>
      <w:r>
        <w:rPr>
          <w:sz w:val="24"/>
        </w:rPr>
        <w:t>the</w:t>
      </w:r>
      <w:r>
        <w:rPr>
          <w:spacing w:val="-4"/>
          <w:sz w:val="24"/>
        </w:rPr>
        <w:t> </w:t>
      </w:r>
      <w:r>
        <w:rPr>
          <w:sz w:val="24"/>
        </w:rPr>
        <w:t>assessment</w:t>
      </w:r>
      <w:r>
        <w:rPr>
          <w:spacing w:val="-4"/>
          <w:sz w:val="24"/>
        </w:rPr>
        <w:t> </w:t>
      </w:r>
      <w:r>
        <w:rPr>
          <w:sz w:val="24"/>
        </w:rPr>
        <w:t>of</w:t>
      </w:r>
    </w:p>
    <w:p>
      <w:pPr>
        <w:pStyle w:val="BodyText"/>
        <w:tabs>
          <w:tab w:pos="8604" w:val="left" w:leader="none"/>
        </w:tabs>
        <w:ind w:left="2122"/>
      </w:pPr>
      <w:r>
        <w:rPr/>
        <w:t>the</w:t>
      </w:r>
      <w:r>
        <w:rPr>
          <w:spacing w:val="-2"/>
        </w:rPr>
        <w:t> </w:t>
      </w:r>
      <w:r>
        <w:rPr/>
        <w:t>acute</w:t>
      </w:r>
      <w:r>
        <w:rPr>
          <w:spacing w:val="-1"/>
        </w:rPr>
        <w:t> </w:t>
      </w:r>
      <w:r>
        <w:rPr/>
        <w:t>anti-diabetic</w:t>
      </w:r>
      <w:r>
        <w:rPr>
          <w:spacing w:val="-2"/>
        </w:rPr>
        <w:t> investigation.</w:t>
      </w:r>
      <w:r>
        <w:rPr/>
        <w:tab/>
      </w:r>
      <w:r>
        <w:rPr>
          <w:spacing w:val="-5"/>
        </w:rPr>
        <w:t>87</w:t>
      </w:r>
    </w:p>
    <w:p>
      <w:pPr>
        <w:pStyle w:val="ListParagraph"/>
        <w:numPr>
          <w:ilvl w:val="1"/>
          <w:numId w:val="16"/>
        </w:numPr>
        <w:tabs>
          <w:tab w:pos="2122" w:val="left" w:leader="none"/>
          <w:tab w:pos="2182" w:val="left" w:leader="none"/>
        </w:tabs>
        <w:spacing w:line="360" w:lineRule="auto" w:before="140" w:after="0"/>
        <w:ind w:left="2182" w:right="2509" w:hanging="1500"/>
        <w:jc w:val="left"/>
        <w:rPr>
          <w:sz w:val="24"/>
        </w:rPr>
      </w:pPr>
      <w:r>
        <w:rPr>
          <w:sz w:val="24"/>
        </w:rPr>
        <w:t>Plots of the effects of various doses of extract, and glibenclamide</w:t>
      </w:r>
      <w:r>
        <w:rPr>
          <w:spacing w:val="-4"/>
          <w:sz w:val="24"/>
        </w:rPr>
        <w:t> </w:t>
      </w:r>
      <w:r>
        <w:rPr>
          <w:sz w:val="24"/>
        </w:rPr>
        <w:t>on</w:t>
      </w:r>
      <w:r>
        <w:rPr>
          <w:spacing w:val="-4"/>
          <w:sz w:val="24"/>
        </w:rPr>
        <w:t> </w:t>
      </w:r>
      <w:r>
        <w:rPr>
          <w:sz w:val="24"/>
        </w:rPr>
        <w:t>diabetic</w:t>
      </w:r>
      <w:r>
        <w:rPr>
          <w:spacing w:val="-5"/>
          <w:sz w:val="24"/>
        </w:rPr>
        <w:t> </w:t>
      </w:r>
      <w:r>
        <w:rPr>
          <w:sz w:val="24"/>
        </w:rPr>
        <w:t>rats</w:t>
      </w:r>
      <w:r>
        <w:rPr>
          <w:spacing w:val="-4"/>
          <w:sz w:val="24"/>
        </w:rPr>
        <w:t> </w:t>
      </w:r>
      <w:r>
        <w:rPr>
          <w:sz w:val="24"/>
        </w:rPr>
        <w:t>with</w:t>
      </w:r>
      <w:r>
        <w:rPr>
          <w:spacing w:val="-4"/>
          <w:sz w:val="24"/>
        </w:rPr>
        <w:t> </w:t>
      </w:r>
      <w:r>
        <w:rPr>
          <w:sz w:val="24"/>
        </w:rPr>
        <w:t>time</w:t>
      </w:r>
      <w:r>
        <w:rPr>
          <w:spacing w:val="-5"/>
          <w:sz w:val="24"/>
        </w:rPr>
        <w:t> </w:t>
      </w:r>
      <w:r>
        <w:rPr>
          <w:sz w:val="24"/>
        </w:rPr>
        <w:t>in</w:t>
      </w:r>
      <w:r>
        <w:rPr>
          <w:spacing w:val="-4"/>
          <w:sz w:val="24"/>
        </w:rPr>
        <w:t> </w:t>
      </w:r>
      <w:r>
        <w:rPr>
          <w:sz w:val="24"/>
        </w:rPr>
        <w:t>the</w:t>
      </w:r>
      <w:r>
        <w:rPr>
          <w:spacing w:val="80"/>
          <w:sz w:val="24"/>
        </w:rPr>
        <w:t> </w:t>
      </w:r>
      <w:r>
        <w:rPr>
          <w:sz w:val="24"/>
        </w:rPr>
        <w:t>assessment</w:t>
      </w:r>
    </w:p>
    <w:p>
      <w:pPr>
        <w:pStyle w:val="BodyText"/>
        <w:tabs>
          <w:tab w:pos="8604" w:val="left" w:leader="none"/>
        </w:tabs>
        <w:ind w:left="2122"/>
      </w:pPr>
      <w:r>
        <w:rPr/>
        <w:t>of</w:t>
      </w:r>
      <w:r>
        <w:rPr>
          <w:spacing w:val="-2"/>
        </w:rPr>
        <w:t> </w:t>
      </w:r>
      <w:r>
        <w:rPr/>
        <w:t>the</w:t>
      </w:r>
      <w:r>
        <w:rPr>
          <w:spacing w:val="-1"/>
        </w:rPr>
        <w:t> </w:t>
      </w:r>
      <w:r>
        <w:rPr/>
        <w:t>chronic anti-diabetic </w:t>
      </w:r>
      <w:r>
        <w:rPr>
          <w:spacing w:val="-2"/>
        </w:rPr>
        <w:t>investigation</w:t>
      </w:r>
      <w:r>
        <w:rPr/>
        <w:tab/>
      </w:r>
      <w:r>
        <w:rPr>
          <w:spacing w:val="-5"/>
        </w:rPr>
        <w:t>90</w:t>
      </w:r>
    </w:p>
    <w:p>
      <w:pPr>
        <w:pStyle w:val="BodyText"/>
        <w:tabs>
          <w:tab w:pos="2122" w:val="left" w:leader="none"/>
        </w:tabs>
        <w:spacing w:before="137"/>
        <w:ind w:left="682"/>
      </w:pPr>
      <w:r>
        <w:rPr>
          <w:spacing w:val="-5"/>
        </w:rPr>
        <w:t>3.2</w:t>
      </w:r>
      <w:r>
        <w:rPr/>
        <w:tab/>
        <w:t>Plots</w:t>
      </w:r>
      <w:r>
        <w:rPr>
          <w:spacing w:val="-1"/>
        </w:rPr>
        <w:t> </w:t>
      </w:r>
      <w:r>
        <w:rPr/>
        <w:t>of</w:t>
      </w:r>
      <w:r>
        <w:rPr>
          <w:spacing w:val="-1"/>
        </w:rPr>
        <w:t> </w:t>
      </w:r>
      <w:r>
        <w:rPr/>
        <w:t>the</w:t>
      </w:r>
      <w:r>
        <w:rPr>
          <w:spacing w:val="-2"/>
        </w:rPr>
        <w:t> </w:t>
      </w:r>
      <w:r>
        <w:rPr/>
        <w:t>weight variations</w:t>
      </w:r>
      <w:r>
        <w:rPr>
          <w:spacing w:val="-1"/>
        </w:rPr>
        <w:t> </w:t>
      </w:r>
      <w:r>
        <w:rPr/>
        <w:t>with time</w:t>
      </w:r>
      <w:r>
        <w:rPr>
          <w:spacing w:val="-1"/>
        </w:rPr>
        <w:t> </w:t>
      </w:r>
      <w:r>
        <w:rPr/>
        <w:t>on</w:t>
      </w:r>
      <w:r>
        <w:rPr>
          <w:spacing w:val="-1"/>
        </w:rPr>
        <w:t> </w:t>
      </w:r>
      <w:r>
        <w:rPr/>
        <w:t>the</w:t>
      </w:r>
      <w:r>
        <w:rPr>
          <w:spacing w:val="-2"/>
        </w:rPr>
        <w:t> </w:t>
      </w:r>
      <w:r>
        <w:rPr/>
        <w:t>diabetic</w:t>
      </w:r>
      <w:r>
        <w:rPr>
          <w:spacing w:val="-2"/>
        </w:rPr>
        <w:t> </w:t>
      </w:r>
      <w:r>
        <w:rPr/>
        <w:t>rats </w:t>
      </w:r>
      <w:r>
        <w:rPr>
          <w:spacing w:val="-5"/>
        </w:rPr>
        <w:t>at</w:t>
      </w:r>
    </w:p>
    <w:p>
      <w:pPr>
        <w:pStyle w:val="BodyText"/>
        <w:tabs>
          <w:tab w:pos="8604" w:val="left" w:leader="none"/>
        </w:tabs>
        <w:spacing w:before="139"/>
        <w:ind w:left="2122"/>
      </w:pPr>
      <w:r>
        <w:rPr/>
        <w:t>the</w:t>
      </w:r>
      <w:r>
        <w:rPr>
          <w:spacing w:val="-1"/>
        </w:rPr>
        <w:t> </w:t>
      </w:r>
      <w:r>
        <w:rPr/>
        <w:t>administration of</w:t>
      </w:r>
      <w:r>
        <w:rPr>
          <w:spacing w:val="-2"/>
        </w:rPr>
        <w:t> </w:t>
      </w:r>
      <w:r>
        <w:rPr/>
        <w:t>drug</w:t>
      </w:r>
      <w:r>
        <w:rPr>
          <w:spacing w:val="-4"/>
        </w:rPr>
        <w:t> </w:t>
      </w:r>
      <w:r>
        <w:rPr/>
        <w:t>and</w:t>
      </w:r>
      <w:r>
        <w:rPr>
          <w:spacing w:val="2"/>
        </w:rPr>
        <w:t> </w:t>
      </w:r>
      <w:r>
        <w:rPr>
          <w:spacing w:val="-2"/>
        </w:rPr>
        <w:t>glibenclamide</w:t>
      </w:r>
      <w:r>
        <w:rPr/>
        <w:tab/>
      </w:r>
      <w:r>
        <w:rPr>
          <w:spacing w:val="-5"/>
        </w:rPr>
        <w:t>94</w:t>
      </w:r>
    </w:p>
    <w:p>
      <w:pPr>
        <w:pStyle w:val="BodyText"/>
        <w:tabs>
          <w:tab w:pos="2182" w:val="left" w:leader="none"/>
        </w:tabs>
        <w:spacing w:before="137"/>
        <w:ind w:left="682"/>
      </w:pPr>
      <w:r>
        <w:rPr/>
        <w:t>3.2 </w:t>
      </w:r>
      <w:r>
        <w:rPr>
          <w:spacing w:val="-10"/>
        </w:rPr>
        <w:t>a</w:t>
      </w:r>
      <w:r>
        <w:rPr/>
        <w:tab/>
        <w:t>Plots</w:t>
      </w:r>
      <w:r>
        <w:rPr>
          <w:spacing w:val="-3"/>
        </w:rPr>
        <w:t> </w:t>
      </w:r>
      <w:r>
        <w:rPr/>
        <w:t>of</w:t>
      </w:r>
      <w:r>
        <w:rPr>
          <w:spacing w:val="-1"/>
        </w:rPr>
        <w:t> </w:t>
      </w:r>
      <w:r>
        <w:rPr/>
        <w:t>the</w:t>
      </w:r>
      <w:r>
        <w:rPr>
          <w:spacing w:val="-2"/>
        </w:rPr>
        <w:t> </w:t>
      </w:r>
      <w:r>
        <w:rPr/>
        <w:t>effects of</w:t>
      </w:r>
      <w:r>
        <w:rPr>
          <w:spacing w:val="-1"/>
        </w:rPr>
        <w:t> </w:t>
      </w:r>
      <w:r>
        <w:rPr/>
        <w:t>doses</w:t>
      </w:r>
      <w:r>
        <w:rPr>
          <w:spacing w:val="-1"/>
        </w:rPr>
        <w:t> </w:t>
      </w:r>
      <w:r>
        <w:rPr/>
        <w:t>of</w:t>
      </w:r>
      <w:r>
        <w:rPr>
          <w:spacing w:val="-1"/>
        </w:rPr>
        <w:t> </w:t>
      </w:r>
      <w:r>
        <w:rPr/>
        <w:t>ethanolic</w:t>
      </w:r>
      <w:r>
        <w:rPr>
          <w:spacing w:val="-1"/>
        </w:rPr>
        <w:t> </w:t>
      </w:r>
      <w:r>
        <w:rPr/>
        <w:t>seed</w:t>
      </w:r>
      <w:r>
        <w:rPr>
          <w:spacing w:val="-1"/>
        </w:rPr>
        <w:t> </w:t>
      </w:r>
      <w:r>
        <w:rPr/>
        <w:t>extract </w:t>
      </w:r>
      <w:r>
        <w:rPr>
          <w:spacing w:val="-5"/>
        </w:rPr>
        <w:t>of</w:t>
      </w:r>
    </w:p>
    <w:p>
      <w:pPr>
        <w:spacing w:before="139"/>
        <w:ind w:left="2122" w:right="0" w:firstLine="0"/>
        <w:jc w:val="left"/>
        <w:rPr>
          <w:sz w:val="24"/>
        </w:rPr>
      </w:pPr>
      <w:r>
        <w:rPr>
          <w:i/>
          <w:sz w:val="24"/>
        </w:rPr>
        <w:t>Mucuna</w:t>
      </w:r>
      <w:r>
        <w:rPr>
          <w:i/>
          <w:spacing w:val="-2"/>
          <w:sz w:val="24"/>
        </w:rPr>
        <w:t> </w:t>
      </w:r>
      <w:r>
        <w:rPr>
          <w:i/>
          <w:sz w:val="24"/>
        </w:rPr>
        <w:t>pruriens</w:t>
      </w:r>
      <w:r>
        <w:rPr>
          <w:i/>
          <w:spacing w:val="-1"/>
          <w:sz w:val="24"/>
        </w:rPr>
        <w:t> </w:t>
      </w:r>
      <w:r>
        <w:rPr>
          <w:sz w:val="24"/>
        </w:rPr>
        <w:t>and glibenclamide</w:t>
      </w:r>
      <w:r>
        <w:rPr>
          <w:spacing w:val="-1"/>
          <w:sz w:val="24"/>
        </w:rPr>
        <w:t> </w:t>
      </w:r>
      <w:r>
        <w:rPr>
          <w:sz w:val="24"/>
        </w:rPr>
        <w:t>on</w:t>
      </w:r>
      <w:r>
        <w:rPr>
          <w:spacing w:val="-1"/>
          <w:sz w:val="24"/>
        </w:rPr>
        <w:t> </w:t>
      </w:r>
      <w:r>
        <w:rPr>
          <w:sz w:val="24"/>
        </w:rPr>
        <w:t>liver</w:t>
      </w:r>
      <w:r>
        <w:rPr>
          <w:spacing w:val="-1"/>
          <w:sz w:val="24"/>
        </w:rPr>
        <w:t> </w:t>
      </w:r>
      <w:r>
        <w:rPr>
          <w:spacing w:val="-2"/>
          <w:sz w:val="24"/>
        </w:rPr>
        <w:t>function</w:t>
      </w:r>
    </w:p>
    <w:p>
      <w:pPr>
        <w:pStyle w:val="BodyText"/>
        <w:tabs>
          <w:tab w:pos="8604" w:val="left" w:leader="none"/>
        </w:tabs>
        <w:spacing w:before="137"/>
        <w:ind w:left="2182"/>
      </w:pPr>
      <w:r>
        <w:rPr/>
        <w:t>test</w:t>
      </w:r>
      <w:r>
        <w:rPr>
          <w:spacing w:val="-2"/>
        </w:rPr>
        <w:t> </w:t>
      </w:r>
      <w:r>
        <w:rPr/>
        <w:t>[(TotalBilirubin</w:t>
      </w:r>
      <w:r>
        <w:rPr>
          <w:spacing w:val="-1"/>
        </w:rPr>
        <w:t> </w:t>
      </w:r>
      <w:r>
        <w:rPr/>
        <w:t>(TB)</w:t>
      </w:r>
      <w:r>
        <w:rPr>
          <w:spacing w:val="-1"/>
        </w:rPr>
        <w:t> </w:t>
      </w:r>
      <w:r>
        <w:rPr/>
        <w:t>and Direct</w:t>
      </w:r>
      <w:r>
        <w:rPr>
          <w:spacing w:val="-1"/>
        </w:rPr>
        <w:t> </w:t>
      </w:r>
      <w:r>
        <w:rPr/>
        <w:t>Bilirubin</w:t>
      </w:r>
      <w:r>
        <w:rPr>
          <w:spacing w:val="-1"/>
        </w:rPr>
        <w:t> </w:t>
      </w:r>
      <w:r>
        <w:rPr>
          <w:spacing w:val="-2"/>
        </w:rPr>
        <w:t>(DB)].</w:t>
      </w:r>
      <w:r>
        <w:rPr/>
        <w:tab/>
      </w:r>
      <w:r>
        <w:rPr>
          <w:spacing w:val="-5"/>
        </w:rPr>
        <w:t>99</w:t>
      </w:r>
    </w:p>
    <w:p>
      <w:pPr>
        <w:pStyle w:val="BodyText"/>
        <w:tabs>
          <w:tab w:pos="2122" w:val="left" w:leader="none"/>
        </w:tabs>
        <w:spacing w:before="139"/>
        <w:ind w:left="682"/>
      </w:pPr>
      <w:r>
        <w:rPr>
          <w:spacing w:val="-4"/>
        </w:rPr>
        <w:t>3.4b</w:t>
      </w:r>
      <w:r>
        <w:rPr/>
        <w:tab/>
        <w:t>Plots</w:t>
      </w:r>
      <w:r>
        <w:rPr>
          <w:spacing w:val="-3"/>
        </w:rPr>
        <w:t> </w:t>
      </w:r>
      <w:r>
        <w:rPr/>
        <w:t>of</w:t>
      </w:r>
      <w:r>
        <w:rPr>
          <w:spacing w:val="-1"/>
        </w:rPr>
        <w:t> </w:t>
      </w:r>
      <w:r>
        <w:rPr/>
        <w:t>the</w:t>
      </w:r>
      <w:r>
        <w:rPr>
          <w:spacing w:val="-2"/>
        </w:rPr>
        <w:t> </w:t>
      </w:r>
      <w:r>
        <w:rPr/>
        <w:t>effects</w:t>
      </w:r>
      <w:r>
        <w:rPr>
          <w:spacing w:val="-1"/>
        </w:rPr>
        <w:t> </w:t>
      </w:r>
      <w:r>
        <w:rPr/>
        <w:t>of</w:t>
      </w:r>
      <w:r>
        <w:rPr>
          <w:spacing w:val="-1"/>
        </w:rPr>
        <w:t> </w:t>
      </w:r>
      <w:r>
        <w:rPr/>
        <w:t>doses</w:t>
      </w:r>
      <w:r>
        <w:rPr>
          <w:spacing w:val="-1"/>
        </w:rPr>
        <w:t> </w:t>
      </w:r>
      <w:r>
        <w:rPr/>
        <w:t>of</w:t>
      </w:r>
      <w:r>
        <w:rPr>
          <w:spacing w:val="-1"/>
        </w:rPr>
        <w:t> </w:t>
      </w:r>
      <w:r>
        <w:rPr/>
        <w:t>ethanolic</w:t>
      </w:r>
      <w:r>
        <w:rPr>
          <w:spacing w:val="-2"/>
        </w:rPr>
        <w:t> </w:t>
      </w:r>
      <w:r>
        <w:rPr/>
        <w:t>seed</w:t>
      </w:r>
      <w:r>
        <w:rPr>
          <w:spacing w:val="-1"/>
        </w:rPr>
        <w:t> </w:t>
      </w:r>
      <w:r>
        <w:rPr/>
        <w:t>extract</w:t>
      </w:r>
      <w:r>
        <w:rPr>
          <w:spacing w:val="-1"/>
        </w:rPr>
        <w:t> </w:t>
      </w:r>
      <w:r>
        <w:rPr>
          <w:spacing w:val="-5"/>
        </w:rPr>
        <w:t>of</w:t>
      </w:r>
    </w:p>
    <w:p>
      <w:pPr>
        <w:pStyle w:val="BodyText"/>
        <w:spacing w:line="362" w:lineRule="auto" w:before="137"/>
        <w:ind w:left="2122" w:right="1679"/>
      </w:pPr>
      <w:r>
        <w:rPr>
          <w:i/>
        </w:rPr>
        <w:t>Mucuna pruriens </w:t>
      </w:r>
      <w:r>
        <w:rPr/>
        <w:t>and glibenclamide on liver function tests [(Alkaline phosphatase (ALP), Aspartame aminotransferase (AST),</w:t>
      </w:r>
    </w:p>
    <w:p>
      <w:pPr>
        <w:pStyle w:val="BodyText"/>
        <w:tabs>
          <w:tab w:pos="8604" w:val="left" w:leader="none"/>
        </w:tabs>
        <w:spacing w:line="360" w:lineRule="auto"/>
        <w:ind w:left="2122" w:right="1433"/>
      </w:pPr>
      <w:r>
        <w:rPr/>
        <w:t>Alanine aminotransferase (ALT) and Gammagluttamyltransferase </w:t>
      </w:r>
      <w:r>
        <w:rPr>
          <w:spacing w:val="-2"/>
        </w:rPr>
        <w:t>(GGT).</w:t>
      </w:r>
      <w:r>
        <w:rPr/>
        <w:tab/>
      </w:r>
      <w:r>
        <w:rPr>
          <w:spacing w:val="-4"/>
        </w:rPr>
        <w:t>100</w:t>
      </w:r>
    </w:p>
    <w:p>
      <w:pPr>
        <w:pStyle w:val="BodyText"/>
        <w:tabs>
          <w:tab w:pos="2122" w:val="left" w:leader="none"/>
        </w:tabs>
        <w:ind w:left="682"/>
      </w:pPr>
      <w:r>
        <w:rPr>
          <w:spacing w:val="-4"/>
        </w:rPr>
        <w:t>3.4c</w:t>
      </w:r>
      <w:r>
        <w:rPr/>
        <w:tab/>
        <w:t>Plots of</w:t>
      </w:r>
      <w:r>
        <w:rPr>
          <w:spacing w:val="-2"/>
        </w:rPr>
        <w:t> </w:t>
      </w:r>
      <w:r>
        <w:rPr/>
        <w:t>the</w:t>
      </w:r>
      <w:r>
        <w:rPr>
          <w:spacing w:val="-1"/>
        </w:rPr>
        <w:t> </w:t>
      </w:r>
      <w:r>
        <w:rPr/>
        <w:t>effects</w:t>
      </w:r>
      <w:r>
        <w:rPr>
          <w:spacing w:val="-1"/>
        </w:rPr>
        <w:t> </w:t>
      </w:r>
      <w:r>
        <w:rPr/>
        <w:t>of doses</w:t>
      </w:r>
      <w:r>
        <w:rPr>
          <w:spacing w:val="-1"/>
        </w:rPr>
        <w:t> </w:t>
      </w:r>
      <w:r>
        <w:rPr/>
        <w:t>of</w:t>
      </w:r>
      <w:r>
        <w:rPr>
          <w:spacing w:val="-1"/>
        </w:rPr>
        <w:t> </w:t>
      </w:r>
      <w:r>
        <w:rPr/>
        <w:t>ethanolic</w:t>
      </w:r>
      <w:r>
        <w:rPr>
          <w:spacing w:val="-1"/>
        </w:rPr>
        <w:t> </w:t>
      </w:r>
      <w:r>
        <w:rPr/>
        <w:t>seed extract </w:t>
      </w:r>
      <w:r>
        <w:rPr>
          <w:spacing w:val="-5"/>
        </w:rPr>
        <w:t>of</w:t>
      </w:r>
    </w:p>
    <w:p>
      <w:pPr>
        <w:spacing w:before="132"/>
        <w:ind w:left="2122" w:right="0" w:firstLine="0"/>
        <w:jc w:val="left"/>
        <w:rPr>
          <w:sz w:val="24"/>
        </w:rPr>
      </w:pPr>
      <w:r>
        <w:rPr>
          <w:i/>
          <w:sz w:val="24"/>
        </w:rPr>
        <w:t>Mucuna</w:t>
      </w:r>
      <w:r>
        <w:rPr>
          <w:i/>
          <w:spacing w:val="-1"/>
          <w:sz w:val="24"/>
        </w:rPr>
        <w:t> </w:t>
      </w:r>
      <w:r>
        <w:rPr>
          <w:i/>
          <w:sz w:val="24"/>
        </w:rPr>
        <w:t>pruriens </w:t>
      </w:r>
      <w:r>
        <w:rPr>
          <w:sz w:val="24"/>
        </w:rPr>
        <w:t>and glibenclamide</w:t>
      </w:r>
      <w:r>
        <w:rPr>
          <w:spacing w:val="-1"/>
          <w:sz w:val="24"/>
        </w:rPr>
        <w:t> </w:t>
      </w:r>
      <w:r>
        <w:rPr>
          <w:sz w:val="24"/>
        </w:rPr>
        <w:t>on liver function</w:t>
      </w:r>
      <w:r>
        <w:rPr>
          <w:spacing w:val="-1"/>
          <w:sz w:val="24"/>
        </w:rPr>
        <w:t> </w:t>
      </w:r>
      <w:r>
        <w:rPr>
          <w:spacing w:val="-2"/>
          <w:sz w:val="24"/>
        </w:rPr>
        <w:t>tests</w:t>
      </w:r>
    </w:p>
    <w:p>
      <w:pPr>
        <w:spacing w:after="0"/>
        <w:jc w:val="left"/>
        <w:rPr>
          <w:sz w:val="24"/>
        </w:rPr>
        <w:sectPr>
          <w:pgSz w:w="12240" w:h="15840"/>
          <w:pgMar w:header="0" w:footer="1068" w:top="1820" w:bottom="1260" w:left="1420" w:right="420"/>
        </w:sectPr>
      </w:pPr>
    </w:p>
    <w:tbl>
      <w:tblPr>
        <w:tblW w:w="0" w:type="auto"/>
        <w:jc w:val="left"/>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gridCol w:w="6799"/>
        <w:gridCol w:w="512"/>
      </w:tblGrid>
      <w:tr>
        <w:trPr>
          <w:trHeight w:val="389" w:hRule="atLeast"/>
        </w:trPr>
        <w:tc>
          <w:tcPr>
            <w:tcW w:w="1070" w:type="dxa"/>
          </w:tcPr>
          <w:p>
            <w:pPr>
              <w:pStyle w:val="TableParagraph"/>
              <w:rPr>
                <w:sz w:val="24"/>
              </w:rPr>
            </w:pPr>
          </w:p>
        </w:tc>
        <w:tc>
          <w:tcPr>
            <w:tcW w:w="6799" w:type="dxa"/>
          </w:tcPr>
          <w:p>
            <w:pPr>
              <w:pStyle w:val="TableParagraph"/>
              <w:spacing w:before="40"/>
              <w:ind w:left="540"/>
              <w:rPr>
                <w:sz w:val="24"/>
              </w:rPr>
            </w:pPr>
            <w:r>
              <w:rPr>
                <w:sz w:val="24"/>
              </w:rPr>
              <w:t>[(Total</w:t>
            </w:r>
            <w:r>
              <w:rPr>
                <w:spacing w:val="-1"/>
                <w:sz w:val="24"/>
              </w:rPr>
              <w:t> </w:t>
            </w:r>
            <w:r>
              <w:rPr>
                <w:sz w:val="24"/>
              </w:rPr>
              <w:t>protein</w:t>
            </w:r>
            <w:r>
              <w:rPr>
                <w:spacing w:val="-1"/>
                <w:sz w:val="24"/>
              </w:rPr>
              <w:t> </w:t>
            </w:r>
            <w:r>
              <w:rPr>
                <w:sz w:val="24"/>
              </w:rPr>
              <w:t>(TP)</w:t>
            </w:r>
            <w:r>
              <w:rPr>
                <w:spacing w:val="1"/>
                <w:sz w:val="24"/>
              </w:rPr>
              <w:t> </w:t>
            </w:r>
            <w:r>
              <w:rPr>
                <w:sz w:val="24"/>
              </w:rPr>
              <w:t>and</w:t>
            </w:r>
            <w:r>
              <w:rPr>
                <w:spacing w:val="1"/>
                <w:sz w:val="24"/>
              </w:rPr>
              <w:t> </w:t>
            </w:r>
            <w:r>
              <w:rPr>
                <w:sz w:val="24"/>
              </w:rPr>
              <w:t>Albumin </w:t>
            </w:r>
            <w:r>
              <w:rPr>
                <w:spacing w:val="-2"/>
                <w:sz w:val="24"/>
              </w:rPr>
              <w:t>(ALB)]</w:t>
            </w:r>
          </w:p>
        </w:tc>
        <w:tc>
          <w:tcPr>
            <w:tcW w:w="512" w:type="dxa"/>
          </w:tcPr>
          <w:p>
            <w:pPr>
              <w:pStyle w:val="TableParagraph"/>
              <w:spacing w:before="40"/>
              <w:ind w:left="53"/>
              <w:jc w:val="center"/>
              <w:rPr>
                <w:sz w:val="24"/>
              </w:rPr>
            </w:pPr>
            <w:r>
              <w:rPr>
                <w:spacing w:val="-5"/>
                <w:sz w:val="24"/>
              </w:rPr>
              <w:t>101</w:t>
            </w:r>
          </w:p>
        </w:tc>
      </w:tr>
      <w:tr>
        <w:trPr>
          <w:trHeight w:val="414" w:hRule="atLeast"/>
        </w:trPr>
        <w:tc>
          <w:tcPr>
            <w:tcW w:w="1070" w:type="dxa"/>
          </w:tcPr>
          <w:p>
            <w:pPr>
              <w:pStyle w:val="TableParagraph"/>
              <w:spacing w:before="63"/>
              <w:ind w:left="50"/>
              <w:rPr>
                <w:sz w:val="24"/>
              </w:rPr>
            </w:pPr>
            <w:r>
              <w:rPr>
                <w:spacing w:val="-5"/>
                <w:sz w:val="24"/>
              </w:rPr>
              <w:t>3.3</w:t>
            </w:r>
          </w:p>
        </w:tc>
        <w:tc>
          <w:tcPr>
            <w:tcW w:w="6799" w:type="dxa"/>
          </w:tcPr>
          <w:p>
            <w:pPr>
              <w:pStyle w:val="TableParagraph"/>
              <w:spacing w:before="63"/>
              <w:ind w:left="540"/>
              <w:rPr>
                <w:sz w:val="24"/>
              </w:rPr>
            </w:pPr>
            <w:r>
              <w:rPr>
                <w:sz w:val="24"/>
              </w:rPr>
              <w:t>Effects</w:t>
            </w:r>
            <w:r>
              <w:rPr>
                <w:spacing w:val="-3"/>
                <w:sz w:val="24"/>
              </w:rPr>
              <w:t> </w:t>
            </w:r>
            <w:r>
              <w:rPr>
                <w:sz w:val="24"/>
              </w:rPr>
              <w:t>of</w:t>
            </w:r>
            <w:r>
              <w:rPr>
                <w:spacing w:val="-1"/>
                <w:sz w:val="24"/>
              </w:rPr>
              <w:t> </w:t>
            </w:r>
            <w:r>
              <w:rPr>
                <w:sz w:val="24"/>
              </w:rPr>
              <w:t>different</w:t>
            </w:r>
            <w:r>
              <w:rPr>
                <w:spacing w:val="-1"/>
                <w:sz w:val="24"/>
              </w:rPr>
              <w:t> </w:t>
            </w:r>
            <w:r>
              <w:rPr>
                <w:sz w:val="24"/>
              </w:rPr>
              <w:t>doses</w:t>
            </w:r>
            <w:r>
              <w:rPr>
                <w:spacing w:val="-1"/>
                <w:sz w:val="24"/>
              </w:rPr>
              <w:t> </w:t>
            </w:r>
            <w:r>
              <w:rPr>
                <w:sz w:val="24"/>
              </w:rPr>
              <w:t>of</w:t>
            </w:r>
            <w:r>
              <w:rPr>
                <w:spacing w:val="-1"/>
                <w:sz w:val="24"/>
              </w:rPr>
              <w:t> </w:t>
            </w:r>
            <w:r>
              <w:rPr>
                <w:sz w:val="24"/>
              </w:rPr>
              <w:t>ethanol</w:t>
            </w:r>
            <w:r>
              <w:rPr>
                <w:spacing w:val="-1"/>
                <w:sz w:val="24"/>
              </w:rPr>
              <w:t> </w:t>
            </w:r>
            <w:r>
              <w:rPr>
                <w:sz w:val="24"/>
              </w:rPr>
              <w:t>seed</w:t>
            </w:r>
            <w:r>
              <w:rPr>
                <w:spacing w:val="1"/>
                <w:sz w:val="24"/>
              </w:rPr>
              <w:t> </w:t>
            </w:r>
            <w:r>
              <w:rPr>
                <w:sz w:val="24"/>
              </w:rPr>
              <w:t>extract</w:t>
            </w:r>
            <w:r>
              <w:rPr>
                <w:spacing w:val="-1"/>
                <w:sz w:val="24"/>
              </w:rPr>
              <w:t> </w:t>
            </w:r>
            <w:r>
              <w:rPr>
                <w:spacing w:val="-5"/>
                <w:sz w:val="24"/>
              </w:rPr>
              <w:t>of</w:t>
            </w:r>
          </w:p>
        </w:tc>
        <w:tc>
          <w:tcPr>
            <w:tcW w:w="512" w:type="dxa"/>
          </w:tcPr>
          <w:p>
            <w:pPr>
              <w:pStyle w:val="TableParagraph"/>
              <w:rPr>
                <w:sz w:val="24"/>
              </w:rPr>
            </w:pPr>
          </w:p>
        </w:tc>
      </w:tr>
      <w:tr>
        <w:trPr>
          <w:trHeight w:val="414" w:hRule="atLeast"/>
        </w:trPr>
        <w:tc>
          <w:tcPr>
            <w:tcW w:w="1070" w:type="dxa"/>
          </w:tcPr>
          <w:p>
            <w:pPr>
              <w:pStyle w:val="TableParagraph"/>
              <w:rPr>
                <w:sz w:val="24"/>
              </w:rPr>
            </w:pPr>
          </w:p>
        </w:tc>
        <w:tc>
          <w:tcPr>
            <w:tcW w:w="6799" w:type="dxa"/>
          </w:tcPr>
          <w:p>
            <w:pPr>
              <w:pStyle w:val="TableParagraph"/>
              <w:spacing w:before="64"/>
              <w:ind w:left="540"/>
              <w:rPr>
                <w:sz w:val="24"/>
              </w:rPr>
            </w:pPr>
            <w:r>
              <w:rPr>
                <w:i/>
                <w:sz w:val="24"/>
              </w:rPr>
              <w:t>Mucuna</w:t>
            </w:r>
            <w:r>
              <w:rPr>
                <w:i/>
                <w:spacing w:val="-1"/>
                <w:sz w:val="24"/>
              </w:rPr>
              <w:t> </w:t>
            </w:r>
            <w:r>
              <w:rPr>
                <w:i/>
                <w:sz w:val="24"/>
              </w:rPr>
              <w:t>pruriens</w:t>
            </w:r>
            <w:r>
              <w:rPr>
                <w:i/>
                <w:spacing w:val="-1"/>
                <w:sz w:val="24"/>
              </w:rPr>
              <w:t> </w:t>
            </w:r>
            <w:r>
              <w:rPr>
                <w:sz w:val="24"/>
              </w:rPr>
              <w:t>on</w:t>
            </w:r>
            <w:r>
              <w:rPr>
                <w:spacing w:val="-1"/>
                <w:sz w:val="24"/>
              </w:rPr>
              <w:t> </w:t>
            </w:r>
            <w:r>
              <w:rPr>
                <w:sz w:val="24"/>
              </w:rPr>
              <w:t>the</w:t>
            </w:r>
            <w:r>
              <w:rPr>
                <w:spacing w:val="2"/>
                <w:sz w:val="24"/>
              </w:rPr>
              <w:t> </w:t>
            </w:r>
            <w:r>
              <w:rPr>
                <w:sz w:val="24"/>
              </w:rPr>
              <w:t>plasma</w:t>
            </w:r>
            <w:r>
              <w:rPr>
                <w:spacing w:val="-2"/>
                <w:sz w:val="24"/>
              </w:rPr>
              <w:t> </w:t>
            </w:r>
            <w:r>
              <w:rPr>
                <w:sz w:val="24"/>
              </w:rPr>
              <w:t>total</w:t>
            </w:r>
            <w:r>
              <w:rPr>
                <w:spacing w:val="-1"/>
                <w:sz w:val="24"/>
              </w:rPr>
              <w:t> </w:t>
            </w:r>
            <w:r>
              <w:rPr>
                <w:sz w:val="24"/>
              </w:rPr>
              <w:t>cholesterol,</w:t>
            </w:r>
            <w:r>
              <w:rPr>
                <w:spacing w:val="2"/>
                <w:sz w:val="24"/>
              </w:rPr>
              <w:t> </w:t>
            </w:r>
            <w:r>
              <w:rPr>
                <w:spacing w:val="-4"/>
                <w:sz w:val="24"/>
              </w:rPr>
              <w:t>(TC)</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3"/>
              <w:ind w:left="540"/>
              <w:rPr>
                <w:sz w:val="24"/>
              </w:rPr>
            </w:pPr>
            <w:r>
              <w:rPr>
                <w:sz w:val="24"/>
              </w:rPr>
              <w:t>triglycerides,</w:t>
            </w:r>
            <w:r>
              <w:rPr>
                <w:spacing w:val="-4"/>
                <w:sz w:val="24"/>
              </w:rPr>
              <w:t> </w:t>
            </w:r>
            <w:r>
              <w:rPr>
                <w:sz w:val="24"/>
              </w:rPr>
              <w:t>(TRI),</w:t>
            </w:r>
            <w:r>
              <w:rPr>
                <w:spacing w:val="-1"/>
                <w:sz w:val="24"/>
              </w:rPr>
              <w:t> </w:t>
            </w:r>
            <w:r>
              <w:rPr>
                <w:sz w:val="24"/>
              </w:rPr>
              <w:t>high</w:t>
            </w:r>
            <w:r>
              <w:rPr>
                <w:spacing w:val="-1"/>
                <w:sz w:val="24"/>
              </w:rPr>
              <w:t> </w:t>
            </w:r>
            <w:r>
              <w:rPr>
                <w:sz w:val="24"/>
              </w:rPr>
              <w:t>density</w:t>
            </w:r>
            <w:r>
              <w:rPr>
                <w:spacing w:val="-5"/>
                <w:sz w:val="24"/>
              </w:rPr>
              <w:t> </w:t>
            </w:r>
            <w:r>
              <w:rPr>
                <w:sz w:val="24"/>
              </w:rPr>
              <w:t>lipoprotein</w:t>
            </w:r>
            <w:r>
              <w:rPr>
                <w:spacing w:val="-1"/>
                <w:sz w:val="24"/>
              </w:rPr>
              <w:t> </w:t>
            </w:r>
            <w:r>
              <w:rPr>
                <w:sz w:val="24"/>
              </w:rPr>
              <w:t>(DL),</w:t>
            </w:r>
            <w:r>
              <w:rPr>
                <w:spacing w:val="-1"/>
                <w:sz w:val="24"/>
              </w:rPr>
              <w:t> </w:t>
            </w:r>
            <w:r>
              <w:rPr>
                <w:spacing w:val="-5"/>
                <w:sz w:val="24"/>
              </w:rPr>
              <w:t>low</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4"/>
              <w:ind w:left="480"/>
              <w:rPr>
                <w:sz w:val="24"/>
              </w:rPr>
            </w:pPr>
            <w:r>
              <w:rPr>
                <w:sz w:val="24"/>
              </w:rPr>
              <w:t>density</w:t>
            </w:r>
            <w:r>
              <w:rPr>
                <w:spacing w:val="-6"/>
                <w:sz w:val="24"/>
              </w:rPr>
              <w:t> </w:t>
            </w:r>
            <w:r>
              <w:rPr>
                <w:sz w:val="24"/>
              </w:rPr>
              <w:t>lipoprotein</w:t>
            </w:r>
            <w:r>
              <w:rPr>
                <w:spacing w:val="-1"/>
                <w:sz w:val="24"/>
              </w:rPr>
              <w:t> </w:t>
            </w:r>
            <w:r>
              <w:rPr>
                <w:sz w:val="24"/>
              </w:rPr>
              <w:t>(LDL),</w:t>
            </w:r>
            <w:r>
              <w:rPr>
                <w:spacing w:val="1"/>
                <w:sz w:val="24"/>
              </w:rPr>
              <w:t> </w:t>
            </w:r>
            <w:r>
              <w:rPr>
                <w:sz w:val="24"/>
              </w:rPr>
              <w:t>BUN and </w:t>
            </w:r>
            <w:r>
              <w:rPr>
                <w:spacing w:val="-2"/>
                <w:sz w:val="24"/>
              </w:rPr>
              <w:t>creatinine</w:t>
            </w:r>
          </w:p>
        </w:tc>
        <w:tc>
          <w:tcPr>
            <w:tcW w:w="512" w:type="dxa"/>
          </w:tcPr>
          <w:p>
            <w:pPr>
              <w:pStyle w:val="TableParagraph"/>
              <w:spacing w:before="64"/>
              <w:ind w:left="53"/>
              <w:jc w:val="center"/>
              <w:rPr>
                <w:sz w:val="24"/>
              </w:rPr>
            </w:pPr>
            <w:r>
              <w:rPr>
                <w:spacing w:val="-5"/>
                <w:sz w:val="24"/>
              </w:rPr>
              <w:t>102</w:t>
            </w:r>
          </w:p>
        </w:tc>
      </w:tr>
      <w:tr>
        <w:trPr>
          <w:trHeight w:val="414" w:hRule="atLeast"/>
        </w:trPr>
        <w:tc>
          <w:tcPr>
            <w:tcW w:w="1070" w:type="dxa"/>
          </w:tcPr>
          <w:p>
            <w:pPr>
              <w:pStyle w:val="TableParagraph"/>
              <w:spacing w:before="63"/>
              <w:ind w:left="50"/>
              <w:rPr>
                <w:sz w:val="24"/>
              </w:rPr>
            </w:pPr>
            <w:r>
              <w:rPr>
                <w:spacing w:val="-5"/>
                <w:sz w:val="24"/>
              </w:rPr>
              <w:t>3.4</w:t>
            </w:r>
          </w:p>
        </w:tc>
        <w:tc>
          <w:tcPr>
            <w:tcW w:w="6799" w:type="dxa"/>
          </w:tcPr>
          <w:p>
            <w:pPr>
              <w:pStyle w:val="TableParagraph"/>
              <w:spacing w:before="63"/>
              <w:ind w:left="540"/>
              <w:rPr>
                <w:sz w:val="24"/>
              </w:rPr>
            </w:pPr>
            <w:r>
              <w:rPr>
                <w:sz w:val="24"/>
              </w:rPr>
              <w:t>Plots</w:t>
            </w:r>
            <w:r>
              <w:rPr>
                <w:spacing w:val="-1"/>
                <w:sz w:val="24"/>
              </w:rPr>
              <w:t> </w:t>
            </w:r>
            <w:r>
              <w:rPr>
                <w:sz w:val="24"/>
              </w:rPr>
              <w:t>of</w:t>
            </w:r>
            <w:r>
              <w:rPr>
                <w:spacing w:val="-1"/>
                <w:sz w:val="24"/>
              </w:rPr>
              <w:t> </w:t>
            </w:r>
            <w:r>
              <w:rPr>
                <w:sz w:val="24"/>
              </w:rPr>
              <w:t>the</w:t>
            </w:r>
            <w:r>
              <w:rPr>
                <w:spacing w:val="-1"/>
                <w:sz w:val="24"/>
              </w:rPr>
              <w:t> </w:t>
            </w:r>
            <w:r>
              <w:rPr>
                <w:sz w:val="24"/>
              </w:rPr>
              <w:t>effects</w:t>
            </w:r>
            <w:r>
              <w:rPr>
                <w:spacing w:val="-1"/>
                <w:sz w:val="24"/>
              </w:rPr>
              <w:t> </w:t>
            </w:r>
            <w:r>
              <w:rPr>
                <w:sz w:val="24"/>
              </w:rPr>
              <w:t>of MP</w:t>
            </w:r>
            <w:r>
              <w:rPr>
                <w:spacing w:val="-1"/>
                <w:sz w:val="24"/>
              </w:rPr>
              <w:t> </w:t>
            </w:r>
            <w:r>
              <w:rPr>
                <w:sz w:val="24"/>
              </w:rPr>
              <w:t>ethanol</w:t>
            </w:r>
            <w:r>
              <w:rPr>
                <w:spacing w:val="1"/>
                <w:sz w:val="24"/>
              </w:rPr>
              <w:t> </w:t>
            </w:r>
            <w:r>
              <w:rPr>
                <w:sz w:val="24"/>
              </w:rPr>
              <w:t>seed extract</w:t>
            </w:r>
            <w:r>
              <w:rPr>
                <w:spacing w:val="-1"/>
                <w:sz w:val="24"/>
              </w:rPr>
              <w:t> </w:t>
            </w:r>
            <w:r>
              <w:rPr>
                <w:sz w:val="24"/>
              </w:rPr>
              <w:t>on </w:t>
            </w:r>
            <w:r>
              <w:rPr>
                <w:spacing w:val="-2"/>
                <w:sz w:val="24"/>
              </w:rPr>
              <w:t>plasma</w:t>
            </w:r>
          </w:p>
        </w:tc>
        <w:tc>
          <w:tcPr>
            <w:tcW w:w="512" w:type="dxa"/>
          </w:tcPr>
          <w:p>
            <w:pPr>
              <w:pStyle w:val="TableParagraph"/>
              <w:rPr>
                <w:sz w:val="24"/>
              </w:rPr>
            </w:pPr>
          </w:p>
        </w:tc>
      </w:tr>
      <w:tr>
        <w:trPr>
          <w:trHeight w:val="414" w:hRule="atLeast"/>
        </w:trPr>
        <w:tc>
          <w:tcPr>
            <w:tcW w:w="1070" w:type="dxa"/>
          </w:tcPr>
          <w:p>
            <w:pPr>
              <w:pStyle w:val="TableParagraph"/>
              <w:rPr>
                <w:sz w:val="24"/>
              </w:rPr>
            </w:pPr>
          </w:p>
        </w:tc>
        <w:tc>
          <w:tcPr>
            <w:tcW w:w="6799" w:type="dxa"/>
          </w:tcPr>
          <w:p>
            <w:pPr>
              <w:pStyle w:val="TableParagraph"/>
              <w:spacing w:before="64"/>
              <w:ind w:left="540"/>
              <w:rPr>
                <w:sz w:val="24"/>
              </w:rPr>
            </w:pPr>
            <w:r>
              <w:rPr>
                <w:sz w:val="24"/>
              </w:rPr>
              <w:t>electrolytes</w:t>
            </w:r>
            <w:r>
              <w:rPr>
                <w:spacing w:val="-1"/>
                <w:sz w:val="24"/>
              </w:rPr>
              <w:t> </w:t>
            </w:r>
            <w:r>
              <w:rPr>
                <w:sz w:val="24"/>
              </w:rPr>
              <w:t>of</w:t>
            </w:r>
            <w:r>
              <w:rPr>
                <w:spacing w:val="-1"/>
                <w:sz w:val="24"/>
              </w:rPr>
              <w:t> </w:t>
            </w:r>
            <w:r>
              <w:rPr>
                <w:sz w:val="24"/>
              </w:rPr>
              <w:t>Sodium</w:t>
            </w:r>
            <w:r>
              <w:rPr>
                <w:spacing w:val="-1"/>
                <w:sz w:val="24"/>
              </w:rPr>
              <w:t> </w:t>
            </w:r>
            <w:r>
              <w:rPr>
                <w:sz w:val="24"/>
              </w:rPr>
              <w:t>ion</w:t>
            </w:r>
            <w:r>
              <w:rPr>
                <w:spacing w:val="-1"/>
                <w:sz w:val="24"/>
              </w:rPr>
              <w:t> </w:t>
            </w:r>
            <w:r>
              <w:rPr>
                <w:sz w:val="24"/>
              </w:rPr>
              <w:t>(Na+),</w:t>
            </w:r>
            <w:r>
              <w:rPr>
                <w:spacing w:val="-1"/>
                <w:sz w:val="24"/>
              </w:rPr>
              <w:t> </w:t>
            </w:r>
            <w:r>
              <w:rPr>
                <w:sz w:val="24"/>
              </w:rPr>
              <w:t>Potassium</w:t>
            </w:r>
            <w:r>
              <w:rPr>
                <w:spacing w:val="-1"/>
                <w:sz w:val="24"/>
              </w:rPr>
              <w:t> </w:t>
            </w:r>
            <w:r>
              <w:rPr>
                <w:sz w:val="24"/>
              </w:rPr>
              <w:t>ion</w:t>
            </w:r>
            <w:r>
              <w:rPr>
                <w:spacing w:val="-1"/>
                <w:sz w:val="24"/>
              </w:rPr>
              <w:t> </w:t>
            </w:r>
            <w:r>
              <w:rPr>
                <w:spacing w:val="-2"/>
                <w:sz w:val="24"/>
              </w:rPr>
              <w:t>(K+),</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3"/>
              <w:ind w:left="540"/>
              <w:rPr>
                <w:sz w:val="24"/>
              </w:rPr>
            </w:pPr>
            <w:r>
              <w:rPr>
                <w:sz w:val="24"/>
              </w:rPr>
              <w:t>Chloride</w:t>
            </w:r>
            <w:r>
              <w:rPr>
                <w:spacing w:val="-1"/>
                <w:sz w:val="24"/>
              </w:rPr>
              <w:t> </w:t>
            </w:r>
            <w:r>
              <w:rPr>
                <w:sz w:val="24"/>
              </w:rPr>
              <w:t>ion and </w:t>
            </w:r>
            <w:r>
              <w:rPr>
                <w:spacing w:val="-2"/>
                <w:sz w:val="24"/>
              </w:rPr>
              <w:t>Bicarbonate.</w:t>
            </w:r>
          </w:p>
        </w:tc>
        <w:tc>
          <w:tcPr>
            <w:tcW w:w="512" w:type="dxa"/>
          </w:tcPr>
          <w:p>
            <w:pPr>
              <w:pStyle w:val="TableParagraph"/>
              <w:rPr>
                <w:sz w:val="24"/>
              </w:rPr>
            </w:pPr>
          </w:p>
        </w:tc>
      </w:tr>
      <w:tr>
        <w:trPr>
          <w:trHeight w:val="414" w:hRule="atLeast"/>
        </w:trPr>
        <w:tc>
          <w:tcPr>
            <w:tcW w:w="1070" w:type="dxa"/>
          </w:tcPr>
          <w:p>
            <w:pPr>
              <w:pStyle w:val="TableParagraph"/>
              <w:spacing w:before="64"/>
              <w:ind w:left="50"/>
              <w:rPr>
                <w:sz w:val="24"/>
              </w:rPr>
            </w:pPr>
            <w:r>
              <w:rPr>
                <w:spacing w:val="-4"/>
                <w:sz w:val="24"/>
              </w:rPr>
              <w:t>3.7a</w:t>
            </w:r>
          </w:p>
        </w:tc>
        <w:tc>
          <w:tcPr>
            <w:tcW w:w="6799" w:type="dxa"/>
          </w:tcPr>
          <w:p>
            <w:pPr>
              <w:pStyle w:val="TableParagraph"/>
              <w:spacing w:before="64"/>
              <w:ind w:left="540"/>
              <w:rPr>
                <w:sz w:val="24"/>
              </w:rPr>
            </w:pPr>
            <w:r>
              <w:rPr>
                <w:sz w:val="24"/>
              </w:rPr>
              <w:t>Photomicrographs</w:t>
            </w:r>
            <w:r>
              <w:rPr>
                <w:spacing w:val="-3"/>
                <w:sz w:val="24"/>
              </w:rPr>
              <w:t> </w:t>
            </w:r>
            <w:r>
              <w:rPr>
                <w:sz w:val="24"/>
              </w:rPr>
              <w:t>of the</w:t>
            </w:r>
            <w:r>
              <w:rPr>
                <w:spacing w:val="-2"/>
                <w:sz w:val="24"/>
              </w:rPr>
              <w:t> </w:t>
            </w:r>
            <w:r>
              <w:rPr>
                <w:sz w:val="24"/>
              </w:rPr>
              <w:t>kidney</w:t>
            </w:r>
            <w:r>
              <w:rPr>
                <w:spacing w:val="-4"/>
                <w:sz w:val="24"/>
              </w:rPr>
              <w:t> </w:t>
            </w:r>
            <w:r>
              <w:rPr>
                <w:sz w:val="24"/>
              </w:rPr>
              <w:t>on normal </w:t>
            </w:r>
            <w:r>
              <w:rPr>
                <w:spacing w:val="-4"/>
                <w:sz w:val="24"/>
              </w:rPr>
              <w:t>rats</w:t>
            </w:r>
          </w:p>
        </w:tc>
        <w:tc>
          <w:tcPr>
            <w:tcW w:w="512" w:type="dxa"/>
          </w:tcPr>
          <w:p>
            <w:pPr>
              <w:pStyle w:val="TableParagraph"/>
              <w:spacing w:before="64"/>
              <w:ind w:left="53"/>
              <w:jc w:val="center"/>
              <w:rPr>
                <w:sz w:val="24"/>
              </w:rPr>
            </w:pPr>
            <w:r>
              <w:rPr>
                <w:spacing w:val="-5"/>
                <w:sz w:val="24"/>
              </w:rPr>
              <w:t>107</w:t>
            </w:r>
          </w:p>
        </w:tc>
      </w:tr>
      <w:tr>
        <w:trPr>
          <w:trHeight w:val="414" w:hRule="atLeast"/>
        </w:trPr>
        <w:tc>
          <w:tcPr>
            <w:tcW w:w="1070" w:type="dxa"/>
          </w:tcPr>
          <w:p>
            <w:pPr>
              <w:pStyle w:val="TableParagraph"/>
              <w:spacing w:before="63"/>
              <w:ind w:left="50"/>
              <w:rPr>
                <w:sz w:val="24"/>
              </w:rPr>
            </w:pPr>
            <w:r>
              <w:rPr>
                <w:spacing w:val="-4"/>
                <w:sz w:val="24"/>
              </w:rPr>
              <w:t>3.7b</w:t>
            </w:r>
          </w:p>
        </w:tc>
        <w:tc>
          <w:tcPr>
            <w:tcW w:w="6799" w:type="dxa"/>
          </w:tcPr>
          <w:p>
            <w:pPr>
              <w:pStyle w:val="TableParagraph"/>
              <w:spacing w:before="63"/>
              <w:ind w:left="540"/>
              <w:rPr>
                <w:sz w:val="24"/>
              </w:rPr>
            </w:pPr>
            <w:r>
              <w:rPr>
                <w:sz w:val="24"/>
              </w:rPr>
              <w:t>Photomicrographs</w:t>
            </w:r>
            <w:r>
              <w:rPr>
                <w:spacing w:val="-3"/>
                <w:sz w:val="24"/>
              </w:rPr>
              <w:t> </w:t>
            </w:r>
            <w:r>
              <w:rPr>
                <w:sz w:val="24"/>
              </w:rPr>
              <w:t>of</w:t>
            </w:r>
            <w:r>
              <w:rPr>
                <w:spacing w:val="-1"/>
                <w:sz w:val="24"/>
              </w:rPr>
              <w:t> </w:t>
            </w:r>
            <w:r>
              <w:rPr>
                <w:sz w:val="24"/>
              </w:rPr>
              <w:t>the</w:t>
            </w:r>
            <w:r>
              <w:rPr>
                <w:spacing w:val="-3"/>
                <w:sz w:val="24"/>
              </w:rPr>
              <w:t> </w:t>
            </w:r>
            <w:r>
              <w:rPr>
                <w:sz w:val="24"/>
              </w:rPr>
              <w:t>liver</w:t>
            </w:r>
            <w:r>
              <w:rPr>
                <w:spacing w:val="-2"/>
                <w:sz w:val="24"/>
              </w:rPr>
              <w:t> </w:t>
            </w:r>
            <w:r>
              <w:rPr>
                <w:sz w:val="24"/>
              </w:rPr>
              <w:t>of</w:t>
            </w:r>
            <w:r>
              <w:rPr>
                <w:spacing w:val="-3"/>
                <w:sz w:val="24"/>
              </w:rPr>
              <w:t> </w:t>
            </w:r>
            <w:r>
              <w:rPr>
                <w:sz w:val="24"/>
              </w:rPr>
              <w:t>normal</w:t>
            </w:r>
            <w:r>
              <w:rPr>
                <w:spacing w:val="1"/>
                <w:sz w:val="24"/>
              </w:rPr>
              <w:t> </w:t>
            </w:r>
            <w:r>
              <w:rPr>
                <w:spacing w:val="-5"/>
                <w:sz w:val="24"/>
              </w:rPr>
              <w:t>rat</w:t>
            </w:r>
          </w:p>
        </w:tc>
        <w:tc>
          <w:tcPr>
            <w:tcW w:w="512" w:type="dxa"/>
          </w:tcPr>
          <w:p>
            <w:pPr>
              <w:pStyle w:val="TableParagraph"/>
              <w:spacing w:before="63"/>
              <w:ind w:left="53"/>
              <w:jc w:val="center"/>
              <w:rPr>
                <w:sz w:val="24"/>
              </w:rPr>
            </w:pPr>
            <w:r>
              <w:rPr>
                <w:spacing w:val="-5"/>
                <w:sz w:val="24"/>
              </w:rPr>
              <w:t>108</w:t>
            </w:r>
          </w:p>
        </w:tc>
      </w:tr>
      <w:tr>
        <w:trPr>
          <w:trHeight w:val="413" w:hRule="atLeast"/>
        </w:trPr>
        <w:tc>
          <w:tcPr>
            <w:tcW w:w="1070" w:type="dxa"/>
          </w:tcPr>
          <w:p>
            <w:pPr>
              <w:pStyle w:val="TableParagraph"/>
              <w:spacing w:before="64"/>
              <w:ind w:left="50"/>
              <w:rPr>
                <w:sz w:val="24"/>
              </w:rPr>
            </w:pPr>
            <w:r>
              <w:rPr>
                <w:spacing w:val="-4"/>
                <w:sz w:val="24"/>
              </w:rPr>
              <w:t>3.7c</w:t>
            </w:r>
          </w:p>
        </w:tc>
        <w:tc>
          <w:tcPr>
            <w:tcW w:w="6799" w:type="dxa"/>
          </w:tcPr>
          <w:p>
            <w:pPr>
              <w:pStyle w:val="TableParagraph"/>
              <w:spacing w:before="64"/>
              <w:ind w:left="540"/>
              <w:rPr>
                <w:sz w:val="24"/>
              </w:rPr>
            </w:pPr>
            <w:r>
              <w:rPr>
                <w:sz w:val="24"/>
              </w:rPr>
              <w:t>Photomicrographs</w:t>
            </w:r>
            <w:r>
              <w:rPr>
                <w:spacing w:val="-2"/>
                <w:sz w:val="24"/>
              </w:rPr>
              <w:t> </w:t>
            </w:r>
            <w:r>
              <w:rPr>
                <w:sz w:val="24"/>
              </w:rPr>
              <w:t>of</w:t>
            </w:r>
            <w:r>
              <w:rPr>
                <w:spacing w:val="-1"/>
                <w:sz w:val="24"/>
              </w:rPr>
              <w:t> </w:t>
            </w:r>
            <w:r>
              <w:rPr>
                <w:sz w:val="24"/>
              </w:rPr>
              <w:t>the</w:t>
            </w:r>
            <w:r>
              <w:rPr>
                <w:spacing w:val="-2"/>
                <w:sz w:val="24"/>
              </w:rPr>
              <w:t> </w:t>
            </w:r>
            <w:r>
              <w:rPr>
                <w:sz w:val="24"/>
              </w:rPr>
              <w:t>pancreas</w:t>
            </w:r>
            <w:r>
              <w:rPr>
                <w:spacing w:val="-2"/>
                <w:sz w:val="24"/>
              </w:rPr>
              <w:t> </w:t>
            </w:r>
            <w:r>
              <w:rPr>
                <w:sz w:val="24"/>
              </w:rPr>
              <w:t>of</w:t>
            </w:r>
            <w:r>
              <w:rPr>
                <w:spacing w:val="-2"/>
                <w:sz w:val="24"/>
              </w:rPr>
              <w:t> </w:t>
            </w:r>
            <w:r>
              <w:rPr>
                <w:sz w:val="24"/>
              </w:rPr>
              <w:t>normal</w:t>
            </w:r>
            <w:r>
              <w:rPr>
                <w:spacing w:val="-1"/>
                <w:sz w:val="24"/>
              </w:rPr>
              <w:t> </w:t>
            </w:r>
            <w:r>
              <w:rPr>
                <w:spacing w:val="-5"/>
                <w:sz w:val="24"/>
              </w:rPr>
              <w:t>rat</w:t>
            </w:r>
          </w:p>
        </w:tc>
        <w:tc>
          <w:tcPr>
            <w:tcW w:w="512" w:type="dxa"/>
          </w:tcPr>
          <w:p>
            <w:pPr>
              <w:pStyle w:val="TableParagraph"/>
              <w:spacing w:before="64"/>
              <w:ind w:left="53"/>
              <w:jc w:val="center"/>
              <w:rPr>
                <w:sz w:val="24"/>
              </w:rPr>
            </w:pPr>
            <w:r>
              <w:rPr>
                <w:spacing w:val="-5"/>
                <w:sz w:val="24"/>
              </w:rPr>
              <w:t>109</w:t>
            </w:r>
          </w:p>
        </w:tc>
      </w:tr>
      <w:tr>
        <w:trPr>
          <w:trHeight w:val="413" w:hRule="atLeast"/>
        </w:trPr>
        <w:tc>
          <w:tcPr>
            <w:tcW w:w="1070" w:type="dxa"/>
          </w:tcPr>
          <w:p>
            <w:pPr>
              <w:pStyle w:val="TableParagraph"/>
              <w:spacing w:before="63"/>
              <w:ind w:left="50"/>
              <w:rPr>
                <w:sz w:val="24"/>
              </w:rPr>
            </w:pPr>
            <w:r>
              <w:rPr>
                <w:spacing w:val="-4"/>
                <w:sz w:val="24"/>
              </w:rPr>
              <w:t>3.8a</w:t>
            </w:r>
          </w:p>
        </w:tc>
        <w:tc>
          <w:tcPr>
            <w:tcW w:w="6799" w:type="dxa"/>
          </w:tcPr>
          <w:p>
            <w:pPr>
              <w:pStyle w:val="TableParagraph"/>
              <w:spacing w:before="63"/>
              <w:ind w:left="528"/>
              <w:rPr>
                <w:sz w:val="24"/>
              </w:rPr>
            </w:pPr>
            <w:r>
              <w:rPr>
                <w:sz w:val="24"/>
              </w:rPr>
              <w:t>Interlobular</w:t>
            </w:r>
            <w:r>
              <w:rPr>
                <w:spacing w:val="-5"/>
                <w:sz w:val="24"/>
              </w:rPr>
              <w:t> </w:t>
            </w:r>
            <w:r>
              <w:rPr>
                <w:sz w:val="24"/>
              </w:rPr>
              <w:t>connective</w:t>
            </w:r>
            <w:r>
              <w:rPr>
                <w:spacing w:val="-2"/>
                <w:sz w:val="24"/>
              </w:rPr>
              <w:t> </w:t>
            </w:r>
            <w:r>
              <w:rPr>
                <w:sz w:val="24"/>
              </w:rPr>
              <w:t>tissue</w:t>
            </w:r>
            <w:r>
              <w:rPr>
                <w:spacing w:val="-2"/>
                <w:sz w:val="24"/>
              </w:rPr>
              <w:t> </w:t>
            </w:r>
            <w:r>
              <w:rPr>
                <w:sz w:val="24"/>
              </w:rPr>
              <w:t>of pancreas of</w:t>
            </w:r>
            <w:r>
              <w:rPr>
                <w:spacing w:val="-2"/>
                <w:sz w:val="24"/>
              </w:rPr>
              <w:t> </w:t>
            </w:r>
            <w:r>
              <w:rPr>
                <w:sz w:val="24"/>
              </w:rPr>
              <w:t>normal </w:t>
            </w:r>
            <w:r>
              <w:rPr>
                <w:spacing w:val="-5"/>
                <w:sz w:val="24"/>
              </w:rPr>
              <w:t>rat</w:t>
            </w:r>
          </w:p>
        </w:tc>
        <w:tc>
          <w:tcPr>
            <w:tcW w:w="512" w:type="dxa"/>
          </w:tcPr>
          <w:p>
            <w:pPr>
              <w:pStyle w:val="TableParagraph"/>
              <w:spacing w:before="63"/>
              <w:ind w:left="53"/>
              <w:jc w:val="center"/>
              <w:rPr>
                <w:sz w:val="24"/>
              </w:rPr>
            </w:pPr>
            <w:r>
              <w:rPr>
                <w:spacing w:val="-5"/>
                <w:sz w:val="24"/>
              </w:rPr>
              <w:t>110</w:t>
            </w:r>
          </w:p>
        </w:tc>
      </w:tr>
      <w:tr>
        <w:trPr>
          <w:trHeight w:val="413" w:hRule="atLeast"/>
        </w:trPr>
        <w:tc>
          <w:tcPr>
            <w:tcW w:w="1070" w:type="dxa"/>
          </w:tcPr>
          <w:p>
            <w:pPr>
              <w:pStyle w:val="TableParagraph"/>
              <w:spacing w:before="64"/>
              <w:ind w:left="50"/>
              <w:rPr>
                <w:sz w:val="24"/>
              </w:rPr>
            </w:pPr>
            <w:r>
              <w:rPr>
                <w:spacing w:val="-4"/>
                <w:sz w:val="24"/>
              </w:rPr>
              <w:t>3.8b</w:t>
            </w:r>
          </w:p>
        </w:tc>
        <w:tc>
          <w:tcPr>
            <w:tcW w:w="6799" w:type="dxa"/>
          </w:tcPr>
          <w:p>
            <w:pPr>
              <w:pStyle w:val="TableParagraph"/>
              <w:spacing w:before="64"/>
              <w:ind w:left="540"/>
              <w:rPr>
                <w:sz w:val="24"/>
              </w:rPr>
            </w:pPr>
            <w:r>
              <w:rPr>
                <w:sz w:val="24"/>
              </w:rPr>
              <w:t>Kupfller</w:t>
            </w:r>
            <w:r>
              <w:rPr>
                <w:spacing w:val="-3"/>
                <w:sz w:val="24"/>
              </w:rPr>
              <w:t> </w:t>
            </w:r>
            <w:r>
              <w:rPr>
                <w:sz w:val="24"/>
              </w:rPr>
              <w:t>cell</w:t>
            </w:r>
            <w:r>
              <w:rPr>
                <w:spacing w:val="-1"/>
                <w:sz w:val="24"/>
              </w:rPr>
              <w:t> </w:t>
            </w:r>
            <w:r>
              <w:rPr>
                <w:sz w:val="24"/>
              </w:rPr>
              <w:t>of</w:t>
            </w:r>
            <w:r>
              <w:rPr>
                <w:spacing w:val="-1"/>
                <w:sz w:val="24"/>
              </w:rPr>
              <w:t> </w:t>
            </w:r>
            <w:r>
              <w:rPr>
                <w:sz w:val="24"/>
              </w:rPr>
              <w:t>the</w:t>
            </w:r>
            <w:r>
              <w:rPr>
                <w:spacing w:val="-1"/>
                <w:sz w:val="24"/>
              </w:rPr>
              <w:t> </w:t>
            </w:r>
            <w:r>
              <w:rPr>
                <w:spacing w:val="-4"/>
                <w:sz w:val="24"/>
              </w:rPr>
              <w:t>liver</w:t>
            </w:r>
          </w:p>
        </w:tc>
        <w:tc>
          <w:tcPr>
            <w:tcW w:w="512" w:type="dxa"/>
          </w:tcPr>
          <w:p>
            <w:pPr>
              <w:pStyle w:val="TableParagraph"/>
              <w:spacing w:before="64"/>
              <w:ind w:left="53"/>
              <w:jc w:val="center"/>
              <w:rPr>
                <w:sz w:val="24"/>
              </w:rPr>
            </w:pPr>
            <w:r>
              <w:rPr>
                <w:spacing w:val="-5"/>
                <w:sz w:val="24"/>
              </w:rPr>
              <w:t>111</w:t>
            </w:r>
          </w:p>
        </w:tc>
      </w:tr>
      <w:tr>
        <w:trPr>
          <w:trHeight w:val="413" w:hRule="atLeast"/>
        </w:trPr>
        <w:tc>
          <w:tcPr>
            <w:tcW w:w="1070" w:type="dxa"/>
          </w:tcPr>
          <w:p>
            <w:pPr>
              <w:pStyle w:val="TableParagraph"/>
              <w:spacing w:before="63"/>
              <w:ind w:left="50"/>
              <w:rPr>
                <w:sz w:val="24"/>
              </w:rPr>
            </w:pPr>
            <w:r>
              <w:rPr>
                <w:spacing w:val="-4"/>
                <w:sz w:val="24"/>
              </w:rPr>
              <w:t>3.8c</w:t>
            </w:r>
          </w:p>
        </w:tc>
        <w:tc>
          <w:tcPr>
            <w:tcW w:w="6799" w:type="dxa"/>
          </w:tcPr>
          <w:p>
            <w:pPr>
              <w:pStyle w:val="TableParagraph"/>
              <w:spacing w:before="63"/>
              <w:ind w:left="540"/>
              <w:rPr>
                <w:sz w:val="24"/>
              </w:rPr>
            </w:pPr>
            <w:r>
              <w:rPr>
                <w:sz w:val="24"/>
              </w:rPr>
              <w:t>Photomicrograph</w:t>
            </w:r>
            <w:r>
              <w:rPr>
                <w:spacing w:val="-3"/>
                <w:sz w:val="24"/>
              </w:rPr>
              <w:t> </w:t>
            </w:r>
            <w:r>
              <w:rPr>
                <w:sz w:val="24"/>
              </w:rPr>
              <w:t>of</w:t>
            </w:r>
            <w:r>
              <w:rPr>
                <w:spacing w:val="-1"/>
                <w:sz w:val="24"/>
              </w:rPr>
              <w:t> </w:t>
            </w:r>
            <w:r>
              <w:rPr>
                <w:sz w:val="24"/>
              </w:rPr>
              <w:t>the</w:t>
            </w:r>
            <w:r>
              <w:rPr>
                <w:spacing w:val="-1"/>
                <w:sz w:val="24"/>
              </w:rPr>
              <w:t> </w:t>
            </w:r>
            <w:r>
              <w:rPr>
                <w:sz w:val="24"/>
              </w:rPr>
              <w:t>liver showing</w:t>
            </w:r>
            <w:r>
              <w:rPr>
                <w:spacing w:val="-3"/>
                <w:sz w:val="24"/>
              </w:rPr>
              <w:t> </w:t>
            </w:r>
            <w:r>
              <w:rPr>
                <w:sz w:val="24"/>
              </w:rPr>
              <w:t>no</w:t>
            </w:r>
            <w:r>
              <w:rPr>
                <w:spacing w:val="-1"/>
                <w:sz w:val="24"/>
              </w:rPr>
              <w:t> </w:t>
            </w:r>
            <w:r>
              <w:rPr>
                <w:sz w:val="24"/>
              </w:rPr>
              <w:t>visible</w:t>
            </w:r>
            <w:r>
              <w:rPr>
                <w:spacing w:val="1"/>
                <w:sz w:val="24"/>
              </w:rPr>
              <w:t> </w:t>
            </w:r>
            <w:r>
              <w:rPr>
                <w:spacing w:val="-2"/>
                <w:sz w:val="24"/>
              </w:rPr>
              <w:t>lesion</w:t>
            </w:r>
          </w:p>
        </w:tc>
        <w:tc>
          <w:tcPr>
            <w:tcW w:w="512" w:type="dxa"/>
          </w:tcPr>
          <w:p>
            <w:pPr>
              <w:pStyle w:val="TableParagraph"/>
              <w:spacing w:before="63"/>
              <w:ind w:left="53"/>
              <w:jc w:val="center"/>
              <w:rPr>
                <w:sz w:val="24"/>
              </w:rPr>
            </w:pPr>
            <w:r>
              <w:rPr>
                <w:spacing w:val="-5"/>
                <w:sz w:val="24"/>
              </w:rPr>
              <w:t>112</w:t>
            </w:r>
          </w:p>
        </w:tc>
      </w:tr>
      <w:tr>
        <w:trPr>
          <w:trHeight w:val="414" w:hRule="atLeast"/>
        </w:trPr>
        <w:tc>
          <w:tcPr>
            <w:tcW w:w="1070" w:type="dxa"/>
          </w:tcPr>
          <w:p>
            <w:pPr>
              <w:pStyle w:val="TableParagraph"/>
              <w:spacing w:before="64"/>
              <w:ind w:left="50"/>
              <w:rPr>
                <w:sz w:val="24"/>
              </w:rPr>
            </w:pPr>
            <w:r>
              <w:rPr>
                <w:spacing w:val="-4"/>
                <w:sz w:val="24"/>
              </w:rPr>
              <w:t>3.9a</w:t>
            </w:r>
          </w:p>
        </w:tc>
        <w:tc>
          <w:tcPr>
            <w:tcW w:w="6799" w:type="dxa"/>
          </w:tcPr>
          <w:p>
            <w:pPr>
              <w:pStyle w:val="TableParagraph"/>
              <w:spacing w:before="64"/>
              <w:ind w:left="540"/>
              <w:rPr>
                <w:sz w:val="24"/>
              </w:rPr>
            </w:pPr>
            <w:r>
              <w:rPr>
                <w:sz w:val="24"/>
              </w:rPr>
              <w:t>Photomicrograph</w:t>
            </w:r>
            <w:r>
              <w:rPr>
                <w:spacing w:val="-3"/>
                <w:sz w:val="24"/>
              </w:rPr>
              <w:t> </w:t>
            </w:r>
            <w:r>
              <w:rPr>
                <w:sz w:val="24"/>
              </w:rPr>
              <w:t>of</w:t>
            </w:r>
            <w:r>
              <w:rPr>
                <w:spacing w:val="-1"/>
                <w:sz w:val="24"/>
              </w:rPr>
              <w:t> </w:t>
            </w:r>
            <w:r>
              <w:rPr>
                <w:sz w:val="24"/>
              </w:rPr>
              <w:t>the pancreas</w:t>
            </w:r>
            <w:r>
              <w:rPr>
                <w:spacing w:val="-1"/>
                <w:sz w:val="24"/>
              </w:rPr>
              <w:t> </w:t>
            </w:r>
            <w:r>
              <w:rPr>
                <w:sz w:val="24"/>
              </w:rPr>
              <w:t>showing</w:t>
            </w:r>
            <w:r>
              <w:rPr>
                <w:spacing w:val="-3"/>
                <w:sz w:val="24"/>
              </w:rPr>
              <w:t> </w:t>
            </w:r>
            <w:r>
              <w:rPr>
                <w:sz w:val="24"/>
              </w:rPr>
              <w:t>no</w:t>
            </w:r>
            <w:r>
              <w:rPr>
                <w:spacing w:val="-1"/>
                <w:sz w:val="24"/>
              </w:rPr>
              <w:t> </w:t>
            </w:r>
            <w:r>
              <w:rPr>
                <w:sz w:val="24"/>
              </w:rPr>
              <w:t>visible</w:t>
            </w:r>
            <w:r>
              <w:rPr>
                <w:spacing w:val="-1"/>
                <w:sz w:val="24"/>
              </w:rPr>
              <w:t> </w:t>
            </w:r>
            <w:r>
              <w:rPr>
                <w:spacing w:val="-2"/>
                <w:sz w:val="24"/>
              </w:rPr>
              <w:t>lesion</w:t>
            </w:r>
          </w:p>
        </w:tc>
        <w:tc>
          <w:tcPr>
            <w:tcW w:w="512" w:type="dxa"/>
          </w:tcPr>
          <w:p>
            <w:pPr>
              <w:pStyle w:val="TableParagraph"/>
              <w:spacing w:before="64"/>
              <w:ind w:left="53"/>
              <w:jc w:val="center"/>
              <w:rPr>
                <w:sz w:val="24"/>
              </w:rPr>
            </w:pPr>
            <w:r>
              <w:rPr>
                <w:spacing w:val="-5"/>
                <w:sz w:val="24"/>
              </w:rPr>
              <w:t>113</w:t>
            </w:r>
          </w:p>
        </w:tc>
      </w:tr>
      <w:tr>
        <w:trPr>
          <w:trHeight w:val="413" w:hRule="atLeast"/>
        </w:trPr>
        <w:tc>
          <w:tcPr>
            <w:tcW w:w="1070" w:type="dxa"/>
          </w:tcPr>
          <w:p>
            <w:pPr>
              <w:pStyle w:val="TableParagraph"/>
              <w:spacing w:before="63"/>
              <w:ind w:left="50"/>
              <w:rPr>
                <w:sz w:val="24"/>
              </w:rPr>
            </w:pPr>
            <w:r>
              <w:rPr>
                <w:spacing w:val="-4"/>
                <w:sz w:val="24"/>
              </w:rPr>
              <w:t>3.9b</w:t>
            </w:r>
          </w:p>
        </w:tc>
        <w:tc>
          <w:tcPr>
            <w:tcW w:w="6799" w:type="dxa"/>
          </w:tcPr>
          <w:p>
            <w:pPr>
              <w:pStyle w:val="TableParagraph"/>
              <w:spacing w:before="63"/>
              <w:ind w:left="540"/>
              <w:rPr>
                <w:sz w:val="24"/>
              </w:rPr>
            </w:pPr>
            <w:r>
              <w:rPr>
                <w:sz w:val="24"/>
              </w:rPr>
              <w:t>Photomicrograph of the kidney</w:t>
            </w:r>
            <w:r>
              <w:rPr>
                <w:spacing w:val="-5"/>
                <w:sz w:val="24"/>
              </w:rPr>
              <w:t> </w:t>
            </w:r>
            <w:r>
              <w:rPr>
                <w:sz w:val="24"/>
              </w:rPr>
              <w:t>showing</w:t>
            </w:r>
            <w:r>
              <w:rPr>
                <w:spacing w:val="-3"/>
                <w:sz w:val="24"/>
              </w:rPr>
              <w:t> </w:t>
            </w:r>
            <w:r>
              <w:rPr>
                <w:sz w:val="24"/>
              </w:rPr>
              <w:t>no visible </w:t>
            </w:r>
            <w:r>
              <w:rPr>
                <w:spacing w:val="-2"/>
                <w:sz w:val="24"/>
              </w:rPr>
              <w:t>lesion</w:t>
            </w:r>
          </w:p>
        </w:tc>
        <w:tc>
          <w:tcPr>
            <w:tcW w:w="512" w:type="dxa"/>
          </w:tcPr>
          <w:p>
            <w:pPr>
              <w:pStyle w:val="TableParagraph"/>
              <w:rPr>
                <w:sz w:val="24"/>
              </w:rPr>
            </w:pPr>
          </w:p>
        </w:tc>
      </w:tr>
      <w:tr>
        <w:trPr>
          <w:trHeight w:val="414" w:hRule="atLeast"/>
        </w:trPr>
        <w:tc>
          <w:tcPr>
            <w:tcW w:w="1070" w:type="dxa"/>
          </w:tcPr>
          <w:p>
            <w:pPr>
              <w:pStyle w:val="TableParagraph"/>
              <w:rPr>
                <w:sz w:val="24"/>
              </w:rPr>
            </w:pPr>
          </w:p>
        </w:tc>
        <w:tc>
          <w:tcPr>
            <w:tcW w:w="6799" w:type="dxa"/>
          </w:tcPr>
          <w:p>
            <w:pPr>
              <w:pStyle w:val="TableParagraph"/>
              <w:spacing w:before="64"/>
              <w:ind w:left="540"/>
              <w:rPr>
                <w:sz w:val="24"/>
              </w:rPr>
            </w:pPr>
            <w:r>
              <w:rPr>
                <w:sz w:val="24"/>
              </w:rPr>
              <w:t>in</w:t>
            </w:r>
            <w:r>
              <w:rPr>
                <w:spacing w:val="-1"/>
                <w:sz w:val="24"/>
              </w:rPr>
              <w:t> </w:t>
            </w:r>
            <w:r>
              <w:rPr>
                <w:sz w:val="24"/>
              </w:rPr>
              <w:t>the</w:t>
            </w:r>
            <w:r>
              <w:rPr>
                <w:spacing w:val="-2"/>
                <w:sz w:val="24"/>
              </w:rPr>
              <w:t> </w:t>
            </w:r>
            <w:r>
              <w:rPr>
                <w:sz w:val="24"/>
              </w:rPr>
              <w:t>treated</w:t>
            </w:r>
            <w:r>
              <w:rPr>
                <w:spacing w:val="-1"/>
                <w:sz w:val="24"/>
              </w:rPr>
              <w:t> </w:t>
            </w:r>
            <w:r>
              <w:rPr>
                <w:spacing w:val="-4"/>
                <w:sz w:val="24"/>
              </w:rPr>
              <w:t>rats</w:t>
            </w:r>
          </w:p>
        </w:tc>
        <w:tc>
          <w:tcPr>
            <w:tcW w:w="512" w:type="dxa"/>
          </w:tcPr>
          <w:p>
            <w:pPr>
              <w:pStyle w:val="TableParagraph"/>
              <w:spacing w:before="64"/>
              <w:ind w:left="53"/>
              <w:jc w:val="center"/>
              <w:rPr>
                <w:sz w:val="24"/>
              </w:rPr>
            </w:pPr>
            <w:r>
              <w:rPr>
                <w:spacing w:val="-5"/>
                <w:sz w:val="24"/>
              </w:rPr>
              <w:t>114</w:t>
            </w:r>
          </w:p>
        </w:tc>
      </w:tr>
      <w:tr>
        <w:trPr>
          <w:trHeight w:val="414" w:hRule="atLeast"/>
        </w:trPr>
        <w:tc>
          <w:tcPr>
            <w:tcW w:w="1070" w:type="dxa"/>
          </w:tcPr>
          <w:p>
            <w:pPr>
              <w:pStyle w:val="TableParagraph"/>
              <w:spacing w:before="63"/>
              <w:ind w:left="50"/>
              <w:rPr>
                <w:sz w:val="24"/>
              </w:rPr>
            </w:pPr>
            <w:r>
              <w:rPr>
                <w:spacing w:val="-4"/>
                <w:sz w:val="24"/>
              </w:rPr>
              <w:t>3.9c</w:t>
            </w:r>
          </w:p>
        </w:tc>
        <w:tc>
          <w:tcPr>
            <w:tcW w:w="6799" w:type="dxa"/>
          </w:tcPr>
          <w:p>
            <w:pPr>
              <w:pStyle w:val="TableParagraph"/>
              <w:spacing w:before="63"/>
              <w:ind w:left="540"/>
              <w:rPr>
                <w:sz w:val="24"/>
              </w:rPr>
            </w:pPr>
            <w:r>
              <w:rPr>
                <w:sz w:val="24"/>
              </w:rPr>
              <w:t>Photomicrograph</w:t>
            </w:r>
            <w:r>
              <w:rPr>
                <w:spacing w:val="-1"/>
                <w:sz w:val="24"/>
              </w:rPr>
              <w:t> </w:t>
            </w:r>
            <w:r>
              <w:rPr>
                <w:sz w:val="24"/>
              </w:rPr>
              <w:t>of</w:t>
            </w:r>
            <w:r>
              <w:rPr>
                <w:spacing w:val="-1"/>
                <w:sz w:val="24"/>
              </w:rPr>
              <w:t> </w:t>
            </w:r>
            <w:r>
              <w:rPr>
                <w:sz w:val="24"/>
              </w:rPr>
              <w:t>the</w:t>
            </w:r>
            <w:r>
              <w:rPr>
                <w:spacing w:val="-1"/>
                <w:sz w:val="24"/>
              </w:rPr>
              <w:t> </w:t>
            </w:r>
            <w:r>
              <w:rPr>
                <w:sz w:val="24"/>
              </w:rPr>
              <w:t>pancreas</w:t>
            </w:r>
            <w:r>
              <w:rPr>
                <w:spacing w:val="-1"/>
                <w:sz w:val="24"/>
              </w:rPr>
              <w:t> </w:t>
            </w:r>
            <w:r>
              <w:rPr>
                <w:sz w:val="24"/>
              </w:rPr>
              <w:t>showing</w:t>
            </w:r>
            <w:r>
              <w:rPr>
                <w:spacing w:val="-3"/>
                <w:sz w:val="24"/>
              </w:rPr>
              <w:t> </w:t>
            </w:r>
            <w:r>
              <w:rPr>
                <w:sz w:val="24"/>
              </w:rPr>
              <w:t>the</w:t>
            </w:r>
            <w:r>
              <w:rPr>
                <w:spacing w:val="-1"/>
                <w:sz w:val="24"/>
              </w:rPr>
              <w:t> </w:t>
            </w:r>
            <w:r>
              <w:rPr>
                <w:spacing w:val="-2"/>
                <w:sz w:val="24"/>
              </w:rPr>
              <w:t>destruction</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4"/>
              <w:ind w:left="540"/>
              <w:rPr>
                <w:sz w:val="24"/>
              </w:rPr>
            </w:pPr>
            <w:r>
              <w:rPr>
                <w:sz w:val="24"/>
              </w:rPr>
              <w:t>of</w:t>
            </w:r>
            <w:r>
              <w:rPr>
                <w:spacing w:val="-2"/>
                <w:sz w:val="24"/>
              </w:rPr>
              <w:t> </w:t>
            </w:r>
            <w:r>
              <w:rPr>
                <w:sz w:val="24"/>
              </w:rPr>
              <w:t>the</w:t>
            </w:r>
            <w:r>
              <w:rPr>
                <w:spacing w:val="-1"/>
                <w:sz w:val="24"/>
              </w:rPr>
              <w:t> </w:t>
            </w:r>
            <w:r>
              <w:rPr>
                <w:sz w:val="24"/>
              </w:rPr>
              <w:t>pancreatic cells</w:t>
            </w:r>
            <w:r>
              <w:rPr>
                <w:spacing w:val="-1"/>
                <w:sz w:val="24"/>
              </w:rPr>
              <w:t> </w:t>
            </w:r>
            <w:r>
              <w:rPr>
                <w:sz w:val="24"/>
              </w:rPr>
              <w:t>in</w:t>
            </w:r>
            <w:r>
              <w:rPr>
                <w:spacing w:val="-1"/>
                <w:sz w:val="24"/>
              </w:rPr>
              <w:t> </w:t>
            </w:r>
            <w:r>
              <w:rPr>
                <w:sz w:val="24"/>
              </w:rPr>
              <w:t>the</w:t>
            </w:r>
            <w:r>
              <w:rPr>
                <w:spacing w:val="-2"/>
                <w:sz w:val="24"/>
              </w:rPr>
              <w:t> </w:t>
            </w:r>
            <w:r>
              <w:rPr>
                <w:sz w:val="24"/>
              </w:rPr>
              <w:t>diabetic</w:t>
            </w:r>
            <w:r>
              <w:rPr>
                <w:spacing w:val="-1"/>
                <w:sz w:val="24"/>
              </w:rPr>
              <w:t> </w:t>
            </w:r>
            <w:r>
              <w:rPr>
                <w:spacing w:val="-5"/>
                <w:sz w:val="24"/>
              </w:rPr>
              <w:t>rat</w:t>
            </w:r>
          </w:p>
        </w:tc>
        <w:tc>
          <w:tcPr>
            <w:tcW w:w="512" w:type="dxa"/>
          </w:tcPr>
          <w:p>
            <w:pPr>
              <w:pStyle w:val="TableParagraph"/>
              <w:spacing w:before="64"/>
              <w:ind w:left="53"/>
              <w:jc w:val="center"/>
              <w:rPr>
                <w:sz w:val="24"/>
              </w:rPr>
            </w:pPr>
            <w:r>
              <w:rPr>
                <w:spacing w:val="-5"/>
                <w:sz w:val="24"/>
              </w:rPr>
              <w:t>115</w:t>
            </w:r>
          </w:p>
        </w:tc>
      </w:tr>
      <w:tr>
        <w:trPr>
          <w:trHeight w:val="414" w:hRule="atLeast"/>
        </w:trPr>
        <w:tc>
          <w:tcPr>
            <w:tcW w:w="1070" w:type="dxa"/>
          </w:tcPr>
          <w:p>
            <w:pPr>
              <w:pStyle w:val="TableParagraph"/>
              <w:spacing w:before="63"/>
              <w:ind w:left="50"/>
              <w:rPr>
                <w:sz w:val="24"/>
              </w:rPr>
            </w:pPr>
            <w:r>
              <w:rPr>
                <w:spacing w:val="-2"/>
                <w:sz w:val="24"/>
              </w:rPr>
              <w:t>3.10a</w:t>
            </w:r>
          </w:p>
        </w:tc>
        <w:tc>
          <w:tcPr>
            <w:tcW w:w="6799" w:type="dxa"/>
          </w:tcPr>
          <w:p>
            <w:pPr>
              <w:pStyle w:val="TableParagraph"/>
              <w:spacing w:before="63"/>
              <w:ind w:left="540"/>
              <w:rPr>
                <w:sz w:val="24"/>
              </w:rPr>
            </w:pPr>
            <w:r>
              <w:rPr>
                <w:sz w:val="24"/>
              </w:rPr>
              <w:t>Photomicrograph</w:t>
            </w:r>
            <w:r>
              <w:rPr>
                <w:spacing w:val="-4"/>
                <w:sz w:val="24"/>
              </w:rPr>
              <w:t> </w:t>
            </w:r>
            <w:r>
              <w:rPr>
                <w:sz w:val="24"/>
              </w:rPr>
              <w:t>of</w:t>
            </w:r>
            <w:r>
              <w:rPr>
                <w:spacing w:val="-1"/>
                <w:sz w:val="24"/>
              </w:rPr>
              <w:t> </w:t>
            </w:r>
            <w:r>
              <w:rPr>
                <w:sz w:val="24"/>
              </w:rPr>
              <w:t>the</w:t>
            </w:r>
            <w:r>
              <w:rPr>
                <w:spacing w:val="-1"/>
                <w:sz w:val="24"/>
              </w:rPr>
              <w:t> </w:t>
            </w:r>
            <w:r>
              <w:rPr>
                <w:sz w:val="24"/>
              </w:rPr>
              <w:t>pancreas</w:t>
            </w:r>
            <w:r>
              <w:rPr>
                <w:spacing w:val="1"/>
                <w:sz w:val="24"/>
              </w:rPr>
              <w:t> </w:t>
            </w:r>
            <w:r>
              <w:rPr>
                <w:sz w:val="24"/>
              </w:rPr>
              <w:t>showing</w:t>
            </w:r>
            <w:r>
              <w:rPr>
                <w:spacing w:val="-4"/>
                <w:sz w:val="24"/>
              </w:rPr>
              <w:t> </w:t>
            </w:r>
            <w:r>
              <w:rPr>
                <w:sz w:val="24"/>
              </w:rPr>
              <w:t>quasi-</w:t>
            </w:r>
            <w:r>
              <w:rPr>
                <w:spacing w:val="-2"/>
                <w:sz w:val="24"/>
              </w:rPr>
              <w:t>amelioration</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4"/>
              <w:ind w:left="540"/>
              <w:rPr>
                <w:sz w:val="24"/>
              </w:rPr>
            </w:pPr>
            <w:r>
              <w:rPr>
                <w:sz w:val="24"/>
              </w:rPr>
              <w:t>of</w:t>
            </w:r>
            <w:r>
              <w:rPr>
                <w:spacing w:val="-2"/>
                <w:sz w:val="24"/>
              </w:rPr>
              <w:t> </w:t>
            </w:r>
            <w:r>
              <w:rPr>
                <w:sz w:val="24"/>
              </w:rPr>
              <w:t>the</w:t>
            </w:r>
            <w:r>
              <w:rPr>
                <w:spacing w:val="-1"/>
                <w:sz w:val="24"/>
              </w:rPr>
              <w:t> </w:t>
            </w:r>
            <w:r>
              <w:rPr>
                <w:sz w:val="24"/>
              </w:rPr>
              <w:t>pancreatic cells</w:t>
            </w:r>
            <w:r>
              <w:rPr>
                <w:spacing w:val="-1"/>
                <w:sz w:val="24"/>
              </w:rPr>
              <w:t> </w:t>
            </w:r>
            <w:r>
              <w:rPr>
                <w:sz w:val="24"/>
              </w:rPr>
              <w:t>upon</w:t>
            </w:r>
            <w:r>
              <w:rPr>
                <w:spacing w:val="-2"/>
                <w:sz w:val="24"/>
              </w:rPr>
              <w:t> </w:t>
            </w:r>
            <w:r>
              <w:rPr>
                <w:sz w:val="24"/>
              </w:rPr>
              <w:t>the</w:t>
            </w:r>
            <w:r>
              <w:rPr>
                <w:spacing w:val="-1"/>
                <w:sz w:val="24"/>
              </w:rPr>
              <w:t> </w:t>
            </w:r>
            <w:r>
              <w:rPr>
                <w:sz w:val="24"/>
              </w:rPr>
              <w:t>administration</w:t>
            </w:r>
            <w:r>
              <w:rPr>
                <w:spacing w:val="-1"/>
                <w:sz w:val="24"/>
              </w:rPr>
              <w:t> </w:t>
            </w:r>
            <w:r>
              <w:rPr>
                <w:sz w:val="24"/>
              </w:rPr>
              <w:t>of</w:t>
            </w:r>
            <w:r>
              <w:rPr>
                <w:spacing w:val="-1"/>
                <w:sz w:val="24"/>
              </w:rPr>
              <w:t> </w:t>
            </w:r>
            <w:r>
              <w:rPr>
                <w:spacing w:val="-2"/>
                <w:sz w:val="24"/>
              </w:rPr>
              <w:t>ethanolic</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3"/>
              <w:ind w:left="540"/>
              <w:rPr>
                <w:sz w:val="24"/>
              </w:rPr>
            </w:pPr>
            <w:r>
              <w:rPr>
                <w:sz w:val="24"/>
              </w:rPr>
              <w:t>extract of</w:t>
            </w:r>
            <w:r>
              <w:rPr>
                <w:spacing w:val="-2"/>
                <w:sz w:val="24"/>
              </w:rPr>
              <w:t> </w:t>
            </w:r>
            <w:r>
              <w:rPr>
                <w:i/>
                <w:sz w:val="24"/>
              </w:rPr>
              <w:t>Mucuna pruriens</w:t>
            </w:r>
            <w:r>
              <w:rPr>
                <w:i/>
                <w:spacing w:val="-1"/>
                <w:sz w:val="24"/>
              </w:rPr>
              <w:t> </w:t>
            </w:r>
            <w:r>
              <w:rPr>
                <w:sz w:val="24"/>
              </w:rPr>
              <w:t>to the</w:t>
            </w:r>
            <w:r>
              <w:rPr>
                <w:spacing w:val="-2"/>
                <w:sz w:val="24"/>
              </w:rPr>
              <w:t> </w:t>
            </w:r>
            <w:r>
              <w:rPr>
                <w:sz w:val="24"/>
              </w:rPr>
              <w:t>diabetic</w:t>
            </w:r>
            <w:r>
              <w:rPr>
                <w:spacing w:val="-1"/>
                <w:sz w:val="24"/>
              </w:rPr>
              <w:t> </w:t>
            </w:r>
            <w:r>
              <w:rPr>
                <w:spacing w:val="-5"/>
                <w:sz w:val="24"/>
              </w:rPr>
              <w:t>rat</w:t>
            </w:r>
          </w:p>
        </w:tc>
        <w:tc>
          <w:tcPr>
            <w:tcW w:w="512" w:type="dxa"/>
          </w:tcPr>
          <w:p>
            <w:pPr>
              <w:pStyle w:val="TableParagraph"/>
              <w:spacing w:before="63"/>
              <w:ind w:left="53"/>
              <w:jc w:val="center"/>
              <w:rPr>
                <w:sz w:val="24"/>
              </w:rPr>
            </w:pPr>
            <w:r>
              <w:rPr>
                <w:spacing w:val="-5"/>
                <w:sz w:val="24"/>
              </w:rPr>
              <w:t>116</w:t>
            </w:r>
          </w:p>
        </w:tc>
      </w:tr>
      <w:tr>
        <w:trPr>
          <w:trHeight w:val="413" w:hRule="atLeast"/>
        </w:trPr>
        <w:tc>
          <w:tcPr>
            <w:tcW w:w="1070" w:type="dxa"/>
          </w:tcPr>
          <w:p>
            <w:pPr>
              <w:pStyle w:val="TableParagraph"/>
              <w:spacing w:before="64"/>
              <w:ind w:left="50"/>
              <w:rPr>
                <w:sz w:val="24"/>
              </w:rPr>
            </w:pPr>
            <w:r>
              <w:rPr>
                <w:spacing w:val="-2"/>
                <w:sz w:val="24"/>
              </w:rPr>
              <w:t>3.10b</w:t>
            </w:r>
          </w:p>
        </w:tc>
        <w:tc>
          <w:tcPr>
            <w:tcW w:w="6799" w:type="dxa"/>
          </w:tcPr>
          <w:p>
            <w:pPr>
              <w:pStyle w:val="TableParagraph"/>
              <w:spacing w:before="64"/>
              <w:ind w:left="540"/>
              <w:rPr>
                <w:sz w:val="24"/>
              </w:rPr>
            </w:pPr>
            <w:r>
              <w:rPr>
                <w:sz w:val="24"/>
              </w:rPr>
              <w:t>Hyperplasia</w:t>
            </w:r>
            <w:r>
              <w:rPr>
                <w:spacing w:val="-2"/>
                <w:sz w:val="24"/>
              </w:rPr>
              <w:t> </w:t>
            </w:r>
            <w:r>
              <w:rPr>
                <w:sz w:val="24"/>
              </w:rPr>
              <w:t>of</w:t>
            </w:r>
            <w:r>
              <w:rPr>
                <w:spacing w:val="-1"/>
                <w:sz w:val="24"/>
              </w:rPr>
              <w:t> </w:t>
            </w:r>
            <w:r>
              <w:rPr>
                <w:sz w:val="24"/>
              </w:rPr>
              <w:t>the</w:t>
            </w:r>
            <w:r>
              <w:rPr>
                <w:spacing w:val="-1"/>
                <w:sz w:val="24"/>
              </w:rPr>
              <w:t> </w:t>
            </w:r>
            <w:r>
              <w:rPr>
                <w:sz w:val="24"/>
              </w:rPr>
              <w:t>Kupfller</w:t>
            </w:r>
            <w:r>
              <w:rPr>
                <w:spacing w:val="-1"/>
                <w:sz w:val="24"/>
              </w:rPr>
              <w:t> </w:t>
            </w:r>
            <w:r>
              <w:rPr>
                <w:sz w:val="24"/>
              </w:rPr>
              <w:t>cells</w:t>
            </w:r>
            <w:r>
              <w:rPr>
                <w:spacing w:val="-1"/>
                <w:sz w:val="24"/>
              </w:rPr>
              <w:t> </w:t>
            </w:r>
            <w:r>
              <w:rPr>
                <w:sz w:val="24"/>
              </w:rPr>
              <w:t>of</w:t>
            </w:r>
            <w:r>
              <w:rPr>
                <w:spacing w:val="-1"/>
                <w:sz w:val="24"/>
              </w:rPr>
              <w:t> </w:t>
            </w:r>
            <w:r>
              <w:rPr>
                <w:sz w:val="24"/>
              </w:rPr>
              <w:t>the</w:t>
            </w:r>
            <w:r>
              <w:rPr>
                <w:spacing w:val="-2"/>
                <w:sz w:val="24"/>
              </w:rPr>
              <w:t> liver</w:t>
            </w:r>
          </w:p>
        </w:tc>
        <w:tc>
          <w:tcPr>
            <w:tcW w:w="512" w:type="dxa"/>
          </w:tcPr>
          <w:p>
            <w:pPr>
              <w:pStyle w:val="TableParagraph"/>
              <w:spacing w:before="64"/>
              <w:ind w:left="53"/>
              <w:jc w:val="center"/>
              <w:rPr>
                <w:sz w:val="24"/>
              </w:rPr>
            </w:pPr>
            <w:r>
              <w:rPr>
                <w:spacing w:val="-5"/>
                <w:sz w:val="24"/>
              </w:rPr>
              <w:t>117</w:t>
            </w:r>
          </w:p>
        </w:tc>
      </w:tr>
      <w:tr>
        <w:trPr>
          <w:trHeight w:val="414" w:hRule="atLeast"/>
        </w:trPr>
        <w:tc>
          <w:tcPr>
            <w:tcW w:w="1070" w:type="dxa"/>
          </w:tcPr>
          <w:p>
            <w:pPr>
              <w:pStyle w:val="TableParagraph"/>
              <w:spacing w:before="63"/>
              <w:ind w:left="50"/>
              <w:rPr>
                <w:sz w:val="24"/>
              </w:rPr>
            </w:pPr>
            <w:r>
              <w:rPr>
                <w:spacing w:val="-2"/>
                <w:sz w:val="24"/>
              </w:rPr>
              <w:t>3.10c</w:t>
            </w:r>
          </w:p>
        </w:tc>
        <w:tc>
          <w:tcPr>
            <w:tcW w:w="6799" w:type="dxa"/>
          </w:tcPr>
          <w:p>
            <w:pPr>
              <w:pStyle w:val="TableParagraph"/>
              <w:spacing w:before="63"/>
              <w:ind w:left="540"/>
              <w:rPr>
                <w:sz w:val="24"/>
              </w:rPr>
            </w:pPr>
            <w:r>
              <w:rPr>
                <w:sz w:val="24"/>
              </w:rPr>
              <w:t>Photomicrograph</w:t>
            </w:r>
            <w:r>
              <w:rPr>
                <w:spacing w:val="-2"/>
                <w:sz w:val="24"/>
              </w:rPr>
              <w:t> </w:t>
            </w:r>
            <w:r>
              <w:rPr>
                <w:sz w:val="24"/>
              </w:rPr>
              <w:t>of</w:t>
            </w:r>
            <w:r>
              <w:rPr>
                <w:spacing w:val="-1"/>
                <w:sz w:val="24"/>
              </w:rPr>
              <w:t> </w:t>
            </w:r>
            <w:r>
              <w:rPr>
                <w:sz w:val="24"/>
              </w:rPr>
              <w:t>the</w:t>
            </w:r>
            <w:r>
              <w:rPr>
                <w:spacing w:val="-2"/>
                <w:sz w:val="24"/>
              </w:rPr>
              <w:t> </w:t>
            </w:r>
            <w:r>
              <w:rPr>
                <w:sz w:val="24"/>
              </w:rPr>
              <w:t>liver</w:t>
            </w:r>
            <w:r>
              <w:rPr>
                <w:spacing w:val="-1"/>
                <w:sz w:val="24"/>
              </w:rPr>
              <w:t> </w:t>
            </w:r>
            <w:r>
              <w:rPr>
                <w:sz w:val="24"/>
              </w:rPr>
              <w:t>cells</w:t>
            </w:r>
            <w:r>
              <w:rPr>
                <w:spacing w:val="-2"/>
                <w:sz w:val="24"/>
              </w:rPr>
              <w:t> </w:t>
            </w:r>
            <w:r>
              <w:rPr>
                <w:sz w:val="24"/>
              </w:rPr>
              <w:t>of</w:t>
            </w:r>
            <w:r>
              <w:rPr>
                <w:spacing w:val="-1"/>
                <w:sz w:val="24"/>
              </w:rPr>
              <w:t> </w:t>
            </w:r>
            <w:r>
              <w:rPr>
                <w:sz w:val="24"/>
              </w:rPr>
              <w:t>rats</w:t>
            </w:r>
            <w:r>
              <w:rPr>
                <w:spacing w:val="-2"/>
                <w:sz w:val="24"/>
              </w:rPr>
              <w:t> </w:t>
            </w:r>
            <w:r>
              <w:rPr>
                <w:sz w:val="24"/>
              </w:rPr>
              <w:t>administered</w:t>
            </w:r>
            <w:r>
              <w:rPr>
                <w:spacing w:val="-1"/>
                <w:sz w:val="24"/>
              </w:rPr>
              <w:t> </w:t>
            </w:r>
            <w:r>
              <w:rPr>
                <w:spacing w:val="-4"/>
                <w:sz w:val="24"/>
              </w:rPr>
              <w:t>with</w:t>
            </w:r>
          </w:p>
        </w:tc>
        <w:tc>
          <w:tcPr>
            <w:tcW w:w="512" w:type="dxa"/>
          </w:tcPr>
          <w:p>
            <w:pPr>
              <w:pStyle w:val="TableParagraph"/>
              <w:rPr>
                <w:sz w:val="24"/>
              </w:rPr>
            </w:pPr>
          </w:p>
        </w:tc>
      </w:tr>
      <w:tr>
        <w:trPr>
          <w:trHeight w:val="414" w:hRule="atLeast"/>
        </w:trPr>
        <w:tc>
          <w:tcPr>
            <w:tcW w:w="1070" w:type="dxa"/>
          </w:tcPr>
          <w:p>
            <w:pPr>
              <w:pStyle w:val="TableParagraph"/>
              <w:rPr>
                <w:sz w:val="24"/>
              </w:rPr>
            </w:pPr>
          </w:p>
        </w:tc>
        <w:tc>
          <w:tcPr>
            <w:tcW w:w="6799" w:type="dxa"/>
          </w:tcPr>
          <w:p>
            <w:pPr>
              <w:pStyle w:val="TableParagraph"/>
              <w:spacing w:before="64"/>
              <w:ind w:left="540"/>
              <w:rPr>
                <w:sz w:val="24"/>
              </w:rPr>
            </w:pPr>
            <w:r>
              <w:rPr>
                <w:sz w:val="24"/>
              </w:rPr>
              <w:t>ethanol</w:t>
            </w:r>
            <w:r>
              <w:rPr>
                <w:spacing w:val="-3"/>
                <w:sz w:val="24"/>
              </w:rPr>
              <w:t> </w:t>
            </w:r>
            <w:r>
              <w:rPr>
                <w:sz w:val="24"/>
              </w:rPr>
              <w:t>extract</w:t>
            </w:r>
            <w:r>
              <w:rPr>
                <w:spacing w:val="-1"/>
                <w:sz w:val="24"/>
              </w:rPr>
              <w:t> </w:t>
            </w:r>
            <w:r>
              <w:rPr>
                <w:sz w:val="24"/>
              </w:rPr>
              <w:t>of</w:t>
            </w:r>
            <w:r>
              <w:rPr>
                <w:spacing w:val="-1"/>
                <w:sz w:val="24"/>
              </w:rPr>
              <w:t> </w:t>
            </w:r>
            <w:r>
              <w:rPr>
                <w:i/>
                <w:sz w:val="24"/>
              </w:rPr>
              <w:t>Mucuna</w:t>
            </w:r>
            <w:r>
              <w:rPr>
                <w:i/>
                <w:spacing w:val="-1"/>
                <w:sz w:val="24"/>
              </w:rPr>
              <w:t> </w:t>
            </w:r>
            <w:r>
              <w:rPr>
                <w:i/>
                <w:sz w:val="24"/>
              </w:rPr>
              <w:t>pruriens</w:t>
            </w:r>
            <w:r>
              <w:rPr>
                <w:i/>
                <w:spacing w:val="-1"/>
                <w:sz w:val="24"/>
              </w:rPr>
              <w:t> </w:t>
            </w:r>
            <w:r>
              <w:rPr>
                <w:sz w:val="24"/>
              </w:rPr>
              <w:t>showing</w:t>
            </w:r>
            <w:r>
              <w:rPr>
                <w:spacing w:val="-4"/>
                <w:sz w:val="24"/>
              </w:rPr>
              <w:t> </w:t>
            </w:r>
            <w:r>
              <w:rPr>
                <w:sz w:val="24"/>
              </w:rPr>
              <w:t>the amelioration </w:t>
            </w:r>
            <w:r>
              <w:rPr>
                <w:spacing w:val="-5"/>
                <w:sz w:val="24"/>
              </w:rPr>
              <w:t>of</w:t>
            </w:r>
          </w:p>
        </w:tc>
        <w:tc>
          <w:tcPr>
            <w:tcW w:w="512" w:type="dxa"/>
          </w:tcPr>
          <w:p>
            <w:pPr>
              <w:pStyle w:val="TableParagraph"/>
              <w:rPr>
                <w:sz w:val="24"/>
              </w:rPr>
            </w:pPr>
          </w:p>
        </w:tc>
      </w:tr>
      <w:tr>
        <w:trPr>
          <w:trHeight w:val="414" w:hRule="atLeast"/>
        </w:trPr>
        <w:tc>
          <w:tcPr>
            <w:tcW w:w="1070" w:type="dxa"/>
          </w:tcPr>
          <w:p>
            <w:pPr>
              <w:pStyle w:val="TableParagraph"/>
              <w:rPr>
                <w:sz w:val="24"/>
              </w:rPr>
            </w:pPr>
          </w:p>
        </w:tc>
        <w:tc>
          <w:tcPr>
            <w:tcW w:w="6799" w:type="dxa"/>
          </w:tcPr>
          <w:p>
            <w:pPr>
              <w:pStyle w:val="TableParagraph"/>
              <w:spacing w:before="63"/>
              <w:ind w:left="540"/>
              <w:rPr>
                <w:sz w:val="24"/>
              </w:rPr>
            </w:pPr>
            <w:r>
              <w:rPr>
                <w:sz w:val="24"/>
              </w:rPr>
              <w:t>the</w:t>
            </w:r>
            <w:r>
              <w:rPr>
                <w:spacing w:val="-1"/>
                <w:sz w:val="24"/>
              </w:rPr>
              <w:t> </w:t>
            </w:r>
            <w:r>
              <w:rPr>
                <w:sz w:val="24"/>
              </w:rPr>
              <w:t>damaged</w:t>
            </w:r>
            <w:r>
              <w:rPr>
                <w:spacing w:val="1"/>
                <w:sz w:val="24"/>
              </w:rPr>
              <w:t> </w:t>
            </w:r>
            <w:r>
              <w:rPr>
                <w:sz w:val="24"/>
              </w:rPr>
              <w:t>caused</w:t>
            </w:r>
            <w:r>
              <w:rPr>
                <w:spacing w:val="-2"/>
                <w:sz w:val="24"/>
              </w:rPr>
              <w:t> </w:t>
            </w:r>
            <w:r>
              <w:rPr>
                <w:sz w:val="24"/>
              </w:rPr>
              <w:t>by</w:t>
            </w:r>
            <w:r>
              <w:rPr>
                <w:spacing w:val="-4"/>
                <w:sz w:val="24"/>
              </w:rPr>
              <w:t> </w:t>
            </w:r>
            <w:r>
              <w:rPr>
                <w:sz w:val="24"/>
              </w:rPr>
              <w:t>diabetes </w:t>
            </w:r>
            <w:r>
              <w:rPr>
                <w:spacing w:val="-2"/>
                <w:sz w:val="24"/>
              </w:rPr>
              <w:t>mellitus</w:t>
            </w:r>
          </w:p>
        </w:tc>
        <w:tc>
          <w:tcPr>
            <w:tcW w:w="512" w:type="dxa"/>
          </w:tcPr>
          <w:p>
            <w:pPr>
              <w:pStyle w:val="TableParagraph"/>
              <w:spacing w:before="63"/>
              <w:ind w:left="53"/>
              <w:jc w:val="center"/>
              <w:rPr>
                <w:sz w:val="24"/>
              </w:rPr>
            </w:pPr>
            <w:r>
              <w:rPr>
                <w:spacing w:val="-5"/>
                <w:sz w:val="24"/>
              </w:rPr>
              <w:t>118</w:t>
            </w:r>
          </w:p>
        </w:tc>
      </w:tr>
      <w:tr>
        <w:trPr>
          <w:trHeight w:val="414" w:hRule="atLeast"/>
        </w:trPr>
        <w:tc>
          <w:tcPr>
            <w:tcW w:w="1070" w:type="dxa"/>
          </w:tcPr>
          <w:p>
            <w:pPr>
              <w:pStyle w:val="TableParagraph"/>
              <w:spacing w:before="65"/>
              <w:ind w:left="50"/>
              <w:rPr>
                <w:sz w:val="24"/>
              </w:rPr>
            </w:pPr>
            <w:r>
              <w:rPr>
                <w:spacing w:val="-5"/>
                <w:sz w:val="24"/>
              </w:rPr>
              <w:t>4.1</w:t>
            </w:r>
          </w:p>
        </w:tc>
        <w:tc>
          <w:tcPr>
            <w:tcW w:w="6799" w:type="dxa"/>
          </w:tcPr>
          <w:p>
            <w:pPr>
              <w:pStyle w:val="TableParagraph"/>
              <w:spacing w:before="65"/>
              <w:ind w:left="571"/>
              <w:rPr>
                <w:i/>
                <w:sz w:val="24"/>
              </w:rPr>
            </w:pPr>
            <w:r>
              <w:rPr>
                <w:sz w:val="24"/>
              </w:rPr>
              <w:t>Plots</w:t>
            </w:r>
            <w:r>
              <w:rPr>
                <w:spacing w:val="-1"/>
                <w:sz w:val="24"/>
              </w:rPr>
              <w:t> </w:t>
            </w:r>
            <w:r>
              <w:rPr>
                <w:sz w:val="24"/>
              </w:rPr>
              <w:t>of</w:t>
            </w:r>
            <w:r>
              <w:rPr>
                <w:spacing w:val="-1"/>
                <w:sz w:val="24"/>
              </w:rPr>
              <w:t> </w:t>
            </w:r>
            <w:r>
              <w:rPr>
                <w:sz w:val="24"/>
              </w:rPr>
              <w:t>particle</w:t>
            </w:r>
            <w:r>
              <w:rPr>
                <w:spacing w:val="-3"/>
                <w:sz w:val="24"/>
              </w:rPr>
              <w:t> </w:t>
            </w:r>
            <w:r>
              <w:rPr>
                <w:sz w:val="24"/>
              </w:rPr>
              <w:t>size</w:t>
            </w:r>
            <w:r>
              <w:rPr>
                <w:spacing w:val="-1"/>
                <w:sz w:val="24"/>
              </w:rPr>
              <w:t> </w:t>
            </w:r>
            <w:r>
              <w:rPr>
                <w:sz w:val="24"/>
              </w:rPr>
              <w:t>distribution</w:t>
            </w:r>
            <w:r>
              <w:rPr>
                <w:spacing w:val="-1"/>
                <w:sz w:val="24"/>
              </w:rPr>
              <w:t> </w:t>
            </w:r>
            <w:r>
              <w:rPr>
                <w:sz w:val="24"/>
              </w:rPr>
              <w:t>of </w:t>
            </w:r>
            <w:r>
              <w:rPr>
                <w:i/>
                <w:sz w:val="24"/>
              </w:rPr>
              <w:t>Mucuna </w:t>
            </w:r>
            <w:r>
              <w:rPr>
                <w:i/>
                <w:spacing w:val="-2"/>
                <w:sz w:val="24"/>
              </w:rPr>
              <w:t>pruriens</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3"/>
              <w:ind w:left="540"/>
              <w:rPr>
                <w:sz w:val="24"/>
              </w:rPr>
            </w:pPr>
            <w:r>
              <w:rPr>
                <w:sz w:val="24"/>
              </w:rPr>
              <w:t>formulations</w:t>
            </w:r>
            <w:r>
              <w:rPr>
                <w:spacing w:val="-1"/>
                <w:sz w:val="24"/>
              </w:rPr>
              <w:t> </w:t>
            </w:r>
            <w:r>
              <w:rPr>
                <w:sz w:val="24"/>
              </w:rPr>
              <w:t>by</w:t>
            </w:r>
            <w:r>
              <w:rPr>
                <w:spacing w:val="-6"/>
                <w:sz w:val="24"/>
              </w:rPr>
              <w:t> </w:t>
            </w:r>
            <w:r>
              <w:rPr>
                <w:sz w:val="24"/>
              </w:rPr>
              <w:t>direct </w:t>
            </w:r>
            <w:r>
              <w:rPr>
                <w:spacing w:val="-2"/>
                <w:sz w:val="24"/>
              </w:rPr>
              <w:t>compression</w:t>
            </w:r>
          </w:p>
        </w:tc>
        <w:tc>
          <w:tcPr>
            <w:tcW w:w="512" w:type="dxa"/>
          </w:tcPr>
          <w:p>
            <w:pPr>
              <w:pStyle w:val="TableParagraph"/>
              <w:spacing w:before="63"/>
              <w:ind w:left="53"/>
              <w:jc w:val="center"/>
              <w:rPr>
                <w:sz w:val="24"/>
              </w:rPr>
            </w:pPr>
            <w:r>
              <w:rPr>
                <w:spacing w:val="-5"/>
                <w:sz w:val="24"/>
              </w:rPr>
              <w:t>125</w:t>
            </w:r>
          </w:p>
        </w:tc>
      </w:tr>
      <w:tr>
        <w:trPr>
          <w:trHeight w:val="413" w:hRule="atLeast"/>
        </w:trPr>
        <w:tc>
          <w:tcPr>
            <w:tcW w:w="1070" w:type="dxa"/>
          </w:tcPr>
          <w:p>
            <w:pPr>
              <w:pStyle w:val="TableParagraph"/>
              <w:spacing w:before="64"/>
              <w:ind w:left="110"/>
              <w:rPr>
                <w:sz w:val="24"/>
              </w:rPr>
            </w:pPr>
            <w:r>
              <w:rPr>
                <w:spacing w:val="-5"/>
                <w:sz w:val="24"/>
              </w:rPr>
              <w:t>4.2</w:t>
            </w:r>
          </w:p>
        </w:tc>
        <w:tc>
          <w:tcPr>
            <w:tcW w:w="6799" w:type="dxa"/>
          </w:tcPr>
          <w:p>
            <w:pPr>
              <w:pStyle w:val="TableParagraph"/>
              <w:spacing w:before="64"/>
              <w:ind w:left="540"/>
              <w:rPr>
                <w:i/>
                <w:sz w:val="24"/>
              </w:rPr>
            </w:pPr>
            <w:r>
              <w:rPr>
                <w:sz w:val="24"/>
              </w:rPr>
              <w:t>Plots</w:t>
            </w:r>
            <w:r>
              <w:rPr>
                <w:spacing w:val="-1"/>
                <w:sz w:val="24"/>
              </w:rPr>
              <w:t> </w:t>
            </w:r>
            <w:r>
              <w:rPr>
                <w:sz w:val="24"/>
              </w:rPr>
              <w:t>of</w:t>
            </w:r>
            <w:r>
              <w:rPr>
                <w:spacing w:val="-1"/>
                <w:sz w:val="24"/>
              </w:rPr>
              <w:t> </w:t>
            </w:r>
            <w:r>
              <w:rPr>
                <w:sz w:val="24"/>
              </w:rPr>
              <w:t>the</w:t>
            </w:r>
            <w:r>
              <w:rPr>
                <w:spacing w:val="-2"/>
                <w:sz w:val="24"/>
              </w:rPr>
              <w:t> </w:t>
            </w:r>
            <w:r>
              <w:rPr>
                <w:sz w:val="24"/>
              </w:rPr>
              <w:t>granule size distribution</w:t>
            </w:r>
            <w:r>
              <w:rPr>
                <w:spacing w:val="-1"/>
                <w:sz w:val="24"/>
              </w:rPr>
              <w:t> </w:t>
            </w:r>
            <w:r>
              <w:rPr>
                <w:sz w:val="24"/>
              </w:rPr>
              <w:t>of </w:t>
            </w:r>
            <w:r>
              <w:rPr>
                <w:i/>
                <w:sz w:val="24"/>
              </w:rPr>
              <w:t>Mucuna </w:t>
            </w:r>
            <w:r>
              <w:rPr>
                <w:i/>
                <w:spacing w:val="-2"/>
                <w:sz w:val="24"/>
              </w:rPr>
              <w:t>pruriens</w:t>
            </w:r>
          </w:p>
        </w:tc>
        <w:tc>
          <w:tcPr>
            <w:tcW w:w="512" w:type="dxa"/>
          </w:tcPr>
          <w:p>
            <w:pPr>
              <w:pStyle w:val="TableParagraph"/>
              <w:rPr>
                <w:sz w:val="24"/>
              </w:rPr>
            </w:pPr>
          </w:p>
        </w:tc>
      </w:tr>
      <w:tr>
        <w:trPr>
          <w:trHeight w:val="413" w:hRule="atLeast"/>
        </w:trPr>
        <w:tc>
          <w:tcPr>
            <w:tcW w:w="1070" w:type="dxa"/>
          </w:tcPr>
          <w:p>
            <w:pPr>
              <w:pStyle w:val="TableParagraph"/>
              <w:rPr>
                <w:sz w:val="24"/>
              </w:rPr>
            </w:pPr>
          </w:p>
        </w:tc>
        <w:tc>
          <w:tcPr>
            <w:tcW w:w="6799" w:type="dxa"/>
          </w:tcPr>
          <w:p>
            <w:pPr>
              <w:pStyle w:val="TableParagraph"/>
              <w:spacing w:before="63"/>
              <w:ind w:left="540"/>
              <w:rPr>
                <w:sz w:val="24"/>
              </w:rPr>
            </w:pPr>
            <w:r>
              <w:rPr>
                <w:sz w:val="24"/>
              </w:rPr>
              <w:t>formulations</w:t>
            </w:r>
            <w:r>
              <w:rPr>
                <w:spacing w:val="-3"/>
                <w:sz w:val="24"/>
              </w:rPr>
              <w:t> </w:t>
            </w:r>
            <w:r>
              <w:rPr>
                <w:sz w:val="24"/>
              </w:rPr>
              <w:t>containing</w:t>
            </w:r>
            <w:r>
              <w:rPr>
                <w:spacing w:val="-2"/>
                <w:sz w:val="24"/>
              </w:rPr>
              <w:t> </w:t>
            </w:r>
            <w:r>
              <w:rPr>
                <w:sz w:val="24"/>
              </w:rPr>
              <w:t>0%,</w:t>
            </w:r>
            <w:r>
              <w:rPr>
                <w:spacing w:val="-1"/>
                <w:sz w:val="24"/>
              </w:rPr>
              <w:t> </w:t>
            </w:r>
            <w:r>
              <w:rPr>
                <w:sz w:val="24"/>
              </w:rPr>
              <w:t>1%</w:t>
            </w:r>
            <w:r>
              <w:rPr>
                <w:spacing w:val="1"/>
                <w:sz w:val="24"/>
              </w:rPr>
              <w:t> </w:t>
            </w:r>
            <w:r>
              <w:rPr>
                <w:sz w:val="24"/>
              </w:rPr>
              <w:t>and 4%</w:t>
            </w:r>
            <w:r>
              <w:rPr>
                <w:spacing w:val="-1"/>
                <w:sz w:val="24"/>
              </w:rPr>
              <w:t> </w:t>
            </w:r>
            <w:r>
              <w:rPr>
                <w:sz w:val="24"/>
              </w:rPr>
              <w:t>of </w:t>
            </w:r>
            <w:r>
              <w:rPr>
                <w:spacing w:val="-2"/>
                <w:sz w:val="24"/>
              </w:rPr>
              <w:t>binder</w:t>
            </w:r>
          </w:p>
        </w:tc>
        <w:tc>
          <w:tcPr>
            <w:tcW w:w="512" w:type="dxa"/>
          </w:tcPr>
          <w:p>
            <w:pPr>
              <w:pStyle w:val="TableParagraph"/>
              <w:spacing w:before="63"/>
              <w:ind w:left="53"/>
              <w:jc w:val="center"/>
              <w:rPr>
                <w:sz w:val="24"/>
              </w:rPr>
            </w:pPr>
            <w:r>
              <w:rPr>
                <w:spacing w:val="-5"/>
                <w:sz w:val="24"/>
              </w:rPr>
              <w:t>126</w:t>
            </w:r>
          </w:p>
        </w:tc>
      </w:tr>
      <w:tr>
        <w:trPr>
          <w:trHeight w:val="390" w:hRule="atLeast"/>
        </w:trPr>
        <w:tc>
          <w:tcPr>
            <w:tcW w:w="1070" w:type="dxa"/>
          </w:tcPr>
          <w:p>
            <w:pPr>
              <w:pStyle w:val="TableParagraph"/>
              <w:spacing w:before="64"/>
              <w:ind w:left="110"/>
              <w:rPr>
                <w:sz w:val="24"/>
              </w:rPr>
            </w:pPr>
            <w:r>
              <w:rPr>
                <w:spacing w:val="-5"/>
                <w:sz w:val="24"/>
              </w:rPr>
              <w:t>4.3</w:t>
            </w:r>
          </w:p>
        </w:tc>
        <w:tc>
          <w:tcPr>
            <w:tcW w:w="6799" w:type="dxa"/>
          </w:tcPr>
          <w:p>
            <w:pPr>
              <w:pStyle w:val="TableParagraph"/>
              <w:spacing w:before="64"/>
              <w:ind w:left="540"/>
              <w:rPr>
                <w:sz w:val="24"/>
              </w:rPr>
            </w:pPr>
            <w:r>
              <w:rPr>
                <w:sz w:val="24"/>
              </w:rPr>
              <w:t>Plots</w:t>
            </w:r>
            <w:r>
              <w:rPr>
                <w:spacing w:val="-3"/>
                <w:sz w:val="24"/>
              </w:rPr>
              <w:t> </w:t>
            </w:r>
            <w:r>
              <w:rPr>
                <w:sz w:val="24"/>
              </w:rPr>
              <w:t>of the</w:t>
            </w:r>
            <w:r>
              <w:rPr>
                <w:spacing w:val="-1"/>
                <w:sz w:val="24"/>
              </w:rPr>
              <w:t> </w:t>
            </w:r>
            <w:r>
              <w:rPr>
                <w:sz w:val="24"/>
              </w:rPr>
              <w:t>dissolution</w:t>
            </w:r>
            <w:r>
              <w:rPr>
                <w:spacing w:val="-2"/>
                <w:sz w:val="24"/>
              </w:rPr>
              <w:t> </w:t>
            </w:r>
            <w:r>
              <w:rPr>
                <w:sz w:val="24"/>
              </w:rPr>
              <w:t>profile</w:t>
            </w:r>
            <w:r>
              <w:rPr>
                <w:spacing w:val="-1"/>
                <w:sz w:val="24"/>
              </w:rPr>
              <w:t> </w:t>
            </w:r>
            <w:r>
              <w:rPr>
                <w:sz w:val="24"/>
              </w:rPr>
              <w:t>of </w:t>
            </w:r>
            <w:r>
              <w:rPr>
                <w:i/>
                <w:sz w:val="24"/>
              </w:rPr>
              <w:t>Mucuna pruriens </w:t>
            </w:r>
            <w:r>
              <w:rPr>
                <w:spacing w:val="-2"/>
                <w:sz w:val="24"/>
              </w:rPr>
              <w:t>tablets</w:t>
            </w:r>
          </w:p>
        </w:tc>
        <w:tc>
          <w:tcPr>
            <w:tcW w:w="512" w:type="dxa"/>
          </w:tcPr>
          <w:p>
            <w:pPr>
              <w:pStyle w:val="TableParagraph"/>
              <w:rPr>
                <w:sz w:val="24"/>
              </w:rPr>
            </w:pPr>
          </w:p>
        </w:tc>
      </w:tr>
    </w:tbl>
    <w:p>
      <w:pPr>
        <w:rPr>
          <w:sz w:val="2"/>
          <w:szCs w:val="2"/>
        </w:rPr>
      </w:pPr>
      <w:r>
        <w:rPr/>
        <mc:AlternateContent>
          <mc:Choice Requires="wps">
            <w:drawing>
              <wp:anchor distT="0" distB="0" distL="0" distR="0" allowOverlap="1" layoutInCell="1" locked="0" behindDoc="1" simplePos="0" relativeHeight="482911744">
                <wp:simplePos x="0" y="0"/>
                <wp:positionH relativeFrom="page">
                  <wp:posOffset>-1402226</wp:posOffset>
                </wp:positionH>
                <wp:positionV relativeFrom="page">
                  <wp:posOffset>4612234</wp:posOffset>
                </wp:positionV>
                <wp:extent cx="10685780" cy="914400"/>
                <wp:effectExtent l="0" t="0" r="0" b="0"/>
                <wp:wrapNone/>
                <wp:docPr id="20" name="Textbox 20"/>
                <wp:cNvGraphicFramePr>
                  <a:graphicFrameLocks/>
                </wp:cNvGraphicFramePr>
                <a:graphic>
                  <a:graphicData uri="http://schemas.microsoft.com/office/word/2010/wordprocessingShape">
                    <wps:wsp>
                      <wps:cNvPr id="20" name="Textbox 2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4736;rotation:306" type="#_x0000_t136" fillcolor="#ff5400" stroked="f">
                <o:extrusion v:ext="view" autorotationcenter="t"/>
                <v:textpath style="font-family:&quot;Arial MT&quot;;font-size:72pt;v-text-kern:t;mso-text-shadow:auto" string="UNIVERSITY OF IBADAN"/>
                <w10:wrap type="none"/>
              </v:shape>
            </w:pict>
          </mc:Fallback>
        </mc:AlternateContent>
      </w:r>
    </w:p>
    <w:p>
      <w:pPr>
        <w:spacing w:after="0"/>
        <w:rPr>
          <w:sz w:val="2"/>
          <w:szCs w:val="2"/>
        </w:rPr>
        <w:sectPr>
          <w:pgSz w:w="12240" w:h="15840"/>
          <w:pgMar w:header="0" w:footer="1068" w:top="1380" w:bottom="1260" w:left="1420" w:right="420"/>
        </w:sectPr>
      </w:pPr>
    </w:p>
    <w:p>
      <w:pPr>
        <w:pStyle w:val="BodyText"/>
        <w:tabs>
          <w:tab w:pos="8604" w:val="left" w:leader="none"/>
        </w:tabs>
        <w:spacing w:before="74"/>
        <w:ind w:left="2122"/>
      </w:pPr>
      <w:r>
        <w:rPr/>
        <mc:AlternateContent>
          <mc:Choice Requires="wps">
            <w:drawing>
              <wp:anchor distT="0" distB="0" distL="0" distR="0" allowOverlap="1" layoutInCell="1" locked="0" behindDoc="1" simplePos="0" relativeHeight="482912256">
                <wp:simplePos x="0" y="0"/>
                <wp:positionH relativeFrom="page">
                  <wp:posOffset>-1402226</wp:posOffset>
                </wp:positionH>
                <wp:positionV relativeFrom="page">
                  <wp:posOffset>4612234</wp:posOffset>
                </wp:positionV>
                <wp:extent cx="10685780" cy="914400"/>
                <wp:effectExtent l="0" t="0" r="0" b="0"/>
                <wp:wrapNone/>
                <wp:docPr id="21" name="Textbox 21"/>
                <wp:cNvGraphicFramePr>
                  <a:graphicFrameLocks/>
                </wp:cNvGraphicFramePr>
                <a:graphic>
                  <a:graphicData uri="http://schemas.microsoft.com/office/word/2010/wordprocessingShape">
                    <wps:wsp>
                      <wps:cNvPr id="21" name="Textbox 2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4224;rotation:306" type="#_x0000_t136" fillcolor="#ff5400" stroked="f">
                <o:extrusion v:ext="view" autorotationcenter="t"/>
                <v:textpath style="font-family:&quot;Arial MT&quot;;font-size:72pt;v-text-kern:t;mso-text-shadow:auto" string="UNIVERSITY OF IBADAN"/>
                <w10:wrap type="none"/>
              </v:shape>
            </w:pict>
          </mc:Fallback>
        </mc:AlternateContent>
      </w:r>
      <w:r>
        <w:rPr/>
        <w:t>prepared</w:t>
      </w:r>
      <w:r>
        <w:rPr>
          <w:spacing w:val="-1"/>
        </w:rPr>
        <w:t> </w:t>
      </w:r>
      <w:r>
        <w:rPr/>
        <w:t>by</w:t>
      </w:r>
      <w:r>
        <w:rPr>
          <w:spacing w:val="-5"/>
        </w:rPr>
        <w:t> </w:t>
      </w:r>
      <w:r>
        <w:rPr/>
        <w:t>direct</w:t>
      </w:r>
      <w:r>
        <w:rPr>
          <w:spacing w:val="2"/>
        </w:rPr>
        <w:t> </w:t>
      </w:r>
      <w:r>
        <w:rPr/>
        <w:t>compression without</w:t>
      </w:r>
      <w:r>
        <w:rPr>
          <w:spacing w:val="1"/>
        </w:rPr>
        <w:t> </w:t>
      </w:r>
      <w:r>
        <w:rPr>
          <w:spacing w:val="-2"/>
        </w:rPr>
        <w:t>diluents</w:t>
      </w:r>
      <w:r>
        <w:rPr/>
        <w:tab/>
      </w:r>
      <w:r>
        <w:rPr>
          <w:spacing w:val="-5"/>
        </w:rPr>
        <w:t>138</w:t>
      </w:r>
    </w:p>
    <w:p>
      <w:pPr>
        <w:pStyle w:val="ListParagraph"/>
        <w:numPr>
          <w:ilvl w:val="1"/>
          <w:numId w:val="17"/>
        </w:numPr>
        <w:tabs>
          <w:tab w:pos="2122" w:val="left" w:leader="none"/>
        </w:tabs>
        <w:spacing w:line="240" w:lineRule="auto" w:before="137" w:after="0"/>
        <w:ind w:left="2122" w:right="0" w:hanging="1440"/>
        <w:jc w:val="left"/>
        <w:rPr>
          <w:sz w:val="24"/>
        </w:rPr>
      </w:pPr>
      <w:r>
        <w:rPr>
          <w:sz w:val="24"/>
        </w:rPr>
        <w:t>Plots</w:t>
      </w:r>
      <w:r>
        <w:rPr>
          <w:spacing w:val="-1"/>
          <w:sz w:val="24"/>
        </w:rPr>
        <w:t> </w:t>
      </w:r>
      <w:r>
        <w:rPr>
          <w:sz w:val="24"/>
        </w:rPr>
        <w:t>of</w:t>
      </w:r>
      <w:r>
        <w:rPr>
          <w:spacing w:val="-1"/>
          <w:sz w:val="24"/>
        </w:rPr>
        <w:t> </w:t>
      </w:r>
      <w:r>
        <w:rPr>
          <w:sz w:val="24"/>
        </w:rPr>
        <w:t>cumulative</w:t>
      </w:r>
      <w:r>
        <w:rPr>
          <w:spacing w:val="-2"/>
          <w:sz w:val="24"/>
        </w:rPr>
        <w:t> </w:t>
      </w:r>
      <w:r>
        <w:rPr>
          <w:sz w:val="24"/>
        </w:rPr>
        <w:t>percentage</w:t>
      </w:r>
      <w:r>
        <w:rPr>
          <w:spacing w:val="-2"/>
          <w:sz w:val="24"/>
        </w:rPr>
        <w:t> </w:t>
      </w:r>
      <w:r>
        <w:rPr>
          <w:sz w:val="24"/>
        </w:rPr>
        <w:t>(%)</w:t>
      </w:r>
      <w:r>
        <w:rPr>
          <w:spacing w:val="-1"/>
          <w:sz w:val="24"/>
        </w:rPr>
        <w:t> </w:t>
      </w:r>
      <w:r>
        <w:rPr>
          <w:sz w:val="24"/>
        </w:rPr>
        <w:t>drug</w:t>
      </w:r>
      <w:r>
        <w:rPr>
          <w:spacing w:val="-3"/>
          <w:sz w:val="24"/>
        </w:rPr>
        <w:t> </w:t>
      </w:r>
      <w:r>
        <w:rPr>
          <w:sz w:val="24"/>
        </w:rPr>
        <w:t>release Vs</w:t>
      </w:r>
      <w:r>
        <w:rPr>
          <w:spacing w:val="-1"/>
          <w:sz w:val="24"/>
        </w:rPr>
        <w:t> </w:t>
      </w:r>
      <w:r>
        <w:rPr>
          <w:sz w:val="24"/>
        </w:rPr>
        <w:t>Time</w:t>
      </w:r>
      <w:r>
        <w:rPr>
          <w:spacing w:val="-1"/>
          <w:sz w:val="24"/>
        </w:rPr>
        <w:t> </w:t>
      </w:r>
      <w:r>
        <w:rPr>
          <w:spacing w:val="-5"/>
          <w:sz w:val="24"/>
        </w:rPr>
        <w:t>for</w:t>
      </w:r>
    </w:p>
    <w:p>
      <w:pPr>
        <w:pStyle w:val="BodyText"/>
        <w:tabs>
          <w:tab w:pos="8604" w:val="left" w:leader="none"/>
        </w:tabs>
        <w:spacing w:before="139"/>
        <w:ind w:left="2122"/>
      </w:pPr>
      <w:r>
        <w:rPr/>
        <w:t>Tablets</w:t>
      </w:r>
      <w:r>
        <w:rPr>
          <w:spacing w:val="-1"/>
        </w:rPr>
        <w:t> </w:t>
      </w:r>
      <w:r>
        <w:rPr/>
        <w:t>containing</w:t>
      </w:r>
      <w:r>
        <w:rPr>
          <w:spacing w:val="-3"/>
        </w:rPr>
        <w:t> </w:t>
      </w:r>
      <w:r>
        <w:rPr>
          <w:spacing w:val="-2"/>
        </w:rPr>
        <w:t>Avicel</w:t>
      </w:r>
      <w:r>
        <w:rPr/>
        <w:tab/>
      </w:r>
      <w:r>
        <w:rPr>
          <w:spacing w:val="-5"/>
        </w:rPr>
        <w:t>139</w:t>
      </w:r>
    </w:p>
    <w:p>
      <w:pPr>
        <w:pStyle w:val="ListParagraph"/>
        <w:numPr>
          <w:ilvl w:val="1"/>
          <w:numId w:val="17"/>
        </w:numPr>
        <w:tabs>
          <w:tab w:pos="2122" w:val="left" w:leader="none"/>
        </w:tabs>
        <w:spacing w:line="240" w:lineRule="auto" w:before="137" w:after="0"/>
        <w:ind w:left="2122" w:right="0" w:hanging="1440"/>
        <w:jc w:val="left"/>
        <w:rPr>
          <w:sz w:val="24"/>
        </w:rPr>
      </w:pPr>
      <w:r>
        <w:rPr>
          <w:sz w:val="24"/>
        </w:rPr>
        <w:t>Plots</w:t>
      </w:r>
      <w:r>
        <w:rPr>
          <w:spacing w:val="-1"/>
          <w:sz w:val="24"/>
        </w:rPr>
        <w:t> </w:t>
      </w:r>
      <w:r>
        <w:rPr>
          <w:sz w:val="24"/>
        </w:rPr>
        <w:t>of</w:t>
      </w:r>
      <w:r>
        <w:rPr>
          <w:spacing w:val="-1"/>
          <w:sz w:val="24"/>
        </w:rPr>
        <w:t> </w:t>
      </w:r>
      <w:r>
        <w:rPr>
          <w:sz w:val="24"/>
        </w:rPr>
        <w:t>cumulative</w:t>
      </w:r>
      <w:r>
        <w:rPr>
          <w:spacing w:val="-2"/>
          <w:sz w:val="24"/>
        </w:rPr>
        <w:t> </w:t>
      </w:r>
      <w:r>
        <w:rPr>
          <w:sz w:val="24"/>
        </w:rPr>
        <w:t>percentage</w:t>
      </w:r>
      <w:r>
        <w:rPr>
          <w:spacing w:val="-2"/>
          <w:sz w:val="24"/>
        </w:rPr>
        <w:t> </w:t>
      </w:r>
      <w:r>
        <w:rPr>
          <w:sz w:val="24"/>
        </w:rPr>
        <w:t>(%)</w:t>
      </w:r>
      <w:r>
        <w:rPr>
          <w:spacing w:val="-1"/>
          <w:sz w:val="24"/>
        </w:rPr>
        <w:t> </w:t>
      </w:r>
      <w:r>
        <w:rPr>
          <w:sz w:val="24"/>
        </w:rPr>
        <w:t>drug</w:t>
      </w:r>
      <w:r>
        <w:rPr>
          <w:spacing w:val="-3"/>
          <w:sz w:val="24"/>
        </w:rPr>
        <w:t> </w:t>
      </w:r>
      <w:r>
        <w:rPr>
          <w:sz w:val="24"/>
        </w:rPr>
        <w:t>release Vs</w:t>
      </w:r>
      <w:r>
        <w:rPr>
          <w:spacing w:val="-1"/>
          <w:sz w:val="24"/>
        </w:rPr>
        <w:t> </w:t>
      </w:r>
      <w:r>
        <w:rPr>
          <w:sz w:val="24"/>
        </w:rPr>
        <w:t>Time</w:t>
      </w:r>
      <w:r>
        <w:rPr>
          <w:spacing w:val="-1"/>
          <w:sz w:val="24"/>
        </w:rPr>
        <w:t> </w:t>
      </w:r>
      <w:r>
        <w:rPr>
          <w:spacing w:val="-5"/>
          <w:sz w:val="24"/>
        </w:rPr>
        <w:t>for</w:t>
      </w:r>
    </w:p>
    <w:p>
      <w:pPr>
        <w:pStyle w:val="BodyText"/>
        <w:tabs>
          <w:tab w:pos="8604" w:val="left" w:leader="none"/>
        </w:tabs>
        <w:spacing w:before="140"/>
        <w:ind w:left="2122"/>
      </w:pPr>
      <w:r>
        <w:rPr/>
        <w:t>tablets</w:t>
      </w:r>
      <w:r>
        <w:rPr>
          <w:spacing w:val="-1"/>
        </w:rPr>
        <w:t> </w:t>
      </w:r>
      <w:r>
        <w:rPr/>
        <w:t>containing</w:t>
      </w:r>
      <w:r>
        <w:rPr>
          <w:spacing w:val="-3"/>
        </w:rPr>
        <w:t> </w:t>
      </w:r>
      <w:r>
        <w:rPr>
          <w:spacing w:val="-2"/>
        </w:rPr>
        <w:t>Cellactose</w:t>
      </w:r>
      <w:r>
        <w:rPr/>
        <w:tab/>
      </w:r>
      <w:r>
        <w:rPr>
          <w:spacing w:val="-5"/>
        </w:rPr>
        <w:t>140</w:t>
      </w:r>
    </w:p>
    <w:p>
      <w:pPr>
        <w:pStyle w:val="ListParagraph"/>
        <w:numPr>
          <w:ilvl w:val="1"/>
          <w:numId w:val="17"/>
        </w:numPr>
        <w:tabs>
          <w:tab w:pos="2122" w:val="left" w:leader="none"/>
        </w:tabs>
        <w:spacing w:line="240" w:lineRule="auto" w:before="136" w:after="0"/>
        <w:ind w:left="2122" w:right="0" w:hanging="1440"/>
        <w:jc w:val="left"/>
        <w:rPr>
          <w:sz w:val="24"/>
        </w:rPr>
      </w:pPr>
      <w:r>
        <w:rPr>
          <w:sz w:val="24"/>
        </w:rPr>
        <w:t>Plots</w:t>
      </w:r>
      <w:r>
        <w:rPr>
          <w:spacing w:val="-1"/>
          <w:sz w:val="24"/>
        </w:rPr>
        <w:t> </w:t>
      </w:r>
      <w:r>
        <w:rPr>
          <w:sz w:val="24"/>
        </w:rPr>
        <w:t>of</w:t>
      </w:r>
      <w:r>
        <w:rPr>
          <w:spacing w:val="-1"/>
          <w:sz w:val="24"/>
        </w:rPr>
        <w:t> </w:t>
      </w:r>
      <w:r>
        <w:rPr>
          <w:sz w:val="24"/>
        </w:rPr>
        <w:t>cumulative</w:t>
      </w:r>
      <w:r>
        <w:rPr>
          <w:spacing w:val="-2"/>
          <w:sz w:val="24"/>
        </w:rPr>
        <w:t> </w:t>
      </w:r>
      <w:r>
        <w:rPr>
          <w:sz w:val="24"/>
        </w:rPr>
        <w:t>percentage</w:t>
      </w:r>
      <w:r>
        <w:rPr>
          <w:spacing w:val="-2"/>
          <w:sz w:val="24"/>
        </w:rPr>
        <w:t> </w:t>
      </w:r>
      <w:r>
        <w:rPr>
          <w:sz w:val="24"/>
        </w:rPr>
        <w:t>(%)</w:t>
      </w:r>
      <w:r>
        <w:rPr>
          <w:spacing w:val="-1"/>
          <w:sz w:val="24"/>
        </w:rPr>
        <w:t> </w:t>
      </w:r>
      <w:r>
        <w:rPr>
          <w:sz w:val="24"/>
        </w:rPr>
        <w:t>drug</w:t>
      </w:r>
      <w:r>
        <w:rPr>
          <w:spacing w:val="-3"/>
          <w:sz w:val="24"/>
        </w:rPr>
        <w:t> </w:t>
      </w:r>
      <w:r>
        <w:rPr>
          <w:sz w:val="24"/>
        </w:rPr>
        <w:t>release Vs</w:t>
      </w:r>
      <w:r>
        <w:rPr>
          <w:spacing w:val="-1"/>
          <w:sz w:val="24"/>
        </w:rPr>
        <w:t> </w:t>
      </w:r>
      <w:r>
        <w:rPr>
          <w:sz w:val="24"/>
        </w:rPr>
        <w:t>Time</w:t>
      </w:r>
      <w:r>
        <w:rPr>
          <w:spacing w:val="-1"/>
          <w:sz w:val="24"/>
        </w:rPr>
        <w:t> </w:t>
      </w:r>
      <w:r>
        <w:rPr>
          <w:spacing w:val="-5"/>
          <w:sz w:val="24"/>
        </w:rPr>
        <w:t>for</w:t>
      </w:r>
    </w:p>
    <w:p>
      <w:pPr>
        <w:pStyle w:val="BodyText"/>
        <w:tabs>
          <w:tab w:pos="8604" w:val="left" w:leader="none"/>
        </w:tabs>
        <w:spacing w:before="140"/>
        <w:ind w:left="2122"/>
      </w:pPr>
      <w:r>
        <w:rPr/>
        <w:t>tablets</w:t>
      </w:r>
      <w:r>
        <w:rPr>
          <w:spacing w:val="-2"/>
        </w:rPr>
        <w:t> </w:t>
      </w:r>
      <w:r>
        <w:rPr/>
        <w:t>containing</w:t>
      </w:r>
      <w:r>
        <w:rPr>
          <w:spacing w:val="-2"/>
        </w:rPr>
        <w:t> lactose</w:t>
      </w:r>
      <w:r>
        <w:rPr/>
        <w:tab/>
      </w:r>
      <w:r>
        <w:rPr>
          <w:spacing w:val="-5"/>
        </w:rPr>
        <w:t>141</w:t>
      </w:r>
    </w:p>
    <w:p>
      <w:pPr>
        <w:pStyle w:val="ListParagraph"/>
        <w:numPr>
          <w:ilvl w:val="1"/>
          <w:numId w:val="17"/>
        </w:numPr>
        <w:tabs>
          <w:tab w:pos="2122" w:val="left" w:leader="none"/>
          <w:tab w:pos="8604" w:val="left" w:leader="none"/>
        </w:tabs>
        <w:spacing w:line="360" w:lineRule="auto" w:before="136" w:after="0"/>
        <w:ind w:left="2122" w:right="1433" w:hanging="1440"/>
        <w:jc w:val="left"/>
        <w:rPr>
          <w:sz w:val="24"/>
        </w:rPr>
      </w:pPr>
      <w:r>
        <w:rPr>
          <w:sz w:val="24"/>
        </w:rPr>
        <w:t>Plots of the cumulative % drug released versus time for tablets containing PVP 1%</w:t>
        <w:tab/>
      </w:r>
      <w:r>
        <w:rPr>
          <w:spacing w:val="-4"/>
          <w:sz w:val="24"/>
        </w:rPr>
        <w:t>142</w:t>
      </w:r>
    </w:p>
    <w:p>
      <w:pPr>
        <w:pStyle w:val="ListParagraph"/>
        <w:numPr>
          <w:ilvl w:val="1"/>
          <w:numId w:val="17"/>
        </w:numPr>
        <w:tabs>
          <w:tab w:pos="2122" w:val="left" w:leader="none"/>
          <w:tab w:pos="8604" w:val="left" w:leader="none"/>
        </w:tabs>
        <w:spacing w:line="360" w:lineRule="auto" w:before="1" w:after="0"/>
        <w:ind w:left="2122" w:right="1433" w:hanging="1440"/>
        <w:jc w:val="left"/>
        <w:rPr>
          <w:sz w:val="24"/>
        </w:rPr>
      </w:pPr>
      <w:r>
        <w:rPr>
          <w:sz w:val="24"/>
        </w:rPr>
        <w:t>Plots of the cumulative % drug released versus time for tablets containing PVP 4%</w:t>
        <w:tab/>
      </w:r>
      <w:r>
        <w:rPr>
          <w:spacing w:val="-4"/>
          <w:sz w:val="24"/>
        </w:rPr>
        <w:t>143</w:t>
      </w:r>
    </w:p>
    <w:p>
      <w:pPr>
        <w:pStyle w:val="ListParagraph"/>
        <w:numPr>
          <w:ilvl w:val="1"/>
          <w:numId w:val="17"/>
        </w:numPr>
        <w:tabs>
          <w:tab w:pos="2122" w:val="left" w:leader="none"/>
          <w:tab w:pos="8604" w:val="left" w:leader="none"/>
        </w:tabs>
        <w:spacing w:line="360" w:lineRule="auto" w:before="0" w:after="0"/>
        <w:ind w:left="2122" w:right="1433" w:hanging="1440"/>
        <w:jc w:val="left"/>
        <w:rPr>
          <w:sz w:val="24"/>
        </w:rPr>
      </w:pPr>
      <w:r>
        <w:rPr>
          <w:sz w:val="24"/>
        </w:rPr>
        <w:t>Plots of the cumulative % drug released versus time for tablets containing corn starch 1%</w:t>
        <w:tab/>
      </w:r>
      <w:r>
        <w:rPr>
          <w:spacing w:val="-4"/>
          <w:sz w:val="24"/>
        </w:rPr>
        <w:t>144</w:t>
      </w:r>
    </w:p>
    <w:p>
      <w:pPr>
        <w:pStyle w:val="ListParagraph"/>
        <w:numPr>
          <w:ilvl w:val="1"/>
          <w:numId w:val="17"/>
        </w:numPr>
        <w:tabs>
          <w:tab w:pos="2122" w:val="left" w:leader="none"/>
        </w:tabs>
        <w:spacing w:line="240" w:lineRule="auto" w:before="0" w:after="0"/>
        <w:ind w:left="2122" w:right="0" w:hanging="1440"/>
        <w:jc w:val="left"/>
        <w:rPr>
          <w:sz w:val="24"/>
        </w:rPr>
      </w:pPr>
      <w:r>
        <w:rPr>
          <w:color w:val="131213"/>
          <w:sz w:val="24"/>
        </w:rPr>
        <w:t>Representatative</w:t>
      </w:r>
      <w:r>
        <w:rPr>
          <w:color w:val="131213"/>
          <w:spacing w:val="-2"/>
          <w:sz w:val="24"/>
        </w:rPr>
        <w:t> </w:t>
      </w:r>
      <w:r>
        <w:rPr>
          <w:color w:val="131213"/>
          <w:sz w:val="24"/>
        </w:rPr>
        <w:t>plots</w:t>
      </w:r>
      <w:r>
        <w:rPr>
          <w:color w:val="131213"/>
          <w:spacing w:val="-1"/>
          <w:sz w:val="24"/>
        </w:rPr>
        <w:t> </w:t>
      </w:r>
      <w:r>
        <w:rPr>
          <w:color w:val="131213"/>
          <w:sz w:val="24"/>
        </w:rPr>
        <w:t>of Ln</w:t>
      </w:r>
      <w:r>
        <w:rPr>
          <w:color w:val="131213"/>
          <w:spacing w:val="-1"/>
          <w:sz w:val="24"/>
        </w:rPr>
        <w:t> </w:t>
      </w:r>
      <w:r>
        <w:rPr>
          <w:color w:val="131213"/>
          <w:sz w:val="24"/>
        </w:rPr>
        <w:t>[Cs/(Cs-C] versus</w:t>
      </w:r>
      <w:r>
        <w:rPr>
          <w:color w:val="131213"/>
          <w:spacing w:val="-1"/>
          <w:sz w:val="24"/>
        </w:rPr>
        <w:t> </w:t>
      </w:r>
      <w:r>
        <w:rPr>
          <w:color w:val="131213"/>
          <w:sz w:val="24"/>
        </w:rPr>
        <w:t>time</w:t>
      </w:r>
      <w:r>
        <w:rPr>
          <w:color w:val="131213"/>
          <w:spacing w:val="-2"/>
          <w:sz w:val="24"/>
        </w:rPr>
        <w:t> </w:t>
      </w:r>
      <w:r>
        <w:rPr>
          <w:color w:val="131213"/>
          <w:sz w:val="24"/>
        </w:rPr>
        <w:t>plots </w:t>
      </w:r>
      <w:r>
        <w:rPr>
          <w:color w:val="131213"/>
          <w:spacing w:val="-5"/>
          <w:sz w:val="24"/>
        </w:rPr>
        <w:t>for</w:t>
      </w:r>
    </w:p>
    <w:p>
      <w:pPr>
        <w:spacing w:before="139"/>
        <w:ind w:left="2122" w:right="0" w:firstLine="0"/>
        <w:jc w:val="left"/>
        <w:rPr>
          <w:sz w:val="24"/>
        </w:rPr>
      </w:pPr>
      <w:r>
        <w:rPr>
          <w:i/>
          <w:color w:val="131213"/>
          <w:sz w:val="24"/>
        </w:rPr>
        <w:t>Mucuna</w:t>
      </w:r>
      <w:r>
        <w:rPr>
          <w:i/>
          <w:color w:val="131213"/>
          <w:spacing w:val="-1"/>
          <w:sz w:val="24"/>
        </w:rPr>
        <w:t> </w:t>
      </w:r>
      <w:r>
        <w:rPr>
          <w:i/>
          <w:color w:val="131213"/>
          <w:sz w:val="24"/>
        </w:rPr>
        <w:t>pruriens </w:t>
      </w:r>
      <w:r>
        <w:rPr>
          <w:color w:val="131213"/>
          <w:sz w:val="24"/>
        </w:rPr>
        <w:t>tablets containing</w:t>
      </w:r>
      <w:r>
        <w:rPr>
          <w:color w:val="131213"/>
          <w:spacing w:val="-1"/>
          <w:sz w:val="24"/>
        </w:rPr>
        <w:t> </w:t>
      </w:r>
      <w:r>
        <w:rPr>
          <w:color w:val="131213"/>
          <w:sz w:val="24"/>
        </w:rPr>
        <w:t>corn</w:t>
      </w:r>
      <w:r>
        <w:rPr>
          <w:color w:val="131213"/>
          <w:spacing w:val="-1"/>
          <w:sz w:val="24"/>
        </w:rPr>
        <w:t> </w:t>
      </w:r>
      <w:r>
        <w:rPr>
          <w:color w:val="131213"/>
          <w:sz w:val="24"/>
        </w:rPr>
        <w:t>starch and</w:t>
      </w:r>
      <w:r>
        <w:rPr>
          <w:color w:val="131213"/>
          <w:spacing w:val="-1"/>
          <w:sz w:val="24"/>
        </w:rPr>
        <w:t> </w:t>
      </w:r>
      <w:r>
        <w:rPr>
          <w:color w:val="131213"/>
          <w:spacing w:val="-5"/>
          <w:sz w:val="24"/>
        </w:rPr>
        <w:t>PVP</w:t>
      </w:r>
    </w:p>
    <w:p>
      <w:pPr>
        <w:pStyle w:val="BodyText"/>
        <w:tabs>
          <w:tab w:pos="8604" w:val="left" w:leader="none"/>
        </w:tabs>
        <w:spacing w:before="137"/>
        <w:ind w:left="2122"/>
      </w:pPr>
      <w:r>
        <w:rPr>
          <w:color w:val="131213"/>
        </w:rPr>
        <w:t>as</w:t>
      </w:r>
      <w:r>
        <w:rPr>
          <w:color w:val="131213"/>
          <w:spacing w:val="-1"/>
        </w:rPr>
        <w:t> </w:t>
      </w:r>
      <w:r>
        <w:rPr>
          <w:color w:val="131213"/>
          <w:spacing w:val="-2"/>
        </w:rPr>
        <w:t>binders</w:t>
      </w:r>
      <w:r>
        <w:rPr>
          <w:color w:val="131213"/>
        </w:rPr>
        <w:tab/>
      </w:r>
      <w:r>
        <w:rPr>
          <w:color w:val="131213"/>
          <w:spacing w:val="-5"/>
        </w:rPr>
        <w:t>146</w:t>
      </w:r>
    </w:p>
    <w:p>
      <w:pPr>
        <w:pStyle w:val="ListParagraph"/>
        <w:numPr>
          <w:ilvl w:val="1"/>
          <w:numId w:val="18"/>
        </w:numPr>
        <w:tabs>
          <w:tab w:pos="2122" w:val="left" w:leader="none"/>
          <w:tab w:pos="8604" w:val="left" w:leader="none"/>
        </w:tabs>
        <w:spacing w:line="240" w:lineRule="auto" w:before="139" w:after="0"/>
        <w:ind w:left="2122" w:right="0" w:hanging="1440"/>
        <w:jc w:val="left"/>
        <w:rPr>
          <w:sz w:val="24"/>
        </w:rPr>
      </w:pPr>
      <w:r>
        <w:rPr>
          <w:color w:val="131213"/>
          <w:sz w:val="24"/>
        </w:rPr>
        <w:t>Plots</w:t>
      </w:r>
      <w:r>
        <w:rPr>
          <w:color w:val="131213"/>
          <w:spacing w:val="-1"/>
          <w:sz w:val="24"/>
        </w:rPr>
        <w:t> </w:t>
      </w:r>
      <w:r>
        <w:rPr>
          <w:color w:val="131213"/>
          <w:sz w:val="24"/>
        </w:rPr>
        <w:t>of</w:t>
      </w:r>
      <w:r>
        <w:rPr>
          <w:color w:val="131213"/>
          <w:spacing w:val="-1"/>
          <w:sz w:val="24"/>
        </w:rPr>
        <w:t> </w:t>
      </w:r>
      <w:r>
        <w:rPr>
          <w:color w:val="131213"/>
          <w:sz w:val="24"/>
        </w:rPr>
        <w:t>log</w:t>
      </w:r>
      <w:r>
        <w:rPr>
          <w:color w:val="131213"/>
          <w:spacing w:val="-4"/>
          <w:sz w:val="24"/>
        </w:rPr>
        <w:t> </w:t>
      </w:r>
      <w:r>
        <w:rPr>
          <w:color w:val="131213"/>
          <w:sz w:val="24"/>
        </w:rPr>
        <w:t>blood</w:t>
      </w:r>
      <w:r>
        <w:rPr>
          <w:color w:val="131213"/>
          <w:spacing w:val="1"/>
          <w:sz w:val="24"/>
        </w:rPr>
        <w:t> </w:t>
      </w:r>
      <w:r>
        <w:rPr>
          <w:color w:val="131213"/>
          <w:sz w:val="24"/>
        </w:rPr>
        <w:t>glucose</w:t>
      </w:r>
      <w:r>
        <w:rPr>
          <w:color w:val="131213"/>
          <w:spacing w:val="-1"/>
          <w:sz w:val="24"/>
        </w:rPr>
        <w:t> </w:t>
      </w:r>
      <w:r>
        <w:rPr>
          <w:color w:val="131213"/>
          <w:sz w:val="24"/>
        </w:rPr>
        <w:t>levels</w:t>
      </w:r>
      <w:r>
        <w:rPr>
          <w:color w:val="131213"/>
          <w:spacing w:val="-1"/>
          <w:sz w:val="24"/>
        </w:rPr>
        <w:t> </w:t>
      </w:r>
      <w:r>
        <w:rPr>
          <w:color w:val="131213"/>
          <w:sz w:val="24"/>
        </w:rPr>
        <w:t>in</w:t>
      </w:r>
      <w:r>
        <w:rPr>
          <w:color w:val="131213"/>
          <w:spacing w:val="-1"/>
          <w:sz w:val="24"/>
        </w:rPr>
        <w:t> </w:t>
      </w:r>
      <w:r>
        <w:rPr>
          <w:color w:val="131213"/>
          <w:sz w:val="24"/>
        </w:rPr>
        <w:t>rabbits</w:t>
      </w:r>
      <w:r>
        <w:rPr>
          <w:color w:val="131213"/>
          <w:spacing w:val="-1"/>
          <w:sz w:val="24"/>
        </w:rPr>
        <w:t> </w:t>
      </w:r>
      <w:r>
        <w:rPr>
          <w:color w:val="131213"/>
          <w:sz w:val="24"/>
        </w:rPr>
        <w:t>against</w:t>
      </w:r>
      <w:r>
        <w:rPr>
          <w:color w:val="131213"/>
          <w:spacing w:val="-1"/>
          <w:sz w:val="24"/>
        </w:rPr>
        <w:t> </w:t>
      </w:r>
      <w:r>
        <w:rPr>
          <w:color w:val="131213"/>
          <w:sz w:val="24"/>
        </w:rPr>
        <w:t>time</w:t>
      </w:r>
      <w:r>
        <w:rPr>
          <w:color w:val="131213"/>
          <w:spacing w:val="-1"/>
          <w:sz w:val="24"/>
        </w:rPr>
        <w:t> </w:t>
      </w:r>
      <w:r>
        <w:rPr>
          <w:color w:val="131213"/>
          <w:spacing w:val="-2"/>
          <w:sz w:val="24"/>
        </w:rPr>
        <w:t>(hour)</w:t>
      </w:r>
      <w:r>
        <w:rPr>
          <w:color w:val="131213"/>
          <w:sz w:val="24"/>
        </w:rPr>
        <w:tab/>
      </w:r>
      <w:r>
        <w:rPr>
          <w:color w:val="131213"/>
          <w:spacing w:val="-5"/>
          <w:sz w:val="24"/>
        </w:rPr>
        <w:t>151</w:t>
      </w:r>
    </w:p>
    <w:p>
      <w:pPr>
        <w:spacing w:after="0" w:line="240" w:lineRule="auto"/>
        <w:jc w:val="left"/>
        <w:rPr>
          <w:sz w:val="24"/>
        </w:rPr>
        <w:sectPr>
          <w:pgSz w:w="12240" w:h="15840"/>
          <w:pgMar w:header="0" w:footer="1068" w:top="1360" w:bottom="1260" w:left="1420" w:right="420"/>
        </w:sectPr>
      </w:pPr>
    </w:p>
    <w:p>
      <w:pPr>
        <w:pStyle w:val="BodyText"/>
      </w:pPr>
      <w:r>
        <w:rPr/>
        <mc:AlternateContent>
          <mc:Choice Requires="wps">
            <w:drawing>
              <wp:anchor distT="0" distB="0" distL="0" distR="0" allowOverlap="1" layoutInCell="1" locked="0" behindDoc="1" simplePos="0" relativeHeight="482912768">
                <wp:simplePos x="0" y="0"/>
                <wp:positionH relativeFrom="page">
                  <wp:posOffset>-1402226</wp:posOffset>
                </wp:positionH>
                <wp:positionV relativeFrom="page">
                  <wp:posOffset>4612234</wp:posOffset>
                </wp:positionV>
                <wp:extent cx="10685780" cy="914400"/>
                <wp:effectExtent l="0" t="0" r="0" b="0"/>
                <wp:wrapNone/>
                <wp:docPr id="23" name="Textbox 23"/>
                <wp:cNvGraphicFramePr>
                  <a:graphicFrameLocks/>
                </wp:cNvGraphicFramePr>
                <a:graphic>
                  <a:graphicData uri="http://schemas.microsoft.com/office/word/2010/wordprocessingShape">
                    <wps:wsp>
                      <wps:cNvPr id="23" name="Textbox 2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371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pPr>
    </w:p>
    <w:p>
      <w:pPr>
        <w:pStyle w:val="BodyText"/>
        <w:spacing w:before="10"/>
      </w:pPr>
    </w:p>
    <w:p>
      <w:pPr>
        <w:pStyle w:val="Heading2"/>
        <w:spacing w:before="1"/>
        <w:ind w:left="0" w:right="319"/>
        <w:jc w:val="center"/>
      </w:pPr>
      <w:r>
        <w:rPr/>
        <w:t>CHAPTER</w:t>
      </w:r>
      <w:r>
        <w:rPr>
          <w:spacing w:val="-4"/>
        </w:rPr>
        <w:t> </w:t>
      </w:r>
      <w:r>
        <w:rPr>
          <w:spacing w:val="-5"/>
        </w:rPr>
        <w:t>ONE</w:t>
      </w:r>
    </w:p>
    <w:p>
      <w:pPr>
        <w:pStyle w:val="BodyText"/>
        <w:rPr>
          <w:b/>
        </w:rPr>
      </w:pPr>
    </w:p>
    <w:p>
      <w:pPr>
        <w:pStyle w:val="BodyText"/>
        <w:rPr>
          <w:b/>
        </w:rPr>
      </w:pPr>
    </w:p>
    <w:p>
      <w:pPr>
        <w:pStyle w:val="BodyText"/>
        <w:spacing w:before="139"/>
        <w:rPr>
          <w:b/>
        </w:rPr>
      </w:pPr>
    </w:p>
    <w:p>
      <w:pPr>
        <w:pStyle w:val="Heading2"/>
        <w:numPr>
          <w:ilvl w:val="1"/>
          <w:numId w:val="19"/>
        </w:numPr>
        <w:tabs>
          <w:tab w:pos="1038" w:val="left" w:leader="none"/>
        </w:tabs>
        <w:spacing w:line="240" w:lineRule="auto" w:before="0" w:after="0"/>
        <w:ind w:left="1038" w:right="0" w:hanging="360"/>
        <w:jc w:val="both"/>
      </w:pPr>
      <w:bookmarkStart w:name="_TOC_250126" w:id="7"/>
      <w:r>
        <w:rPr/>
        <w:t>General</w:t>
      </w:r>
      <w:r>
        <w:rPr>
          <w:spacing w:val="-3"/>
        </w:rPr>
        <w:t> </w:t>
      </w:r>
      <w:bookmarkEnd w:id="7"/>
      <w:r>
        <w:rPr>
          <w:spacing w:val="-2"/>
        </w:rPr>
        <w:t>introduction</w:t>
      </w:r>
    </w:p>
    <w:p>
      <w:pPr>
        <w:pStyle w:val="BodyText"/>
        <w:spacing w:line="360" w:lineRule="auto" w:before="132"/>
        <w:ind w:left="678" w:right="992" w:firstLine="720"/>
        <w:jc w:val="both"/>
        <w:rPr>
          <w:i/>
        </w:rPr>
      </w:pPr>
      <w:r>
        <w:rPr/>
        <w:t>Medicinal herbs were used over many centuries before the advent of modern medicine (Bannerman </w:t>
      </w:r>
      <w:r>
        <w:rPr>
          <w:i/>
        </w:rPr>
        <w:t>et al</w:t>
      </w:r>
      <w:r>
        <w:rPr/>
        <w:t>., 1983; Wills </w:t>
      </w:r>
      <w:r>
        <w:rPr>
          <w:i/>
        </w:rPr>
        <w:t>et al</w:t>
      </w:r>
      <w:r>
        <w:rPr/>
        <w:t>., 2000). Their usage had, however, been in decline in most developed western countries from about the beginning of the 20th century up to the 1970s. This decline in popularity coincided with industrialization and urbanization and the associated rejection of traditional values and systems. It is of interest that a similar decline in the use of medicinal herbs did not occur in the more developed Asian countries such as Japan, despite considerable industrialization. It was estimated by the World Health Organization that about 80% of the world population currently use</w:t>
      </w:r>
      <w:r>
        <w:rPr>
          <w:spacing w:val="40"/>
        </w:rPr>
        <w:t> </w:t>
      </w:r>
      <w:r>
        <w:rPr/>
        <w:t>plants for medicinal purposes, with high usage mainly in Asia, South America and Africa (Bannerman </w:t>
      </w:r>
      <w:r>
        <w:rPr>
          <w:i/>
        </w:rPr>
        <w:t>et al., </w:t>
      </w:r>
      <w:r>
        <w:rPr/>
        <w:t>1983</w:t>
      </w:r>
      <w:r>
        <w:rPr>
          <w:i/>
        </w:rPr>
        <w:t>).</w:t>
      </w:r>
    </w:p>
    <w:p>
      <w:pPr>
        <w:pStyle w:val="BodyText"/>
        <w:spacing w:before="258"/>
        <w:rPr>
          <w:i/>
        </w:rPr>
      </w:pPr>
    </w:p>
    <w:p>
      <w:pPr>
        <w:pStyle w:val="Heading2"/>
        <w:numPr>
          <w:ilvl w:val="1"/>
          <w:numId w:val="19"/>
        </w:numPr>
        <w:tabs>
          <w:tab w:pos="1038" w:val="left" w:leader="none"/>
        </w:tabs>
        <w:spacing w:line="240" w:lineRule="auto" w:before="0" w:after="0"/>
        <w:ind w:left="1038" w:right="0" w:hanging="360"/>
        <w:jc w:val="both"/>
      </w:pPr>
      <w:bookmarkStart w:name="_TOC_250125" w:id="8"/>
      <w:r>
        <w:rPr/>
        <w:t>From</w:t>
      </w:r>
      <w:r>
        <w:rPr>
          <w:spacing w:val="-2"/>
        </w:rPr>
        <w:t> </w:t>
      </w:r>
      <w:r>
        <w:rPr/>
        <w:t>“the</w:t>
      </w:r>
      <w:r>
        <w:rPr>
          <w:spacing w:val="-2"/>
        </w:rPr>
        <w:t> </w:t>
      </w:r>
      <w:r>
        <w:rPr/>
        <w:t>plants” to</w:t>
      </w:r>
      <w:r>
        <w:rPr>
          <w:spacing w:val="-1"/>
        </w:rPr>
        <w:t> </w:t>
      </w:r>
      <w:r>
        <w:rPr/>
        <w:t>“the</w:t>
      </w:r>
      <w:r>
        <w:rPr>
          <w:spacing w:val="1"/>
        </w:rPr>
        <w:t> </w:t>
      </w:r>
      <w:bookmarkEnd w:id="8"/>
      <w:r>
        <w:rPr>
          <w:spacing w:val="-2"/>
        </w:rPr>
        <w:t>medicine”</w:t>
      </w:r>
    </w:p>
    <w:p>
      <w:pPr>
        <w:pStyle w:val="BodyText"/>
        <w:spacing w:line="360" w:lineRule="auto" w:before="134"/>
        <w:ind w:left="678" w:right="995" w:firstLine="720"/>
        <w:jc w:val="both"/>
      </w:pPr>
      <w:r>
        <w:rPr/>
        <w:t>Plants have been used by man as food and medicine from ages past. They are a biologically and chemically diverse resource with estimates of 250,000-500,000 species occurring on our planet (Cox and Balick, 1994).</w:t>
      </w:r>
    </w:p>
    <w:p>
      <w:pPr>
        <w:pStyle w:val="BodyText"/>
        <w:spacing w:line="360" w:lineRule="auto"/>
        <w:ind w:left="678" w:right="995" w:firstLine="720"/>
        <w:jc w:val="both"/>
      </w:pPr>
      <w:r>
        <w:rPr/>
        <w:t>According to Rogers-Pamplona in the Encyclopedia of Medicinal Plants (1999), the use of a medicinal herb for the treatment of diseases can be traced back to the work in</w:t>
      </w:r>
      <w:r>
        <w:rPr>
          <w:spacing w:val="40"/>
        </w:rPr>
        <w:t> </w:t>
      </w:r>
      <w:r>
        <w:rPr/>
        <w:t>a</w:t>
      </w:r>
      <w:r>
        <w:rPr>
          <w:spacing w:val="-1"/>
        </w:rPr>
        <w:t> </w:t>
      </w:r>
      <w:r>
        <w:rPr/>
        <w:t>six-volume</w:t>
      </w:r>
      <w:r>
        <w:rPr>
          <w:spacing w:val="-1"/>
        </w:rPr>
        <w:t> </w:t>
      </w:r>
      <w:r>
        <w:rPr/>
        <w:t>book</w:t>
      </w:r>
      <w:r>
        <w:rPr>
          <w:spacing w:val="-1"/>
        </w:rPr>
        <w:t> </w:t>
      </w:r>
      <w:r>
        <w:rPr/>
        <w:t>known</w:t>
      </w:r>
      <w:r>
        <w:rPr>
          <w:spacing w:val="-1"/>
        </w:rPr>
        <w:t> </w:t>
      </w:r>
      <w:r>
        <w:rPr/>
        <w:t>as ‗De</w:t>
      </w:r>
      <w:r>
        <w:rPr>
          <w:spacing w:val="-1"/>
        </w:rPr>
        <w:t> </w:t>
      </w:r>
      <w:r>
        <w:rPr/>
        <w:t>materia</w:t>
      </w:r>
      <w:r>
        <w:rPr>
          <w:spacing w:val="-1"/>
        </w:rPr>
        <w:t> </w:t>
      </w:r>
      <w:r>
        <w:rPr/>
        <w:t>medica‘ in the</w:t>
      </w:r>
      <w:r>
        <w:rPr>
          <w:spacing w:val="-1"/>
        </w:rPr>
        <w:t> </w:t>
      </w:r>
      <w:r>
        <w:rPr/>
        <w:t>first century</w:t>
      </w:r>
      <w:r>
        <w:rPr>
          <w:spacing w:val="-5"/>
        </w:rPr>
        <w:t> </w:t>
      </w:r>
      <w:r>
        <w:rPr/>
        <w:t>A.D by</w:t>
      </w:r>
      <w:r>
        <w:rPr>
          <w:spacing w:val="-5"/>
        </w:rPr>
        <w:t> </w:t>
      </w:r>
      <w:r>
        <w:rPr/>
        <w:t>Dioscorides, a Greek botanist and physician, which was the basic pharmacopeia for all western physicians for more than 1700 years. De material medica served as Vademecum or</w:t>
      </w:r>
      <w:r>
        <w:rPr>
          <w:spacing w:val="40"/>
        </w:rPr>
        <w:t> </w:t>
      </w:r>
      <w:r>
        <w:rPr/>
        <w:t>manual in which useful plants and remedies could be looked up. With the development in chemical science and the birth of pharmacology, from the 18th century onwards, physicians began to substitute their plant-based recipes according to Dioscorides for prescription based on chemical products extracted from plants.</w:t>
      </w:r>
    </w:p>
    <w:p>
      <w:pPr>
        <w:spacing w:after="0" w:line="360" w:lineRule="auto"/>
        <w:jc w:val="both"/>
        <w:sectPr>
          <w:footerReference w:type="default" r:id="rId6"/>
          <w:pgSz w:w="12240" w:h="15840"/>
          <w:pgMar w:header="0" w:footer="1056" w:top="1820" w:bottom="1240" w:left="1420" w:right="420"/>
          <w:pgNumType w:start="1"/>
        </w:sectPr>
      </w:pPr>
    </w:p>
    <w:p>
      <w:pPr>
        <w:pStyle w:val="BodyText"/>
        <w:spacing w:line="360" w:lineRule="auto" w:before="72"/>
        <w:ind w:left="678" w:right="994" w:firstLine="842"/>
        <w:jc w:val="both"/>
      </w:pPr>
      <w:r>
        <w:rPr/>
        <mc:AlternateContent>
          <mc:Choice Requires="wps">
            <w:drawing>
              <wp:anchor distT="0" distB="0" distL="0" distR="0" allowOverlap="1" layoutInCell="1" locked="0" behindDoc="1" simplePos="0" relativeHeight="482913280">
                <wp:simplePos x="0" y="0"/>
                <wp:positionH relativeFrom="page">
                  <wp:posOffset>-1402226</wp:posOffset>
                </wp:positionH>
                <wp:positionV relativeFrom="page">
                  <wp:posOffset>4612234</wp:posOffset>
                </wp:positionV>
                <wp:extent cx="10685780" cy="914400"/>
                <wp:effectExtent l="0" t="0" r="0" b="0"/>
                <wp:wrapNone/>
                <wp:docPr id="24" name="Textbox 24"/>
                <wp:cNvGraphicFramePr>
                  <a:graphicFrameLocks/>
                </wp:cNvGraphicFramePr>
                <a:graphic>
                  <a:graphicData uri="http://schemas.microsoft.com/office/word/2010/wordprocessingShape">
                    <wps:wsp>
                      <wps:cNvPr id="24" name="Textbox 2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3200;rotation:306" type="#_x0000_t136" fillcolor="#ff5400" stroked="f">
                <o:extrusion v:ext="view" autorotationcenter="t"/>
                <v:textpath style="font-family:&quot;Arial MT&quot;;font-size:72pt;v-text-kern:t;mso-text-shadow:auto" string="UNIVERSITY OF IBADAN"/>
                <w10:wrap type="none"/>
              </v:shape>
            </w:pict>
          </mc:Fallback>
        </mc:AlternateContent>
      </w:r>
      <w:r>
        <w:rPr/>
        <w:t>In</w:t>
      </w:r>
      <w:r>
        <w:rPr>
          <w:spacing w:val="-2"/>
        </w:rPr>
        <w:t> </w:t>
      </w:r>
      <w:r>
        <w:rPr/>
        <w:t>1785,</w:t>
      </w:r>
      <w:r>
        <w:rPr>
          <w:spacing w:val="-4"/>
        </w:rPr>
        <w:t> </w:t>
      </w:r>
      <w:r>
        <w:rPr/>
        <w:t>the</w:t>
      </w:r>
      <w:r>
        <w:rPr>
          <w:spacing w:val="-3"/>
        </w:rPr>
        <w:t> </w:t>
      </w:r>
      <w:r>
        <w:rPr/>
        <w:t>British</w:t>
      </w:r>
      <w:r>
        <w:rPr>
          <w:spacing w:val="-4"/>
        </w:rPr>
        <w:t> </w:t>
      </w:r>
      <w:r>
        <w:rPr/>
        <w:t>physician,</w:t>
      </w:r>
      <w:r>
        <w:rPr>
          <w:spacing w:val="-4"/>
        </w:rPr>
        <w:t> </w:t>
      </w:r>
      <w:r>
        <w:rPr/>
        <w:t>William</w:t>
      </w:r>
      <w:r>
        <w:rPr>
          <w:spacing w:val="-4"/>
        </w:rPr>
        <w:t> </w:t>
      </w:r>
      <w:r>
        <w:rPr/>
        <w:t>Withering,</w:t>
      </w:r>
      <w:r>
        <w:rPr>
          <w:spacing w:val="-2"/>
        </w:rPr>
        <w:t> </w:t>
      </w:r>
      <w:r>
        <w:rPr/>
        <w:t>reported</w:t>
      </w:r>
      <w:r>
        <w:rPr>
          <w:spacing w:val="-2"/>
        </w:rPr>
        <w:t> </w:t>
      </w:r>
      <w:r>
        <w:rPr/>
        <w:t>that</w:t>
      </w:r>
      <w:r>
        <w:rPr>
          <w:spacing w:val="-4"/>
        </w:rPr>
        <w:t> </w:t>
      </w:r>
      <w:r>
        <w:rPr/>
        <w:t>ingestion</w:t>
      </w:r>
      <w:r>
        <w:rPr>
          <w:spacing w:val="-4"/>
        </w:rPr>
        <w:t> </w:t>
      </w:r>
      <w:r>
        <w:rPr/>
        <w:t>of</w:t>
      </w:r>
      <w:r>
        <w:rPr>
          <w:spacing w:val="-5"/>
        </w:rPr>
        <w:t> </w:t>
      </w:r>
      <w:r>
        <w:rPr/>
        <w:t>dried leaves of the foxglove </w:t>
      </w:r>
      <w:r>
        <w:rPr>
          <w:i/>
        </w:rPr>
        <w:t>(Digitalis purpurea</w:t>
      </w:r>
      <w:r>
        <w:rPr/>
        <w:t>) eased dropsy, now known to be caused by heart failure (Cox and Balick, 1994). Friedrich Serturner, a young German pharmacist, in 1803, isolated an alkaloid from the opium poppy, which he named morphine, after Morpheus, the Greek god of dreams. In doing so, he became the first chemist ever to isolate and identify the active ingredient associated with a medicinal herb or plant (Klockgether-Radke, 2002). Furthermore, Serturner's discovery enabled physicians to prescribe morphine in regulated dosages. It was a powerful new method for easing pain and eliminated the dangers of </w:t>
      </w:r>
      <w:hyperlink r:id="rId7">
        <w:r>
          <w:rPr/>
          <w:t>overdose</w:t>
        </w:r>
      </w:hyperlink>
      <w:r>
        <w:rPr/>
        <w:t> associated with raw </w:t>
      </w:r>
      <w:hyperlink r:id="rId8">
        <w:r>
          <w:rPr/>
          <w:t>poppy</w:t>
        </w:r>
      </w:hyperlink>
      <w:r>
        <w:rPr/>
        <w:t> juice, which varied unpredictably in its concentration of morphine from one batch to another. In 1817, the active principle of ipecac, emetine, was isolated (Klockgether-Radke, 2002).</w:t>
      </w:r>
    </w:p>
    <w:p>
      <w:pPr>
        <w:pStyle w:val="BodyText"/>
        <w:spacing w:line="360" w:lineRule="auto" w:before="1"/>
        <w:ind w:left="678" w:right="999" w:firstLine="780"/>
        <w:jc w:val="both"/>
      </w:pPr>
      <w:r>
        <w:rPr/>
        <w:t>The German chemist, Hoffman in the nineteen century obtained aspirin from the bark of the willow. Pelletier and Caventou, two French pharmacists, isolated quinine from cinchona in 1920 (Rogers-Pamplona, 1999).</w:t>
      </w:r>
    </w:p>
    <w:p>
      <w:pPr>
        <w:pStyle w:val="BodyText"/>
        <w:spacing w:line="360" w:lineRule="auto" w:before="1"/>
        <w:ind w:left="678" w:right="999" w:firstLine="840"/>
        <w:jc w:val="both"/>
      </w:pPr>
      <w:r>
        <w:rPr/>
        <w:t>Following the isolation of digitalis, morphine and quinine, many important substances like codeine, vinblastine and vincristine have been discovered through scientific investigation of folklore claims (Cox and Balick, 1994; Taiwo, 1998).</w:t>
      </w:r>
    </w:p>
    <w:p>
      <w:pPr>
        <w:pStyle w:val="BodyText"/>
        <w:spacing w:before="143"/>
      </w:pPr>
    </w:p>
    <w:p>
      <w:pPr>
        <w:pStyle w:val="Heading2"/>
        <w:numPr>
          <w:ilvl w:val="1"/>
          <w:numId w:val="19"/>
        </w:numPr>
        <w:tabs>
          <w:tab w:pos="1398" w:val="left" w:leader="none"/>
        </w:tabs>
        <w:spacing w:line="240" w:lineRule="auto" w:before="0" w:after="0"/>
        <w:ind w:left="1398" w:right="0" w:hanging="720"/>
        <w:jc w:val="both"/>
      </w:pPr>
      <w:bookmarkStart w:name="_TOC_250124" w:id="9"/>
      <w:r>
        <w:rPr/>
        <w:t>Back</w:t>
      </w:r>
      <w:r>
        <w:rPr>
          <w:spacing w:val="-1"/>
        </w:rPr>
        <w:t> </w:t>
      </w:r>
      <w:r>
        <w:rPr/>
        <w:t>to</w:t>
      </w:r>
      <w:r>
        <w:rPr>
          <w:spacing w:val="-1"/>
        </w:rPr>
        <w:t> </w:t>
      </w:r>
      <w:bookmarkEnd w:id="9"/>
      <w:r>
        <w:rPr>
          <w:spacing w:val="-2"/>
        </w:rPr>
        <w:t>nature</w:t>
      </w:r>
    </w:p>
    <w:p>
      <w:pPr>
        <w:pStyle w:val="BodyText"/>
        <w:spacing w:line="360" w:lineRule="auto" w:before="132"/>
        <w:ind w:left="678" w:right="991" w:firstLine="780"/>
        <w:jc w:val="both"/>
      </w:pPr>
      <w:r>
        <w:rPr/>
        <w:t>Around the 1950s, interest in medicinal plant consumption and research waned after storming advances in synthetic chemistry and molecular biology promised to supply new</w:t>
      </w:r>
      <w:r>
        <w:rPr>
          <w:spacing w:val="-2"/>
        </w:rPr>
        <w:t> </w:t>
      </w:r>
      <w:r>
        <w:rPr/>
        <w:t>means</w:t>
      </w:r>
      <w:r>
        <w:rPr>
          <w:spacing w:val="-1"/>
        </w:rPr>
        <w:t> </w:t>
      </w:r>
      <w:r>
        <w:rPr/>
        <w:t>for</w:t>
      </w:r>
      <w:r>
        <w:rPr>
          <w:spacing w:val="-3"/>
        </w:rPr>
        <w:t> </w:t>
      </w:r>
      <w:r>
        <w:rPr/>
        <w:t>designing</w:t>
      </w:r>
      <w:r>
        <w:rPr>
          <w:spacing w:val="-1"/>
        </w:rPr>
        <w:t> </w:t>
      </w:r>
      <w:r>
        <w:rPr/>
        <w:t>drugs</w:t>
      </w:r>
      <w:r>
        <w:rPr>
          <w:spacing w:val="-1"/>
        </w:rPr>
        <w:t> </w:t>
      </w:r>
      <w:r>
        <w:rPr/>
        <w:t>in the</w:t>
      </w:r>
      <w:r>
        <w:rPr>
          <w:spacing w:val="-2"/>
        </w:rPr>
        <w:t> </w:t>
      </w:r>
      <w:r>
        <w:rPr/>
        <w:t>laboratory. Consequently</w:t>
      </w:r>
      <w:r>
        <w:rPr>
          <w:spacing w:val="-6"/>
        </w:rPr>
        <w:t> </w:t>
      </w:r>
      <w:r>
        <w:rPr/>
        <w:t>most</w:t>
      </w:r>
      <w:r>
        <w:rPr>
          <w:spacing w:val="-1"/>
        </w:rPr>
        <w:t> </w:t>
      </w:r>
      <w:r>
        <w:rPr/>
        <w:t>pharmaceutical</w:t>
      </w:r>
      <w:r>
        <w:rPr>
          <w:spacing w:val="-1"/>
        </w:rPr>
        <w:t> </w:t>
      </w:r>
      <w:r>
        <w:rPr/>
        <w:t>firms abandoned the search for therapeutic compounds in higher plants (Cox and Balick, 1994; Taiwo, 1998). But now scientists have woken up to renewed research into medicinal</w:t>
      </w:r>
      <w:r>
        <w:rPr>
          <w:spacing w:val="40"/>
        </w:rPr>
        <w:t> </w:t>
      </w:r>
      <w:r>
        <w:rPr/>
        <w:t>plants derived products. Ecological awareness and an increased demand for non-classical therapies have been advanced as reasons for the revival of interest (Hamburger and Hostettmann, 1991). An example of renewed research into medicinal plants derived products is artemisinin, derived from a Chinese medicinal plant, </w:t>
      </w:r>
      <w:r>
        <w:rPr>
          <w:i/>
        </w:rPr>
        <w:t>Artemisia annua </w:t>
      </w:r>
      <w:r>
        <w:rPr/>
        <w:t>L (Qinghao) in severe malaria for which chloroquine may not be helpful (WHO, 1998).</w:t>
      </w:r>
    </w:p>
    <w:p>
      <w:pPr>
        <w:spacing w:after="0" w:line="360" w:lineRule="auto"/>
        <w:jc w:val="both"/>
        <w:sectPr>
          <w:pgSz w:w="12240" w:h="15840"/>
          <w:pgMar w:header="0" w:footer="1056" w:top="1340" w:bottom="1240" w:left="1420" w:right="420"/>
        </w:sectPr>
      </w:pPr>
    </w:p>
    <w:p>
      <w:pPr>
        <w:pStyle w:val="Heading2"/>
        <w:numPr>
          <w:ilvl w:val="1"/>
          <w:numId w:val="19"/>
        </w:numPr>
        <w:tabs>
          <w:tab w:pos="1398" w:val="left" w:leader="none"/>
        </w:tabs>
        <w:spacing w:line="240" w:lineRule="auto" w:before="77" w:after="0"/>
        <w:ind w:left="1398" w:right="0" w:hanging="720"/>
        <w:jc w:val="both"/>
      </w:pPr>
      <w:r>
        <w:rPr/>
        <mc:AlternateContent>
          <mc:Choice Requires="wps">
            <w:drawing>
              <wp:anchor distT="0" distB="0" distL="0" distR="0" allowOverlap="1" layoutInCell="1" locked="0" behindDoc="1" simplePos="0" relativeHeight="482913792">
                <wp:simplePos x="0" y="0"/>
                <wp:positionH relativeFrom="page">
                  <wp:posOffset>-1402226</wp:posOffset>
                </wp:positionH>
                <wp:positionV relativeFrom="page">
                  <wp:posOffset>4612234</wp:posOffset>
                </wp:positionV>
                <wp:extent cx="10685780" cy="914400"/>
                <wp:effectExtent l="0" t="0" r="0" b="0"/>
                <wp:wrapNone/>
                <wp:docPr id="25" name="Textbox 25"/>
                <wp:cNvGraphicFramePr>
                  <a:graphicFrameLocks/>
                </wp:cNvGraphicFramePr>
                <a:graphic>
                  <a:graphicData uri="http://schemas.microsoft.com/office/word/2010/wordprocessingShape">
                    <wps:wsp>
                      <wps:cNvPr id="25" name="Textbox 2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2688;rotation:306" type="#_x0000_t136" fillcolor="#ff5400" stroked="f">
                <o:extrusion v:ext="view" autorotationcenter="t"/>
                <v:textpath style="font-family:&quot;Arial MT&quot;;font-size:72pt;v-text-kern:t;mso-text-shadow:auto" string="UNIVERSITY OF IBADAN"/>
                <w10:wrap type="none"/>
              </v:shape>
            </w:pict>
          </mc:Fallback>
        </mc:AlternateContent>
      </w:r>
      <w:r>
        <w:rPr/>
        <w:t>Diabetic</w:t>
      </w:r>
      <w:r>
        <w:rPr>
          <w:spacing w:val="-3"/>
        </w:rPr>
        <w:t> </w:t>
      </w:r>
      <w:r>
        <w:rPr>
          <w:spacing w:val="-2"/>
        </w:rPr>
        <w:t>mellitus</w:t>
      </w:r>
    </w:p>
    <w:p>
      <w:pPr>
        <w:pStyle w:val="BodyText"/>
        <w:spacing w:line="360" w:lineRule="auto" w:before="133"/>
        <w:ind w:left="678" w:right="999" w:firstLine="720"/>
        <w:jc w:val="both"/>
      </w:pPr>
      <w:r>
        <w:rPr/>
        <w:t>Diabetic mellitus is a disorder in which the blood sugar (glucose) levels are abnormally high (hyperglycemia) because either the body does not produce enough</w:t>
      </w:r>
      <w:r>
        <w:rPr>
          <w:spacing w:val="40"/>
        </w:rPr>
        <w:t> </w:t>
      </w:r>
      <w:r>
        <w:rPr/>
        <w:t>insulin or the insulin so produced can not be used by the body (Mayfield, 1998).</w:t>
      </w:r>
    </w:p>
    <w:p>
      <w:pPr>
        <w:pStyle w:val="BodyText"/>
        <w:spacing w:line="360" w:lineRule="auto" w:before="1"/>
        <w:ind w:left="678" w:right="994" w:firstLine="720"/>
        <w:jc w:val="both"/>
      </w:pPr>
      <w:r>
        <w:rPr/>
        <w:t>Insulin, a hormone produced and released from the pancrease by the beta cells of the islets of Langerhans controls the amount of sugar in the blood (Rother, 2007). When a person eats or drinks, food is broken into smaller molecules, including sugar that the body needs to function. Sugar is absorbed into the bloodstream and stimulates the pancrease to produce insulin. Insulin allows sugar to move from the blood into the cells. Once inside</w:t>
      </w:r>
      <w:r>
        <w:rPr>
          <w:spacing w:val="40"/>
        </w:rPr>
        <w:t> </w:t>
      </w:r>
      <w:r>
        <w:rPr/>
        <w:t>the</w:t>
      </w:r>
      <w:r>
        <w:rPr>
          <w:spacing w:val="-1"/>
        </w:rPr>
        <w:t> </w:t>
      </w:r>
      <w:r>
        <w:rPr/>
        <w:t>cells sugar</w:t>
      </w:r>
      <w:r>
        <w:rPr>
          <w:spacing w:val="-1"/>
        </w:rPr>
        <w:t> </w:t>
      </w:r>
      <w:r>
        <w:rPr/>
        <w:t>is converted to energy, which is either</w:t>
      </w:r>
      <w:r>
        <w:rPr>
          <w:spacing w:val="-1"/>
        </w:rPr>
        <w:t> </w:t>
      </w:r>
      <w:r>
        <w:rPr/>
        <w:t>used immediately</w:t>
      </w:r>
      <w:r>
        <w:rPr>
          <w:spacing w:val="-5"/>
        </w:rPr>
        <w:t> </w:t>
      </w:r>
      <w:r>
        <w:rPr/>
        <w:t>or stored until it is needed. The levels of sugar in the blood vary</w:t>
      </w:r>
      <w:r>
        <w:rPr>
          <w:spacing w:val="-2"/>
        </w:rPr>
        <w:t> </w:t>
      </w:r>
      <w:r>
        <w:rPr/>
        <w:t>normally</w:t>
      </w:r>
      <w:r>
        <w:rPr>
          <w:spacing w:val="-2"/>
        </w:rPr>
        <w:t> </w:t>
      </w:r>
      <w:r>
        <w:rPr/>
        <w:t>throughout the day. They</w:t>
      </w:r>
      <w:r>
        <w:rPr>
          <w:spacing w:val="-2"/>
        </w:rPr>
        <w:t> </w:t>
      </w:r>
      <w:r>
        <w:rPr/>
        <w:t>rise after a meal and return to normal within about 2 hours after eating. Once the levels of sugar in the blood returns to normal, insulin production decreases. The variation in blood sugar levels is usually within a narrow range, about 70 to 110 milligrams per deciliter (mg/dL)</w:t>
      </w:r>
      <w:r>
        <w:rPr>
          <w:spacing w:val="40"/>
        </w:rPr>
        <w:t> </w:t>
      </w:r>
      <w:r>
        <w:rPr/>
        <w:t>of blood. If a person has eaten a large amount of carbohydrates, the levels may increase. People</w:t>
      </w:r>
      <w:r>
        <w:rPr>
          <w:spacing w:val="-2"/>
        </w:rPr>
        <w:t> </w:t>
      </w:r>
      <w:r>
        <w:rPr/>
        <w:t>older</w:t>
      </w:r>
      <w:r>
        <w:rPr>
          <w:spacing w:val="-2"/>
        </w:rPr>
        <w:t> </w:t>
      </w:r>
      <w:r>
        <w:rPr/>
        <w:t>than</w:t>
      </w:r>
      <w:r>
        <w:rPr>
          <w:spacing w:val="-2"/>
        </w:rPr>
        <w:t> </w:t>
      </w:r>
      <w:r>
        <w:rPr/>
        <w:t>65 years</w:t>
      </w:r>
      <w:r>
        <w:rPr>
          <w:spacing w:val="-2"/>
        </w:rPr>
        <w:t> </w:t>
      </w:r>
      <w:r>
        <w:rPr/>
        <w:t>tend</w:t>
      </w:r>
      <w:r>
        <w:rPr>
          <w:spacing w:val="-2"/>
        </w:rPr>
        <w:t> </w:t>
      </w:r>
      <w:r>
        <w:rPr/>
        <w:t>to</w:t>
      </w:r>
      <w:r>
        <w:rPr>
          <w:spacing w:val="-2"/>
        </w:rPr>
        <w:t> </w:t>
      </w:r>
      <w:r>
        <w:rPr/>
        <w:t>have</w:t>
      </w:r>
      <w:r>
        <w:rPr>
          <w:spacing w:val="-3"/>
        </w:rPr>
        <w:t> </w:t>
      </w:r>
      <w:r>
        <w:rPr/>
        <w:t>slightly</w:t>
      </w:r>
      <w:r>
        <w:rPr>
          <w:spacing w:val="-5"/>
        </w:rPr>
        <w:t> </w:t>
      </w:r>
      <w:r>
        <w:rPr/>
        <w:t>higher</w:t>
      </w:r>
      <w:r>
        <w:rPr>
          <w:spacing w:val="-2"/>
        </w:rPr>
        <w:t> </w:t>
      </w:r>
      <w:r>
        <w:rPr/>
        <w:t>levels,</w:t>
      </w:r>
      <w:r>
        <w:rPr>
          <w:spacing w:val="-2"/>
        </w:rPr>
        <w:t> </w:t>
      </w:r>
      <w:r>
        <w:rPr/>
        <w:t>especially</w:t>
      </w:r>
      <w:r>
        <w:rPr>
          <w:spacing w:val="-2"/>
        </w:rPr>
        <w:t> </w:t>
      </w:r>
      <w:r>
        <w:rPr/>
        <w:t>after</w:t>
      </w:r>
      <w:r>
        <w:rPr>
          <w:spacing w:val="-2"/>
        </w:rPr>
        <w:t> </w:t>
      </w:r>
      <w:r>
        <w:rPr/>
        <w:t>eating. If</w:t>
      </w:r>
      <w:r>
        <w:rPr>
          <w:spacing w:val="-1"/>
        </w:rPr>
        <w:t> </w:t>
      </w:r>
      <w:r>
        <w:rPr/>
        <w:t>the body does not produce enough insulin to move the sugar into the cells, the resulting high levels of sugar in the blood and the inadequate amount of sugar in the cells together produce the symptoms and complications of diabetes (Lindstrom </w:t>
      </w:r>
      <w:r>
        <w:rPr>
          <w:i/>
        </w:rPr>
        <w:t>et al</w:t>
      </w:r>
      <w:r>
        <w:rPr/>
        <w:t>., 2006). The full name diabetes mellitus is often used rather than diabetes alone, to distinguish this disorder from diabetes insipidus, a relatively rare disease that does not affect blood sugar levels (Lamb, 2006).</w:t>
      </w:r>
    </w:p>
    <w:p>
      <w:pPr>
        <w:pStyle w:val="BodyText"/>
        <w:spacing w:before="143"/>
      </w:pPr>
    </w:p>
    <w:p>
      <w:pPr>
        <w:pStyle w:val="Heading2"/>
        <w:numPr>
          <w:ilvl w:val="2"/>
          <w:numId w:val="19"/>
        </w:numPr>
        <w:tabs>
          <w:tab w:pos="1398" w:val="left" w:leader="none"/>
        </w:tabs>
        <w:spacing w:line="240" w:lineRule="auto" w:before="0" w:after="0"/>
        <w:ind w:left="1398" w:right="0" w:hanging="720"/>
        <w:jc w:val="both"/>
      </w:pPr>
      <w:bookmarkStart w:name="_TOC_250123" w:id="10"/>
      <w:r>
        <w:rPr/>
        <w:t>Types</w:t>
      </w:r>
      <w:r>
        <w:rPr>
          <w:spacing w:val="-2"/>
        </w:rPr>
        <w:t> </w:t>
      </w:r>
      <w:r>
        <w:rPr/>
        <w:t>of</w:t>
      </w:r>
      <w:r>
        <w:rPr>
          <w:spacing w:val="-1"/>
        </w:rPr>
        <w:t> </w:t>
      </w:r>
      <w:r>
        <w:rPr/>
        <w:t>diabetes</w:t>
      </w:r>
      <w:r>
        <w:rPr>
          <w:spacing w:val="-1"/>
        </w:rPr>
        <w:t> </w:t>
      </w:r>
      <w:bookmarkEnd w:id="10"/>
      <w:r>
        <w:rPr>
          <w:spacing w:val="-2"/>
        </w:rPr>
        <w:t>mellitus</w:t>
      </w:r>
    </w:p>
    <w:p>
      <w:pPr>
        <w:pStyle w:val="BodyText"/>
        <w:spacing w:line="360" w:lineRule="auto" w:before="132"/>
        <w:ind w:left="678" w:right="993" w:firstLine="720"/>
        <w:jc w:val="both"/>
      </w:pPr>
      <w:r>
        <w:rPr/>
        <w:t>There are two major types of diabetes mellitus. The first is Type 1 or Insulin- dependent</w:t>
      </w:r>
      <w:r>
        <w:rPr>
          <w:spacing w:val="-2"/>
        </w:rPr>
        <w:t> </w:t>
      </w:r>
      <w:r>
        <w:rPr/>
        <w:t>diabetes</w:t>
      </w:r>
      <w:r>
        <w:rPr>
          <w:spacing w:val="-3"/>
        </w:rPr>
        <w:t> </w:t>
      </w:r>
      <w:r>
        <w:rPr/>
        <w:t>mellitus</w:t>
      </w:r>
      <w:r>
        <w:rPr>
          <w:spacing w:val="-2"/>
        </w:rPr>
        <w:t> </w:t>
      </w:r>
      <w:r>
        <w:rPr/>
        <w:t>(IDDM)</w:t>
      </w:r>
      <w:r>
        <w:rPr>
          <w:spacing w:val="-3"/>
        </w:rPr>
        <w:t> </w:t>
      </w:r>
      <w:r>
        <w:rPr/>
        <w:t>or</w:t>
      </w:r>
      <w:r>
        <w:rPr>
          <w:spacing w:val="-3"/>
        </w:rPr>
        <w:t> </w:t>
      </w:r>
      <w:r>
        <w:rPr/>
        <w:t>juvenile-onset</w:t>
      </w:r>
      <w:r>
        <w:rPr>
          <w:spacing w:val="-3"/>
        </w:rPr>
        <w:t> </w:t>
      </w:r>
      <w:r>
        <w:rPr/>
        <w:t>diabetes</w:t>
      </w:r>
      <w:r>
        <w:rPr>
          <w:spacing w:val="-3"/>
        </w:rPr>
        <w:t> </w:t>
      </w:r>
      <w:r>
        <w:rPr/>
        <w:t>mellitus)</w:t>
      </w:r>
      <w:r>
        <w:rPr>
          <w:spacing w:val="-1"/>
        </w:rPr>
        <w:t> </w:t>
      </w:r>
      <w:r>
        <w:rPr/>
        <w:t>and</w:t>
      </w:r>
      <w:r>
        <w:rPr>
          <w:spacing w:val="-1"/>
        </w:rPr>
        <w:t> </w:t>
      </w:r>
      <w:r>
        <w:rPr/>
        <w:t>second,</w:t>
      </w:r>
      <w:r>
        <w:rPr>
          <w:spacing w:val="-2"/>
        </w:rPr>
        <w:t> </w:t>
      </w:r>
      <w:r>
        <w:rPr/>
        <w:t>Type 2</w:t>
      </w:r>
      <w:r>
        <w:rPr>
          <w:spacing w:val="-2"/>
        </w:rPr>
        <w:t> </w:t>
      </w:r>
      <w:r>
        <w:rPr/>
        <w:t>or</w:t>
      </w:r>
      <w:r>
        <w:rPr>
          <w:spacing w:val="-3"/>
        </w:rPr>
        <w:t> </w:t>
      </w:r>
      <w:r>
        <w:rPr/>
        <w:t>Non-insulin-dependent</w:t>
      </w:r>
      <w:r>
        <w:rPr>
          <w:spacing w:val="-2"/>
        </w:rPr>
        <w:t> </w:t>
      </w:r>
      <w:r>
        <w:rPr/>
        <w:t>diabetes</w:t>
      </w:r>
      <w:r>
        <w:rPr>
          <w:spacing w:val="-3"/>
        </w:rPr>
        <w:t> </w:t>
      </w:r>
      <w:r>
        <w:rPr/>
        <w:t>mellitus</w:t>
      </w:r>
      <w:r>
        <w:rPr>
          <w:spacing w:val="-2"/>
        </w:rPr>
        <w:t> </w:t>
      </w:r>
      <w:r>
        <w:rPr/>
        <w:t>(NIDDM)</w:t>
      </w:r>
      <w:r>
        <w:rPr>
          <w:spacing w:val="-3"/>
        </w:rPr>
        <w:t> </w:t>
      </w:r>
      <w:r>
        <w:rPr/>
        <w:t>or</w:t>
      </w:r>
      <w:r>
        <w:rPr>
          <w:spacing w:val="-3"/>
        </w:rPr>
        <w:t> </w:t>
      </w:r>
      <w:r>
        <w:rPr/>
        <w:t>type</w:t>
      </w:r>
      <w:r>
        <w:rPr>
          <w:spacing w:val="-3"/>
        </w:rPr>
        <w:t> </w:t>
      </w:r>
      <w:r>
        <w:rPr/>
        <w:t>2</w:t>
      </w:r>
      <w:r>
        <w:rPr>
          <w:spacing w:val="-2"/>
        </w:rPr>
        <w:t> </w:t>
      </w:r>
      <w:r>
        <w:rPr/>
        <w:t>adult</w:t>
      </w:r>
      <w:r>
        <w:rPr>
          <w:spacing w:val="-2"/>
        </w:rPr>
        <w:t> </w:t>
      </w:r>
      <w:r>
        <w:rPr/>
        <w:t>onset. However,</w:t>
      </w:r>
      <w:r>
        <w:rPr>
          <w:spacing w:val="-3"/>
        </w:rPr>
        <w:t> </w:t>
      </w:r>
      <w:r>
        <w:rPr/>
        <w:t>as treatment recommendations evolve, correct classification of the type of diabetes mellitus complicates epidemiological evaluation and clinical management (Mayfield, 1998). The new classification system identifies four types of diabetes mellitus: type 1; type 2 as previously</w:t>
      </w:r>
      <w:r>
        <w:rPr>
          <w:spacing w:val="12"/>
        </w:rPr>
        <w:t> </w:t>
      </w:r>
      <w:r>
        <w:rPr/>
        <w:t>mentioned;</w:t>
      </w:r>
      <w:r>
        <w:rPr>
          <w:spacing w:val="20"/>
        </w:rPr>
        <w:t> </w:t>
      </w:r>
      <w:r>
        <w:rPr/>
        <w:t>other</w:t>
      </w:r>
      <w:r>
        <w:rPr>
          <w:spacing w:val="19"/>
        </w:rPr>
        <w:t> </w:t>
      </w:r>
      <w:r>
        <w:rPr/>
        <w:t>specific</w:t>
      </w:r>
      <w:r>
        <w:rPr>
          <w:spacing w:val="19"/>
        </w:rPr>
        <w:t> </w:t>
      </w:r>
      <w:r>
        <w:rPr/>
        <w:t>types</w:t>
      </w:r>
      <w:r>
        <w:rPr>
          <w:spacing w:val="23"/>
        </w:rPr>
        <w:t> </w:t>
      </w:r>
      <w:r>
        <w:rPr/>
        <w:t>and</w:t>
      </w:r>
      <w:r>
        <w:rPr>
          <w:spacing w:val="20"/>
        </w:rPr>
        <w:t> </w:t>
      </w:r>
      <w:r>
        <w:rPr/>
        <w:t>gestational</w:t>
      </w:r>
      <w:r>
        <w:rPr>
          <w:spacing w:val="19"/>
        </w:rPr>
        <w:t> </w:t>
      </w:r>
      <w:r>
        <w:rPr/>
        <w:t>diabetes.</w:t>
      </w:r>
      <w:r>
        <w:rPr>
          <w:spacing w:val="20"/>
        </w:rPr>
        <w:t> </w:t>
      </w:r>
      <w:r>
        <w:rPr/>
        <w:t>Each</w:t>
      </w:r>
      <w:r>
        <w:rPr>
          <w:spacing w:val="22"/>
        </w:rPr>
        <w:t> </w:t>
      </w:r>
      <w:r>
        <w:rPr/>
        <w:t>of</w:t>
      </w:r>
      <w:r>
        <w:rPr>
          <w:spacing w:val="19"/>
        </w:rPr>
        <w:t> </w:t>
      </w:r>
      <w:r>
        <w:rPr/>
        <w:t>the</w:t>
      </w:r>
      <w:r>
        <w:rPr>
          <w:spacing w:val="19"/>
        </w:rPr>
        <w:t> </w:t>
      </w:r>
      <w:r>
        <w:rPr/>
        <w:t>types</w:t>
      </w:r>
      <w:r>
        <w:rPr>
          <w:spacing w:val="20"/>
        </w:rPr>
        <w:t> </w:t>
      </w:r>
      <w:r>
        <w:rPr>
          <w:spacing w:val="-5"/>
        </w:rPr>
        <w:t>of</w:t>
      </w:r>
    </w:p>
    <w:p>
      <w:pPr>
        <w:spacing w:after="0" w:line="360" w:lineRule="auto"/>
        <w:jc w:val="both"/>
        <w:sectPr>
          <w:pgSz w:w="12240" w:h="15840"/>
          <w:pgMar w:header="0" w:footer="1056" w:top="1340" w:bottom="1240" w:left="1420" w:right="420"/>
        </w:sectPr>
      </w:pPr>
    </w:p>
    <w:p>
      <w:pPr>
        <w:pStyle w:val="BodyText"/>
        <w:tabs>
          <w:tab w:pos="1663" w:val="left" w:leader="none"/>
          <w:tab w:pos="2640" w:val="left" w:leader="none"/>
          <w:tab w:pos="3760" w:val="left" w:leader="none"/>
          <w:tab w:pos="4695" w:val="left" w:leader="none"/>
          <w:tab w:pos="5497" w:val="left" w:leader="none"/>
          <w:tab w:pos="5804" w:val="left" w:leader="none"/>
          <w:tab w:pos="6712" w:val="left" w:leader="none"/>
          <w:tab w:pos="8073" w:val="left" w:leader="none"/>
          <w:tab w:pos="9052" w:val="left" w:leader="none"/>
        </w:tabs>
        <w:spacing w:line="360" w:lineRule="auto" w:before="72"/>
        <w:ind w:left="678" w:right="997"/>
      </w:pPr>
      <w:r>
        <w:rPr/>
        <mc:AlternateContent>
          <mc:Choice Requires="wps">
            <w:drawing>
              <wp:anchor distT="0" distB="0" distL="0" distR="0" allowOverlap="1" layoutInCell="1" locked="0" behindDoc="1" simplePos="0" relativeHeight="482914304">
                <wp:simplePos x="0" y="0"/>
                <wp:positionH relativeFrom="page">
                  <wp:posOffset>-1402226</wp:posOffset>
                </wp:positionH>
                <wp:positionV relativeFrom="page">
                  <wp:posOffset>4612234</wp:posOffset>
                </wp:positionV>
                <wp:extent cx="10685780" cy="914400"/>
                <wp:effectExtent l="0" t="0" r="0" b="0"/>
                <wp:wrapNone/>
                <wp:docPr id="26" name="Textbox 26"/>
                <wp:cNvGraphicFramePr>
                  <a:graphicFrameLocks/>
                </wp:cNvGraphicFramePr>
                <a:graphic>
                  <a:graphicData uri="http://schemas.microsoft.com/office/word/2010/wordprocessingShape">
                    <wps:wsp>
                      <wps:cNvPr id="26" name="Textbox 2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2176;rotation:306" type="#_x0000_t136" fillcolor="#ff5400" stroked="f">
                <o:extrusion v:ext="view" autorotationcenter="t"/>
                <v:textpath style="font-family:&quot;Arial MT&quot;;font-size:72pt;v-text-kern:t;mso-text-shadow:auto" string="UNIVERSITY OF IBADAN"/>
                <w10:wrap type="none"/>
              </v:shape>
            </w:pict>
          </mc:Fallback>
        </mc:AlternateContent>
      </w:r>
      <w:r>
        <w:rPr>
          <w:spacing w:val="-2"/>
        </w:rPr>
        <w:t>diabetes</w:t>
      </w:r>
      <w:r>
        <w:rPr/>
        <w:tab/>
      </w:r>
      <w:r>
        <w:rPr>
          <w:spacing w:val="-2"/>
        </w:rPr>
        <w:t>mellitus</w:t>
      </w:r>
      <w:r>
        <w:rPr/>
        <w:tab/>
      </w:r>
      <w:r>
        <w:rPr>
          <w:spacing w:val="-2"/>
        </w:rPr>
        <w:t>identified</w:t>
      </w:r>
      <w:r>
        <w:rPr/>
        <w:tab/>
      </w:r>
      <w:r>
        <w:rPr>
          <w:spacing w:val="-2"/>
        </w:rPr>
        <w:t>extends</w:t>
      </w:r>
      <w:r>
        <w:rPr/>
        <w:tab/>
      </w:r>
      <w:r>
        <w:rPr>
          <w:spacing w:val="-2"/>
        </w:rPr>
        <w:t>across</w:t>
      </w:r>
      <w:r>
        <w:rPr/>
        <w:tab/>
      </w:r>
      <w:r>
        <w:rPr>
          <w:spacing w:val="-10"/>
        </w:rPr>
        <w:t>a</w:t>
      </w:r>
      <w:r>
        <w:rPr/>
        <w:tab/>
      </w:r>
      <w:r>
        <w:rPr>
          <w:spacing w:val="-2"/>
        </w:rPr>
        <w:t>clinical</w:t>
      </w:r>
      <w:r>
        <w:rPr/>
        <w:tab/>
      </w:r>
      <w:r>
        <w:rPr>
          <w:spacing w:val="-2"/>
        </w:rPr>
        <w:t>requirement</w:t>
      </w:r>
      <w:r>
        <w:rPr/>
        <w:tab/>
      </w:r>
      <w:r>
        <w:rPr>
          <w:spacing w:val="-2"/>
        </w:rPr>
        <w:t>(Dubois</w:t>
      </w:r>
      <w:r>
        <w:rPr/>
        <w:tab/>
      </w:r>
      <w:r>
        <w:rPr>
          <w:spacing w:val="-4"/>
        </w:rPr>
        <w:t>and </w:t>
      </w:r>
      <w:r>
        <w:rPr/>
        <w:t>Bankauskaite, 2005).</w:t>
      </w:r>
    </w:p>
    <w:p>
      <w:pPr>
        <w:pStyle w:val="BodyText"/>
        <w:spacing w:before="142"/>
      </w:pPr>
    </w:p>
    <w:p>
      <w:pPr>
        <w:pStyle w:val="Heading2"/>
        <w:numPr>
          <w:ilvl w:val="3"/>
          <w:numId w:val="19"/>
        </w:numPr>
        <w:tabs>
          <w:tab w:pos="1578" w:val="left" w:leader="none"/>
        </w:tabs>
        <w:spacing w:line="240" w:lineRule="auto" w:before="1" w:after="0"/>
        <w:ind w:left="1578" w:right="0" w:hanging="900"/>
        <w:jc w:val="both"/>
      </w:pPr>
      <w:bookmarkStart w:name="_TOC_250122" w:id="11"/>
      <w:r>
        <w:rPr/>
        <w:t>Type</w:t>
      </w:r>
      <w:r>
        <w:rPr>
          <w:spacing w:val="-2"/>
        </w:rPr>
        <w:t> </w:t>
      </w:r>
      <w:r>
        <w:rPr/>
        <w:t>1</w:t>
      </w:r>
      <w:r>
        <w:rPr>
          <w:spacing w:val="-1"/>
        </w:rPr>
        <w:t> </w:t>
      </w:r>
      <w:r>
        <w:rPr/>
        <w:t>diabetes </w:t>
      </w:r>
      <w:bookmarkEnd w:id="11"/>
      <w:r>
        <w:rPr>
          <w:spacing w:val="-2"/>
        </w:rPr>
        <w:t>mellitus</w:t>
      </w:r>
    </w:p>
    <w:p>
      <w:pPr>
        <w:pStyle w:val="BodyText"/>
        <w:spacing w:line="360" w:lineRule="auto" w:before="134"/>
        <w:ind w:left="678" w:right="992" w:firstLine="720"/>
        <w:jc w:val="both"/>
      </w:pPr>
      <w:r>
        <w:rPr/>
        <w:t>Type 1 diabetes mellitus is characterized by beta cell destruction caused by an autoimmune process, usually leading to absolute insulin deficiency (Rother, 2007). The onset is usually acute, developing over a period of a few days to weeks.</w:t>
      </w:r>
      <w:r>
        <w:rPr>
          <w:spacing w:val="40"/>
        </w:rPr>
        <w:t> </w:t>
      </w:r>
      <w:r>
        <w:rPr/>
        <w:t>Over 95% of persons with type 1 diabetes mellitus develop the disease before the age of 25, with an equal incidence in both sexes and increased prevalence in the white population (Razavi </w:t>
      </w:r>
      <w:r>
        <w:rPr>
          <w:i/>
        </w:rPr>
        <w:t>et al</w:t>
      </w:r>
      <w:r>
        <w:rPr/>
        <w:t>., 2006). Most of these patients have the ―immune-mediated form‖ of type 1 diabetes mellitus with islet cell antibodies and often have other autoimmune disorders such as Hachimoto‘s</w:t>
      </w:r>
      <w:r>
        <w:rPr>
          <w:spacing w:val="-1"/>
        </w:rPr>
        <w:t> </w:t>
      </w:r>
      <w:r>
        <w:rPr/>
        <w:t>thyroiditis, Addison‘s</w:t>
      </w:r>
      <w:r>
        <w:rPr>
          <w:spacing w:val="-1"/>
        </w:rPr>
        <w:t> </w:t>
      </w:r>
      <w:r>
        <w:rPr/>
        <w:t>disease and pernicious</w:t>
      </w:r>
      <w:r>
        <w:rPr>
          <w:spacing w:val="-1"/>
        </w:rPr>
        <w:t> </w:t>
      </w:r>
      <w:r>
        <w:rPr/>
        <w:t>anemia (Razavi </w:t>
      </w:r>
      <w:r>
        <w:rPr>
          <w:i/>
        </w:rPr>
        <w:t>et</w:t>
      </w:r>
      <w:r>
        <w:rPr>
          <w:i/>
          <w:spacing w:val="-1"/>
        </w:rPr>
        <w:t> </w:t>
      </w:r>
      <w:r>
        <w:rPr>
          <w:i/>
        </w:rPr>
        <w:t>al</w:t>
      </w:r>
      <w:r>
        <w:rPr/>
        <w:t>.,</w:t>
      </w:r>
      <w:r>
        <w:rPr>
          <w:spacing w:val="-1"/>
        </w:rPr>
        <w:t> </w:t>
      </w:r>
      <w:r>
        <w:rPr/>
        <w:t>2006). A few patients, usually those of African or Asian origin, have no antibodies but have a similar</w:t>
      </w:r>
      <w:r>
        <w:rPr>
          <w:spacing w:val="-3"/>
        </w:rPr>
        <w:t> </w:t>
      </w:r>
      <w:r>
        <w:rPr/>
        <w:t>clinical</w:t>
      </w:r>
      <w:r>
        <w:rPr>
          <w:spacing w:val="-3"/>
        </w:rPr>
        <w:t> </w:t>
      </w:r>
      <w:r>
        <w:rPr/>
        <w:t>presentation;</w:t>
      </w:r>
      <w:r>
        <w:rPr>
          <w:spacing w:val="-3"/>
        </w:rPr>
        <w:t> </w:t>
      </w:r>
      <w:r>
        <w:rPr/>
        <w:t>consequently,</w:t>
      </w:r>
      <w:r>
        <w:rPr>
          <w:spacing w:val="-3"/>
        </w:rPr>
        <w:t> </w:t>
      </w:r>
      <w:r>
        <w:rPr/>
        <w:t>they</w:t>
      </w:r>
      <w:r>
        <w:rPr>
          <w:spacing w:val="-6"/>
        </w:rPr>
        <w:t> </w:t>
      </w:r>
      <w:r>
        <w:rPr/>
        <w:t>are</w:t>
      </w:r>
      <w:r>
        <w:rPr>
          <w:spacing w:val="-4"/>
        </w:rPr>
        <w:t> </w:t>
      </w:r>
      <w:r>
        <w:rPr/>
        <w:t>included</w:t>
      </w:r>
      <w:r>
        <w:rPr>
          <w:spacing w:val="-3"/>
        </w:rPr>
        <w:t> </w:t>
      </w:r>
      <w:r>
        <w:rPr/>
        <w:t>in</w:t>
      </w:r>
      <w:r>
        <w:rPr>
          <w:spacing w:val="-3"/>
        </w:rPr>
        <w:t> </w:t>
      </w:r>
      <w:r>
        <w:rPr/>
        <w:t>this</w:t>
      </w:r>
      <w:r>
        <w:rPr>
          <w:spacing w:val="-3"/>
        </w:rPr>
        <w:t> </w:t>
      </w:r>
      <w:r>
        <w:rPr/>
        <w:t>classification</w:t>
      </w:r>
      <w:r>
        <w:rPr>
          <w:spacing w:val="-3"/>
        </w:rPr>
        <w:t> </w:t>
      </w:r>
      <w:r>
        <w:rPr/>
        <w:t>and</w:t>
      </w:r>
      <w:r>
        <w:rPr>
          <w:spacing w:val="-3"/>
        </w:rPr>
        <w:t> </w:t>
      </w:r>
      <w:r>
        <w:rPr/>
        <w:t>their disease is called the ―idiopathic form‖ of type 1 diabetes mellitus (Eberhart </w:t>
      </w:r>
      <w:r>
        <w:rPr>
          <w:i/>
        </w:rPr>
        <w:t>et al</w:t>
      </w:r>
      <w:r>
        <w:rPr/>
        <w:t>., 2004).</w:t>
      </w:r>
    </w:p>
    <w:p>
      <w:pPr>
        <w:pStyle w:val="BodyText"/>
        <w:spacing w:before="144"/>
      </w:pPr>
    </w:p>
    <w:p>
      <w:pPr>
        <w:pStyle w:val="Heading2"/>
        <w:numPr>
          <w:ilvl w:val="3"/>
          <w:numId w:val="19"/>
        </w:numPr>
        <w:tabs>
          <w:tab w:pos="1398" w:val="left" w:leader="none"/>
        </w:tabs>
        <w:spacing w:line="240" w:lineRule="auto" w:before="0" w:after="0"/>
        <w:ind w:left="1398" w:right="0" w:hanging="720"/>
        <w:jc w:val="both"/>
      </w:pPr>
      <w:bookmarkStart w:name="_TOC_250121" w:id="12"/>
      <w:r>
        <w:rPr/>
        <w:t>Type</w:t>
      </w:r>
      <w:r>
        <w:rPr>
          <w:spacing w:val="-2"/>
        </w:rPr>
        <w:t> </w:t>
      </w:r>
      <w:r>
        <w:rPr/>
        <w:t>2</w:t>
      </w:r>
      <w:r>
        <w:rPr>
          <w:spacing w:val="-1"/>
        </w:rPr>
        <w:t> </w:t>
      </w:r>
      <w:r>
        <w:rPr/>
        <w:t>diabetes </w:t>
      </w:r>
      <w:bookmarkEnd w:id="12"/>
      <w:r>
        <w:rPr>
          <w:spacing w:val="-2"/>
        </w:rPr>
        <w:t>mellitus</w:t>
      </w:r>
    </w:p>
    <w:p>
      <w:pPr>
        <w:pStyle w:val="BodyText"/>
        <w:spacing w:line="360" w:lineRule="auto" w:before="132"/>
        <w:ind w:left="678" w:right="993" w:firstLine="720"/>
        <w:jc w:val="both"/>
      </w:pPr>
      <w:r>
        <w:rPr/>
        <w:t>Type 2 diabetes mellitus is characterized by insulin resistance in peripheral tissue and an insulin secretory defect of the beta cell (Eberhart </w:t>
      </w:r>
      <w:r>
        <w:rPr>
          <w:i/>
        </w:rPr>
        <w:t>et al</w:t>
      </w:r>
      <w:r>
        <w:rPr/>
        <w:t>., 2004). This is the most common form of diabetes mellitus and is highly associated with a family history of diabetes, old age, obesity and lack of exercise. It is more common in women, especially women with a history of gestational diabetes, and in blacks, Hispanics and native Americans. Insulin resistance and hyperinsulinemia eventually lead to impaired glucose tolerance. Defective beta cells become exhausted, further fueling the cycle of glucose intolerance and hyperglycemia. The etiology of type 2 diabetes mellitus is multifactorial and</w:t>
      </w:r>
      <w:r>
        <w:rPr>
          <w:spacing w:val="-3"/>
        </w:rPr>
        <w:t> </w:t>
      </w:r>
      <w:r>
        <w:rPr/>
        <w:t>probably</w:t>
      </w:r>
      <w:r>
        <w:rPr>
          <w:spacing w:val="-5"/>
        </w:rPr>
        <w:t> </w:t>
      </w:r>
      <w:r>
        <w:rPr/>
        <w:t>genetically</w:t>
      </w:r>
      <w:r>
        <w:rPr>
          <w:spacing w:val="-5"/>
        </w:rPr>
        <w:t> </w:t>
      </w:r>
      <w:r>
        <w:rPr/>
        <w:t>based,</w:t>
      </w:r>
      <w:r>
        <w:rPr>
          <w:spacing w:val="-3"/>
        </w:rPr>
        <w:t> </w:t>
      </w:r>
      <w:r>
        <w:rPr/>
        <w:t>but</w:t>
      </w:r>
      <w:r>
        <w:rPr>
          <w:spacing w:val="-3"/>
        </w:rPr>
        <w:t> </w:t>
      </w:r>
      <w:r>
        <w:rPr/>
        <w:t>it</w:t>
      </w:r>
      <w:r>
        <w:rPr>
          <w:spacing w:val="-3"/>
        </w:rPr>
        <w:t> </w:t>
      </w:r>
      <w:r>
        <w:rPr/>
        <w:t>also</w:t>
      </w:r>
      <w:r>
        <w:rPr>
          <w:spacing w:val="-3"/>
        </w:rPr>
        <w:t> </w:t>
      </w:r>
      <w:r>
        <w:rPr/>
        <w:t>has</w:t>
      </w:r>
      <w:r>
        <w:rPr>
          <w:spacing w:val="-3"/>
        </w:rPr>
        <w:t> </w:t>
      </w:r>
      <w:r>
        <w:rPr/>
        <w:t>strong</w:t>
      </w:r>
      <w:r>
        <w:rPr>
          <w:spacing w:val="-5"/>
        </w:rPr>
        <w:t> </w:t>
      </w:r>
      <w:r>
        <w:rPr/>
        <w:t>behavioral</w:t>
      </w:r>
      <w:r>
        <w:rPr>
          <w:spacing w:val="-1"/>
        </w:rPr>
        <w:t> </w:t>
      </w:r>
      <w:r>
        <w:rPr/>
        <w:t>components</w:t>
      </w:r>
      <w:r>
        <w:rPr>
          <w:spacing w:val="-3"/>
        </w:rPr>
        <w:t> </w:t>
      </w:r>
      <w:r>
        <w:rPr/>
        <w:t>(Harris </w:t>
      </w:r>
      <w:r>
        <w:rPr>
          <w:i/>
        </w:rPr>
        <w:t>et</w:t>
      </w:r>
      <w:r>
        <w:rPr>
          <w:i/>
          <w:spacing w:val="-3"/>
        </w:rPr>
        <w:t> </w:t>
      </w:r>
      <w:r>
        <w:rPr>
          <w:i/>
        </w:rPr>
        <w:t>al</w:t>
      </w:r>
      <w:r>
        <w:rPr/>
        <w:t>., </w:t>
      </w:r>
      <w:r>
        <w:rPr>
          <w:spacing w:val="-2"/>
        </w:rPr>
        <w:t>1998).</w:t>
      </w:r>
    </w:p>
    <w:p>
      <w:pPr>
        <w:pStyle w:val="BodyText"/>
        <w:spacing w:before="143"/>
      </w:pPr>
    </w:p>
    <w:p>
      <w:pPr>
        <w:pStyle w:val="Heading2"/>
        <w:numPr>
          <w:ilvl w:val="3"/>
          <w:numId w:val="19"/>
        </w:numPr>
        <w:tabs>
          <w:tab w:pos="1338" w:val="left" w:leader="none"/>
        </w:tabs>
        <w:spacing w:line="240" w:lineRule="auto" w:before="0" w:after="0"/>
        <w:ind w:left="1338" w:right="0" w:hanging="660"/>
        <w:jc w:val="left"/>
      </w:pPr>
      <w:bookmarkStart w:name="_TOC_250120" w:id="13"/>
      <w:r>
        <w:rPr/>
        <w:t>“Other</w:t>
      </w:r>
      <w:r>
        <w:rPr>
          <w:spacing w:val="-3"/>
        </w:rPr>
        <w:t> </w:t>
      </w:r>
      <w:r>
        <w:rPr/>
        <w:t>specific</w:t>
      </w:r>
      <w:r>
        <w:rPr>
          <w:spacing w:val="-2"/>
        </w:rPr>
        <w:t> </w:t>
      </w:r>
      <w:r>
        <w:rPr/>
        <w:t>types”</w:t>
      </w:r>
      <w:r>
        <w:rPr>
          <w:spacing w:val="-1"/>
        </w:rPr>
        <w:t> </w:t>
      </w:r>
      <w:r>
        <w:rPr/>
        <w:t>and</w:t>
      </w:r>
      <w:r>
        <w:rPr>
          <w:spacing w:val="-2"/>
        </w:rPr>
        <w:t> </w:t>
      </w:r>
      <w:r>
        <w:rPr/>
        <w:t>gestational</w:t>
      </w:r>
      <w:bookmarkEnd w:id="13"/>
      <w:r>
        <w:rPr>
          <w:spacing w:val="-2"/>
        </w:rPr>
        <w:t> diabetes</w:t>
      </w:r>
    </w:p>
    <w:p>
      <w:pPr>
        <w:pStyle w:val="BodyText"/>
        <w:spacing w:line="360" w:lineRule="auto" w:before="134"/>
        <w:ind w:left="678" w:right="1000" w:firstLine="720"/>
        <w:jc w:val="both"/>
      </w:pPr>
      <w:r>
        <w:rPr/>
        <w:t>Types of diabetes mellitus of various known etiologies are grouped together to form</w:t>
      </w:r>
      <w:r>
        <w:rPr>
          <w:spacing w:val="34"/>
        </w:rPr>
        <w:t> </w:t>
      </w:r>
      <w:r>
        <w:rPr/>
        <w:t>the</w:t>
      </w:r>
      <w:r>
        <w:rPr>
          <w:spacing w:val="34"/>
        </w:rPr>
        <w:t> </w:t>
      </w:r>
      <w:r>
        <w:rPr/>
        <w:t>classification</w:t>
      </w:r>
      <w:r>
        <w:rPr>
          <w:spacing w:val="35"/>
        </w:rPr>
        <w:t> </w:t>
      </w:r>
      <w:r>
        <w:rPr/>
        <w:t>called</w:t>
      </w:r>
      <w:r>
        <w:rPr>
          <w:spacing w:val="35"/>
        </w:rPr>
        <w:t> </w:t>
      </w:r>
      <w:r>
        <w:rPr/>
        <w:t>―other</w:t>
      </w:r>
      <w:r>
        <w:rPr>
          <w:spacing w:val="34"/>
        </w:rPr>
        <w:t> </w:t>
      </w:r>
      <w:r>
        <w:rPr/>
        <w:t>specific</w:t>
      </w:r>
      <w:r>
        <w:rPr>
          <w:spacing w:val="34"/>
        </w:rPr>
        <w:t> </w:t>
      </w:r>
      <w:r>
        <w:rPr/>
        <w:t>types‖.</w:t>
      </w:r>
      <w:r>
        <w:rPr>
          <w:spacing w:val="35"/>
        </w:rPr>
        <w:t> </w:t>
      </w:r>
      <w:r>
        <w:rPr/>
        <w:t>This</w:t>
      </w:r>
      <w:r>
        <w:rPr>
          <w:spacing w:val="35"/>
        </w:rPr>
        <w:t> </w:t>
      </w:r>
      <w:r>
        <w:rPr/>
        <w:t>group</w:t>
      </w:r>
      <w:r>
        <w:rPr>
          <w:spacing w:val="35"/>
        </w:rPr>
        <w:t> </w:t>
      </w:r>
      <w:r>
        <w:rPr/>
        <w:t>includes</w:t>
      </w:r>
      <w:r>
        <w:rPr>
          <w:spacing w:val="35"/>
        </w:rPr>
        <w:t> </w:t>
      </w:r>
      <w:r>
        <w:rPr/>
        <w:t>persons</w:t>
      </w:r>
      <w:r>
        <w:rPr>
          <w:spacing w:val="35"/>
        </w:rPr>
        <w:t> </w:t>
      </w:r>
      <w:r>
        <w:rPr>
          <w:spacing w:val="-4"/>
        </w:rPr>
        <w:t>with</w:t>
      </w:r>
    </w:p>
    <w:p>
      <w:pPr>
        <w:spacing w:after="0" w:line="360" w:lineRule="auto"/>
        <w:jc w:val="both"/>
        <w:sectPr>
          <w:pgSz w:w="12240" w:h="15840"/>
          <w:pgMar w:header="0" w:footer="1056" w:top="134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2914816">
                <wp:simplePos x="0" y="0"/>
                <wp:positionH relativeFrom="page">
                  <wp:posOffset>-1402226</wp:posOffset>
                </wp:positionH>
                <wp:positionV relativeFrom="page">
                  <wp:posOffset>4612234</wp:posOffset>
                </wp:positionV>
                <wp:extent cx="10685780" cy="914400"/>
                <wp:effectExtent l="0" t="0" r="0" b="0"/>
                <wp:wrapNone/>
                <wp:docPr id="27" name="Textbox 27"/>
                <wp:cNvGraphicFramePr>
                  <a:graphicFrameLocks/>
                </wp:cNvGraphicFramePr>
                <a:graphic>
                  <a:graphicData uri="http://schemas.microsoft.com/office/word/2010/wordprocessingShape">
                    <wps:wsp>
                      <wps:cNvPr id="27" name="Textbox 2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1664;rotation:306" type="#_x0000_t136" fillcolor="#ff5400" stroked="f">
                <o:extrusion v:ext="view" autorotationcenter="t"/>
                <v:textpath style="font-family:&quot;Arial MT&quot;;font-size:72pt;v-text-kern:t;mso-text-shadow:auto" string="UNIVERSITY OF IBADAN"/>
                <w10:wrap type="none"/>
              </v:shape>
            </w:pict>
          </mc:Fallback>
        </mc:AlternateContent>
      </w:r>
      <w:r>
        <w:rPr/>
        <w:t>genetic defects of beta–cell function (this type of diabetes mellitus was formerly called MODY</w:t>
      </w:r>
      <w:r>
        <w:rPr>
          <w:spacing w:val="-1"/>
        </w:rPr>
        <w:t> </w:t>
      </w:r>
      <w:r>
        <w:rPr/>
        <w:t>or</w:t>
      </w:r>
      <w:r>
        <w:rPr>
          <w:spacing w:val="-1"/>
        </w:rPr>
        <w:t> </w:t>
      </w:r>
      <w:r>
        <w:rPr/>
        <w:t>maturity-onset diabetes</w:t>
      </w:r>
      <w:r>
        <w:rPr>
          <w:spacing w:val="-1"/>
        </w:rPr>
        <w:t> </w:t>
      </w:r>
      <w:r>
        <w:rPr/>
        <w:t>in youth)</w:t>
      </w:r>
      <w:r>
        <w:rPr>
          <w:spacing w:val="-1"/>
        </w:rPr>
        <w:t> </w:t>
      </w:r>
      <w:r>
        <w:rPr/>
        <w:t>or</w:t>
      </w:r>
      <w:r>
        <w:rPr>
          <w:spacing w:val="-1"/>
        </w:rPr>
        <w:t> </w:t>
      </w:r>
      <w:r>
        <w:rPr/>
        <w:t>with defects of</w:t>
      </w:r>
      <w:r>
        <w:rPr>
          <w:spacing w:val="-1"/>
        </w:rPr>
        <w:t> </w:t>
      </w:r>
      <w:r>
        <w:rPr/>
        <w:t>insulin action; persons</w:t>
      </w:r>
      <w:r>
        <w:rPr>
          <w:spacing w:val="-1"/>
        </w:rPr>
        <w:t> </w:t>
      </w:r>
      <w:r>
        <w:rPr/>
        <w:t>with diseases of the exocrine pancrease such as pancreatitis or cystis fibrosis; persons with dysfunction associated with other endocrinopathies (e.g. acromegaly); and persons with pancreatic dysfunction caused by drugs, chemicals or infections (Rother, 2007).</w:t>
      </w:r>
    </w:p>
    <w:p>
      <w:pPr>
        <w:pStyle w:val="BodyText"/>
        <w:spacing w:line="360" w:lineRule="auto"/>
        <w:ind w:left="678" w:right="1433" w:firstLine="720"/>
      </w:pPr>
      <w:r>
        <w:rPr/>
        <w:t>Gestational diabetes mellitus is an operational classification (rather than a pathophysiologic</w:t>
      </w:r>
      <w:r>
        <w:rPr>
          <w:spacing w:val="-5"/>
        </w:rPr>
        <w:t> </w:t>
      </w:r>
      <w:r>
        <w:rPr/>
        <w:t>condition)</w:t>
      </w:r>
      <w:r>
        <w:rPr>
          <w:spacing w:val="-5"/>
        </w:rPr>
        <w:t> </w:t>
      </w:r>
      <w:r>
        <w:rPr/>
        <w:t>identifying</w:t>
      </w:r>
      <w:r>
        <w:rPr>
          <w:spacing w:val="-7"/>
        </w:rPr>
        <w:t> </w:t>
      </w:r>
      <w:r>
        <w:rPr/>
        <w:t>women</w:t>
      </w:r>
      <w:r>
        <w:rPr>
          <w:spacing w:val="-5"/>
        </w:rPr>
        <w:t> </w:t>
      </w:r>
      <w:r>
        <w:rPr/>
        <w:t>who</w:t>
      </w:r>
      <w:r>
        <w:rPr>
          <w:spacing w:val="-5"/>
        </w:rPr>
        <w:t> </w:t>
      </w:r>
      <w:r>
        <w:rPr/>
        <w:t>develop</w:t>
      </w:r>
      <w:r>
        <w:rPr>
          <w:spacing w:val="-5"/>
        </w:rPr>
        <w:t> </w:t>
      </w:r>
      <w:r>
        <w:rPr/>
        <w:t>diabetes</w:t>
      </w:r>
      <w:r>
        <w:rPr>
          <w:spacing w:val="-5"/>
        </w:rPr>
        <w:t> </w:t>
      </w:r>
      <w:r>
        <w:rPr/>
        <w:t>mellitus</w:t>
      </w:r>
      <w:r>
        <w:rPr>
          <w:spacing w:val="-5"/>
        </w:rPr>
        <w:t> </w:t>
      </w:r>
      <w:r>
        <w:rPr/>
        <w:t>during </w:t>
      </w:r>
      <w:r>
        <w:rPr>
          <w:spacing w:val="-2"/>
        </w:rPr>
        <w:t>gestation.</w:t>
      </w:r>
    </w:p>
    <w:p>
      <w:pPr>
        <w:pStyle w:val="BodyText"/>
        <w:spacing w:before="143"/>
      </w:pPr>
    </w:p>
    <w:p>
      <w:pPr>
        <w:pStyle w:val="Heading2"/>
        <w:numPr>
          <w:ilvl w:val="1"/>
          <w:numId w:val="19"/>
        </w:numPr>
        <w:tabs>
          <w:tab w:pos="1398" w:val="left" w:leader="none"/>
        </w:tabs>
        <w:spacing w:line="240" w:lineRule="auto" w:before="0" w:after="0"/>
        <w:ind w:left="1398" w:right="0" w:hanging="720"/>
        <w:jc w:val="both"/>
      </w:pPr>
      <w:r>
        <w:rPr/>
        <w:t>Complications</w:t>
      </w:r>
      <w:r>
        <w:rPr>
          <w:spacing w:val="-3"/>
        </w:rPr>
        <w:t> </w:t>
      </w:r>
      <w:r>
        <w:rPr/>
        <w:t>of</w:t>
      </w:r>
      <w:r>
        <w:rPr>
          <w:spacing w:val="-2"/>
        </w:rPr>
        <w:t> </w:t>
      </w:r>
      <w:r>
        <w:rPr/>
        <w:t>diabetes </w:t>
      </w:r>
      <w:r>
        <w:rPr>
          <w:spacing w:val="-2"/>
        </w:rPr>
        <w:t>mellitus</w:t>
      </w:r>
    </w:p>
    <w:p>
      <w:pPr>
        <w:pStyle w:val="BodyText"/>
        <w:spacing w:line="360" w:lineRule="auto" w:before="135"/>
        <w:ind w:left="678" w:right="994" w:firstLine="720"/>
        <w:jc w:val="both"/>
      </w:pPr>
      <w:r>
        <w:rPr/>
        <w:t>People with diabetes mellitus may experience many serious, long-term complications. Some of these complications begin within months of the onset of diabetes, although most tend to develop years later. Most of the complications are progressive (Nathan </w:t>
      </w:r>
      <w:r>
        <w:rPr>
          <w:i/>
        </w:rPr>
        <w:t>et al</w:t>
      </w:r>
      <w:r>
        <w:rPr/>
        <w:t>., 2005).</w:t>
      </w:r>
    </w:p>
    <w:p>
      <w:pPr>
        <w:pStyle w:val="BodyText"/>
        <w:spacing w:before="141"/>
      </w:pPr>
    </w:p>
    <w:p>
      <w:pPr>
        <w:pStyle w:val="Heading2"/>
        <w:numPr>
          <w:ilvl w:val="2"/>
          <w:numId w:val="19"/>
        </w:numPr>
        <w:tabs>
          <w:tab w:pos="1398" w:val="left" w:leader="none"/>
        </w:tabs>
        <w:spacing w:line="240" w:lineRule="auto" w:before="1" w:after="0"/>
        <w:ind w:left="1398" w:right="0" w:hanging="720"/>
        <w:jc w:val="both"/>
      </w:pPr>
      <w:bookmarkStart w:name="_TOC_250119" w:id="14"/>
      <w:r>
        <w:rPr/>
        <w:t>Renal</w:t>
      </w:r>
      <w:r>
        <w:rPr>
          <w:spacing w:val="-3"/>
        </w:rPr>
        <w:t> </w:t>
      </w:r>
      <w:r>
        <w:rPr/>
        <w:t>complications</w:t>
      </w:r>
      <w:r>
        <w:rPr>
          <w:spacing w:val="-3"/>
        </w:rPr>
        <w:t> </w:t>
      </w:r>
      <w:bookmarkEnd w:id="14"/>
      <w:r>
        <w:rPr>
          <w:spacing w:val="-2"/>
        </w:rPr>
        <w:t>(nephropathy)</w:t>
      </w:r>
    </w:p>
    <w:p>
      <w:pPr>
        <w:pStyle w:val="BodyText"/>
        <w:spacing w:line="360" w:lineRule="auto" w:before="134"/>
        <w:ind w:left="687" w:right="1173" w:firstLine="710"/>
        <w:jc w:val="both"/>
        <w:rPr>
          <w:i/>
        </w:rPr>
      </w:pPr>
      <w:r>
        <w:rPr/>
        <w:t>Nephropathy</w:t>
      </w:r>
      <w:r>
        <w:rPr>
          <w:spacing w:val="-5"/>
        </w:rPr>
        <w:t> </w:t>
      </w:r>
      <w:r>
        <w:rPr/>
        <w:t>which</w:t>
      </w:r>
      <w:r>
        <w:rPr>
          <w:spacing w:val="-1"/>
        </w:rPr>
        <w:t> </w:t>
      </w:r>
      <w:r>
        <w:rPr/>
        <w:t>develops</w:t>
      </w:r>
      <w:r>
        <w:rPr>
          <w:spacing w:val="-2"/>
        </w:rPr>
        <w:t> </w:t>
      </w:r>
      <w:r>
        <w:rPr/>
        <w:t>in</w:t>
      </w:r>
      <w:r>
        <w:rPr>
          <w:spacing w:val="-2"/>
        </w:rPr>
        <w:t> </w:t>
      </w:r>
      <w:r>
        <w:rPr/>
        <w:t>only</w:t>
      </w:r>
      <w:r>
        <w:rPr>
          <w:spacing w:val="-7"/>
        </w:rPr>
        <w:t> </w:t>
      </w:r>
      <w:r>
        <w:rPr/>
        <w:t>35</w:t>
      </w:r>
      <w:r>
        <w:rPr>
          <w:spacing w:val="-2"/>
        </w:rPr>
        <w:t> </w:t>
      </w:r>
      <w:r>
        <w:rPr/>
        <w:t>to</w:t>
      </w:r>
      <w:r>
        <w:rPr>
          <w:spacing w:val="-2"/>
        </w:rPr>
        <w:t> </w:t>
      </w:r>
      <w:r>
        <w:rPr/>
        <w:t>45</w:t>
      </w:r>
      <w:r>
        <w:rPr>
          <w:spacing w:val="-1"/>
        </w:rPr>
        <w:t> </w:t>
      </w:r>
      <w:r>
        <w:rPr/>
        <w:t>percent</w:t>
      </w:r>
      <w:r>
        <w:rPr>
          <w:spacing w:val="-2"/>
        </w:rPr>
        <w:t> </w:t>
      </w:r>
      <w:r>
        <w:rPr/>
        <w:t>of</w:t>
      </w:r>
      <w:r>
        <w:rPr>
          <w:spacing w:val="-2"/>
        </w:rPr>
        <w:t> </w:t>
      </w:r>
      <w:r>
        <w:rPr/>
        <w:t>patients</w:t>
      </w:r>
      <w:r>
        <w:rPr>
          <w:spacing w:val="-2"/>
        </w:rPr>
        <w:t> </w:t>
      </w:r>
      <w:r>
        <w:rPr/>
        <w:t>with</w:t>
      </w:r>
      <w:r>
        <w:rPr>
          <w:spacing w:val="-1"/>
        </w:rPr>
        <w:t> </w:t>
      </w:r>
      <w:r>
        <w:rPr/>
        <w:t>IDDM</w:t>
      </w:r>
      <w:r>
        <w:rPr>
          <w:spacing w:val="-2"/>
        </w:rPr>
        <w:t> </w:t>
      </w:r>
      <w:r>
        <w:rPr/>
        <w:t>and less than 20 percent of those with NIDDM (Deckert </w:t>
      </w:r>
      <w:r>
        <w:rPr>
          <w:i/>
        </w:rPr>
        <w:t>et al</w:t>
      </w:r>
      <w:r>
        <w:rPr/>
        <w:t>, 1978; Andersen </w:t>
      </w:r>
      <w:r>
        <w:rPr>
          <w:i/>
        </w:rPr>
        <w:t>et al</w:t>
      </w:r>
      <w:r>
        <w:rPr/>
        <w:t>., 1983, Ballard </w:t>
      </w:r>
      <w:r>
        <w:rPr>
          <w:i/>
        </w:rPr>
        <w:t>et al</w:t>
      </w:r>
      <w:r>
        <w:rPr/>
        <w:t>., 1988)</w:t>
      </w:r>
      <w:r>
        <w:rPr>
          <w:spacing w:val="40"/>
        </w:rPr>
        <w:t> </w:t>
      </w:r>
      <w:r>
        <w:rPr/>
        <w:t>is a complication associated with the greatest mortality. Diabetic nephropathy</w:t>
      </w:r>
      <w:r>
        <w:rPr>
          <w:spacing w:val="-4"/>
        </w:rPr>
        <w:t> </w:t>
      </w:r>
      <w:r>
        <w:rPr/>
        <w:t>in IDDM begins with the development of micro albuminuria (30 to 300 mg of albumin per 24 hours), which may occur as early as five years after the onset of diabetes</w:t>
      </w:r>
      <w:r>
        <w:rPr>
          <w:spacing w:val="40"/>
        </w:rPr>
        <w:t> </w:t>
      </w:r>
      <w:r>
        <w:rPr/>
        <w:t>(Selby</w:t>
      </w:r>
      <w:r>
        <w:rPr>
          <w:spacing w:val="80"/>
        </w:rPr>
        <w:t> </w:t>
      </w:r>
      <w:r>
        <w:rPr>
          <w:i/>
        </w:rPr>
        <w:t>et</w:t>
      </w:r>
      <w:r>
        <w:rPr>
          <w:i/>
          <w:spacing w:val="80"/>
        </w:rPr>
        <w:t> </w:t>
      </w:r>
      <w:r>
        <w:rPr>
          <w:i/>
        </w:rPr>
        <w:t>al</w:t>
      </w:r>
      <w:r>
        <w:rPr/>
        <w:t>.,</w:t>
      </w:r>
      <w:r>
        <w:rPr>
          <w:spacing w:val="80"/>
        </w:rPr>
        <w:t> </w:t>
      </w:r>
      <w:r>
        <w:rPr/>
        <w:t>1990;</w:t>
      </w:r>
      <w:r>
        <w:rPr>
          <w:spacing w:val="80"/>
        </w:rPr>
        <w:t> </w:t>
      </w:r>
      <w:r>
        <w:rPr/>
        <w:t>Viberti</w:t>
      </w:r>
      <w:r>
        <w:rPr>
          <w:spacing w:val="80"/>
        </w:rPr>
        <w:t> </w:t>
      </w:r>
      <w:r>
        <w:rPr/>
        <w:t>and</w:t>
      </w:r>
      <w:r>
        <w:rPr>
          <w:spacing w:val="80"/>
        </w:rPr>
        <w:t> </w:t>
      </w:r>
      <w:r>
        <w:rPr/>
        <w:t>Keen,</w:t>
      </w:r>
      <w:r>
        <w:rPr>
          <w:spacing w:val="80"/>
        </w:rPr>
        <w:t> </w:t>
      </w:r>
      <w:r>
        <w:rPr/>
        <w:t>1984;</w:t>
      </w:r>
      <w:r>
        <w:rPr>
          <w:spacing w:val="40"/>
        </w:rPr>
        <w:t> </w:t>
      </w:r>
      <w:r>
        <w:rPr/>
        <w:t>Viberti</w:t>
      </w:r>
      <w:r>
        <w:rPr>
          <w:spacing w:val="40"/>
        </w:rPr>
        <w:t> </w:t>
      </w:r>
      <w:r>
        <w:rPr>
          <w:i/>
        </w:rPr>
        <w:t>et</w:t>
      </w:r>
      <w:r>
        <w:rPr>
          <w:i/>
          <w:spacing w:val="40"/>
        </w:rPr>
        <w:t> </w:t>
      </w:r>
      <w:r>
        <w:rPr>
          <w:i/>
        </w:rPr>
        <w:t>al</w:t>
      </w:r>
      <w:r>
        <w:rPr/>
        <w:t>.</w:t>
      </w:r>
      <w:r>
        <w:rPr>
          <w:spacing w:val="40"/>
        </w:rPr>
        <w:t> </w:t>
      </w:r>
      <w:r>
        <w:rPr/>
        <w:t>1982; Mathiesen </w:t>
      </w:r>
      <w:r>
        <w:rPr>
          <w:i/>
        </w:rPr>
        <w:t>et al</w:t>
      </w:r>
      <w:r>
        <w:rPr/>
        <w:t>., 1984; Mogensen and Christensen, 1984). This stage of incipient nephropathy may be more likely in patients with glomerular hyperfiltration (i.e., a glomerular</w:t>
      </w:r>
      <w:r>
        <w:rPr>
          <w:spacing w:val="-1"/>
        </w:rPr>
        <w:t> </w:t>
      </w:r>
      <w:r>
        <w:rPr/>
        <w:t>filtration rate &gt;</w:t>
      </w:r>
      <w:r>
        <w:rPr>
          <w:spacing w:val="-1"/>
        </w:rPr>
        <w:t> </w:t>
      </w:r>
      <w:r>
        <w:rPr/>
        <w:t>150 ml per</w:t>
      </w:r>
      <w:r>
        <w:rPr>
          <w:spacing w:val="-1"/>
        </w:rPr>
        <w:t> </w:t>
      </w:r>
      <w:r>
        <w:rPr/>
        <w:t>minute) (Mogensen, 1984).</w:t>
      </w:r>
      <w:r>
        <w:rPr>
          <w:spacing w:val="40"/>
        </w:rPr>
        <w:t> </w:t>
      </w:r>
      <w:r>
        <w:rPr/>
        <w:t>After another</w:t>
      </w:r>
      <w:r>
        <w:rPr>
          <w:spacing w:val="-2"/>
        </w:rPr>
        <w:t> </w:t>
      </w:r>
      <w:r>
        <w:rPr/>
        <w:t>5 to 10 years of diabetes, overt proteinuria (&gt; 500 mg of protein per liter, equivalent to &gt; 300</w:t>
      </w:r>
      <w:r>
        <w:rPr>
          <w:spacing w:val="40"/>
        </w:rPr>
        <w:t> </w:t>
      </w:r>
      <w:r>
        <w:rPr/>
        <w:t>mg of albumin per 24 hours) develops in patients destined to have end-stage renal disease. Hypertension invariably develops during this period. In the next 5 to 10 years, the nephrotic syndrome develops and the glomerular filtration rate falls, resulting in</w:t>
      </w:r>
      <w:r>
        <w:rPr>
          <w:spacing w:val="80"/>
        </w:rPr>
        <w:t> </w:t>
      </w:r>
      <w:r>
        <w:rPr/>
        <w:t>end-stage renal disease. The mean durations of IDDM before the development of overt proteinuria</w:t>
      </w:r>
      <w:r>
        <w:rPr>
          <w:spacing w:val="24"/>
        </w:rPr>
        <w:t> </w:t>
      </w:r>
      <w:r>
        <w:rPr/>
        <w:t>and</w:t>
      </w:r>
      <w:r>
        <w:rPr>
          <w:spacing w:val="26"/>
        </w:rPr>
        <w:t> </w:t>
      </w:r>
      <w:r>
        <w:rPr/>
        <w:t>end-stage</w:t>
      </w:r>
      <w:r>
        <w:rPr>
          <w:spacing w:val="26"/>
        </w:rPr>
        <w:t> </w:t>
      </w:r>
      <w:r>
        <w:rPr/>
        <w:t>renal</w:t>
      </w:r>
      <w:r>
        <w:rPr>
          <w:spacing w:val="27"/>
        </w:rPr>
        <w:t> </w:t>
      </w:r>
      <w:r>
        <w:rPr/>
        <w:t>disease</w:t>
      </w:r>
      <w:r>
        <w:rPr>
          <w:spacing w:val="25"/>
        </w:rPr>
        <w:t> </w:t>
      </w:r>
      <w:r>
        <w:rPr/>
        <w:t>are</w:t>
      </w:r>
      <w:r>
        <w:rPr>
          <w:spacing w:val="26"/>
        </w:rPr>
        <w:t> </w:t>
      </w:r>
      <w:r>
        <w:rPr/>
        <w:t>17</w:t>
      </w:r>
      <w:r>
        <w:rPr>
          <w:spacing w:val="28"/>
        </w:rPr>
        <w:t> </w:t>
      </w:r>
      <w:r>
        <w:rPr/>
        <w:t>and</w:t>
      </w:r>
      <w:r>
        <w:rPr>
          <w:spacing w:val="26"/>
        </w:rPr>
        <w:t> </w:t>
      </w:r>
      <w:r>
        <w:rPr/>
        <w:t>23</w:t>
      </w:r>
      <w:r>
        <w:rPr>
          <w:spacing w:val="29"/>
        </w:rPr>
        <w:t> </w:t>
      </w:r>
      <w:r>
        <w:rPr/>
        <w:t>years,</w:t>
      </w:r>
      <w:r>
        <w:rPr>
          <w:spacing w:val="26"/>
        </w:rPr>
        <w:t> </w:t>
      </w:r>
      <w:r>
        <w:rPr/>
        <w:t>respectively</w:t>
      </w:r>
      <w:r>
        <w:rPr>
          <w:spacing w:val="24"/>
        </w:rPr>
        <w:t> </w:t>
      </w:r>
      <w:r>
        <w:rPr/>
        <w:t>(Kussman</w:t>
      </w:r>
      <w:r>
        <w:rPr>
          <w:spacing w:val="30"/>
        </w:rPr>
        <w:t> </w:t>
      </w:r>
      <w:r>
        <w:rPr>
          <w:i/>
          <w:spacing w:val="-5"/>
        </w:rPr>
        <w:t>et</w:t>
      </w:r>
    </w:p>
    <w:p>
      <w:pPr>
        <w:spacing w:after="0" w:line="360" w:lineRule="auto"/>
        <w:jc w:val="both"/>
        <w:sectPr>
          <w:pgSz w:w="12240" w:h="15840"/>
          <w:pgMar w:header="0" w:footer="1056" w:top="1340" w:bottom="1240" w:left="1420" w:right="420"/>
        </w:sectPr>
      </w:pPr>
    </w:p>
    <w:p>
      <w:pPr>
        <w:pStyle w:val="BodyText"/>
        <w:spacing w:line="360" w:lineRule="auto" w:before="72"/>
        <w:ind w:left="577" w:right="1165"/>
        <w:jc w:val="right"/>
      </w:pPr>
      <w:r>
        <w:rPr/>
        <mc:AlternateContent>
          <mc:Choice Requires="wps">
            <w:drawing>
              <wp:anchor distT="0" distB="0" distL="0" distR="0" allowOverlap="1" layoutInCell="1" locked="0" behindDoc="1" simplePos="0" relativeHeight="482915328">
                <wp:simplePos x="0" y="0"/>
                <wp:positionH relativeFrom="page">
                  <wp:posOffset>-1402226</wp:posOffset>
                </wp:positionH>
                <wp:positionV relativeFrom="page">
                  <wp:posOffset>4612234</wp:posOffset>
                </wp:positionV>
                <wp:extent cx="10685780" cy="914400"/>
                <wp:effectExtent l="0" t="0" r="0" b="0"/>
                <wp:wrapNone/>
                <wp:docPr id="28" name="Textbox 28"/>
                <wp:cNvGraphicFramePr>
                  <a:graphicFrameLocks/>
                </wp:cNvGraphicFramePr>
                <a:graphic>
                  <a:graphicData uri="http://schemas.microsoft.com/office/word/2010/wordprocessingShape">
                    <wps:wsp>
                      <wps:cNvPr id="28" name="Textbox 2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1152;rotation:306" type="#_x0000_t136" fillcolor="#ff5400" stroked="f">
                <o:extrusion v:ext="view" autorotationcenter="t"/>
                <v:textpath style="font-family:&quot;Arial MT&quot;;font-size:72pt;v-text-kern:t;mso-text-shadow:auto" string="UNIVERSITY OF IBADAN"/>
                <w10:wrap type="none"/>
              </v:shape>
            </w:pict>
          </mc:Fallback>
        </mc:AlternateContent>
      </w:r>
      <w:r>
        <w:rPr>
          <w:i/>
        </w:rPr>
        <w:t>al</w:t>
      </w:r>
      <w:r>
        <w:rPr/>
        <w:t>., 1976). Although a small fraction of patients with IDDM who have nephropathy</w:t>
      </w:r>
      <w:r>
        <w:rPr>
          <w:spacing w:val="-5"/>
        </w:rPr>
        <w:t> </w:t>
      </w:r>
      <w:r>
        <w:rPr/>
        <w:t>may die of uremia, the majority die of concurrent cardiovascular disease, the risk of which is 30</w:t>
      </w:r>
      <w:r>
        <w:rPr>
          <w:spacing w:val="-3"/>
        </w:rPr>
        <w:t> </w:t>
      </w:r>
      <w:r>
        <w:rPr/>
        <w:t>to</w:t>
      </w:r>
      <w:r>
        <w:rPr>
          <w:spacing w:val="-1"/>
        </w:rPr>
        <w:t> </w:t>
      </w:r>
      <w:r>
        <w:rPr/>
        <w:t>40</w:t>
      </w:r>
      <w:r>
        <w:rPr>
          <w:spacing w:val="-1"/>
        </w:rPr>
        <w:t> </w:t>
      </w:r>
      <w:r>
        <w:rPr/>
        <w:t>times that</w:t>
      </w:r>
      <w:r>
        <w:rPr>
          <w:spacing w:val="-1"/>
        </w:rPr>
        <w:t> </w:t>
      </w:r>
      <w:r>
        <w:rPr/>
        <w:t>in</w:t>
      </w:r>
      <w:r>
        <w:rPr>
          <w:spacing w:val="-1"/>
        </w:rPr>
        <w:t> </w:t>
      </w:r>
      <w:r>
        <w:rPr/>
        <w:t>patients</w:t>
      </w:r>
      <w:r>
        <w:rPr>
          <w:spacing w:val="-1"/>
        </w:rPr>
        <w:t> </w:t>
      </w:r>
      <w:r>
        <w:rPr/>
        <w:t>with</w:t>
      </w:r>
      <w:r>
        <w:rPr>
          <w:spacing w:val="2"/>
        </w:rPr>
        <w:t> </w:t>
      </w:r>
      <w:r>
        <w:rPr/>
        <w:t>IDDM</w:t>
      </w:r>
      <w:r>
        <w:rPr>
          <w:spacing w:val="-1"/>
        </w:rPr>
        <w:t> </w:t>
      </w:r>
      <w:r>
        <w:rPr/>
        <w:t>who</w:t>
      </w:r>
      <w:r>
        <w:rPr>
          <w:spacing w:val="-1"/>
        </w:rPr>
        <w:t> </w:t>
      </w:r>
      <w:r>
        <w:rPr/>
        <w:t>do</w:t>
      </w:r>
      <w:r>
        <w:rPr>
          <w:spacing w:val="1"/>
        </w:rPr>
        <w:t> </w:t>
      </w:r>
      <w:r>
        <w:rPr/>
        <w:t>not have</w:t>
      </w:r>
      <w:r>
        <w:rPr>
          <w:spacing w:val="-3"/>
        </w:rPr>
        <w:t> </w:t>
      </w:r>
      <w:r>
        <w:rPr/>
        <w:t>nephropathy</w:t>
      </w:r>
      <w:r>
        <w:rPr>
          <w:spacing w:val="-4"/>
        </w:rPr>
        <w:t> </w:t>
      </w:r>
      <w:r>
        <w:rPr/>
        <w:t>(Nathan, </w:t>
      </w:r>
      <w:r>
        <w:rPr>
          <w:spacing w:val="-2"/>
        </w:rPr>
        <w:t>1993).</w:t>
      </w:r>
    </w:p>
    <w:p>
      <w:pPr>
        <w:pStyle w:val="BodyText"/>
        <w:spacing w:line="360" w:lineRule="auto"/>
        <w:ind w:left="697" w:right="1156" w:firstLine="720"/>
        <w:jc w:val="both"/>
      </w:pPr>
      <w:r>
        <w:rPr/>
        <w:t>Microalbuminuria appears to precede nephropathy</w:t>
      </w:r>
      <w:r>
        <w:rPr>
          <w:spacing w:val="-4"/>
        </w:rPr>
        <w:t> </w:t>
      </w:r>
      <w:r>
        <w:rPr/>
        <w:t>in patients with NIDDM, as it does in those with IDDM (Mogensen, 1984). End-stage renal disease is characterized by small, atrophic kidneys with diffuse glomerulosclerosis (Bilous </w:t>
      </w:r>
      <w:r>
        <w:rPr>
          <w:i/>
        </w:rPr>
        <w:t>et al</w:t>
      </w:r>
      <w:r>
        <w:rPr/>
        <w:t>., 1989).</w:t>
      </w:r>
    </w:p>
    <w:p>
      <w:pPr>
        <w:pStyle w:val="BodyText"/>
      </w:pPr>
    </w:p>
    <w:p>
      <w:pPr>
        <w:pStyle w:val="BodyText"/>
        <w:spacing w:before="68"/>
      </w:pPr>
    </w:p>
    <w:p>
      <w:pPr>
        <w:pStyle w:val="Heading2"/>
        <w:numPr>
          <w:ilvl w:val="2"/>
          <w:numId w:val="19"/>
        </w:numPr>
        <w:tabs>
          <w:tab w:pos="1398" w:val="left" w:leader="none"/>
        </w:tabs>
        <w:spacing w:line="240" w:lineRule="auto" w:before="0" w:after="0"/>
        <w:ind w:left="1398" w:right="0" w:hanging="720"/>
        <w:jc w:val="both"/>
      </w:pPr>
      <w:bookmarkStart w:name="_TOC_250118" w:id="15"/>
      <w:r>
        <w:rPr/>
        <w:t>Ocular</w:t>
      </w:r>
      <w:r>
        <w:rPr>
          <w:spacing w:val="-3"/>
        </w:rPr>
        <w:t> </w:t>
      </w:r>
      <w:r>
        <w:rPr/>
        <w:t>complications</w:t>
      </w:r>
      <w:bookmarkEnd w:id="15"/>
      <w:r>
        <w:rPr>
          <w:spacing w:val="-2"/>
        </w:rPr>
        <w:t> (retinopathy)</w:t>
      </w:r>
    </w:p>
    <w:p>
      <w:pPr>
        <w:pStyle w:val="BodyText"/>
        <w:spacing w:line="360" w:lineRule="auto" w:before="132"/>
        <w:ind w:left="678" w:right="992" w:firstLine="720"/>
        <w:jc w:val="both"/>
      </w:pPr>
      <w:r>
        <w:rPr/>
        <w:t>The</w:t>
      </w:r>
      <w:r>
        <w:rPr>
          <w:spacing w:val="-5"/>
        </w:rPr>
        <w:t> </w:t>
      </w:r>
      <w:r>
        <w:rPr/>
        <w:t>eyes</w:t>
      </w:r>
      <w:r>
        <w:rPr>
          <w:spacing w:val="-1"/>
        </w:rPr>
        <w:t> </w:t>
      </w:r>
      <w:r>
        <w:rPr/>
        <w:t>can</w:t>
      </w:r>
      <w:r>
        <w:rPr>
          <w:spacing w:val="-3"/>
        </w:rPr>
        <w:t> </w:t>
      </w:r>
      <w:r>
        <w:rPr/>
        <w:t>be</w:t>
      </w:r>
      <w:r>
        <w:rPr>
          <w:spacing w:val="-2"/>
        </w:rPr>
        <w:t> </w:t>
      </w:r>
      <w:r>
        <w:rPr/>
        <w:t>affected</w:t>
      </w:r>
      <w:r>
        <w:rPr>
          <w:spacing w:val="-2"/>
        </w:rPr>
        <w:t> </w:t>
      </w:r>
      <w:r>
        <w:rPr/>
        <w:t>in</w:t>
      </w:r>
      <w:r>
        <w:rPr>
          <w:spacing w:val="-3"/>
        </w:rPr>
        <w:t> </w:t>
      </w:r>
      <w:r>
        <w:rPr/>
        <w:t>several</w:t>
      </w:r>
      <w:r>
        <w:rPr>
          <w:spacing w:val="-3"/>
        </w:rPr>
        <w:t> </w:t>
      </w:r>
      <w:r>
        <w:rPr/>
        <w:t>ways</w:t>
      </w:r>
      <w:r>
        <w:rPr>
          <w:spacing w:val="-3"/>
        </w:rPr>
        <w:t> </w:t>
      </w:r>
      <w:r>
        <w:rPr/>
        <w:t>by</w:t>
      </w:r>
      <w:r>
        <w:rPr>
          <w:spacing w:val="-8"/>
        </w:rPr>
        <w:t> </w:t>
      </w:r>
      <w:r>
        <w:rPr/>
        <w:t>diabetes</w:t>
      </w:r>
      <w:r>
        <w:rPr>
          <w:spacing w:val="-3"/>
        </w:rPr>
        <w:t> </w:t>
      </w:r>
      <w:r>
        <w:rPr/>
        <w:t>mellitus.</w:t>
      </w:r>
      <w:r>
        <w:rPr>
          <w:spacing w:val="-3"/>
        </w:rPr>
        <w:t> </w:t>
      </w:r>
      <w:r>
        <w:rPr/>
        <w:t>Diabetes</w:t>
      </w:r>
      <w:r>
        <w:rPr>
          <w:spacing w:val="-3"/>
        </w:rPr>
        <w:t> </w:t>
      </w:r>
      <w:r>
        <w:rPr/>
        <w:t>retinopathy is one of the leading causes for irreversible blindness in the United States. This</w:t>
      </w:r>
      <w:r>
        <w:rPr>
          <w:spacing w:val="40"/>
        </w:rPr>
        <w:t> </w:t>
      </w:r>
      <w:r>
        <w:rPr/>
        <w:t>retinopathy</w:t>
      </w:r>
      <w:r>
        <w:rPr>
          <w:spacing w:val="-3"/>
        </w:rPr>
        <w:t> </w:t>
      </w:r>
      <w:r>
        <w:rPr/>
        <w:t>can occur</w:t>
      </w:r>
      <w:r>
        <w:rPr>
          <w:spacing w:val="-1"/>
        </w:rPr>
        <w:t> </w:t>
      </w:r>
      <w:r>
        <w:rPr/>
        <w:t>with either</w:t>
      </w:r>
      <w:r>
        <w:rPr>
          <w:spacing w:val="-1"/>
        </w:rPr>
        <w:t> </w:t>
      </w:r>
      <w:r>
        <w:rPr/>
        <w:t>Type</w:t>
      </w:r>
      <w:r>
        <w:rPr>
          <w:spacing w:val="-1"/>
        </w:rPr>
        <w:t> </w:t>
      </w:r>
      <w:r>
        <w:rPr/>
        <w:t>1 or</w:t>
      </w:r>
      <w:r>
        <w:rPr>
          <w:spacing w:val="-1"/>
        </w:rPr>
        <w:t> </w:t>
      </w:r>
      <w:r>
        <w:rPr/>
        <w:t>Type 2 diabetes</w:t>
      </w:r>
      <w:r>
        <w:rPr>
          <w:spacing w:val="-1"/>
        </w:rPr>
        <w:t> </w:t>
      </w:r>
      <w:r>
        <w:rPr/>
        <w:t>mellitus, and the</w:t>
      </w:r>
      <w:r>
        <w:rPr>
          <w:spacing w:val="-1"/>
        </w:rPr>
        <w:t> </w:t>
      </w:r>
      <w:r>
        <w:rPr/>
        <w:t>development depends on the duration of the disease (Pirart, 1978; Krowlewski </w:t>
      </w:r>
      <w:r>
        <w:rPr>
          <w:i/>
        </w:rPr>
        <w:t>et al</w:t>
      </w:r>
      <w:r>
        <w:rPr/>
        <w:t>., 1986). Most persons with type 1 diabetes and many of those with type 2 diabetes develop some background (non proliferative) retinopathy. Proliferative retinopathy is more ominous and is more likely to occur when diabetes mellitus is poorly controlled.</w:t>
      </w:r>
    </w:p>
    <w:p>
      <w:pPr>
        <w:pStyle w:val="BodyText"/>
        <w:spacing w:before="144"/>
      </w:pPr>
    </w:p>
    <w:p>
      <w:pPr>
        <w:pStyle w:val="Heading2"/>
        <w:numPr>
          <w:ilvl w:val="2"/>
          <w:numId w:val="19"/>
        </w:numPr>
        <w:tabs>
          <w:tab w:pos="1218" w:val="left" w:leader="none"/>
        </w:tabs>
        <w:spacing w:line="240" w:lineRule="auto" w:before="0" w:after="0"/>
        <w:ind w:left="1218" w:right="0" w:hanging="540"/>
        <w:jc w:val="both"/>
      </w:pPr>
      <w:bookmarkStart w:name="_TOC_250117" w:id="16"/>
      <w:bookmarkEnd w:id="16"/>
      <w:r>
        <w:rPr>
          <w:spacing w:val="-2"/>
        </w:rPr>
        <w:t>Neuropathy</w:t>
      </w:r>
    </w:p>
    <w:p>
      <w:pPr>
        <w:pStyle w:val="BodyText"/>
        <w:spacing w:line="360" w:lineRule="auto" w:before="132"/>
        <w:ind w:left="678" w:right="994" w:firstLine="720"/>
        <w:jc w:val="both"/>
      </w:pPr>
      <w:r>
        <w:rPr/>
        <w:t>A peripheral, symmetric sensorimotor neuropathy is the most common form of diabetic neuropathy, whose other forms include cranial and peripheral motor neuropathies and autonomic neuropathy. Although neuropathy is also more common with a longer duration of diabetes, Said </w:t>
      </w:r>
      <w:r>
        <w:rPr>
          <w:i/>
        </w:rPr>
        <w:t>et al</w:t>
      </w:r>
      <w:r>
        <w:rPr/>
        <w:t>., (1992) described a relatively severe, early-onset polyneuropathy. Electrophysiologic studies demonstrate subclinical abnormalities, including slowed motor- and sensory-nerve conduction in most patients, after 5 to 10</w:t>
      </w:r>
      <w:r>
        <w:rPr>
          <w:spacing w:val="40"/>
        </w:rPr>
        <w:t> </w:t>
      </w:r>
      <w:r>
        <w:rPr/>
        <w:t>years of diabetes.</w:t>
      </w:r>
    </w:p>
    <w:p>
      <w:pPr>
        <w:pStyle w:val="BodyText"/>
        <w:spacing w:line="360" w:lineRule="auto" w:before="2"/>
        <w:ind w:left="678" w:right="994" w:firstLine="720"/>
        <w:jc w:val="both"/>
      </w:pPr>
      <w:r>
        <w:rPr/>
        <w:t>Because loss of sensation in the feet and altered foot architecture make foot care problematic, the principal risk posed by peripheral neuropathy is of foot trauma and diabetic ulcers. A minority</w:t>
      </w:r>
      <w:r>
        <w:rPr>
          <w:spacing w:val="-4"/>
        </w:rPr>
        <w:t> </w:t>
      </w:r>
      <w:r>
        <w:rPr/>
        <w:t>of patients have painful peripheral neuropathy</w:t>
      </w:r>
      <w:r>
        <w:rPr>
          <w:spacing w:val="-4"/>
        </w:rPr>
        <w:t> </w:t>
      </w:r>
      <w:r>
        <w:rPr/>
        <w:t>with lancinating or burning dysesthesia, severe enough in some to be associated with depression and anorexia</w:t>
      </w:r>
      <w:r>
        <w:rPr>
          <w:spacing w:val="-2"/>
        </w:rPr>
        <w:t> </w:t>
      </w:r>
      <w:r>
        <w:rPr/>
        <w:t>(Ellenberg,</w:t>
      </w:r>
      <w:r>
        <w:rPr>
          <w:spacing w:val="-1"/>
        </w:rPr>
        <w:t> </w:t>
      </w:r>
      <w:r>
        <w:rPr/>
        <w:t>1974).</w:t>
      </w:r>
      <w:r>
        <w:rPr>
          <w:spacing w:val="-6"/>
        </w:rPr>
        <w:t> </w:t>
      </w:r>
      <w:r>
        <w:rPr/>
        <w:t>Autonomic</w:t>
      </w:r>
      <w:r>
        <w:rPr>
          <w:spacing w:val="-2"/>
        </w:rPr>
        <w:t> </w:t>
      </w:r>
      <w:r>
        <w:rPr/>
        <w:t>neuropathy</w:t>
      </w:r>
      <w:r>
        <w:rPr>
          <w:spacing w:val="-4"/>
        </w:rPr>
        <w:t> </w:t>
      </w:r>
      <w:r>
        <w:rPr/>
        <w:t>can affect gastric or</w:t>
      </w:r>
      <w:r>
        <w:rPr>
          <w:spacing w:val="-2"/>
        </w:rPr>
        <w:t> </w:t>
      </w:r>
      <w:r>
        <w:rPr/>
        <w:t>intestinal</w:t>
      </w:r>
      <w:r>
        <w:rPr>
          <w:spacing w:val="-1"/>
        </w:rPr>
        <w:t> </w:t>
      </w:r>
      <w:r>
        <w:rPr/>
        <w:t>motility, erectile function, bladder function, cardiac function, and vascular tone. Impotence is the most</w:t>
      </w:r>
      <w:r>
        <w:rPr>
          <w:spacing w:val="43"/>
        </w:rPr>
        <w:t> </w:t>
      </w:r>
      <w:r>
        <w:rPr/>
        <w:t>common</w:t>
      </w:r>
      <w:r>
        <w:rPr>
          <w:spacing w:val="44"/>
        </w:rPr>
        <w:t> </w:t>
      </w:r>
      <w:r>
        <w:rPr/>
        <w:t>clinical</w:t>
      </w:r>
      <w:r>
        <w:rPr>
          <w:spacing w:val="42"/>
        </w:rPr>
        <w:t> </w:t>
      </w:r>
      <w:r>
        <w:rPr/>
        <w:t>manifestation</w:t>
      </w:r>
      <w:r>
        <w:rPr>
          <w:spacing w:val="44"/>
        </w:rPr>
        <w:t> </w:t>
      </w:r>
      <w:r>
        <w:rPr/>
        <w:t>of</w:t>
      </w:r>
      <w:r>
        <w:rPr>
          <w:spacing w:val="43"/>
        </w:rPr>
        <w:t> </w:t>
      </w:r>
      <w:r>
        <w:rPr/>
        <w:t>autonomic</w:t>
      </w:r>
      <w:r>
        <w:rPr>
          <w:spacing w:val="43"/>
        </w:rPr>
        <w:t> </w:t>
      </w:r>
      <w:r>
        <w:rPr/>
        <w:t>neuropathy,</w:t>
      </w:r>
      <w:r>
        <w:rPr>
          <w:spacing w:val="44"/>
        </w:rPr>
        <w:t> </w:t>
      </w:r>
      <w:r>
        <w:rPr/>
        <w:t>affecting</w:t>
      </w:r>
      <w:r>
        <w:rPr>
          <w:spacing w:val="41"/>
        </w:rPr>
        <w:t> </w:t>
      </w:r>
      <w:r>
        <w:rPr/>
        <w:t>more</w:t>
      </w:r>
      <w:r>
        <w:rPr>
          <w:spacing w:val="43"/>
        </w:rPr>
        <w:t> </w:t>
      </w:r>
      <w:r>
        <w:rPr/>
        <w:t>than</w:t>
      </w:r>
      <w:r>
        <w:rPr>
          <w:spacing w:val="44"/>
        </w:rPr>
        <w:t> </w:t>
      </w:r>
      <w:r>
        <w:rPr>
          <w:spacing w:val="-5"/>
        </w:rPr>
        <w:t>50</w:t>
      </w:r>
    </w:p>
    <w:p>
      <w:pPr>
        <w:spacing w:after="0" w:line="360" w:lineRule="auto"/>
        <w:jc w:val="both"/>
        <w:sectPr>
          <w:pgSz w:w="12240" w:h="15840"/>
          <w:pgMar w:header="0" w:footer="1056" w:top="1340" w:bottom="1240" w:left="1420" w:right="420"/>
        </w:sectPr>
      </w:pPr>
    </w:p>
    <w:p>
      <w:pPr>
        <w:pStyle w:val="BodyText"/>
        <w:spacing w:line="360" w:lineRule="auto" w:before="72"/>
        <w:ind w:left="678"/>
      </w:pPr>
      <w:r>
        <w:rPr/>
        <mc:AlternateContent>
          <mc:Choice Requires="wps">
            <w:drawing>
              <wp:anchor distT="0" distB="0" distL="0" distR="0" allowOverlap="1" layoutInCell="1" locked="0" behindDoc="1" simplePos="0" relativeHeight="482915840">
                <wp:simplePos x="0" y="0"/>
                <wp:positionH relativeFrom="page">
                  <wp:posOffset>-1402226</wp:posOffset>
                </wp:positionH>
                <wp:positionV relativeFrom="page">
                  <wp:posOffset>4612234</wp:posOffset>
                </wp:positionV>
                <wp:extent cx="10685780" cy="914400"/>
                <wp:effectExtent l="0" t="0" r="0" b="0"/>
                <wp:wrapNone/>
                <wp:docPr id="29" name="Textbox 29"/>
                <wp:cNvGraphicFramePr>
                  <a:graphicFrameLocks/>
                </wp:cNvGraphicFramePr>
                <a:graphic>
                  <a:graphicData uri="http://schemas.microsoft.com/office/word/2010/wordprocessingShape">
                    <wps:wsp>
                      <wps:cNvPr id="29" name="Textbox 2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0640;rotation:306" type="#_x0000_t136" fillcolor="#ff5400" stroked="f">
                <o:extrusion v:ext="view" autorotationcenter="t"/>
                <v:textpath style="font-family:&quot;Arial MT&quot;;font-size:72pt;v-text-kern:t;mso-text-shadow:auto" string="UNIVERSITY OF IBADAN"/>
                <w10:wrap type="none"/>
              </v:shape>
            </w:pict>
          </mc:Fallback>
        </mc:AlternateContent>
      </w:r>
      <w:r>
        <w:rPr/>
        <w:t>percent</w:t>
      </w:r>
      <w:r>
        <w:rPr>
          <w:spacing w:val="74"/>
        </w:rPr>
        <w:t> </w:t>
      </w:r>
      <w:r>
        <w:rPr/>
        <w:t>of</w:t>
      </w:r>
      <w:r>
        <w:rPr>
          <w:spacing w:val="72"/>
        </w:rPr>
        <w:t> </w:t>
      </w:r>
      <w:r>
        <w:rPr/>
        <w:t>men</w:t>
      </w:r>
      <w:r>
        <w:rPr>
          <w:spacing w:val="73"/>
        </w:rPr>
        <w:t> </w:t>
      </w:r>
      <w:r>
        <w:rPr/>
        <w:t>with</w:t>
      </w:r>
      <w:r>
        <w:rPr>
          <w:spacing w:val="74"/>
        </w:rPr>
        <w:t> </w:t>
      </w:r>
      <w:r>
        <w:rPr/>
        <w:t>diabetes.</w:t>
      </w:r>
      <w:r>
        <w:rPr>
          <w:spacing w:val="73"/>
        </w:rPr>
        <w:t> </w:t>
      </w:r>
      <w:r>
        <w:rPr/>
        <w:t>Cardiac</w:t>
      </w:r>
      <w:r>
        <w:rPr>
          <w:spacing w:val="72"/>
        </w:rPr>
        <w:t> </w:t>
      </w:r>
      <w:r>
        <w:rPr/>
        <w:t>autonomic</w:t>
      </w:r>
      <w:r>
        <w:rPr>
          <w:spacing w:val="72"/>
        </w:rPr>
        <w:t> </w:t>
      </w:r>
      <w:r>
        <w:rPr/>
        <w:t>neuropathy</w:t>
      </w:r>
      <w:r>
        <w:rPr>
          <w:spacing w:val="68"/>
        </w:rPr>
        <w:t> </w:t>
      </w:r>
      <w:r>
        <w:rPr/>
        <w:t>may</w:t>
      </w:r>
      <w:r>
        <w:rPr>
          <w:spacing w:val="71"/>
        </w:rPr>
        <w:t> </w:t>
      </w:r>
      <w:r>
        <w:rPr/>
        <w:t>result</w:t>
      </w:r>
      <w:r>
        <w:rPr>
          <w:spacing w:val="74"/>
        </w:rPr>
        <w:t> </w:t>
      </w:r>
      <w:r>
        <w:rPr/>
        <w:t>in</w:t>
      </w:r>
      <w:r>
        <w:rPr>
          <w:spacing w:val="74"/>
        </w:rPr>
        <w:t> </w:t>
      </w:r>
      <w:r>
        <w:rPr/>
        <w:t>resting tachycardia and postural hypotension.</w:t>
      </w:r>
    </w:p>
    <w:p>
      <w:pPr>
        <w:pStyle w:val="BodyText"/>
        <w:spacing w:before="142"/>
      </w:pPr>
    </w:p>
    <w:p>
      <w:pPr>
        <w:pStyle w:val="Heading2"/>
        <w:numPr>
          <w:ilvl w:val="2"/>
          <w:numId w:val="19"/>
        </w:numPr>
        <w:tabs>
          <w:tab w:pos="1458" w:val="left" w:leader="none"/>
        </w:tabs>
        <w:spacing w:line="240" w:lineRule="auto" w:before="1" w:after="0"/>
        <w:ind w:left="1458" w:right="0" w:hanging="780"/>
        <w:jc w:val="both"/>
      </w:pPr>
      <w:bookmarkStart w:name="_TOC_250116" w:id="17"/>
      <w:r>
        <w:rPr/>
        <w:t>Cardiovascular</w:t>
      </w:r>
      <w:r>
        <w:rPr>
          <w:spacing w:val="-3"/>
        </w:rPr>
        <w:t> </w:t>
      </w:r>
      <w:bookmarkEnd w:id="17"/>
      <w:r>
        <w:rPr>
          <w:spacing w:val="-2"/>
        </w:rPr>
        <w:t>disease</w:t>
      </w:r>
    </w:p>
    <w:p>
      <w:pPr>
        <w:pStyle w:val="BodyText"/>
        <w:spacing w:line="360" w:lineRule="auto" w:before="134"/>
        <w:ind w:left="678" w:right="993" w:firstLine="720"/>
        <w:jc w:val="both"/>
      </w:pPr>
      <w:r>
        <w:rPr/>
        <w:t>Cardiovascular disease is generally similar in patients with IDDM or NIDDM and patients without diabetes. The chief difference in cardiovascular disease in diabetic as compared with nondiabetic patients (especially women) is its increased frequency (Kanne and McGee, 1979). In addition, coronary disease develops at a younger age in diabetic patients than nondiabetic patients, especially if renal disease supervenes. Although asymptomatic coronary artery disease and myocardial infarction are probably not much more common in diabetic patients than in nondiabetic patients (Singer </w:t>
      </w:r>
      <w:r>
        <w:rPr>
          <w:i/>
        </w:rPr>
        <w:t>et al</w:t>
      </w:r>
      <w:r>
        <w:rPr/>
        <w:t>., 1989; Margolis </w:t>
      </w:r>
      <w:r>
        <w:rPr>
          <w:i/>
        </w:rPr>
        <w:t>et al</w:t>
      </w:r>
      <w:r>
        <w:rPr/>
        <w:t>., 1973), atypical anginal symptoms, including symptoms of congestive</w:t>
      </w:r>
      <w:r>
        <w:rPr>
          <w:spacing w:val="40"/>
        </w:rPr>
        <w:t> </w:t>
      </w:r>
      <w:r>
        <w:rPr/>
        <w:t>heart failure, are more common clinical presentation of coronary artery disease in those with diabetes (Singer </w:t>
      </w:r>
      <w:r>
        <w:rPr>
          <w:i/>
        </w:rPr>
        <w:t>et al</w:t>
      </w:r>
      <w:r>
        <w:rPr/>
        <w:t>., 1989). Mortality from first or subsequent myocardial infarctions</w:t>
      </w:r>
      <w:r>
        <w:rPr>
          <w:spacing w:val="-1"/>
        </w:rPr>
        <w:t> </w:t>
      </w:r>
      <w:r>
        <w:rPr/>
        <w:t>is</w:t>
      </w:r>
      <w:r>
        <w:rPr>
          <w:spacing w:val="-1"/>
        </w:rPr>
        <w:t> </w:t>
      </w:r>
      <w:r>
        <w:rPr/>
        <w:t>higher</w:t>
      </w:r>
      <w:r>
        <w:rPr>
          <w:spacing w:val="-2"/>
        </w:rPr>
        <w:t> </w:t>
      </w:r>
      <w:r>
        <w:rPr/>
        <w:t>in</w:t>
      </w:r>
      <w:r>
        <w:rPr>
          <w:spacing w:val="-1"/>
        </w:rPr>
        <w:t> </w:t>
      </w:r>
      <w:r>
        <w:rPr/>
        <w:t>diabetic</w:t>
      </w:r>
      <w:r>
        <w:rPr>
          <w:spacing w:val="-2"/>
        </w:rPr>
        <w:t> </w:t>
      </w:r>
      <w:r>
        <w:rPr/>
        <w:t>than nondiabetic patients</w:t>
      </w:r>
      <w:r>
        <w:rPr>
          <w:spacing w:val="-1"/>
        </w:rPr>
        <w:t> </w:t>
      </w:r>
      <w:r>
        <w:rPr/>
        <w:t>(Singer </w:t>
      </w:r>
      <w:r>
        <w:rPr>
          <w:i/>
        </w:rPr>
        <w:t>et</w:t>
      </w:r>
      <w:r>
        <w:rPr>
          <w:i/>
          <w:spacing w:val="-1"/>
        </w:rPr>
        <w:t> </w:t>
      </w:r>
      <w:r>
        <w:rPr>
          <w:i/>
        </w:rPr>
        <w:t>al</w:t>
      </w:r>
      <w:r>
        <w:rPr/>
        <w:t>.,</w:t>
      </w:r>
      <w:r>
        <w:rPr>
          <w:spacing w:val="-1"/>
        </w:rPr>
        <w:t> </w:t>
      </w:r>
      <w:r>
        <w:rPr/>
        <w:t>1989;</w:t>
      </w:r>
      <w:r>
        <w:rPr>
          <w:spacing w:val="-1"/>
        </w:rPr>
        <w:t> </w:t>
      </w:r>
      <w:r>
        <w:rPr/>
        <w:t>Rytter </w:t>
      </w:r>
      <w:r>
        <w:rPr>
          <w:i/>
        </w:rPr>
        <w:t>et</w:t>
      </w:r>
      <w:r>
        <w:rPr>
          <w:i/>
          <w:spacing w:val="-1"/>
        </w:rPr>
        <w:t> </w:t>
      </w:r>
      <w:r>
        <w:rPr>
          <w:i/>
        </w:rPr>
        <w:t>al</w:t>
      </w:r>
      <w:r>
        <w:rPr/>
        <w:t>., </w:t>
      </w:r>
      <w:r>
        <w:rPr>
          <w:spacing w:val="-2"/>
        </w:rPr>
        <w:t>1985).</w:t>
      </w:r>
    </w:p>
    <w:p>
      <w:pPr>
        <w:pStyle w:val="BodyText"/>
        <w:spacing w:line="360" w:lineRule="auto" w:before="1"/>
        <w:ind w:left="678" w:right="992" w:firstLine="720"/>
        <w:jc w:val="both"/>
      </w:pPr>
      <w:r>
        <w:rPr/>
        <w:t>The increased prevalence of coronary artery disease in diabetes is preceded by a constellation of risk factors </w:t>
      </w:r>
      <w:r>
        <w:rPr>
          <w:b/>
        </w:rPr>
        <w:t>(</w:t>
      </w:r>
      <w:r>
        <w:rPr/>
        <w:t>Wingard </w:t>
      </w:r>
      <w:r>
        <w:rPr>
          <w:i/>
        </w:rPr>
        <w:t>et al</w:t>
      </w:r>
      <w:r>
        <w:rPr/>
        <w:t>., 1983; Jarret </w:t>
      </w:r>
      <w:r>
        <w:rPr>
          <w:i/>
        </w:rPr>
        <w:t>et al</w:t>
      </w:r>
      <w:r>
        <w:rPr/>
        <w:t>., 1982). Patients with NIDDM (and patients with impaired glucose tolerance) are commonly obese and have hypertension and dyslipidemia (increased serum triglyceride and decreased high-density lipoprotein cholesterol concentrations). Independently</w:t>
      </w:r>
      <w:r>
        <w:rPr>
          <w:spacing w:val="-2"/>
        </w:rPr>
        <w:t> </w:t>
      </w:r>
      <w:r>
        <w:rPr/>
        <w:t>of these variables, diabetes remains a major risk factor for coronary artery disease (Gordon </w:t>
      </w:r>
      <w:r>
        <w:rPr>
          <w:i/>
        </w:rPr>
        <w:t>et al</w:t>
      </w:r>
      <w:r>
        <w:rPr/>
        <w:t>, 1977); its effect may be mediated</w:t>
      </w:r>
      <w:r>
        <w:rPr>
          <w:spacing w:val="-2"/>
        </w:rPr>
        <w:t> </w:t>
      </w:r>
      <w:r>
        <w:rPr/>
        <w:t>in</w:t>
      </w:r>
      <w:r>
        <w:rPr>
          <w:spacing w:val="-1"/>
        </w:rPr>
        <w:t> </w:t>
      </w:r>
      <w:r>
        <w:rPr/>
        <w:t>part</w:t>
      </w:r>
      <w:r>
        <w:rPr>
          <w:spacing w:val="-2"/>
        </w:rPr>
        <w:t> </w:t>
      </w:r>
      <w:r>
        <w:rPr/>
        <w:t>through</w:t>
      </w:r>
      <w:r>
        <w:rPr>
          <w:spacing w:val="-1"/>
        </w:rPr>
        <w:t> </w:t>
      </w:r>
      <w:r>
        <w:rPr/>
        <w:t>the</w:t>
      </w:r>
      <w:r>
        <w:rPr>
          <w:spacing w:val="-2"/>
        </w:rPr>
        <w:t> </w:t>
      </w:r>
      <w:r>
        <w:rPr/>
        <w:t>occurrence</w:t>
      </w:r>
      <w:r>
        <w:rPr>
          <w:spacing w:val="-2"/>
        </w:rPr>
        <w:t> </w:t>
      </w:r>
      <w:r>
        <w:rPr/>
        <w:t>of</w:t>
      </w:r>
      <w:r>
        <w:rPr>
          <w:spacing w:val="-2"/>
        </w:rPr>
        <w:t> </w:t>
      </w:r>
      <w:r>
        <w:rPr/>
        <w:t>renal</w:t>
      </w:r>
      <w:r>
        <w:rPr>
          <w:spacing w:val="-1"/>
        </w:rPr>
        <w:t> </w:t>
      </w:r>
      <w:r>
        <w:rPr/>
        <w:t>disease.</w:t>
      </w:r>
      <w:r>
        <w:rPr>
          <w:spacing w:val="-1"/>
        </w:rPr>
        <w:t> </w:t>
      </w:r>
      <w:r>
        <w:rPr/>
        <w:t>The</w:t>
      </w:r>
      <w:r>
        <w:rPr>
          <w:spacing w:val="-3"/>
        </w:rPr>
        <w:t> </w:t>
      </w:r>
      <w:r>
        <w:rPr/>
        <w:t>level</w:t>
      </w:r>
      <w:r>
        <w:rPr>
          <w:spacing w:val="-1"/>
        </w:rPr>
        <w:t> </w:t>
      </w:r>
      <w:r>
        <w:rPr/>
        <w:t>of</w:t>
      </w:r>
      <w:r>
        <w:rPr>
          <w:spacing w:val="-2"/>
        </w:rPr>
        <w:t> </w:t>
      </w:r>
      <w:r>
        <w:rPr/>
        <w:t>chronic</w:t>
      </w:r>
      <w:r>
        <w:rPr>
          <w:spacing w:val="-2"/>
        </w:rPr>
        <w:t> </w:t>
      </w:r>
      <w:r>
        <w:rPr/>
        <w:t>glycemia,</w:t>
      </w:r>
      <w:r>
        <w:rPr>
          <w:spacing w:val="-1"/>
        </w:rPr>
        <w:t> </w:t>
      </w:r>
      <w:r>
        <w:rPr/>
        <w:t>as determined by measurements of glycosylated hemoglobin, may also be an independent</w:t>
      </w:r>
      <w:r>
        <w:rPr>
          <w:spacing w:val="40"/>
        </w:rPr>
        <w:t> </w:t>
      </w:r>
      <w:r>
        <w:rPr/>
        <w:t>risk factor for coronary artery disease, particularly in women (Singer </w:t>
      </w:r>
      <w:r>
        <w:rPr>
          <w:i/>
        </w:rPr>
        <w:t>et al</w:t>
      </w:r>
      <w:r>
        <w:rPr/>
        <w:t>., 1989).</w:t>
      </w:r>
    </w:p>
    <w:p>
      <w:pPr>
        <w:pStyle w:val="BodyText"/>
        <w:spacing w:line="360" w:lineRule="auto"/>
        <w:ind w:left="678" w:right="998" w:firstLine="720"/>
        <w:jc w:val="both"/>
      </w:pPr>
      <w:r>
        <w:rPr/>
        <w:t>Other</w:t>
      </w:r>
      <w:r>
        <w:rPr>
          <w:spacing w:val="-1"/>
        </w:rPr>
        <w:t> </w:t>
      </w:r>
      <w:r>
        <w:rPr/>
        <w:t>long-term complications, including</w:t>
      </w:r>
      <w:r>
        <w:rPr>
          <w:spacing w:val="-2"/>
        </w:rPr>
        <w:t> </w:t>
      </w:r>
      <w:r>
        <w:rPr/>
        <w:t>a</w:t>
      </w:r>
      <w:r>
        <w:rPr>
          <w:spacing w:val="-1"/>
        </w:rPr>
        <w:t> </w:t>
      </w:r>
      <w:r>
        <w:rPr/>
        <w:t>predilection for</w:t>
      </w:r>
      <w:r>
        <w:rPr>
          <w:spacing w:val="-1"/>
        </w:rPr>
        <w:t> </w:t>
      </w:r>
      <w:r>
        <w:rPr/>
        <w:t>certain infections (e.g., pseudomonas "malignant" external otitis, monilial skin infections, and rhinocerebral mucormycosis) and cognitive impairment, have been identified (Wheat, 1980; Perlmuter</w:t>
      </w:r>
      <w:r>
        <w:rPr>
          <w:spacing w:val="40"/>
        </w:rPr>
        <w:t> </w:t>
      </w:r>
      <w:r>
        <w:rPr>
          <w:i/>
        </w:rPr>
        <w:t>et al</w:t>
      </w:r>
      <w:r>
        <w:rPr/>
        <w:t>., 1984). Dupuytren's contractures and periarticular thickening of the skin leading to decreased mobility of the fingers are also more common in patients with diabetes.</w:t>
      </w:r>
    </w:p>
    <w:p>
      <w:pPr>
        <w:spacing w:after="0" w:line="360" w:lineRule="auto"/>
        <w:jc w:val="both"/>
        <w:sectPr>
          <w:pgSz w:w="12240" w:h="15840"/>
          <w:pgMar w:header="0" w:footer="1056" w:top="1340" w:bottom="1240" w:left="1420" w:right="420"/>
        </w:sectPr>
      </w:pPr>
    </w:p>
    <w:p>
      <w:pPr>
        <w:pStyle w:val="Heading2"/>
        <w:numPr>
          <w:ilvl w:val="2"/>
          <w:numId w:val="19"/>
        </w:numPr>
        <w:tabs>
          <w:tab w:pos="1398" w:val="left" w:leader="none"/>
        </w:tabs>
        <w:spacing w:line="240" w:lineRule="auto" w:before="77" w:after="0"/>
        <w:ind w:left="1398" w:right="0" w:hanging="720"/>
        <w:jc w:val="both"/>
      </w:pPr>
      <w:r>
        <w:rPr/>
        <mc:AlternateContent>
          <mc:Choice Requires="wps">
            <w:drawing>
              <wp:anchor distT="0" distB="0" distL="0" distR="0" allowOverlap="1" layoutInCell="1" locked="0" behindDoc="1" simplePos="0" relativeHeight="482916352">
                <wp:simplePos x="0" y="0"/>
                <wp:positionH relativeFrom="page">
                  <wp:posOffset>-1402226</wp:posOffset>
                </wp:positionH>
                <wp:positionV relativeFrom="page">
                  <wp:posOffset>4612234</wp:posOffset>
                </wp:positionV>
                <wp:extent cx="10685780" cy="914400"/>
                <wp:effectExtent l="0" t="0" r="0" b="0"/>
                <wp:wrapNone/>
                <wp:docPr id="30" name="Textbox 30"/>
                <wp:cNvGraphicFramePr>
                  <a:graphicFrameLocks/>
                </wp:cNvGraphicFramePr>
                <a:graphic>
                  <a:graphicData uri="http://schemas.microsoft.com/office/word/2010/wordprocessingShape">
                    <wps:wsp>
                      <wps:cNvPr id="30" name="Textbox 3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40012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15" w:id="18"/>
      <w:bookmarkEnd w:id="18"/>
      <w:r>
        <w:rPr>
          <w:spacing w:val="-2"/>
        </w:rPr>
        <w:t>Atherosclerosis</w:t>
      </w:r>
    </w:p>
    <w:p>
      <w:pPr>
        <w:pStyle w:val="BodyText"/>
        <w:spacing w:line="360" w:lineRule="auto" w:before="133"/>
        <w:ind w:left="678" w:right="999" w:firstLine="720"/>
        <w:jc w:val="both"/>
      </w:pPr>
      <w:r>
        <w:rPr/>
        <w:t>Persons with diabetes mellitus, either type 1 or type 2, have early and accelerated atherosclerosis. The most serious complications of this are atherosclerotic heart disease, cerebrovascular</w:t>
      </w:r>
      <w:r>
        <w:rPr>
          <w:spacing w:val="-4"/>
        </w:rPr>
        <w:t> </w:t>
      </w:r>
      <w:r>
        <w:rPr/>
        <w:t>disease,</w:t>
      </w:r>
      <w:r>
        <w:rPr>
          <w:spacing w:val="-2"/>
        </w:rPr>
        <w:t> </w:t>
      </w:r>
      <w:r>
        <w:rPr/>
        <w:t>and</w:t>
      </w:r>
      <w:r>
        <w:rPr>
          <w:spacing w:val="-4"/>
        </w:rPr>
        <w:t> </w:t>
      </w:r>
      <w:r>
        <w:rPr/>
        <w:t>renal</w:t>
      </w:r>
      <w:r>
        <w:rPr>
          <w:spacing w:val="-4"/>
        </w:rPr>
        <w:t> </w:t>
      </w:r>
      <w:r>
        <w:rPr/>
        <w:t>disease.</w:t>
      </w:r>
      <w:r>
        <w:rPr>
          <w:spacing w:val="-4"/>
        </w:rPr>
        <w:t> </w:t>
      </w:r>
      <w:r>
        <w:rPr/>
        <w:t>The</w:t>
      </w:r>
      <w:r>
        <w:rPr>
          <w:spacing w:val="-4"/>
        </w:rPr>
        <w:t> </w:t>
      </w:r>
      <w:r>
        <w:rPr/>
        <w:t>most</w:t>
      </w:r>
      <w:r>
        <w:rPr>
          <w:spacing w:val="-4"/>
        </w:rPr>
        <w:t> </w:t>
      </w:r>
      <w:r>
        <w:rPr/>
        <w:t>common</w:t>
      </w:r>
      <w:r>
        <w:rPr>
          <w:spacing w:val="-4"/>
        </w:rPr>
        <w:t> </w:t>
      </w:r>
      <w:r>
        <w:rPr/>
        <w:t>cause</w:t>
      </w:r>
      <w:r>
        <w:rPr>
          <w:spacing w:val="-3"/>
        </w:rPr>
        <w:t> </w:t>
      </w:r>
      <w:r>
        <w:rPr/>
        <w:t>of</w:t>
      </w:r>
      <w:r>
        <w:rPr>
          <w:spacing w:val="-4"/>
        </w:rPr>
        <w:t> </w:t>
      </w:r>
      <w:r>
        <w:rPr/>
        <w:t>death</w:t>
      </w:r>
      <w:r>
        <w:rPr>
          <w:spacing w:val="-4"/>
        </w:rPr>
        <w:t> </w:t>
      </w:r>
      <w:r>
        <w:rPr/>
        <w:t>with</w:t>
      </w:r>
      <w:r>
        <w:rPr>
          <w:spacing w:val="-4"/>
        </w:rPr>
        <w:t> </w:t>
      </w:r>
      <w:r>
        <w:rPr/>
        <w:t>diabetes mellitus is myocardial infarction. Peripheral vascular disease is a particular problem with diabetes mellitus and is made worse through the development of diabetic neuropathy leading to propensity for injury.</w:t>
      </w:r>
    </w:p>
    <w:p>
      <w:pPr>
        <w:pStyle w:val="BodyText"/>
        <w:spacing w:before="144"/>
      </w:pPr>
    </w:p>
    <w:p>
      <w:pPr>
        <w:pStyle w:val="Heading2"/>
        <w:numPr>
          <w:ilvl w:val="2"/>
          <w:numId w:val="19"/>
        </w:numPr>
        <w:tabs>
          <w:tab w:pos="1398" w:val="left" w:leader="none"/>
        </w:tabs>
        <w:spacing w:line="240" w:lineRule="auto" w:before="0" w:after="0"/>
        <w:ind w:left="1398" w:right="0" w:hanging="720"/>
        <w:jc w:val="both"/>
      </w:pPr>
      <w:bookmarkStart w:name="_TOC_250114" w:id="19"/>
      <w:bookmarkEnd w:id="19"/>
      <w:r>
        <w:rPr>
          <w:spacing w:val="-2"/>
        </w:rPr>
        <w:t>Mucormycosis</w:t>
      </w:r>
    </w:p>
    <w:p>
      <w:pPr>
        <w:pStyle w:val="BodyText"/>
        <w:spacing w:line="360" w:lineRule="auto" w:before="133"/>
        <w:ind w:left="678" w:right="999" w:firstLine="720"/>
        <w:jc w:val="both"/>
      </w:pPr>
      <w:r>
        <w:rPr/>
        <w:t>This is a feared complication of diabetes mellitus. Diabetic ketoacidosis helps to potentiate the growth of mucor. This site of involvement is typically the nasophryngeal region, but the infection can spread to involve soft tissue and bone of the, orbit, skull, and </w:t>
      </w:r>
      <w:r>
        <w:rPr>
          <w:spacing w:val="-2"/>
        </w:rPr>
        <w:t>brain.</w:t>
      </w:r>
    </w:p>
    <w:p>
      <w:pPr>
        <w:pStyle w:val="BodyText"/>
        <w:spacing w:before="143"/>
      </w:pPr>
    </w:p>
    <w:p>
      <w:pPr>
        <w:pStyle w:val="Heading2"/>
        <w:numPr>
          <w:ilvl w:val="1"/>
          <w:numId w:val="19"/>
        </w:numPr>
        <w:tabs>
          <w:tab w:pos="1398" w:val="left" w:leader="none"/>
        </w:tabs>
        <w:spacing w:line="240" w:lineRule="auto" w:before="1" w:after="0"/>
        <w:ind w:left="1398" w:right="0" w:hanging="720"/>
        <w:jc w:val="both"/>
      </w:pPr>
      <w:bookmarkStart w:name="_TOC_250113" w:id="20"/>
      <w:r>
        <w:rPr/>
        <w:t>Anti-diabetic</w:t>
      </w:r>
      <w:r>
        <w:rPr>
          <w:spacing w:val="-3"/>
        </w:rPr>
        <w:t> </w:t>
      </w:r>
      <w:bookmarkEnd w:id="20"/>
      <w:r>
        <w:rPr>
          <w:spacing w:val="-4"/>
        </w:rPr>
        <w:t>drugs</w:t>
      </w:r>
    </w:p>
    <w:p>
      <w:pPr>
        <w:pStyle w:val="Heading2"/>
        <w:numPr>
          <w:ilvl w:val="2"/>
          <w:numId w:val="19"/>
        </w:numPr>
        <w:tabs>
          <w:tab w:pos="1398" w:val="left" w:leader="none"/>
        </w:tabs>
        <w:spacing w:line="240" w:lineRule="auto" w:before="137" w:after="0"/>
        <w:ind w:left="1398" w:right="0" w:hanging="720"/>
        <w:jc w:val="both"/>
      </w:pPr>
      <w:bookmarkStart w:name="_TOC_250112" w:id="21"/>
      <w:r>
        <w:rPr/>
        <w:t>Insulin</w:t>
      </w:r>
      <w:r>
        <w:rPr>
          <w:spacing w:val="-5"/>
        </w:rPr>
        <w:t> </w:t>
      </w:r>
      <w:r>
        <w:rPr/>
        <w:t>replacement</w:t>
      </w:r>
      <w:r>
        <w:rPr>
          <w:spacing w:val="-4"/>
        </w:rPr>
        <w:t> </w:t>
      </w:r>
      <w:bookmarkEnd w:id="21"/>
      <w:r>
        <w:rPr>
          <w:spacing w:val="-2"/>
        </w:rPr>
        <w:t>therapy</w:t>
      </w:r>
    </w:p>
    <w:p>
      <w:pPr>
        <w:pStyle w:val="BodyText"/>
        <w:spacing w:line="360" w:lineRule="auto" w:before="134"/>
        <w:ind w:left="678" w:right="990" w:firstLine="720"/>
        <w:jc w:val="both"/>
      </w:pPr>
      <w:r>
        <w:rPr/>
        <w:t>People with type 1 diabetes almost require insulin therapy, and many people with other</w:t>
      </w:r>
      <w:r>
        <w:rPr>
          <w:spacing w:val="-2"/>
        </w:rPr>
        <w:t> </w:t>
      </w:r>
      <w:r>
        <w:rPr/>
        <w:t>diabetes</w:t>
      </w:r>
      <w:r>
        <w:rPr>
          <w:spacing w:val="-1"/>
        </w:rPr>
        <w:t> </w:t>
      </w:r>
      <w:r>
        <w:rPr/>
        <w:t>require</w:t>
      </w:r>
      <w:r>
        <w:rPr>
          <w:spacing w:val="-2"/>
        </w:rPr>
        <w:t> </w:t>
      </w:r>
      <w:r>
        <w:rPr/>
        <w:t>it</w:t>
      </w:r>
      <w:r>
        <w:rPr>
          <w:spacing w:val="-1"/>
        </w:rPr>
        <w:t> </w:t>
      </w:r>
      <w:r>
        <w:rPr/>
        <w:t>as</w:t>
      </w:r>
      <w:r>
        <w:rPr>
          <w:spacing w:val="-1"/>
        </w:rPr>
        <w:t> </w:t>
      </w:r>
      <w:r>
        <w:rPr/>
        <w:t>well.</w:t>
      </w:r>
      <w:r>
        <w:rPr>
          <w:spacing w:val="-1"/>
        </w:rPr>
        <w:t> </w:t>
      </w:r>
      <w:r>
        <w:rPr/>
        <w:t>Insulin</w:t>
      </w:r>
      <w:r>
        <w:rPr>
          <w:spacing w:val="-1"/>
        </w:rPr>
        <w:t> </w:t>
      </w:r>
      <w:r>
        <w:rPr/>
        <w:t>is</w:t>
      </w:r>
      <w:r>
        <w:rPr>
          <w:spacing w:val="-1"/>
        </w:rPr>
        <w:t> </w:t>
      </w:r>
      <w:r>
        <w:rPr/>
        <w:t>usually</w:t>
      </w:r>
      <w:r>
        <w:rPr>
          <w:spacing w:val="-5"/>
        </w:rPr>
        <w:t> </w:t>
      </w:r>
      <w:r>
        <w:rPr/>
        <w:t>injected. It</w:t>
      </w:r>
      <w:r>
        <w:rPr>
          <w:spacing w:val="-1"/>
        </w:rPr>
        <w:t> </w:t>
      </w:r>
      <w:r>
        <w:rPr/>
        <w:t>currently</w:t>
      </w:r>
      <w:r>
        <w:rPr>
          <w:spacing w:val="-5"/>
        </w:rPr>
        <w:t> </w:t>
      </w:r>
      <w:r>
        <w:rPr/>
        <w:t>can not</w:t>
      </w:r>
      <w:r>
        <w:rPr>
          <w:spacing w:val="-1"/>
        </w:rPr>
        <w:t> </w:t>
      </w:r>
      <w:r>
        <w:rPr/>
        <w:t>be</w:t>
      </w:r>
      <w:r>
        <w:rPr>
          <w:spacing w:val="-1"/>
        </w:rPr>
        <w:t> </w:t>
      </w:r>
      <w:r>
        <w:rPr/>
        <w:t>taken</w:t>
      </w:r>
      <w:r>
        <w:rPr>
          <w:spacing w:val="-1"/>
        </w:rPr>
        <w:t> </w:t>
      </w:r>
      <w:r>
        <w:rPr/>
        <w:t>by mouth as insulin is destroyed in the stomach.</w:t>
      </w:r>
    </w:p>
    <w:p>
      <w:pPr>
        <w:pStyle w:val="BodyText"/>
        <w:spacing w:line="360" w:lineRule="auto"/>
        <w:ind w:left="678" w:right="994" w:firstLine="720"/>
        <w:jc w:val="both"/>
      </w:pPr>
      <w:r>
        <w:rPr/>
        <w:t>Insulin is injected under the skin into the fat layer, usually in the arm, thigh, or abdominal wall. Small syringes with very</w:t>
      </w:r>
      <w:r>
        <w:rPr>
          <w:spacing w:val="-5"/>
        </w:rPr>
        <w:t> </w:t>
      </w:r>
      <w:r>
        <w:rPr/>
        <w:t>thin needles</w:t>
      </w:r>
      <w:r>
        <w:rPr>
          <w:spacing w:val="-1"/>
        </w:rPr>
        <w:t> </w:t>
      </w:r>
      <w:r>
        <w:rPr/>
        <w:t>make</w:t>
      </w:r>
      <w:r>
        <w:rPr>
          <w:spacing w:val="-2"/>
        </w:rPr>
        <w:t> </w:t>
      </w:r>
      <w:r>
        <w:rPr/>
        <w:t>the</w:t>
      </w:r>
      <w:r>
        <w:rPr>
          <w:spacing w:val="-1"/>
        </w:rPr>
        <w:t> </w:t>
      </w:r>
      <w:r>
        <w:rPr/>
        <w:t>injections nearly</w:t>
      </w:r>
      <w:r>
        <w:rPr>
          <w:spacing w:val="-5"/>
        </w:rPr>
        <w:t> </w:t>
      </w:r>
      <w:r>
        <w:rPr/>
        <w:t>painless. An air pump device that blows the insulin under the skin can be used for people who cannot</w:t>
      </w:r>
      <w:r>
        <w:rPr>
          <w:spacing w:val="-1"/>
        </w:rPr>
        <w:t> </w:t>
      </w:r>
      <w:r>
        <w:rPr/>
        <w:t>tolerate</w:t>
      </w:r>
      <w:r>
        <w:rPr>
          <w:spacing w:val="-1"/>
        </w:rPr>
        <w:t> </w:t>
      </w:r>
      <w:r>
        <w:rPr/>
        <w:t>needles. An</w:t>
      </w:r>
      <w:r>
        <w:rPr>
          <w:spacing w:val="-1"/>
        </w:rPr>
        <w:t> </w:t>
      </w:r>
      <w:r>
        <w:rPr/>
        <w:t>insulin</w:t>
      </w:r>
      <w:r>
        <w:rPr>
          <w:spacing w:val="-1"/>
        </w:rPr>
        <w:t> </w:t>
      </w:r>
      <w:r>
        <w:rPr/>
        <w:t>pen,</w:t>
      </w:r>
      <w:r>
        <w:rPr>
          <w:spacing w:val="-1"/>
        </w:rPr>
        <w:t> </w:t>
      </w:r>
      <w:r>
        <w:rPr/>
        <w:t>which,</w:t>
      </w:r>
      <w:r>
        <w:rPr>
          <w:spacing w:val="-1"/>
        </w:rPr>
        <w:t> </w:t>
      </w:r>
      <w:r>
        <w:rPr/>
        <w:t>contain</w:t>
      </w:r>
      <w:r>
        <w:rPr>
          <w:spacing w:val="-1"/>
        </w:rPr>
        <w:t> </w:t>
      </w:r>
      <w:r>
        <w:rPr/>
        <w:t>a</w:t>
      </w:r>
      <w:r>
        <w:rPr>
          <w:spacing w:val="-1"/>
        </w:rPr>
        <w:t> </w:t>
      </w:r>
      <w:r>
        <w:rPr/>
        <w:t>cartridge</w:t>
      </w:r>
      <w:r>
        <w:rPr>
          <w:spacing w:val="-1"/>
        </w:rPr>
        <w:t> </w:t>
      </w:r>
      <w:r>
        <w:rPr/>
        <w:t>that</w:t>
      </w:r>
      <w:r>
        <w:rPr>
          <w:spacing w:val="-1"/>
        </w:rPr>
        <w:t> </w:t>
      </w:r>
      <w:r>
        <w:rPr/>
        <w:t>holds</w:t>
      </w:r>
      <w:r>
        <w:rPr>
          <w:spacing w:val="-1"/>
        </w:rPr>
        <w:t> </w:t>
      </w:r>
      <w:r>
        <w:rPr/>
        <w:t>the</w:t>
      </w:r>
      <w:r>
        <w:rPr>
          <w:spacing w:val="-1"/>
        </w:rPr>
        <w:t> </w:t>
      </w:r>
      <w:r>
        <w:rPr/>
        <w:t>insulin,</w:t>
      </w:r>
      <w:r>
        <w:rPr>
          <w:spacing w:val="-1"/>
        </w:rPr>
        <w:t> </w:t>
      </w:r>
      <w:r>
        <w:rPr/>
        <w:t>is a convenient way for many people to carry insulin, especially for those who take several injections a day outside the home. Another device is an insulin pump, which pumps</w:t>
      </w:r>
      <w:r>
        <w:rPr>
          <w:spacing w:val="40"/>
        </w:rPr>
        <w:t> </w:t>
      </w:r>
      <w:r>
        <w:rPr/>
        <w:t>insulin continuously from a reservoir through a small needle left in the skin.</w:t>
      </w:r>
    </w:p>
    <w:p>
      <w:pPr>
        <w:pStyle w:val="BodyText"/>
        <w:spacing w:line="360" w:lineRule="auto"/>
        <w:ind w:left="678" w:right="992" w:firstLine="720"/>
        <w:jc w:val="both"/>
      </w:pPr>
      <w:r>
        <w:rPr/>
        <w:t>Insulin is available in three basic forms, each with a different speed of onset and duration. Rapid-acting insulin such as Insulin Lispro (Humalog) has the fastest onset and shortest duration of action. Rapid-acting insulin is often used by people taking several daily injections and is injected 15 to 20 minutes before meals or just after, activity is between 1-2 h in the body, and duration of action is 2-4 h.</w:t>
      </w:r>
    </w:p>
    <w:p>
      <w:pPr>
        <w:spacing w:after="0" w:line="360" w:lineRule="auto"/>
        <w:jc w:val="both"/>
        <w:sectPr>
          <w:pgSz w:w="12240" w:h="15840"/>
          <w:pgMar w:header="0" w:footer="1056" w:top="1340" w:bottom="1240" w:left="1420" w:right="420"/>
        </w:sectPr>
      </w:pPr>
    </w:p>
    <w:p>
      <w:pPr>
        <w:pStyle w:val="Heading2"/>
        <w:numPr>
          <w:ilvl w:val="3"/>
          <w:numId w:val="19"/>
        </w:numPr>
        <w:tabs>
          <w:tab w:pos="1398" w:val="left" w:leader="none"/>
        </w:tabs>
        <w:spacing w:line="240" w:lineRule="auto" w:before="77" w:after="0"/>
        <w:ind w:left="1398" w:right="0" w:hanging="720"/>
        <w:jc w:val="both"/>
      </w:pPr>
      <w:r>
        <w:rPr/>
        <mc:AlternateContent>
          <mc:Choice Requires="wps">
            <w:drawing>
              <wp:anchor distT="0" distB="0" distL="0" distR="0" allowOverlap="1" layoutInCell="1" locked="0" behindDoc="1" simplePos="0" relativeHeight="482916864">
                <wp:simplePos x="0" y="0"/>
                <wp:positionH relativeFrom="page">
                  <wp:posOffset>-1402226</wp:posOffset>
                </wp:positionH>
                <wp:positionV relativeFrom="page">
                  <wp:posOffset>4612234</wp:posOffset>
                </wp:positionV>
                <wp:extent cx="10685780" cy="914400"/>
                <wp:effectExtent l="0" t="0" r="0" b="0"/>
                <wp:wrapNone/>
                <wp:docPr id="31" name="Textbox 31"/>
                <wp:cNvGraphicFramePr>
                  <a:graphicFrameLocks/>
                </wp:cNvGraphicFramePr>
                <a:graphic>
                  <a:graphicData uri="http://schemas.microsoft.com/office/word/2010/wordprocessingShape">
                    <wps:wsp>
                      <wps:cNvPr id="31" name="Textbox 3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9616;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11" w:id="22"/>
      <w:r>
        <w:rPr/>
        <w:t>Intermediate-acting</w:t>
      </w:r>
      <w:r>
        <w:rPr>
          <w:spacing w:val="-4"/>
        </w:rPr>
        <w:t> </w:t>
      </w:r>
      <w:bookmarkEnd w:id="22"/>
      <w:r>
        <w:rPr>
          <w:spacing w:val="-2"/>
        </w:rPr>
        <w:t>insulin</w:t>
      </w:r>
    </w:p>
    <w:p>
      <w:pPr>
        <w:pStyle w:val="BodyText"/>
        <w:spacing w:line="360" w:lineRule="auto" w:before="133"/>
        <w:ind w:left="678" w:right="992" w:firstLine="720"/>
        <w:jc w:val="both"/>
      </w:pPr>
      <w:r>
        <w:rPr/>
        <w:t>Such as Insulin zinc suspension, lente, or isophane insulin (ultralente) starts to work in 1 to 3 hours,</w:t>
      </w:r>
      <w:r>
        <w:rPr>
          <w:spacing w:val="-1"/>
        </w:rPr>
        <w:t> </w:t>
      </w:r>
      <w:r>
        <w:rPr/>
        <w:t>reaches its maximum activity</w:t>
      </w:r>
      <w:r>
        <w:rPr>
          <w:spacing w:val="-3"/>
        </w:rPr>
        <w:t> </w:t>
      </w:r>
      <w:r>
        <w:rPr/>
        <w:t>in 6-10 hours.</w:t>
      </w:r>
      <w:r>
        <w:rPr>
          <w:spacing w:val="-1"/>
        </w:rPr>
        <w:t> </w:t>
      </w:r>
      <w:r>
        <w:rPr/>
        <w:t>This type</w:t>
      </w:r>
      <w:r>
        <w:rPr>
          <w:spacing w:val="-1"/>
        </w:rPr>
        <w:t> </w:t>
      </w:r>
      <w:r>
        <w:rPr/>
        <w:t>of</w:t>
      </w:r>
      <w:r>
        <w:rPr>
          <w:spacing w:val="-1"/>
        </w:rPr>
        <w:t> </w:t>
      </w:r>
      <w:r>
        <w:rPr/>
        <w:t>insulin may be used in the morning for the first part of the day and evening during the night.</w:t>
      </w:r>
    </w:p>
    <w:p>
      <w:pPr>
        <w:pStyle w:val="BodyText"/>
        <w:spacing w:before="142"/>
      </w:pPr>
    </w:p>
    <w:p>
      <w:pPr>
        <w:pStyle w:val="Heading2"/>
        <w:numPr>
          <w:ilvl w:val="3"/>
          <w:numId w:val="19"/>
        </w:numPr>
        <w:tabs>
          <w:tab w:pos="1398" w:val="left" w:leader="none"/>
        </w:tabs>
        <w:spacing w:line="240" w:lineRule="auto" w:before="1" w:after="0"/>
        <w:ind w:left="1398" w:right="0" w:hanging="720"/>
        <w:jc w:val="both"/>
      </w:pPr>
      <w:bookmarkStart w:name="_TOC_250110" w:id="23"/>
      <w:r>
        <w:rPr/>
        <w:t>Long</w:t>
      </w:r>
      <w:r>
        <w:rPr>
          <w:spacing w:val="-1"/>
        </w:rPr>
        <w:t> </w:t>
      </w:r>
      <w:r>
        <w:rPr/>
        <w:t>acting </w:t>
      </w:r>
      <w:bookmarkEnd w:id="23"/>
      <w:r>
        <w:rPr>
          <w:spacing w:val="-2"/>
        </w:rPr>
        <w:t>insulin</w:t>
      </w:r>
    </w:p>
    <w:p>
      <w:pPr>
        <w:pStyle w:val="BodyText"/>
        <w:spacing w:line="360" w:lineRule="auto" w:before="134"/>
        <w:ind w:left="678" w:right="999" w:firstLine="720"/>
        <w:jc w:val="both"/>
      </w:pPr>
      <w:r>
        <w:rPr/>
        <w:t>Long acting (such as extended insulin suspension, ultra-lente, or glargine (Lantus) has very little effect for about 6 hours but the duration of action lasts for 36 hours.</w:t>
      </w:r>
    </w:p>
    <w:p>
      <w:pPr>
        <w:pStyle w:val="BodyText"/>
        <w:spacing w:line="360" w:lineRule="auto"/>
        <w:ind w:left="678" w:right="998" w:firstLine="720"/>
        <w:jc w:val="both"/>
      </w:pPr>
      <w:r>
        <w:rPr/>
        <w:t>Insulin preparations are stable at room temperature for months, allowing them to</w:t>
      </w:r>
      <w:r>
        <w:rPr>
          <w:spacing w:val="40"/>
        </w:rPr>
        <w:t> </w:t>
      </w:r>
      <w:r>
        <w:rPr/>
        <w:t>be carried to work, or taken on a trip. Insulin should not, however, be exposed to extreme </w:t>
      </w:r>
      <w:r>
        <w:rPr>
          <w:spacing w:val="-2"/>
        </w:rPr>
        <w:t>temperatures.</w:t>
      </w:r>
    </w:p>
    <w:p>
      <w:pPr>
        <w:pStyle w:val="BodyText"/>
        <w:spacing w:line="360" w:lineRule="auto"/>
        <w:ind w:left="678" w:right="997"/>
        <w:jc w:val="both"/>
      </w:pPr>
      <w:r>
        <w:rPr/>
        <w:t>The following factors are considered before deciding which insulin preparation is most suitable for the patient:,</w:t>
      </w:r>
    </w:p>
    <w:p>
      <w:pPr>
        <w:pStyle w:val="ListParagraph"/>
        <w:numPr>
          <w:ilvl w:val="0"/>
          <w:numId w:val="20"/>
        </w:numPr>
        <w:tabs>
          <w:tab w:pos="1560" w:val="left" w:leader="none"/>
        </w:tabs>
        <w:spacing w:line="360" w:lineRule="auto" w:before="0" w:after="0"/>
        <w:ind w:left="1398" w:right="998" w:firstLine="0"/>
        <w:jc w:val="both"/>
        <w:rPr>
          <w:sz w:val="24"/>
        </w:rPr>
      </w:pPr>
      <w:r>
        <w:rPr>
          <w:sz w:val="24"/>
        </w:rPr>
        <w:t>how willing and able the person is to monitor the blood sugar levels and adjust</w:t>
      </w:r>
      <w:r>
        <w:rPr>
          <w:spacing w:val="80"/>
          <w:sz w:val="24"/>
        </w:rPr>
        <w:t> </w:t>
      </w:r>
      <w:r>
        <w:rPr>
          <w:sz w:val="24"/>
        </w:rPr>
        <w:t>to dosage.</w:t>
      </w:r>
    </w:p>
    <w:p>
      <w:pPr>
        <w:pStyle w:val="ListParagraph"/>
        <w:numPr>
          <w:ilvl w:val="0"/>
          <w:numId w:val="20"/>
        </w:numPr>
        <w:tabs>
          <w:tab w:pos="1541" w:val="left" w:leader="none"/>
        </w:tabs>
        <w:spacing w:line="240" w:lineRule="auto" w:before="0" w:after="0"/>
        <w:ind w:left="1541" w:right="0" w:hanging="143"/>
        <w:jc w:val="both"/>
        <w:rPr>
          <w:sz w:val="24"/>
        </w:rPr>
      </w:pPr>
      <w:r>
        <w:rPr>
          <w:sz w:val="24"/>
        </w:rPr>
        <w:t>how</w:t>
      </w:r>
      <w:r>
        <w:rPr>
          <w:spacing w:val="-2"/>
          <w:sz w:val="24"/>
        </w:rPr>
        <w:t> </w:t>
      </w:r>
      <w:r>
        <w:rPr>
          <w:sz w:val="24"/>
        </w:rPr>
        <w:t>varied the</w:t>
      </w:r>
      <w:r>
        <w:rPr>
          <w:spacing w:val="-1"/>
          <w:sz w:val="24"/>
        </w:rPr>
        <w:t> </w:t>
      </w:r>
      <w:r>
        <w:rPr>
          <w:sz w:val="24"/>
        </w:rPr>
        <w:t>person‘s</w:t>
      </w:r>
      <w:r>
        <w:rPr>
          <w:spacing w:val="2"/>
          <w:sz w:val="24"/>
        </w:rPr>
        <w:t> </w:t>
      </w:r>
      <w:r>
        <w:rPr>
          <w:sz w:val="24"/>
        </w:rPr>
        <w:t>daily</w:t>
      </w:r>
      <w:r>
        <w:rPr>
          <w:spacing w:val="-5"/>
          <w:sz w:val="24"/>
        </w:rPr>
        <w:t> </w:t>
      </w:r>
      <w:r>
        <w:rPr>
          <w:sz w:val="24"/>
        </w:rPr>
        <w:t>activity</w:t>
      </w:r>
      <w:r>
        <w:rPr>
          <w:spacing w:val="-5"/>
          <w:sz w:val="24"/>
        </w:rPr>
        <w:t> is.</w:t>
      </w:r>
    </w:p>
    <w:p>
      <w:pPr>
        <w:pStyle w:val="ListParagraph"/>
        <w:numPr>
          <w:ilvl w:val="0"/>
          <w:numId w:val="20"/>
        </w:numPr>
        <w:tabs>
          <w:tab w:pos="1541" w:val="left" w:leader="none"/>
        </w:tabs>
        <w:spacing w:line="240" w:lineRule="auto" w:before="139" w:after="0"/>
        <w:ind w:left="1541" w:right="0" w:hanging="143"/>
        <w:jc w:val="both"/>
        <w:rPr>
          <w:sz w:val="24"/>
        </w:rPr>
      </w:pPr>
      <w:r>
        <w:rPr>
          <w:sz w:val="24"/>
        </w:rPr>
        <w:t>how</w:t>
      </w:r>
      <w:r>
        <w:rPr>
          <w:spacing w:val="-3"/>
          <w:sz w:val="24"/>
        </w:rPr>
        <w:t> </w:t>
      </w:r>
      <w:r>
        <w:rPr>
          <w:sz w:val="24"/>
        </w:rPr>
        <w:t>adept the</w:t>
      </w:r>
      <w:r>
        <w:rPr>
          <w:spacing w:val="-2"/>
          <w:sz w:val="24"/>
        </w:rPr>
        <w:t> </w:t>
      </w:r>
      <w:r>
        <w:rPr>
          <w:sz w:val="24"/>
        </w:rPr>
        <w:t>person is at</w:t>
      </w:r>
      <w:r>
        <w:rPr>
          <w:spacing w:val="-1"/>
          <w:sz w:val="24"/>
        </w:rPr>
        <w:t> </w:t>
      </w:r>
      <w:r>
        <w:rPr>
          <w:sz w:val="24"/>
        </w:rPr>
        <w:t>learning</w:t>
      </w:r>
      <w:r>
        <w:rPr>
          <w:spacing w:val="-3"/>
          <w:sz w:val="24"/>
        </w:rPr>
        <w:t> </w:t>
      </w:r>
      <w:r>
        <w:rPr>
          <w:sz w:val="24"/>
        </w:rPr>
        <w:t>about and</w:t>
      </w:r>
      <w:r>
        <w:rPr>
          <w:spacing w:val="-1"/>
          <w:sz w:val="24"/>
        </w:rPr>
        <w:t> </w:t>
      </w:r>
      <w:r>
        <w:rPr>
          <w:sz w:val="24"/>
        </w:rPr>
        <w:t>understanding</w:t>
      </w:r>
      <w:r>
        <w:rPr>
          <w:spacing w:val="-3"/>
          <w:sz w:val="24"/>
        </w:rPr>
        <w:t> </w:t>
      </w:r>
      <w:r>
        <w:rPr>
          <w:sz w:val="24"/>
        </w:rPr>
        <w:t>the </w:t>
      </w:r>
      <w:r>
        <w:rPr>
          <w:spacing w:val="-2"/>
          <w:sz w:val="24"/>
        </w:rPr>
        <w:t>disease.</w:t>
      </w:r>
    </w:p>
    <w:p>
      <w:pPr>
        <w:pStyle w:val="BodyText"/>
        <w:spacing w:before="137"/>
        <w:ind w:left="1398"/>
        <w:jc w:val="both"/>
      </w:pPr>
      <w:r>
        <w:rPr/>
        <w:t>•how</w:t>
      </w:r>
      <w:r>
        <w:rPr>
          <w:spacing w:val="-2"/>
        </w:rPr>
        <w:t> </w:t>
      </w:r>
      <w:r>
        <w:rPr/>
        <w:t>stable</w:t>
      </w:r>
      <w:r>
        <w:rPr>
          <w:spacing w:val="-2"/>
        </w:rPr>
        <w:t> </w:t>
      </w:r>
      <w:r>
        <w:rPr/>
        <w:t>the person‘s</w:t>
      </w:r>
      <w:r>
        <w:rPr>
          <w:spacing w:val="1"/>
        </w:rPr>
        <w:t> </w:t>
      </w:r>
      <w:r>
        <w:rPr/>
        <w:t>blood sugar levels</w:t>
      </w:r>
      <w:r>
        <w:rPr>
          <w:spacing w:val="-1"/>
        </w:rPr>
        <w:t> </w:t>
      </w:r>
      <w:r>
        <w:rPr/>
        <w:t>are</w:t>
      </w:r>
      <w:r>
        <w:rPr>
          <w:spacing w:val="-2"/>
        </w:rPr>
        <w:t> </w:t>
      </w:r>
      <w:r>
        <w:rPr/>
        <w:t>during</w:t>
      </w:r>
      <w:r>
        <w:rPr>
          <w:spacing w:val="-3"/>
        </w:rPr>
        <w:t> </w:t>
      </w:r>
      <w:r>
        <w:rPr/>
        <w:t>the day</w:t>
      </w:r>
      <w:r>
        <w:rPr>
          <w:spacing w:val="-5"/>
        </w:rPr>
        <w:t> </w:t>
      </w:r>
      <w:r>
        <w:rPr/>
        <w:t>and from day</w:t>
      </w:r>
      <w:r>
        <w:rPr>
          <w:spacing w:val="-3"/>
        </w:rPr>
        <w:t> </w:t>
      </w:r>
      <w:r>
        <w:rPr/>
        <w:t>to </w:t>
      </w:r>
      <w:r>
        <w:rPr>
          <w:spacing w:val="-4"/>
        </w:rPr>
        <w:t>day.</w:t>
      </w:r>
    </w:p>
    <w:p>
      <w:pPr>
        <w:pStyle w:val="BodyText"/>
        <w:spacing w:before="144"/>
      </w:pPr>
    </w:p>
    <w:p>
      <w:pPr>
        <w:pStyle w:val="Heading2"/>
        <w:numPr>
          <w:ilvl w:val="2"/>
          <w:numId w:val="19"/>
        </w:numPr>
        <w:tabs>
          <w:tab w:pos="1398" w:val="left" w:leader="none"/>
        </w:tabs>
        <w:spacing w:line="240" w:lineRule="auto" w:before="0" w:after="0"/>
        <w:ind w:left="1398" w:right="0" w:hanging="720"/>
        <w:jc w:val="both"/>
      </w:pPr>
      <w:bookmarkStart w:name="_TOC_250109" w:id="24"/>
      <w:r>
        <w:rPr/>
        <w:t>Oral</w:t>
      </w:r>
      <w:r>
        <w:rPr>
          <w:spacing w:val="-3"/>
        </w:rPr>
        <w:t> </w:t>
      </w:r>
      <w:r>
        <w:rPr/>
        <w:t>antihyperglycemic</w:t>
      </w:r>
      <w:r>
        <w:rPr>
          <w:spacing w:val="-1"/>
        </w:rPr>
        <w:t> </w:t>
      </w:r>
      <w:bookmarkEnd w:id="24"/>
      <w:r>
        <w:rPr>
          <w:spacing w:val="-2"/>
        </w:rPr>
        <w:t>drugs</w:t>
      </w:r>
    </w:p>
    <w:p>
      <w:pPr>
        <w:pStyle w:val="BodyText"/>
        <w:spacing w:line="360" w:lineRule="auto" w:before="132"/>
        <w:ind w:left="692" w:right="997" w:firstLine="705"/>
        <w:jc w:val="both"/>
      </w:pPr>
      <w:r>
        <w:rPr/>
        <w:t>Oral antihyperglycaemic drugs are used for the treatment of hyperglycaemia and can often lower blood sugar or glucose levels adequately</w:t>
      </w:r>
      <w:r>
        <w:rPr>
          <w:spacing w:val="-4"/>
        </w:rPr>
        <w:t> </w:t>
      </w:r>
      <w:r>
        <w:rPr/>
        <w:t>in people with type 2 diabetes or non-insulin-dependent diabetics. Classes of drugs used include:</w:t>
      </w:r>
    </w:p>
    <w:p>
      <w:pPr>
        <w:pStyle w:val="BodyText"/>
        <w:spacing w:before="143"/>
      </w:pPr>
    </w:p>
    <w:p>
      <w:pPr>
        <w:pStyle w:val="Heading2"/>
        <w:numPr>
          <w:ilvl w:val="3"/>
          <w:numId w:val="19"/>
        </w:numPr>
        <w:tabs>
          <w:tab w:pos="1412" w:val="left" w:leader="none"/>
        </w:tabs>
        <w:spacing w:line="240" w:lineRule="auto" w:before="0" w:after="0"/>
        <w:ind w:left="1412" w:right="0" w:hanging="720"/>
        <w:jc w:val="both"/>
      </w:pPr>
      <w:bookmarkStart w:name="_TOC_250108" w:id="25"/>
      <w:bookmarkEnd w:id="25"/>
      <w:r>
        <w:rPr>
          <w:spacing w:val="-2"/>
        </w:rPr>
        <w:t>Sulfonylureas</w:t>
      </w:r>
    </w:p>
    <w:p>
      <w:pPr>
        <w:pStyle w:val="BodyText"/>
        <w:spacing w:line="360" w:lineRule="auto" w:before="132"/>
        <w:ind w:left="697" w:right="989" w:firstLine="700"/>
        <w:jc w:val="both"/>
      </w:pPr>
      <w:r>
        <w:rPr/>
        <w:t>The main action of sulphonylureas is to stimulate insulin secretion from pancreatic beta-cells, but in addition they have two other extrapancreatic actions. In the liver, they decrease hepatic gluconeogenesis and reduce hepatic insulin degradation, and in</w:t>
      </w:r>
      <w:r>
        <w:rPr>
          <w:spacing w:val="40"/>
        </w:rPr>
        <w:t> </w:t>
      </w:r>
      <w:r>
        <w:rPr/>
        <w:t>peripheral tissues such as muscle and fat cells, they enhance the peripheral utilization of glucose by increasing insulin receptor binding sites. Examples are acetohexamide, glyburide, chlorpropamide, glimepriride, glipzide, tolazamide and tolbutamide.</w:t>
      </w:r>
    </w:p>
    <w:p>
      <w:pPr>
        <w:pStyle w:val="BodyText"/>
        <w:spacing w:before="1"/>
        <w:ind w:left="1398"/>
        <w:jc w:val="both"/>
      </w:pPr>
      <w:r>
        <w:rPr/>
        <w:t>The</w:t>
      </w:r>
      <w:r>
        <w:rPr>
          <w:spacing w:val="13"/>
        </w:rPr>
        <w:t> </w:t>
      </w:r>
      <w:r>
        <w:rPr/>
        <w:t>sulphonylureas</w:t>
      </w:r>
      <w:r>
        <w:rPr>
          <w:spacing w:val="19"/>
        </w:rPr>
        <w:t> </w:t>
      </w:r>
      <w:r>
        <w:rPr/>
        <w:t>are</w:t>
      </w:r>
      <w:r>
        <w:rPr>
          <w:spacing w:val="16"/>
        </w:rPr>
        <w:t> </w:t>
      </w:r>
      <w:r>
        <w:rPr/>
        <w:t>rapidly</w:t>
      </w:r>
      <w:r>
        <w:rPr>
          <w:spacing w:val="13"/>
        </w:rPr>
        <w:t> </w:t>
      </w:r>
      <w:r>
        <w:rPr/>
        <w:t>absorbed</w:t>
      </w:r>
      <w:r>
        <w:rPr>
          <w:spacing w:val="16"/>
        </w:rPr>
        <w:t> </w:t>
      </w:r>
      <w:r>
        <w:rPr/>
        <w:t>from</w:t>
      </w:r>
      <w:r>
        <w:rPr>
          <w:spacing w:val="17"/>
        </w:rPr>
        <w:t> </w:t>
      </w:r>
      <w:r>
        <w:rPr/>
        <w:t>the</w:t>
      </w:r>
      <w:r>
        <w:rPr>
          <w:spacing w:val="19"/>
        </w:rPr>
        <w:t> </w:t>
      </w:r>
      <w:r>
        <w:rPr/>
        <w:t>gastrointestinal</w:t>
      </w:r>
      <w:r>
        <w:rPr>
          <w:spacing w:val="18"/>
        </w:rPr>
        <w:t> </w:t>
      </w:r>
      <w:r>
        <w:rPr/>
        <w:t>tract</w:t>
      </w:r>
      <w:r>
        <w:rPr>
          <w:spacing w:val="17"/>
        </w:rPr>
        <w:t> </w:t>
      </w:r>
      <w:r>
        <w:rPr/>
        <w:t>(GIT)</w:t>
      </w:r>
      <w:r>
        <w:rPr>
          <w:spacing w:val="17"/>
        </w:rPr>
        <w:t> </w:t>
      </w:r>
      <w:r>
        <w:rPr>
          <w:spacing w:val="-5"/>
        </w:rPr>
        <w:t>and</w:t>
      </w:r>
    </w:p>
    <w:p>
      <w:pPr>
        <w:spacing w:after="0"/>
        <w:jc w:val="both"/>
        <w:sectPr>
          <w:pgSz w:w="12240" w:h="15840"/>
          <w:pgMar w:header="0" w:footer="1056" w:top="1340" w:bottom="1240" w:left="1420" w:right="420"/>
        </w:sectPr>
      </w:pPr>
    </w:p>
    <w:p>
      <w:pPr>
        <w:pStyle w:val="BodyText"/>
        <w:spacing w:before="72"/>
        <w:ind w:left="697"/>
        <w:jc w:val="both"/>
      </w:pPr>
      <w:r>
        <w:rPr/>
        <mc:AlternateContent>
          <mc:Choice Requires="wps">
            <w:drawing>
              <wp:anchor distT="0" distB="0" distL="0" distR="0" allowOverlap="1" layoutInCell="1" locked="0" behindDoc="1" simplePos="0" relativeHeight="482917376">
                <wp:simplePos x="0" y="0"/>
                <wp:positionH relativeFrom="page">
                  <wp:posOffset>-1402226</wp:posOffset>
                </wp:positionH>
                <wp:positionV relativeFrom="page">
                  <wp:posOffset>4612234</wp:posOffset>
                </wp:positionV>
                <wp:extent cx="10685780" cy="914400"/>
                <wp:effectExtent l="0" t="0" r="0" b="0"/>
                <wp:wrapNone/>
                <wp:docPr id="32" name="Textbox 32"/>
                <wp:cNvGraphicFramePr>
                  <a:graphicFrameLocks/>
                </wp:cNvGraphicFramePr>
                <a:graphic>
                  <a:graphicData uri="http://schemas.microsoft.com/office/word/2010/wordprocessingShape">
                    <wps:wsp>
                      <wps:cNvPr id="32" name="Textbox 3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9104;rotation:306" type="#_x0000_t136" fillcolor="#ff5400" stroked="f">
                <o:extrusion v:ext="view" autorotationcenter="t"/>
                <v:textpath style="font-family:&quot;Arial MT&quot;;font-size:72pt;v-text-kern:t;mso-text-shadow:auto" string="UNIVERSITY OF IBADAN"/>
                <w10:wrap type="none"/>
              </v:shape>
            </w:pict>
          </mc:Fallback>
        </mc:AlternateContent>
      </w:r>
      <w:r>
        <w:rPr/>
        <w:t>are</w:t>
      </w:r>
      <w:r>
        <w:rPr>
          <w:spacing w:val="-5"/>
        </w:rPr>
        <w:t> </w:t>
      </w:r>
      <w:r>
        <w:rPr/>
        <w:t>metabolised in the</w:t>
      </w:r>
      <w:r>
        <w:rPr>
          <w:spacing w:val="-1"/>
        </w:rPr>
        <w:t> </w:t>
      </w:r>
      <w:r>
        <w:rPr/>
        <w:t>liver and</w:t>
      </w:r>
      <w:r>
        <w:rPr>
          <w:spacing w:val="-1"/>
        </w:rPr>
        <w:t> </w:t>
      </w:r>
      <w:r>
        <w:rPr/>
        <w:t>excreted in the urine.</w:t>
      </w:r>
      <w:r>
        <w:rPr>
          <w:spacing w:val="-1"/>
        </w:rPr>
        <w:t> </w:t>
      </w:r>
      <w:r>
        <w:rPr/>
        <w:t>They</w:t>
      </w:r>
      <w:r>
        <w:rPr>
          <w:spacing w:val="-5"/>
        </w:rPr>
        <w:t> </w:t>
      </w:r>
      <w:r>
        <w:rPr/>
        <w:t>are</w:t>
      </w:r>
      <w:r>
        <w:rPr>
          <w:spacing w:val="-2"/>
        </w:rPr>
        <w:t> </w:t>
      </w:r>
      <w:r>
        <w:rPr/>
        <w:t>classified into two </w:t>
      </w:r>
      <w:r>
        <w:rPr>
          <w:spacing w:val="-2"/>
        </w:rPr>
        <w:t>groups:</w:t>
      </w:r>
    </w:p>
    <w:p>
      <w:pPr>
        <w:pStyle w:val="ListParagraph"/>
        <w:numPr>
          <w:ilvl w:val="0"/>
          <w:numId w:val="21"/>
        </w:numPr>
        <w:tabs>
          <w:tab w:pos="1022" w:val="left" w:leader="none"/>
        </w:tabs>
        <w:spacing w:line="240" w:lineRule="auto" w:before="138" w:after="0"/>
        <w:ind w:left="1022" w:right="0" w:hanging="325"/>
        <w:jc w:val="both"/>
        <w:rPr>
          <w:sz w:val="24"/>
        </w:rPr>
      </w:pPr>
      <w:r>
        <w:rPr>
          <w:sz w:val="24"/>
        </w:rPr>
        <w:t>First</w:t>
      </w:r>
      <w:r>
        <w:rPr>
          <w:spacing w:val="-2"/>
          <w:sz w:val="24"/>
        </w:rPr>
        <w:t> </w:t>
      </w:r>
      <w:r>
        <w:rPr>
          <w:sz w:val="24"/>
        </w:rPr>
        <w:t>generation-</w:t>
      </w:r>
      <w:r>
        <w:rPr>
          <w:spacing w:val="-2"/>
          <w:sz w:val="24"/>
        </w:rPr>
        <w:t> </w:t>
      </w:r>
      <w:r>
        <w:rPr>
          <w:sz w:val="24"/>
        </w:rPr>
        <w:t>e.g.</w:t>
      </w:r>
      <w:r>
        <w:rPr>
          <w:spacing w:val="-2"/>
          <w:sz w:val="24"/>
        </w:rPr>
        <w:t> </w:t>
      </w:r>
      <w:r>
        <w:rPr>
          <w:sz w:val="24"/>
        </w:rPr>
        <w:t>tolbutamide,</w:t>
      </w:r>
      <w:r>
        <w:rPr>
          <w:spacing w:val="-1"/>
          <w:sz w:val="24"/>
        </w:rPr>
        <w:t> </w:t>
      </w:r>
      <w:r>
        <w:rPr>
          <w:spacing w:val="-2"/>
          <w:sz w:val="24"/>
        </w:rPr>
        <w:t>chlorpropamide</w:t>
      </w:r>
    </w:p>
    <w:p>
      <w:pPr>
        <w:pStyle w:val="ListParagraph"/>
        <w:numPr>
          <w:ilvl w:val="0"/>
          <w:numId w:val="21"/>
        </w:numPr>
        <w:tabs>
          <w:tab w:pos="1034" w:val="left" w:leader="none"/>
        </w:tabs>
        <w:spacing w:line="240" w:lineRule="auto" w:before="139" w:after="0"/>
        <w:ind w:left="1034" w:right="0" w:hanging="337"/>
        <w:jc w:val="both"/>
        <w:rPr>
          <w:sz w:val="24"/>
        </w:rPr>
      </w:pPr>
      <w:r>
        <w:rPr>
          <w:sz w:val="24"/>
        </w:rPr>
        <w:t>Second</w:t>
      </w:r>
      <w:r>
        <w:rPr>
          <w:spacing w:val="-2"/>
          <w:sz w:val="24"/>
        </w:rPr>
        <w:t> </w:t>
      </w:r>
      <w:r>
        <w:rPr>
          <w:sz w:val="24"/>
        </w:rPr>
        <w:t>generation-</w:t>
      </w:r>
      <w:r>
        <w:rPr>
          <w:spacing w:val="-3"/>
          <w:sz w:val="24"/>
        </w:rPr>
        <w:t> </w:t>
      </w:r>
      <w:r>
        <w:rPr>
          <w:sz w:val="24"/>
        </w:rPr>
        <w:t>e.g.</w:t>
      </w:r>
      <w:r>
        <w:rPr>
          <w:spacing w:val="-1"/>
          <w:sz w:val="24"/>
        </w:rPr>
        <w:t> </w:t>
      </w:r>
      <w:r>
        <w:rPr>
          <w:sz w:val="24"/>
        </w:rPr>
        <w:t>glibenclamide,</w:t>
      </w:r>
      <w:r>
        <w:rPr>
          <w:spacing w:val="-2"/>
          <w:sz w:val="24"/>
        </w:rPr>
        <w:t> </w:t>
      </w:r>
      <w:r>
        <w:rPr>
          <w:sz w:val="24"/>
        </w:rPr>
        <w:t>glipizide,</w:t>
      </w:r>
      <w:r>
        <w:rPr>
          <w:spacing w:val="-3"/>
          <w:sz w:val="24"/>
        </w:rPr>
        <w:t> </w:t>
      </w:r>
      <w:r>
        <w:rPr>
          <w:spacing w:val="-2"/>
          <w:sz w:val="24"/>
        </w:rPr>
        <w:t>gliclazide.</w:t>
      </w:r>
    </w:p>
    <w:p>
      <w:pPr>
        <w:pStyle w:val="BodyText"/>
        <w:spacing w:before="137"/>
        <w:ind w:left="697"/>
        <w:jc w:val="both"/>
      </w:pPr>
      <w:r>
        <w:rPr/>
        <w:t>The</w:t>
      </w:r>
      <w:r>
        <w:rPr>
          <w:spacing w:val="-5"/>
        </w:rPr>
        <w:t> </w:t>
      </w:r>
      <w:r>
        <w:rPr/>
        <w:t>second-generation</w:t>
      </w:r>
      <w:r>
        <w:rPr>
          <w:spacing w:val="-1"/>
        </w:rPr>
        <w:t> </w:t>
      </w:r>
      <w:r>
        <w:rPr/>
        <w:t>drugs are</w:t>
      </w:r>
      <w:r>
        <w:rPr>
          <w:spacing w:val="-3"/>
        </w:rPr>
        <w:t> </w:t>
      </w:r>
      <w:r>
        <w:rPr/>
        <w:t>more expensive</w:t>
      </w:r>
      <w:r>
        <w:rPr>
          <w:spacing w:val="-1"/>
        </w:rPr>
        <w:t> </w:t>
      </w:r>
      <w:r>
        <w:rPr/>
        <w:t>and</w:t>
      </w:r>
      <w:r>
        <w:rPr>
          <w:spacing w:val="-1"/>
        </w:rPr>
        <w:t> </w:t>
      </w:r>
      <w:r>
        <w:rPr/>
        <w:t>are</w:t>
      </w:r>
      <w:r>
        <w:rPr>
          <w:spacing w:val="-2"/>
        </w:rPr>
        <w:t> </w:t>
      </w:r>
      <w:r>
        <w:rPr/>
        <w:t>of</w:t>
      </w:r>
      <w:r>
        <w:rPr>
          <w:spacing w:val="-1"/>
        </w:rPr>
        <w:t> </w:t>
      </w:r>
      <w:r>
        <w:rPr/>
        <w:t>higher </w:t>
      </w:r>
      <w:r>
        <w:rPr>
          <w:spacing w:val="-2"/>
        </w:rPr>
        <w:t>potency.</w:t>
      </w:r>
    </w:p>
    <w:p>
      <w:pPr>
        <w:pStyle w:val="BodyText"/>
        <w:spacing w:line="360" w:lineRule="auto" w:before="139"/>
        <w:ind w:left="678" w:right="995" w:firstLine="720"/>
        <w:jc w:val="both"/>
      </w:pPr>
      <w:r>
        <w:rPr/>
        <w:t>Sulphonylureas are transported in the blood, bound to plasma proteins and they become active when released from these protein complexes. Hence, drugs that bind to plasma proteins will displace the sulphonylureas from the protein-binding sites causing increased bioavailability and hypoglycaemic effects. Such drugs include salicylates (high dose), barbiturates, monoamine oxidase inhibitors (MAOls), phenylbutazone, sulphonamides,</w:t>
      </w:r>
      <w:r>
        <w:rPr>
          <w:spacing w:val="-2"/>
        </w:rPr>
        <w:t> </w:t>
      </w:r>
      <w:r>
        <w:rPr/>
        <w:t>co-trimoxazole,</w:t>
      </w:r>
      <w:r>
        <w:rPr>
          <w:spacing w:val="-3"/>
        </w:rPr>
        <w:t> </w:t>
      </w:r>
      <w:r>
        <w:rPr/>
        <w:t>phenytoin,</w:t>
      </w:r>
      <w:r>
        <w:rPr>
          <w:spacing w:val="-2"/>
        </w:rPr>
        <w:t> </w:t>
      </w:r>
      <w:r>
        <w:rPr/>
        <w:t>clofibrate</w:t>
      </w:r>
      <w:r>
        <w:rPr>
          <w:spacing w:val="-3"/>
        </w:rPr>
        <w:t> </w:t>
      </w:r>
      <w:r>
        <w:rPr/>
        <w:t>and warfarin.</w:t>
      </w:r>
      <w:r>
        <w:rPr>
          <w:spacing w:val="-3"/>
        </w:rPr>
        <w:t> </w:t>
      </w:r>
      <w:r>
        <w:rPr/>
        <w:t>The</w:t>
      </w:r>
      <w:r>
        <w:rPr>
          <w:spacing w:val="-3"/>
        </w:rPr>
        <w:t> </w:t>
      </w:r>
      <w:r>
        <w:rPr/>
        <w:t>non-selective</w:t>
      </w:r>
      <w:r>
        <w:rPr>
          <w:spacing w:val="-3"/>
        </w:rPr>
        <w:t> </w:t>
      </w:r>
      <w:r>
        <w:rPr/>
        <w:t>beta adrenoceptor antagonists may mask the symptoms and signs of hypoglycaemia and in addition delay the recovery from hypoglycaemia by inhibiting gluconeogenesis and glycogenolysis. Drugs that cause hyperglycaemia like thiazide diuretics, frusemide, corticosteroids, contraceptive pills and diazoxide may require an increase to be made in</w:t>
      </w:r>
      <w:r>
        <w:rPr>
          <w:spacing w:val="40"/>
        </w:rPr>
        <w:t> </w:t>
      </w:r>
      <w:r>
        <w:rPr/>
        <w:t>the dosage of sulphonylurea.</w:t>
      </w:r>
    </w:p>
    <w:p>
      <w:pPr>
        <w:pStyle w:val="BodyText"/>
        <w:spacing w:line="360" w:lineRule="auto"/>
        <w:ind w:left="678" w:right="1006" w:firstLine="720"/>
        <w:jc w:val="both"/>
      </w:pPr>
      <w:r>
        <w:rPr/>
        <w:t>Elderly</w:t>
      </w:r>
      <w:r>
        <w:rPr>
          <w:spacing w:val="-5"/>
        </w:rPr>
        <w:t> </w:t>
      </w:r>
      <w:r>
        <w:rPr/>
        <w:t>patients are</w:t>
      </w:r>
      <w:r>
        <w:rPr>
          <w:spacing w:val="-2"/>
        </w:rPr>
        <w:t> </w:t>
      </w:r>
      <w:r>
        <w:rPr/>
        <w:t>particularly</w:t>
      </w:r>
      <w:r>
        <w:rPr>
          <w:spacing w:val="-7"/>
        </w:rPr>
        <w:t> </w:t>
      </w:r>
      <w:r>
        <w:rPr/>
        <w:t>prone</w:t>
      </w:r>
      <w:r>
        <w:rPr>
          <w:spacing w:val="-3"/>
        </w:rPr>
        <w:t> </w:t>
      </w:r>
      <w:r>
        <w:rPr/>
        <w:t>to the</w:t>
      </w:r>
      <w:r>
        <w:rPr>
          <w:spacing w:val="-2"/>
        </w:rPr>
        <w:t> </w:t>
      </w:r>
      <w:r>
        <w:rPr/>
        <w:t>dangers</w:t>
      </w:r>
      <w:r>
        <w:rPr>
          <w:spacing w:val="-2"/>
        </w:rPr>
        <w:t> </w:t>
      </w:r>
      <w:r>
        <w:rPr/>
        <w:t>of</w:t>
      </w:r>
      <w:r>
        <w:rPr>
          <w:spacing w:val="-2"/>
        </w:rPr>
        <w:t> </w:t>
      </w:r>
      <w:r>
        <w:rPr/>
        <w:t>hypoglycaemia</w:t>
      </w:r>
      <w:r>
        <w:rPr>
          <w:spacing w:val="-1"/>
        </w:rPr>
        <w:t> </w:t>
      </w:r>
      <w:r>
        <w:rPr/>
        <w:t>when</w:t>
      </w:r>
      <w:r>
        <w:rPr>
          <w:spacing w:val="-2"/>
        </w:rPr>
        <w:t> </w:t>
      </w:r>
      <w:r>
        <w:rPr/>
        <w:t>long- acting sulphonylurea are used.</w:t>
      </w:r>
      <w:r>
        <w:rPr>
          <w:spacing w:val="40"/>
        </w:rPr>
        <w:t> </w:t>
      </w:r>
      <w:r>
        <w:rPr/>
        <w:t>Chlorpropamide and glibenclamide should be avoided in these patients and replaced by others, such as gliclazide or tolbutamide. The sulphonylureas tend to encourage weight gain. Metformin should be considered for patients who are obese. They should not be used during lactation while the short-acting tolbutamide may be used in renal impairment but careful monitoring of blood-glucose concentration is essential. Care is required in choosing smallest possible dose that produces adequate control of blood glucose. They should be avoided in porphyria and ketoacidosis. Side effects are generally mild and infrequent and include gastro-intestinal disturbances and headache.</w:t>
      </w:r>
    </w:p>
    <w:p>
      <w:pPr>
        <w:pStyle w:val="BodyText"/>
        <w:spacing w:line="360" w:lineRule="auto"/>
        <w:ind w:left="678" w:right="1001" w:firstLine="780"/>
        <w:jc w:val="both"/>
      </w:pPr>
      <w:r>
        <w:rPr/>
        <w:t>Side-effects of sulphonylureas are generally mild and infrequent and include gastro-intestinal disturbances such as nausea, vomiting, diarrhoea and constipation.</w:t>
      </w:r>
    </w:p>
    <w:p>
      <w:pPr>
        <w:pStyle w:val="BodyText"/>
        <w:spacing w:line="360" w:lineRule="auto" w:before="1"/>
        <w:ind w:left="678" w:right="994"/>
        <w:jc w:val="both"/>
      </w:pPr>
      <w:r>
        <w:rPr/>
        <w:t>Chlorpropamide has appreciably more side-effects, mainly because of its very prolonged duration of action and the consequent hazard of hypoglyceamia and it should no longer be used. Chlorpropamide may also enhance antidiuretic hormone secretion and very rarely cause hyponatraemia (hyponatreamia is also reported with glimepiride and glipizide).</w:t>
      </w:r>
    </w:p>
    <w:p>
      <w:pPr>
        <w:spacing w:after="0" w:line="360" w:lineRule="auto"/>
        <w:jc w:val="both"/>
        <w:sectPr>
          <w:pgSz w:w="12240" w:h="15840"/>
          <w:pgMar w:header="0" w:footer="1056" w:top="1340" w:bottom="1240" w:left="1420" w:right="420"/>
        </w:sectPr>
      </w:pPr>
    </w:p>
    <w:p>
      <w:pPr>
        <w:pStyle w:val="BodyText"/>
        <w:spacing w:line="360" w:lineRule="auto" w:before="72"/>
        <w:ind w:left="678" w:right="997" w:firstLine="720"/>
        <w:jc w:val="both"/>
      </w:pPr>
      <w:r>
        <w:rPr/>
        <mc:AlternateContent>
          <mc:Choice Requires="wps">
            <w:drawing>
              <wp:anchor distT="0" distB="0" distL="0" distR="0" allowOverlap="1" layoutInCell="1" locked="0" behindDoc="1" simplePos="0" relativeHeight="482917888">
                <wp:simplePos x="0" y="0"/>
                <wp:positionH relativeFrom="page">
                  <wp:posOffset>-1402226</wp:posOffset>
                </wp:positionH>
                <wp:positionV relativeFrom="page">
                  <wp:posOffset>4612234</wp:posOffset>
                </wp:positionV>
                <wp:extent cx="10685780" cy="914400"/>
                <wp:effectExtent l="0" t="0" r="0" b="0"/>
                <wp:wrapNone/>
                <wp:docPr id="33" name="Textbox 33"/>
                <wp:cNvGraphicFramePr>
                  <a:graphicFrameLocks/>
                </wp:cNvGraphicFramePr>
                <a:graphic>
                  <a:graphicData uri="http://schemas.microsoft.com/office/word/2010/wordprocessingShape">
                    <wps:wsp>
                      <wps:cNvPr id="33" name="Textbox 3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8592;rotation:306" type="#_x0000_t136" fillcolor="#ff5400" stroked="f">
                <o:extrusion v:ext="view" autorotationcenter="t"/>
                <v:textpath style="font-family:&quot;Arial MT&quot;;font-size:72pt;v-text-kern:t;mso-text-shadow:auto" string="UNIVERSITY OF IBADAN"/>
                <w10:wrap type="none"/>
              </v:shape>
            </w:pict>
          </mc:Fallback>
        </mc:AlternateContent>
      </w:r>
      <w:r>
        <w:rPr/>
        <w:t>Sulphonylureas can occasionally cause a disturbance in liver function, which may rarely</w:t>
      </w:r>
      <w:r>
        <w:rPr>
          <w:spacing w:val="-5"/>
        </w:rPr>
        <w:t> </w:t>
      </w:r>
      <w:r>
        <w:rPr/>
        <w:t>lead</w:t>
      </w:r>
      <w:r>
        <w:rPr>
          <w:spacing w:val="-1"/>
        </w:rPr>
        <w:t> </w:t>
      </w:r>
      <w:r>
        <w:rPr/>
        <w:t>to</w:t>
      </w:r>
      <w:r>
        <w:rPr>
          <w:spacing w:val="-1"/>
        </w:rPr>
        <w:t> </w:t>
      </w:r>
      <w:r>
        <w:rPr/>
        <w:t>cholestatic jaundice,</w:t>
      </w:r>
      <w:r>
        <w:rPr>
          <w:spacing w:val="-1"/>
        </w:rPr>
        <w:t> </w:t>
      </w:r>
      <w:r>
        <w:rPr/>
        <w:t>hepatitis,</w:t>
      </w:r>
      <w:r>
        <w:rPr>
          <w:spacing w:val="-1"/>
        </w:rPr>
        <w:t> </w:t>
      </w:r>
      <w:r>
        <w:rPr/>
        <w:t>and</w:t>
      </w:r>
      <w:r>
        <w:rPr>
          <w:spacing w:val="-1"/>
        </w:rPr>
        <w:t> </w:t>
      </w:r>
      <w:r>
        <w:rPr/>
        <w:t>hepatic</w:t>
      </w:r>
      <w:r>
        <w:rPr>
          <w:spacing w:val="-1"/>
        </w:rPr>
        <w:t> </w:t>
      </w:r>
      <w:r>
        <w:rPr/>
        <w:t>failure.</w:t>
      </w:r>
      <w:r>
        <w:rPr>
          <w:spacing w:val="-1"/>
        </w:rPr>
        <w:t> </w:t>
      </w:r>
      <w:r>
        <w:rPr/>
        <w:t>Hypersensitivity</w:t>
      </w:r>
      <w:r>
        <w:rPr>
          <w:spacing w:val="-8"/>
        </w:rPr>
        <w:t> </w:t>
      </w:r>
      <w:r>
        <w:rPr/>
        <w:t>reactions can occur, usually in the first 6-8 weeks of therapy. They consist mainly of allergic skin reactions which progress rarely to erythema multiforme and exfoliative dermatitis, fever, and</w:t>
      </w:r>
      <w:r>
        <w:rPr>
          <w:spacing w:val="-1"/>
        </w:rPr>
        <w:t> </w:t>
      </w:r>
      <w:r>
        <w:rPr/>
        <w:t>jaundice.</w:t>
      </w:r>
      <w:r>
        <w:rPr>
          <w:spacing w:val="-1"/>
        </w:rPr>
        <w:t> </w:t>
      </w:r>
      <w:r>
        <w:rPr/>
        <w:t>Photosensitivity</w:t>
      </w:r>
      <w:r>
        <w:rPr>
          <w:spacing w:val="-5"/>
        </w:rPr>
        <w:t> </w:t>
      </w:r>
      <w:r>
        <w:rPr/>
        <w:t>has rarely</w:t>
      </w:r>
      <w:r>
        <w:rPr>
          <w:spacing w:val="-5"/>
        </w:rPr>
        <w:t> </w:t>
      </w:r>
      <w:r>
        <w:rPr/>
        <w:t>been</w:t>
      </w:r>
      <w:r>
        <w:rPr>
          <w:spacing w:val="-1"/>
        </w:rPr>
        <w:t> </w:t>
      </w:r>
      <w:r>
        <w:rPr/>
        <w:t>reported</w:t>
      </w:r>
      <w:r>
        <w:rPr>
          <w:spacing w:val="-1"/>
        </w:rPr>
        <w:t> </w:t>
      </w:r>
      <w:r>
        <w:rPr/>
        <w:t>with</w:t>
      </w:r>
      <w:r>
        <w:rPr>
          <w:spacing w:val="-1"/>
        </w:rPr>
        <w:t> </w:t>
      </w:r>
      <w:r>
        <w:rPr/>
        <w:t>chlorpropamide and glipizide. Blood disorders are also rare but may include leucopenia, thrombocytopenia, agranulocytosis, pancytopenia, haemolytic anaemia, and aplastic anaemia.</w:t>
      </w:r>
    </w:p>
    <w:p>
      <w:pPr>
        <w:pStyle w:val="BodyText"/>
        <w:spacing w:before="144"/>
      </w:pPr>
    </w:p>
    <w:p>
      <w:pPr>
        <w:pStyle w:val="Heading2"/>
        <w:numPr>
          <w:ilvl w:val="3"/>
          <w:numId w:val="19"/>
        </w:numPr>
        <w:tabs>
          <w:tab w:pos="1398" w:val="left" w:leader="none"/>
        </w:tabs>
        <w:spacing w:line="240" w:lineRule="auto" w:before="0" w:after="0"/>
        <w:ind w:left="1398" w:right="0" w:hanging="720"/>
        <w:jc w:val="both"/>
      </w:pPr>
      <w:bookmarkStart w:name="_TOC_250107" w:id="26"/>
      <w:bookmarkEnd w:id="26"/>
      <w:r>
        <w:rPr>
          <w:spacing w:val="-2"/>
        </w:rPr>
        <w:t>Biguanides</w:t>
      </w:r>
    </w:p>
    <w:p>
      <w:pPr>
        <w:pStyle w:val="BodyText"/>
        <w:spacing w:line="360" w:lineRule="auto" w:before="133"/>
        <w:ind w:left="678" w:right="999" w:firstLine="720"/>
        <w:jc w:val="both"/>
      </w:pPr>
      <w:r>
        <w:rPr/>
        <w:t>Metformin is a biguanide which acts by (a) direct stimulation of glycolysis in peripheral tissues, with increased glucose removal from blood; (b) reduced hepatic gluconeogenesis; (c) slowing of glucose absorption from the GIT; (d) reduction of plasma glucagon levels; and (e) increased insulin binding to insulin receptors. Their blood glucose-lowering action does not depend on the presence of functioning pancreatic B</w:t>
      </w:r>
      <w:r>
        <w:rPr>
          <w:spacing w:val="40"/>
        </w:rPr>
        <w:t> </w:t>
      </w:r>
      <w:r>
        <w:rPr>
          <w:spacing w:val="-2"/>
        </w:rPr>
        <w:t>cells.</w:t>
      </w:r>
    </w:p>
    <w:p>
      <w:pPr>
        <w:pStyle w:val="BodyText"/>
        <w:spacing w:line="360" w:lineRule="auto" w:before="120"/>
        <w:ind w:left="678" w:right="1012" w:firstLine="720"/>
        <w:jc w:val="both"/>
      </w:pPr>
      <w:r>
        <w:rPr/>
        <w:t>Metformin is the drug of choice in grossly obese patients in whom strict dieting</w:t>
      </w:r>
      <w:r>
        <w:rPr>
          <w:spacing w:val="40"/>
        </w:rPr>
        <w:t> </w:t>
      </w:r>
      <w:r>
        <w:rPr/>
        <w:t>has failed to control diabetes. It is also used when diabetes is inadequately</w:t>
      </w:r>
      <w:r>
        <w:rPr>
          <w:spacing w:val="-1"/>
        </w:rPr>
        <w:t> </w:t>
      </w:r>
      <w:r>
        <w:rPr/>
        <w:t>controlled with sulphonylureas. Hypoglycaemia is not a problem with metformin. Other advantages are the lower incidence of weight gain and lower plasma insulin concentration. It does not exert</w:t>
      </w:r>
      <w:r>
        <w:rPr>
          <w:spacing w:val="40"/>
        </w:rPr>
        <w:t> </w:t>
      </w:r>
      <w:r>
        <w:rPr/>
        <w:t>a</w:t>
      </w:r>
      <w:r>
        <w:rPr>
          <w:spacing w:val="40"/>
        </w:rPr>
        <w:t> </w:t>
      </w:r>
      <w:r>
        <w:rPr/>
        <w:t>hypoglycaemic</w:t>
      </w:r>
      <w:r>
        <w:rPr>
          <w:spacing w:val="40"/>
        </w:rPr>
        <w:t> </w:t>
      </w:r>
      <w:r>
        <w:rPr/>
        <w:t>action</w:t>
      </w:r>
      <w:r>
        <w:rPr>
          <w:spacing w:val="40"/>
        </w:rPr>
        <w:t> </w:t>
      </w:r>
      <w:r>
        <w:rPr/>
        <w:t>in</w:t>
      </w:r>
      <w:r>
        <w:rPr>
          <w:spacing w:val="40"/>
        </w:rPr>
        <w:t> </w:t>
      </w:r>
      <w:r>
        <w:rPr/>
        <w:t>non-diabetic</w:t>
      </w:r>
      <w:r>
        <w:rPr>
          <w:spacing w:val="40"/>
        </w:rPr>
        <w:t> </w:t>
      </w:r>
      <w:r>
        <w:rPr/>
        <w:t>subjects</w:t>
      </w:r>
      <w:r>
        <w:rPr>
          <w:spacing w:val="40"/>
        </w:rPr>
        <w:t> </w:t>
      </w:r>
      <w:r>
        <w:rPr/>
        <w:t>unless</w:t>
      </w:r>
      <w:r>
        <w:rPr>
          <w:spacing w:val="40"/>
        </w:rPr>
        <w:t> </w:t>
      </w:r>
      <w:r>
        <w:rPr/>
        <w:t>in</w:t>
      </w:r>
      <w:r>
        <w:rPr>
          <w:spacing w:val="40"/>
        </w:rPr>
        <w:t> </w:t>
      </w:r>
      <w:r>
        <w:rPr/>
        <w:t>overdose.</w:t>
      </w:r>
    </w:p>
    <w:p>
      <w:pPr>
        <w:pStyle w:val="BodyText"/>
        <w:spacing w:line="360" w:lineRule="auto" w:before="2"/>
        <w:ind w:left="678" w:right="1010" w:firstLine="720"/>
        <w:jc w:val="both"/>
      </w:pPr>
      <w:r>
        <w:rPr/>
        <w:t>Metformin is rapidly absorbed from the gut but it is not protein-bound in the plasma nor metabolised to any degree by</w:t>
      </w:r>
      <w:r>
        <w:rPr>
          <w:spacing w:val="-3"/>
        </w:rPr>
        <w:t> </w:t>
      </w:r>
      <w:r>
        <w:rPr/>
        <w:t>the liver. It is excreted unchanged by</w:t>
      </w:r>
      <w:r>
        <w:rPr>
          <w:spacing w:val="-3"/>
        </w:rPr>
        <w:t> </w:t>
      </w:r>
      <w:r>
        <w:rPr/>
        <w:t>the kidney within 24 hours. Its mean plasma half-life is about 2-3 hours. It often induces anorexia, and diarrhoea. It is suited for obese diabetic.</w:t>
      </w:r>
    </w:p>
    <w:p>
      <w:pPr>
        <w:pStyle w:val="BodyText"/>
        <w:spacing w:before="141"/>
      </w:pPr>
    </w:p>
    <w:p>
      <w:pPr>
        <w:pStyle w:val="Heading2"/>
        <w:numPr>
          <w:ilvl w:val="3"/>
          <w:numId w:val="19"/>
        </w:numPr>
        <w:tabs>
          <w:tab w:pos="1398" w:val="left" w:leader="none"/>
        </w:tabs>
        <w:spacing w:line="240" w:lineRule="auto" w:before="0" w:after="0"/>
        <w:ind w:left="1398" w:right="0" w:hanging="720"/>
        <w:jc w:val="both"/>
      </w:pPr>
      <w:bookmarkStart w:name="_TOC_250106" w:id="27"/>
      <w:bookmarkEnd w:id="27"/>
      <w:r>
        <w:rPr>
          <w:spacing w:val="-2"/>
        </w:rPr>
        <w:t>Meglitinides</w:t>
      </w:r>
    </w:p>
    <w:p>
      <w:pPr>
        <w:pStyle w:val="BodyText"/>
        <w:spacing w:line="360" w:lineRule="auto" w:before="133"/>
        <w:ind w:left="678" w:right="993" w:firstLine="720"/>
        <w:jc w:val="both"/>
      </w:pPr>
      <w:r>
        <w:rPr/>
        <w:t>Meglitinides stimulate the pancrease to produce more insulin and have a rapid onset of action and short duration of activity, and should be administered shortly before each main meal. Examples are nateglinide and repaglinide. Repaglinide may be given as monotherapy</w:t>
      </w:r>
      <w:r>
        <w:rPr>
          <w:spacing w:val="13"/>
        </w:rPr>
        <w:t> </w:t>
      </w:r>
      <w:r>
        <w:rPr/>
        <w:t>to</w:t>
      </w:r>
      <w:r>
        <w:rPr>
          <w:spacing w:val="25"/>
        </w:rPr>
        <w:t> </w:t>
      </w:r>
      <w:r>
        <w:rPr/>
        <w:t>patients</w:t>
      </w:r>
      <w:r>
        <w:rPr>
          <w:spacing w:val="25"/>
        </w:rPr>
        <w:t> </w:t>
      </w:r>
      <w:r>
        <w:rPr/>
        <w:t>who</w:t>
      </w:r>
      <w:r>
        <w:rPr>
          <w:spacing w:val="23"/>
        </w:rPr>
        <w:t> </w:t>
      </w:r>
      <w:r>
        <w:rPr/>
        <w:t>are</w:t>
      </w:r>
      <w:r>
        <w:rPr>
          <w:spacing w:val="21"/>
        </w:rPr>
        <w:t> </w:t>
      </w:r>
      <w:r>
        <w:rPr/>
        <w:t>not</w:t>
      </w:r>
      <w:r>
        <w:rPr>
          <w:spacing w:val="24"/>
        </w:rPr>
        <w:t> </w:t>
      </w:r>
      <w:r>
        <w:rPr/>
        <w:t>overweight</w:t>
      </w:r>
      <w:r>
        <w:rPr>
          <w:spacing w:val="23"/>
        </w:rPr>
        <w:t> </w:t>
      </w:r>
      <w:r>
        <w:rPr/>
        <w:t>or</w:t>
      </w:r>
      <w:r>
        <w:rPr>
          <w:spacing w:val="23"/>
        </w:rPr>
        <w:t> </w:t>
      </w:r>
      <w:r>
        <w:rPr/>
        <w:t>those</w:t>
      </w:r>
      <w:r>
        <w:rPr>
          <w:spacing w:val="22"/>
        </w:rPr>
        <w:t> </w:t>
      </w:r>
      <w:r>
        <w:rPr/>
        <w:t>in</w:t>
      </w:r>
      <w:r>
        <w:rPr>
          <w:spacing w:val="24"/>
        </w:rPr>
        <w:t> </w:t>
      </w:r>
      <w:r>
        <w:rPr/>
        <w:t>whom</w:t>
      </w:r>
      <w:r>
        <w:rPr>
          <w:spacing w:val="22"/>
        </w:rPr>
        <w:t> </w:t>
      </w:r>
      <w:r>
        <w:rPr/>
        <w:t>metformin</w:t>
      </w:r>
      <w:r>
        <w:rPr>
          <w:spacing w:val="24"/>
        </w:rPr>
        <w:t> </w:t>
      </w:r>
      <w:r>
        <w:rPr/>
        <w:t>is</w:t>
      </w:r>
      <w:r>
        <w:rPr>
          <w:spacing w:val="24"/>
        </w:rPr>
        <w:t> </w:t>
      </w:r>
      <w:r>
        <w:rPr>
          <w:spacing w:val="-2"/>
        </w:rPr>
        <w:t>contra-</w:t>
      </w:r>
    </w:p>
    <w:p>
      <w:pPr>
        <w:spacing w:after="0" w:line="360" w:lineRule="auto"/>
        <w:jc w:val="both"/>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18400">
                <wp:simplePos x="0" y="0"/>
                <wp:positionH relativeFrom="page">
                  <wp:posOffset>-1402226</wp:posOffset>
                </wp:positionH>
                <wp:positionV relativeFrom="page">
                  <wp:posOffset>4612234</wp:posOffset>
                </wp:positionV>
                <wp:extent cx="10685780" cy="914400"/>
                <wp:effectExtent l="0" t="0" r="0" b="0"/>
                <wp:wrapNone/>
                <wp:docPr id="34" name="Textbox 34"/>
                <wp:cNvGraphicFramePr>
                  <a:graphicFrameLocks/>
                </wp:cNvGraphicFramePr>
                <a:graphic>
                  <a:graphicData uri="http://schemas.microsoft.com/office/word/2010/wordprocessingShape">
                    <wps:wsp>
                      <wps:cNvPr id="34" name="Textbox 3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8080;rotation:306" type="#_x0000_t136" fillcolor="#ff5400" stroked="f">
                <o:extrusion v:ext="view" autorotationcenter="t"/>
                <v:textpath style="font-family:&quot;Arial MT&quot;;font-size:72pt;v-text-kern:t;mso-text-shadow:auto" string="UNIVERSITY OF IBADAN"/>
                <w10:wrap type="none"/>
              </v:shape>
            </w:pict>
          </mc:Fallback>
        </mc:AlternateContent>
      </w:r>
      <w:r>
        <w:rPr/>
        <w:t>indicated or not</w:t>
      </w:r>
      <w:r>
        <w:rPr>
          <w:spacing w:val="23"/>
        </w:rPr>
        <w:t> </w:t>
      </w:r>
      <w:r>
        <w:rPr/>
        <w:t>tolerated, or</w:t>
      </w:r>
      <w:r>
        <w:rPr>
          <w:spacing w:val="25"/>
        </w:rPr>
        <w:t> </w:t>
      </w:r>
      <w:r>
        <w:rPr/>
        <w:t>otherwise it</w:t>
      </w:r>
      <w:r>
        <w:rPr>
          <w:spacing w:val="23"/>
        </w:rPr>
        <w:t> </w:t>
      </w:r>
      <w:r>
        <w:rPr/>
        <w:t>may be given in</w:t>
      </w:r>
      <w:r>
        <w:rPr>
          <w:spacing w:val="23"/>
        </w:rPr>
        <w:t> </w:t>
      </w:r>
      <w:r>
        <w:rPr/>
        <w:t>combination</w:t>
      </w:r>
      <w:r>
        <w:rPr>
          <w:spacing w:val="23"/>
        </w:rPr>
        <w:t> </w:t>
      </w:r>
      <w:r>
        <w:rPr/>
        <w:t>with</w:t>
      </w:r>
      <w:r>
        <w:rPr>
          <w:spacing w:val="23"/>
        </w:rPr>
        <w:t> </w:t>
      </w:r>
      <w:r>
        <w:rPr/>
        <w:t>metformin. Nateglinide is licensed only for use with metformin.</w:t>
      </w:r>
    </w:p>
    <w:p>
      <w:pPr>
        <w:pStyle w:val="BodyText"/>
        <w:spacing w:before="142"/>
      </w:pPr>
    </w:p>
    <w:p>
      <w:pPr>
        <w:pStyle w:val="Heading2"/>
        <w:numPr>
          <w:ilvl w:val="3"/>
          <w:numId w:val="19"/>
        </w:numPr>
        <w:tabs>
          <w:tab w:pos="1398" w:val="left" w:leader="none"/>
        </w:tabs>
        <w:spacing w:line="240" w:lineRule="auto" w:before="1" w:after="0"/>
        <w:ind w:left="1398" w:right="0" w:hanging="720"/>
        <w:jc w:val="both"/>
      </w:pPr>
      <w:bookmarkStart w:name="_TOC_250105" w:id="28"/>
      <w:bookmarkEnd w:id="28"/>
      <w:r>
        <w:rPr>
          <w:spacing w:val="-2"/>
        </w:rPr>
        <w:t>Thiazolidinediones</w:t>
      </w:r>
    </w:p>
    <w:p>
      <w:pPr>
        <w:pStyle w:val="BodyText"/>
        <w:spacing w:line="360" w:lineRule="auto" w:before="134"/>
        <w:ind w:left="678" w:right="994" w:firstLine="720"/>
        <w:jc w:val="both"/>
      </w:pPr>
      <w:r>
        <w:rPr/>
        <w:t>Thiazolidinediones reduce peripheral insulin resistance, leading to a reduction of blood-glucose</w:t>
      </w:r>
      <w:r>
        <w:rPr>
          <w:spacing w:val="-2"/>
        </w:rPr>
        <w:t> </w:t>
      </w:r>
      <w:r>
        <w:rPr/>
        <w:t>concentration. Examples</w:t>
      </w:r>
      <w:r>
        <w:rPr>
          <w:spacing w:val="-2"/>
        </w:rPr>
        <w:t> </w:t>
      </w:r>
      <w:r>
        <w:rPr/>
        <w:t>are</w:t>
      </w:r>
      <w:r>
        <w:rPr>
          <w:spacing w:val="-3"/>
        </w:rPr>
        <w:t> </w:t>
      </w:r>
      <w:r>
        <w:rPr/>
        <w:t>pioglitazone</w:t>
      </w:r>
      <w:r>
        <w:rPr>
          <w:spacing w:val="-2"/>
        </w:rPr>
        <w:t> </w:t>
      </w:r>
      <w:r>
        <w:rPr/>
        <w:t>and</w:t>
      </w:r>
      <w:r>
        <w:rPr>
          <w:spacing w:val="-2"/>
        </w:rPr>
        <w:t> </w:t>
      </w:r>
      <w:r>
        <w:rPr/>
        <w:t>rosiglitazone. Either</w:t>
      </w:r>
      <w:r>
        <w:rPr>
          <w:spacing w:val="-2"/>
        </w:rPr>
        <w:t> </w:t>
      </w:r>
      <w:r>
        <w:rPr/>
        <w:t>drug</w:t>
      </w:r>
      <w:r>
        <w:rPr>
          <w:spacing w:val="-2"/>
        </w:rPr>
        <w:t> </w:t>
      </w:r>
      <w:r>
        <w:rPr/>
        <w:t>can be used alone or in combination with metformin or with the sulphonylurea (if metformin</w:t>
      </w:r>
      <w:r>
        <w:rPr>
          <w:spacing w:val="40"/>
        </w:rPr>
        <w:t> </w:t>
      </w:r>
      <w:r>
        <w:rPr/>
        <w:t>is inappropriate). The combination of a thiazolidinedione with metformin is preferred to a thiazolidinedione – sulphonylurea combination particularly for obese patients. Inadequate response to a combination of metformin and sulphonylurea may indicate failing insulin release. The introduction of pioglitazone or rosiglitazone has a limited role in these circumstances and the initiation of insulin is often more appropriate. Blood-glucose</w:t>
      </w:r>
      <w:r>
        <w:rPr>
          <w:spacing w:val="40"/>
        </w:rPr>
        <w:t> </w:t>
      </w:r>
      <w:r>
        <w:rPr/>
        <w:t>control may deteriorate temporarily when a thiazolidinedione is substituted for an oral antidiabetic</w:t>
      </w:r>
      <w:r>
        <w:rPr>
          <w:spacing w:val="-2"/>
        </w:rPr>
        <w:t> </w:t>
      </w:r>
      <w:r>
        <w:rPr/>
        <w:t>drug</w:t>
      </w:r>
      <w:r>
        <w:rPr>
          <w:spacing w:val="-4"/>
        </w:rPr>
        <w:t> </w:t>
      </w:r>
      <w:r>
        <w:rPr/>
        <w:t>that</w:t>
      </w:r>
      <w:r>
        <w:rPr>
          <w:spacing w:val="-1"/>
        </w:rPr>
        <w:t> </w:t>
      </w:r>
      <w:r>
        <w:rPr/>
        <w:t>is</w:t>
      </w:r>
      <w:r>
        <w:rPr>
          <w:spacing w:val="-1"/>
        </w:rPr>
        <w:t> </w:t>
      </w:r>
      <w:r>
        <w:rPr/>
        <w:t>being</w:t>
      </w:r>
      <w:r>
        <w:rPr>
          <w:spacing w:val="-3"/>
        </w:rPr>
        <w:t> </w:t>
      </w:r>
      <w:r>
        <w:rPr/>
        <w:t>used</w:t>
      </w:r>
      <w:r>
        <w:rPr>
          <w:spacing w:val="-2"/>
        </w:rPr>
        <w:t> </w:t>
      </w:r>
      <w:r>
        <w:rPr/>
        <w:t>in</w:t>
      </w:r>
      <w:r>
        <w:rPr>
          <w:spacing w:val="-1"/>
        </w:rPr>
        <w:t> </w:t>
      </w:r>
      <w:r>
        <w:rPr/>
        <w:t>combination</w:t>
      </w:r>
      <w:r>
        <w:rPr>
          <w:spacing w:val="-1"/>
        </w:rPr>
        <w:t> </w:t>
      </w:r>
      <w:r>
        <w:rPr/>
        <w:t>with</w:t>
      </w:r>
      <w:r>
        <w:rPr>
          <w:spacing w:val="-1"/>
        </w:rPr>
        <w:t> </w:t>
      </w:r>
      <w:r>
        <w:rPr/>
        <w:t>another. Long-term benefits</w:t>
      </w:r>
      <w:r>
        <w:rPr>
          <w:spacing w:val="-1"/>
        </w:rPr>
        <w:t> </w:t>
      </w:r>
      <w:r>
        <w:rPr/>
        <w:t>of</w:t>
      </w:r>
      <w:r>
        <w:rPr>
          <w:spacing w:val="-2"/>
        </w:rPr>
        <w:t> </w:t>
      </w:r>
      <w:r>
        <w:rPr/>
        <w:t>the thiazolidinediones have not yet been demonstrated. The National Institute for Health and Clinical Excellence (NICE) in May, 2009 annual review published online has recommended that, when glycaemic control is inadequate with existing treatment, a thiazolidinedione can be added to:</w:t>
      </w:r>
    </w:p>
    <w:p>
      <w:pPr>
        <w:pStyle w:val="ListParagraph"/>
        <w:numPr>
          <w:ilvl w:val="0"/>
          <w:numId w:val="22"/>
        </w:numPr>
        <w:tabs>
          <w:tab w:pos="1397" w:val="left" w:leader="none"/>
        </w:tabs>
        <w:spacing w:line="240" w:lineRule="auto" w:before="1" w:after="0"/>
        <w:ind w:left="1397" w:right="0" w:hanging="359"/>
        <w:jc w:val="both"/>
        <w:rPr>
          <w:sz w:val="24"/>
        </w:rPr>
      </w:pPr>
      <w:r>
        <w:rPr>
          <w:sz w:val="24"/>
        </w:rPr>
        <w:t>a</w:t>
      </w:r>
      <w:r>
        <w:rPr>
          <w:spacing w:val="-2"/>
          <w:sz w:val="24"/>
        </w:rPr>
        <w:t> </w:t>
      </w:r>
      <w:r>
        <w:rPr>
          <w:sz w:val="24"/>
        </w:rPr>
        <w:t>sulphonylurea,</w:t>
      </w:r>
      <w:r>
        <w:rPr>
          <w:spacing w:val="-1"/>
          <w:sz w:val="24"/>
        </w:rPr>
        <w:t> </w:t>
      </w:r>
      <w:r>
        <w:rPr>
          <w:sz w:val="24"/>
        </w:rPr>
        <w:t>if</w:t>
      </w:r>
      <w:r>
        <w:rPr>
          <w:spacing w:val="-1"/>
          <w:sz w:val="24"/>
        </w:rPr>
        <w:t> </w:t>
      </w:r>
      <w:r>
        <w:rPr>
          <w:sz w:val="24"/>
        </w:rPr>
        <w:t>metformin</w:t>
      </w:r>
      <w:r>
        <w:rPr>
          <w:spacing w:val="-1"/>
          <w:sz w:val="24"/>
        </w:rPr>
        <w:t> </w:t>
      </w:r>
      <w:r>
        <w:rPr>
          <w:sz w:val="24"/>
        </w:rPr>
        <w:t>is</w:t>
      </w:r>
      <w:r>
        <w:rPr>
          <w:spacing w:val="-1"/>
          <w:sz w:val="24"/>
        </w:rPr>
        <w:t> </w:t>
      </w:r>
      <w:r>
        <w:rPr>
          <w:sz w:val="24"/>
        </w:rPr>
        <w:t>contra-indicated or</w:t>
      </w:r>
      <w:r>
        <w:rPr>
          <w:spacing w:val="-2"/>
          <w:sz w:val="24"/>
        </w:rPr>
        <w:t> </w:t>
      </w:r>
      <w:r>
        <w:rPr>
          <w:sz w:val="24"/>
        </w:rPr>
        <w:t>not </w:t>
      </w:r>
      <w:r>
        <w:rPr>
          <w:spacing w:val="-2"/>
          <w:sz w:val="24"/>
        </w:rPr>
        <w:t>tolerated;</w:t>
      </w:r>
    </w:p>
    <w:p>
      <w:pPr>
        <w:pStyle w:val="ListParagraph"/>
        <w:numPr>
          <w:ilvl w:val="0"/>
          <w:numId w:val="22"/>
        </w:numPr>
        <w:tabs>
          <w:tab w:pos="1398" w:val="left" w:leader="none"/>
        </w:tabs>
        <w:spacing w:line="352" w:lineRule="auto" w:before="136" w:after="0"/>
        <w:ind w:left="1398" w:right="1000" w:hanging="360"/>
        <w:jc w:val="both"/>
        <w:rPr>
          <w:sz w:val="24"/>
        </w:rPr>
      </w:pPr>
      <w:r>
        <w:rPr>
          <w:sz w:val="24"/>
        </w:rPr>
        <w:t>metformin, if risks of hypoglycaemia with sulphonylurea are unacceptable or a sulphonylurea is contra-indicated or not tolerated;</w:t>
      </w:r>
    </w:p>
    <w:p>
      <w:pPr>
        <w:pStyle w:val="ListParagraph"/>
        <w:numPr>
          <w:ilvl w:val="0"/>
          <w:numId w:val="22"/>
        </w:numPr>
        <w:tabs>
          <w:tab w:pos="1398" w:val="left" w:leader="none"/>
        </w:tabs>
        <w:spacing w:line="352" w:lineRule="auto" w:before="6" w:after="0"/>
        <w:ind w:left="1398" w:right="1003" w:hanging="360"/>
        <w:jc w:val="both"/>
        <w:rPr>
          <w:sz w:val="24"/>
        </w:rPr>
      </w:pPr>
      <w:r>
        <w:rPr>
          <w:sz w:val="24"/>
        </w:rPr>
        <w:t>combination of metformin and a sulphonylurea, if insulin is unacceptable because of lifestyle or other personal issues, or the patient is obese.</w:t>
      </w:r>
    </w:p>
    <w:p>
      <w:pPr>
        <w:pStyle w:val="BodyText"/>
        <w:spacing w:line="360" w:lineRule="auto" w:before="10"/>
        <w:ind w:left="678" w:right="993" w:firstLine="720"/>
        <w:jc w:val="both"/>
      </w:pPr>
      <w:r>
        <w:rPr/>
        <w:t>The Scottish Medicines Consortium accepted use of thiazolidinedione (rosiglitazone (June 2006), pioglipazone (February 2007) with metformin and a sulphonylurea, for patients (especially if overweight) whose glycaemic control is inadequate despite</w:t>
      </w:r>
      <w:r>
        <w:rPr>
          <w:spacing w:val="-1"/>
        </w:rPr>
        <w:t> </w:t>
      </w:r>
      <w:r>
        <w:rPr/>
        <w:t>the use</w:t>
      </w:r>
      <w:r>
        <w:rPr>
          <w:spacing w:val="-1"/>
        </w:rPr>
        <w:t> </w:t>
      </w:r>
      <w:r>
        <w:rPr/>
        <w:t>of</w:t>
      </w:r>
      <w:r>
        <w:rPr>
          <w:spacing w:val="-1"/>
        </w:rPr>
        <w:t> </w:t>
      </w:r>
      <w:r>
        <w:rPr/>
        <w:t>2 oral hypoglycaemic</w:t>
      </w:r>
      <w:r>
        <w:rPr>
          <w:spacing w:val="-1"/>
        </w:rPr>
        <w:t> </w:t>
      </w:r>
      <w:r>
        <w:rPr/>
        <w:t>drugs and who are</w:t>
      </w:r>
      <w:r>
        <w:rPr>
          <w:spacing w:val="-1"/>
        </w:rPr>
        <w:t> </w:t>
      </w:r>
      <w:r>
        <w:rPr/>
        <w:t>unable</w:t>
      </w:r>
      <w:r>
        <w:rPr>
          <w:spacing w:val="-1"/>
        </w:rPr>
        <w:t> </w:t>
      </w:r>
      <w:r>
        <w:rPr/>
        <w:t>or</w:t>
      </w:r>
      <w:r>
        <w:rPr>
          <w:spacing w:val="-1"/>
        </w:rPr>
        <w:t> </w:t>
      </w:r>
      <w:r>
        <w:rPr/>
        <w:t>unwilling to take insulin. In this instance, treatment should be initiated and monitored by an experienced diabetes physician.</w:t>
      </w:r>
    </w:p>
    <w:p>
      <w:pPr>
        <w:spacing w:after="0" w:line="360" w:lineRule="auto"/>
        <w:jc w:val="both"/>
        <w:sectPr>
          <w:pgSz w:w="12240" w:h="15840"/>
          <w:pgMar w:header="0" w:footer="1056" w:top="1340" w:bottom="1240" w:left="1420" w:right="420"/>
        </w:sectPr>
      </w:pPr>
    </w:p>
    <w:p>
      <w:pPr>
        <w:pStyle w:val="Heading2"/>
        <w:numPr>
          <w:ilvl w:val="3"/>
          <w:numId w:val="19"/>
        </w:numPr>
        <w:tabs>
          <w:tab w:pos="1398" w:val="left" w:leader="none"/>
        </w:tabs>
        <w:spacing w:line="240" w:lineRule="auto" w:before="75" w:after="0"/>
        <w:ind w:left="1398" w:right="0" w:hanging="720"/>
        <w:jc w:val="both"/>
      </w:pPr>
      <w:r>
        <w:rPr/>
        <mc:AlternateContent>
          <mc:Choice Requires="wps">
            <w:drawing>
              <wp:anchor distT="0" distB="0" distL="0" distR="0" allowOverlap="1" layoutInCell="1" locked="0" behindDoc="1" simplePos="0" relativeHeight="482918912">
                <wp:simplePos x="0" y="0"/>
                <wp:positionH relativeFrom="page">
                  <wp:posOffset>-1402226</wp:posOffset>
                </wp:positionH>
                <wp:positionV relativeFrom="page">
                  <wp:posOffset>4612234</wp:posOffset>
                </wp:positionV>
                <wp:extent cx="10685780" cy="914400"/>
                <wp:effectExtent l="0" t="0" r="0" b="0"/>
                <wp:wrapNone/>
                <wp:docPr id="35" name="Textbox 35"/>
                <wp:cNvGraphicFramePr>
                  <a:graphicFrameLocks/>
                </wp:cNvGraphicFramePr>
                <a:graphic>
                  <a:graphicData uri="http://schemas.microsoft.com/office/word/2010/wordprocessingShape">
                    <wps:wsp>
                      <wps:cNvPr id="35" name="Textbox 3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756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104" w:id="29"/>
      <w:r>
        <w:rPr/>
        <w:t>Glucosidase</w:t>
      </w:r>
      <w:bookmarkEnd w:id="29"/>
      <w:r>
        <w:rPr>
          <w:spacing w:val="-2"/>
        </w:rPr>
        <w:t> inhibitors</w:t>
      </w:r>
    </w:p>
    <w:p>
      <w:pPr>
        <w:pStyle w:val="BodyText"/>
        <w:spacing w:line="360" w:lineRule="auto" w:before="274"/>
        <w:ind w:left="678" w:right="993" w:firstLine="720"/>
        <w:jc w:val="both"/>
      </w:pPr>
      <w:r>
        <w:rPr/>
        <w:t>Another class of drug is glucosidase inhibitors such as acarbose and miglitol,</w:t>
      </w:r>
      <w:r>
        <w:rPr>
          <w:spacing w:val="40"/>
        </w:rPr>
        <w:t> </w:t>
      </w:r>
      <w:r>
        <w:rPr/>
        <w:t>which work by delaying the digestion and absorption of starch and glucose in the intestines.</w:t>
      </w:r>
      <w:r>
        <w:rPr>
          <w:spacing w:val="-3"/>
        </w:rPr>
        <w:t> </w:t>
      </w:r>
      <w:r>
        <w:rPr/>
        <w:t>The</w:t>
      </w:r>
      <w:r>
        <w:rPr>
          <w:spacing w:val="-4"/>
        </w:rPr>
        <w:t> </w:t>
      </w:r>
      <w:r>
        <w:rPr/>
        <w:t>drugs</w:t>
      </w:r>
      <w:r>
        <w:rPr>
          <w:spacing w:val="-1"/>
        </w:rPr>
        <w:t> </w:t>
      </w:r>
      <w:r>
        <w:rPr/>
        <w:t>are</w:t>
      </w:r>
      <w:r>
        <w:rPr>
          <w:spacing w:val="-2"/>
        </w:rPr>
        <w:t> </w:t>
      </w:r>
      <w:r>
        <w:rPr/>
        <w:t>sometimes</w:t>
      </w:r>
      <w:r>
        <w:rPr>
          <w:spacing w:val="-3"/>
        </w:rPr>
        <w:t> </w:t>
      </w:r>
      <w:r>
        <w:rPr/>
        <w:t>taken</w:t>
      </w:r>
      <w:r>
        <w:rPr>
          <w:spacing w:val="-3"/>
        </w:rPr>
        <w:t> </w:t>
      </w:r>
      <w:r>
        <w:rPr/>
        <w:t>only</w:t>
      </w:r>
      <w:r>
        <w:rPr>
          <w:spacing w:val="-6"/>
        </w:rPr>
        <w:t> </w:t>
      </w:r>
      <w:r>
        <w:rPr/>
        <w:t>in the</w:t>
      </w:r>
      <w:r>
        <w:rPr>
          <w:spacing w:val="-3"/>
        </w:rPr>
        <w:t> </w:t>
      </w:r>
      <w:r>
        <w:rPr/>
        <w:t>morning,</w:t>
      </w:r>
      <w:r>
        <w:rPr>
          <w:spacing w:val="-1"/>
        </w:rPr>
        <w:t> </w:t>
      </w:r>
      <w:r>
        <w:rPr/>
        <w:t>although</w:t>
      </w:r>
      <w:r>
        <w:rPr>
          <w:spacing w:val="-3"/>
        </w:rPr>
        <w:t> </w:t>
      </w:r>
      <w:r>
        <w:rPr/>
        <w:t>some</w:t>
      </w:r>
      <w:r>
        <w:rPr>
          <w:spacing w:val="-3"/>
        </w:rPr>
        <w:t> </w:t>
      </w:r>
      <w:r>
        <w:rPr/>
        <w:t>people</w:t>
      </w:r>
      <w:r>
        <w:rPr>
          <w:spacing w:val="-2"/>
        </w:rPr>
        <w:t> </w:t>
      </w:r>
      <w:r>
        <w:rPr/>
        <w:t>need two or three doses. It has a small but significant effect in lowering blood glucose. Postprandial hyperglycaemia in type 1 diabetes can be reduced by acarbose. Flatulence deters some from using acarbose although this side-effect tends to decrease with time.</w:t>
      </w:r>
    </w:p>
    <w:p>
      <w:pPr>
        <w:pStyle w:val="BodyText"/>
        <w:spacing w:before="142"/>
      </w:pPr>
    </w:p>
    <w:p>
      <w:pPr>
        <w:pStyle w:val="Heading2"/>
        <w:numPr>
          <w:ilvl w:val="3"/>
          <w:numId w:val="19"/>
        </w:numPr>
        <w:tabs>
          <w:tab w:pos="1458" w:val="left" w:leader="none"/>
        </w:tabs>
        <w:spacing w:line="240" w:lineRule="auto" w:before="0" w:after="0"/>
        <w:ind w:left="1458" w:right="0" w:hanging="720"/>
        <w:jc w:val="both"/>
      </w:pPr>
      <w:bookmarkStart w:name="_TOC_250103" w:id="30"/>
      <w:r>
        <w:rPr/>
        <w:t>Dipeptidylpeptidase</w:t>
      </w:r>
      <w:r>
        <w:rPr>
          <w:spacing w:val="-5"/>
        </w:rPr>
        <w:t> </w:t>
      </w:r>
      <w:bookmarkEnd w:id="30"/>
      <w:r>
        <w:rPr>
          <w:spacing w:val="-2"/>
        </w:rPr>
        <w:t>inhibitors</w:t>
      </w:r>
    </w:p>
    <w:p>
      <w:pPr>
        <w:pStyle w:val="BodyText"/>
        <w:spacing w:line="360" w:lineRule="auto" w:before="135"/>
        <w:ind w:left="678" w:right="997" w:firstLine="840"/>
        <w:jc w:val="both"/>
      </w:pPr>
      <w:r>
        <w:rPr/>
        <w:t>Dipeptidylpeptidase inhibitors increase insulin secretion and lower glucagon secretion.</w:t>
      </w:r>
      <w:r>
        <w:rPr>
          <w:spacing w:val="-2"/>
        </w:rPr>
        <w:t> </w:t>
      </w:r>
      <w:r>
        <w:rPr/>
        <w:t>Examples are</w:t>
      </w:r>
      <w:r>
        <w:rPr>
          <w:spacing w:val="1"/>
        </w:rPr>
        <w:t> </w:t>
      </w:r>
      <w:r>
        <w:rPr/>
        <w:t>sitagliptin</w:t>
      </w:r>
      <w:r>
        <w:rPr>
          <w:spacing w:val="1"/>
        </w:rPr>
        <w:t> </w:t>
      </w:r>
      <w:r>
        <w:rPr/>
        <w:t>and</w:t>
      </w:r>
      <w:r>
        <w:rPr>
          <w:spacing w:val="1"/>
        </w:rPr>
        <w:t> </w:t>
      </w:r>
      <w:r>
        <w:rPr/>
        <w:t>vildagliptin.</w:t>
      </w:r>
      <w:r>
        <w:rPr>
          <w:spacing w:val="2"/>
        </w:rPr>
        <w:t> </w:t>
      </w:r>
      <w:r>
        <w:rPr/>
        <w:t>Both</w:t>
      </w:r>
      <w:r>
        <w:rPr>
          <w:spacing w:val="1"/>
        </w:rPr>
        <w:t> </w:t>
      </w:r>
      <w:r>
        <w:rPr/>
        <w:t>drugs</w:t>
      </w:r>
      <w:r>
        <w:rPr>
          <w:spacing w:val="2"/>
        </w:rPr>
        <w:t> </w:t>
      </w:r>
      <w:r>
        <w:rPr/>
        <w:t>are</w:t>
      </w:r>
      <w:r>
        <w:rPr>
          <w:spacing w:val="-1"/>
        </w:rPr>
        <w:t> </w:t>
      </w:r>
      <w:r>
        <w:rPr/>
        <w:t>licensed</w:t>
      </w:r>
      <w:r>
        <w:rPr>
          <w:spacing w:val="1"/>
        </w:rPr>
        <w:t> </w:t>
      </w:r>
      <w:r>
        <w:rPr/>
        <w:t>for</w:t>
      </w:r>
      <w:r>
        <w:rPr>
          <w:spacing w:val="-1"/>
        </w:rPr>
        <w:t> </w:t>
      </w:r>
      <w:r>
        <w:rPr/>
        <w:t>use</w:t>
      </w:r>
      <w:r>
        <w:rPr>
          <w:spacing w:val="-1"/>
        </w:rPr>
        <w:t> </w:t>
      </w:r>
      <w:r>
        <w:rPr/>
        <w:t>in</w:t>
      </w:r>
      <w:r>
        <w:rPr>
          <w:spacing w:val="1"/>
        </w:rPr>
        <w:t> </w:t>
      </w:r>
      <w:r>
        <w:rPr>
          <w:spacing w:val="-4"/>
        </w:rPr>
        <w:t>type</w:t>
      </w:r>
    </w:p>
    <w:p>
      <w:pPr>
        <w:pStyle w:val="BodyText"/>
        <w:spacing w:line="360" w:lineRule="auto"/>
        <w:ind w:left="678" w:right="992"/>
        <w:jc w:val="both"/>
      </w:pPr>
      <w:r>
        <w:rPr/>
        <w:t>2 diabetes in combination with metformin or a sulphonylurea (if metformin is inappropriate). Sitagliptin is also licensed for use in combination with both</w:t>
      </w:r>
      <w:r>
        <w:rPr>
          <w:spacing w:val="-1"/>
        </w:rPr>
        <w:t> </w:t>
      </w:r>
      <w:r>
        <w:rPr/>
        <w:t>metformin and a sulphonylurea when dual therapy with these drugs fails to achieve adequate glycaemic </w:t>
      </w:r>
      <w:r>
        <w:rPr>
          <w:spacing w:val="-2"/>
        </w:rPr>
        <w:t>control.</w:t>
      </w:r>
    </w:p>
    <w:p>
      <w:pPr>
        <w:pStyle w:val="BodyText"/>
        <w:spacing w:line="360" w:lineRule="auto"/>
        <w:ind w:left="678" w:right="997" w:firstLine="720"/>
        <w:jc w:val="both"/>
      </w:pPr>
      <w:r>
        <w:rPr/>
        <w:t>The National Institute for Health and Clinical Excellence (NICE, May 2009) has recommended that, when glycaemic control is inadequate with existing treatment:</w:t>
      </w:r>
    </w:p>
    <w:p>
      <w:pPr>
        <w:pStyle w:val="ListParagraph"/>
        <w:numPr>
          <w:ilvl w:val="0"/>
          <w:numId w:val="23"/>
        </w:numPr>
        <w:tabs>
          <w:tab w:pos="1398" w:val="left" w:leader="none"/>
        </w:tabs>
        <w:spacing w:line="355" w:lineRule="auto" w:before="0" w:after="0"/>
        <w:ind w:left="1398" w:right="993" w:hanging="360"/>
        <w:jc w:val="both"/>
        <w:rPr>
          <w:sz w:val="24"/>
        </w:rPr>
      </w:pPr>
      <w:r>
        <w:rPr>
          <w:sz w:val="24"/>
        </w:rPr>
        <w:t>sitagliptin or vildagliptin (instead of a sulphonylurea) can be added to metformin,</w:t>
      </w:r>
      <w:r>
        <w:rPr>
          <w:spacing w:val="40"/>
          <w:sz w:val="24"/>
        </w:rPr>
        <w:t> </w:t>
      </w:r>
      <w:r>
        <w:rPr>
          <w:sz w:val="24"/>
        </w:rPr>
        <w:t>if there is a significant risk of hypoglycaemia or if a sulphonylurea is contra- indicated or not tolerated;</w:t>
      </w:r>
    </w:p>
    <w:p>
      <w:pPr>
        <w:pStyle w:val="ListParagraph"/>
        <w:numPr>
          <w:ilvl w:val="0"/>
          <w:numId w:val="23"/>
        </w:numPr>
        <w:tabs>
          <w:tab w:pos="1398" w:val="left" w:leader="none"/>
        </w:tabs>
        <w:spacing w:line="352" w:lineRule="auto" w:before="6" w:after="0"/>
        <w:ind w:left="1398" w:right="996" w:hanging="360"/>
        <w:jc w:val="both"/>
        <w:rPr>
          <w:sz w:val="24"/>
        </w:rPr>
      </w:pPr>
      <w:r>
        <w:rPr>
          <w:sz w:val="24"/>
        </w:rPr>
        <w:t>sitagliptin or vildagliptin can be added to a sulphonylurea, if metformin is contra- indicated or not tolerated;</w:t>
      </w:r>
    </w:p>
    <w:p>
      <w:pPr>
        <w:pStyle w:val="ListParagraph"/>
        <w:numPr>
          <w:ilvl w:val="0"/>
          <w:numId w:val="23"/>
        </w:numPr>
        <w:tabs>
          <w:tab w:pos="1398" w:val="left" w:leader="none"/>
        </w:tabs>
        <w:spacing w:line="352" w:lineRule="auto" w:before="6" w:after="0"/>
        <w:ind w:left="1398" w:right="997" w:hanging="360"/>
        <w:jc w:val="both"/>
        <w:rPr>
          <w:sz w:val="24"/>
        </w:rPr>
      </w:pPr>
      <w:r>
        <w:rPr>
          <w:sz w:val="24"/>
        </w:rPr>
        <w:t>sitagliptin can be added to both metformin and a sulphonylurea, if insulin is unacceptable because of lifestyle or other personal issues.</w:t>
      </w:r>
    </w:p>
    <w:p>
      <w:pPr>
        <w:pStyle w:val="BodyText"/>
        <w:spacing w:line="360" w:lineRule="auto" w:before="10"/>
        <w:ind w:left="678" w:right="999" w:firstLine="720"/>
        <w:jc w:val="both"/>
      </w:pPr>
      <w:r>
        <w:rPr/>
        <w:t>The National Institute for Health and Clinical Excellence (NICE, May 2009) also recommended that when glycaemic control is inadequate with metformin and sulphonylurea treatment, the addition of exenatide might be considered if the patient has:</w:t>
      </w:r>
    </w:p>
    <w:p>
      <w:pPr>
        <w:pStyle w:val="ListParagraph"/>
        <w:numPr>
          <w:ilvl w:val="0"/>
          <w:numId w:val="23"/>
        </w:numPr>
        <w:tabs>
          <w:tab w:pos="1398" w:val="left" w:leader="none"/>
        </w:tabs>
        <w:spacing w:line="355" w:lineRule="auto" w:before="0" w:after="0"/>
        <w:ind w:left="1398" w:right="995" w:hanging="360"/>
        <w:jc w:val="both"/>
        <w:rPr>
          <w:sz w:val="24"/>
        </w:rPr>
      </w:pPr>
      <w:r>
        <w:rPr>
          <w:sz w:val="24"/>
        </w:rPr>
        <w:t>a body mass index of 35 kg/m</w:t>
      </w:r>
      <w:r>
        <w:rPr>
          <w:sz w:val="24"/>
          <w:vertAlign w:val="superscript"/>
        </w:rPr>
        <w:t>2</w:t>
      </w:r>
      <w:r>
        <w:rPr>
          <w:sz w:val="24"/>
          <w:vertAlign w:val="baseline"/>
        </w:rPr>
        <w:t> or over and is of European descent (with appropriate adjustment for other ethnic groups) and weight-related psychological</w:t>
      </w:r>
      <w:r>
        <w:rPr>
          <w:spacing w:val="40"/>
          <w:sz w:val="24"/>
          <w:vertAlign w:val="baseline"/>
        </w:rPr>
        <w:t> </w:t>
      </w:r>
      <w:r>
        <w:rPr>
          <w:sz w:val="24"/>
          <w:vertAlign w:val="baseline"/>
        </w:rPr>
        <w:t>or medical problems or</w:t>
      </w:r>
    </w:p>
    <w:p>
      <w:pPr>
        <w:spacing w:after="0" w:line="355" w:lineRule="auto"/>
        <w:jc w:val="both"/>
        <w:rPr>
          <w:sz w:val="24"/>
        </w:rPr>
        <w:sectPr>
          <w:pgSz w:w="12240" w:h="15840"/>
          <w:pgMar w:header="0" w:footer="1056" w:top="1340" w:bottom="1240" w:left="1420" w:right="420"/>
        </w:sectPr>
      </w:pPr>
    </w:p>
    <w:p>
      <w:pPr>
        <w:pStyle w:val="ListParagraph"/>
        <w:numPr>
          <w:ilvl w:val="0"/>
          <w:numId w:val="23"/>
        </w:numPr>
        <w:tabs>
          <w:tab w:pos="1398" w:val="left" w:leader="none"/>
        </w:tabs>
        <w:spacing w:line="355" w:lineRule="auto" w:before="92" w:after="0"/>
        <w:ind w:left="1398" w:right="996" w:hanging="360"/>
        <w:jc w:val="both"/>
        <w:rPr>
          <w:sz w:val="24"/>
        </w:rPr>
      </w:pPr>
      <w:r>
        <w:rPr/>
        <mc:AlternateContent>
          <mc:Choice Requires="wps">
            <w:drawing>
              <wp:anchor distT="0" distB="0" distL="0" distR="0" allowOverlap="1" layoutInCell="1" locked="0" behindDoc="1" simplePos="0" relativeHeight="482919424">
                <wp:simplePos x="0" y="0"/>
                <wp:positionH relativeFrom="page">
                  <wp:posOffset>-1402226</wp:posOffset>
                </wp:positionH>
                <wp:positionV relativeFrom="page">
                  <wp:posOffset>4612234</wp:posOffset>
                </wp:positionV>
                <wp:extent cx="10685780" cy="914400"/>
                <wp:effectExtent l="0" t="0" r="0" b="0"/>
                <wp:wrapNone/>
                <wp:docPr id="36" name="Textbox 36"/>
                <wp:cNvGraphicFramePr>
                  <a:graphicFrameLocks/>
                </wp:cNvGraphicFramePr>
                <a:graphic>
                  <a:graphicData uri="http://schemas.microsoft.com/office/word/2010/wordprocessingShape">
                    <wps:wsp>
                      <wps:cNvPr id="36" name="Textbox 3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705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a body mass index less than 35 kg/m</w:t>
      </w:r>
      <w:r>
        <w:rPr>
          <w:sz w:val="24"/>
          <w:vertAlign w:val="superscript"/>
        </w:rPr>
        <w:t>2</w:t>
      </w:r>
      <w:r>
        <w:rPr>
          <w:sz w:val="24"/>
          <w:vertAlign w:val="baseline"/>
        </w:rPr>
        <w:t>, and insulin would be unacceptable for occupational reasons or weight loss would benefit other significant obesity-related </w:t>
      </w:r>
      <w:r>
        <w:rPr>
          <w:spacing w:val="-2"/>
          <w:sz w:val="24"/>
          <w:vertAlign w:val="baseline"/>
        </w:rPr>
        <w:t>morbidities.</w:t>
      </w:r>
    </w:p>
    <w:p>
      <w:pPr>
        <w:pStyle w:val="BodyText"/>
        <w:spacing w:before="150"/>
      </w:pPr>
    </w:p>
    <w:p>
      <w:pPr>
        <w:pStyle w:val="Heading2"/>
        <w:numPr>
          <w:ilvl w:val="1"/>
          <w:numId w:val="19"/>
        </w:numPr>
        <w:tabs>
          <w:tab w:pos="1038" w:val="left" w:leader="none"/>
        </w:tabs>
        <w:spacing w:line="240" w:lineRule="auto" w:before="0" w:after="0"/>
        <w:ind w:left="1038" w:right="0" w:hanging="360"/>
        <w:jc w:val="both"/>
      </w:pPr>
      <w:bookmarkStart w:name="_TOC_250102" w:id="31"/>
      <w:r>
        <w:rPr/>
        <w:t>Use</w:t>
      </w:r>
      <w:r>
        <w:rPr>
          <w:spacing w:val="-6"/>
        </w:rPr>
        <w:t> </w:t>
      </w:r>
      <w:r>
        <w:rPr/>
        <w:t>of medicinal</w:t>
      </w:r>
      <w:r>
        <w:rPr>
          <w:spacing w:val="-1"/>
        </w:rPr>
        <w:t> </w:t>
      </w:r>
      <w:r>
        <w:rPr/>
        <w:t>plants</w:t>
      </w:r>
      <w:r>
        <w:rPr>
          <w:spacing w:val="-1"/>
        </w:rPr>
        <w:t> </w:t>
      </w:r>
      <w:r>
        <w:rPr/>
        <w:t>for</w:t>
      </w:r>
      <w:r>
        <w:rPr>
          <w:spacing w:val="-2"/>
        </w:rPr>
        <w:t> </w:t>
      </w:r>
      <w:r>
        <w:rPr/>
        <w:t>the</w:t>
      </w:r>
      <w:r>
        <w:rPr>
          <w:spacing w:val="-2"/>
        </w:rPr>
        <w:t> </w:t>
      </w:r>
      <w:r>
        <w:rPr/>
        <w:t>treatment</w:t>
      </w:r>
      <w:r>
        <w:rPr>
          <w:spacing w:val="-1"/>
        </w:rPr>
        <w:t> </w:t>
      </w:r>
      <w:r>
        <w:rPr/>
        <w:t>of</w:t>
      </w:r>
      <w:r>
        <w:rPr>
          <w:spacing w:val="-1"/>
        </w:rPr>
        <w:t> </w:t>
      </w:r>
      <w:r>
        <w:rPr/>
        <w:t>diabetes</w:t>
      </w:r>
      <w:r>
        <w:rPr>
          <w:spacing w:val="-1"/>
        </w:rPr>
        <w:t> </w:t>
      </w:r>
      <w:bookmarkEnd w:id="31"/>
      <w:r>
        <w:rPr>
          <w:spacing w:val="-2"/>
        </w:rPr>
        <w:t>mellitus</w:t>
      </w:r>
    </w:p>
    <w:p>
      <w:pPr>
        <w:pStyle w:val="BodyText"/>
        <w:spacing w:line="360" w:lineRule="auto" w:before="132"/>
        <w:ind w:left="678" w:right="993" w:firstLine="720"/>
        <w:jc w:val="both"/>
      </w:pPr>
      <w:r>
        <w:rPr/>
        <w:t>The importance of anti-diabetic plants in the development of economic and effective treatment for diabetes, currently estimated to affect over 30 million people worldwide, has been recognized by the World Health Organization (WHO, 1985).</w:t>
      </w:r>
    </w:p>
    <w:p>
      <w:pPr>
        <w:pStyle w:val="BodyText"/>
        <w:spacing w:line="360" w:lineRule="auto" w:before="122"/>
        <w:ind w:left="678" w:right="997" w:firstLine="720"/>
        <w:jc w:val="both"/>
      </w:pPr>
      <w:r>
        <w:rPr/>
        <w:t>Anti-diabetic plants have often been used by practitioners of herbal medicine in treating individuals with non-insulin-dependent (type 2) diabetes.</w:t>
      </w:r>
      <w:r>
        <w:rPr>
          <w:spacing w:val="40"/>
        </w:rPr>
        <w:t> </w:t>
      </w:r>
      <w:r>
        <w:rPr/>
        <w:t>However, the use of such herbs by type 1 (insulin- dependent) diabetics can be hazardous and requires that</w:t>
      </w:r>
      <w:r>
        <w:rPr>
          <w:spacing w:val="40"/>
        </w:rPr>
        <w:t> </w:t>
      </w:r>
      <w:r>
        <w:rPr/>
        <w:t>such patients carefully monitor their blood sugar to prevent hypoglycemic and hyperglycemic episodes (Brinker, 1998).</w:t>
      </w:r>
    </w:p>
    <w:p>
      <w:pPr>
        <w:pStyle w:val="BodyText"/>
        <w:spacing w:line="276" w:lineRule="exact"/>
        <w:ind w:left="1458"/>
        <w:jc w:val="both"/>
      </w:pPr>
      <w:r>
        <w:rPr/>
        <w:t>Some</w:t>
      </w:r>
      <w:r>
        <w:rPr>
          <w:spacing w:val="51"/>
        </w:rPr>
        <w:t> </w:t>
      </w:r>
      <w:r>
        <w:rPr/>
        <w:t>of</w:t>
      </w:r>
      <w:r>
        <w:rPr>
          <w:spacing w:val="50"/>
        </w:rPr>
        <w:t> </w:t>
      </w:r>
      <w:r>
        <w:rPr/>
        <w:t>the</w:t>
      </w:r>
      <w:r>
        <w:rPr>
          <w:spacing w:val="52"/>
        </w:rPr>
        <w:t> </w:t>
      </w:r>
      <w:r>
        <w:rPr/>
        <w:t>plants</w:t>
      </w:r>
      <w:r>
        <w:rPr>
          <w:spacing w:val="51"/>
        </w:rPr>
        <w:t> </w:t>
      </w:r>
      <w:r>
        <w:rPr/>
        <w:t>that</w:t>
      </w:r>
      <w:r>
        <w:rPr>
          <w:spacing w:val="52"/>
        </w:rPr>
        <w:t> </w:t>
      </w:r>
      <w:r>
        <w:rPr/>
        <w:t>have</w:t>
      </w:r>
      <w:r>
        <w:rPr>
          <w:spacing w:val="50"/>
        </w:rPr>
        <w:t> </w:t>
      </w:r>
      <w:r>
        <w:rPr/>
        <w:t>shown</w:t>
      </w:r>
      <w:r>
        <w:rPr>
          <w:spacing w:val="52"/>
        </w:rPr>
        <w:t> </w:t>
      </w:r>
      <w:r>
        <w:rPr/>
        <w:t>varying</w:t>
      </w:r>
      <w:r>
        <w:rPr>
          <w:spacing w:val="49"/>
        </w:rPr>
        <w:t> </w:t>
      </w:r>
      <w:r>
        <w:rPr/>
        <w:t>degree</w:t>
      </w:r>
      <w:r>
        <w:rPr>
          <w:spacing w:val="51"/>
        </w:rPr>
        <w:t> </w:t>
      </w:r>
      <w:r>
        <w:rPr/>
        <w:t>of</w:t>
      </w:r>
      <w:r>
        <w:rPr>
          <w:spacing w:val="50"/>
        </w:rPr>
        <w:t> </w:t>
      </w:r>
      <w:r>
        <w:rPr/>
        <w:t>hypoglycemic</w:t>
      </w:r>
      <w:r>
        <w:rPr>
          <w:spacing w:val="54"/>
        </w:rPr>
        <w:t> </w:t>
      </w:r>
      <w:r>
        <w:rPr>
          <w:spacing w:val="-2"/>
        </w:rPr>
        <w:t>activity</w:t>
      </w:r>
    </w:p>
    <w:p>
      <w:pPr>
        <w:pStyle w:val="BodyText"/>
        <w:spacing w:before="139"/>
        <w:ind w:left="678"/>
      </w:pPr>
      <w:r>
        <w:rPr>
          <w:spacing w:val="-2"/>
        </w:rPr>
        <w:t>include:</w:t>
      </w:r>
    </w:p>
    <w:p>
      <w:pPr>
        <w:pStyle w:val="BodyText"/>
      </w:pPr>
    </w:p>
    <w:p>
      <w:pPr>
        <w:pStyle w:val="BodyText"/>
        <w:spacing w:before="5"/>
      </w:pPr>
    </w:p>
    <w:p>
      <w:pPr>
        <w:pStyle w:val="ListParagraph"/>
        <w:numPr>
          <w:ilvl w:val="2"/>
          <w:numId w:val="19"/>
        </w:numPr>
        <w:tabs>
          <w:tab w:pos="1218" w:val="left" w:leader="none"/>
        </w:tabs>
        <w:spacing w:line="240" w:lineRule="auto" w:before="0" w:after="0"/>
        <w:ind w:left="1218" w:right="0" w:hanging="540"/>
        <w:jc w:val="both"/>
        <w:rPr>
          <w:b/>
          <w:sz w:val="24"/>
        </w:rPr>
      </w:pPr>
      <w:r>
        <w:rPr>
          <w:b/>
          <w:i/>
          <w:sz w:val="24"/>
        </w:rPr>
        <w:t>Momordica</w:t>
      </w:r>
      <w:r>
        <w:rPr>
          <w:b/>
          <w:i/>
          <w:spacing w:val="-2"/>
          <w:sz w:val="24"/>
        </w:rPr>
        <w:t> </w:t>
      </w:r>
      <w:r>
        <w:rPr>
          <w:b/>
          <w:i/>
          <w:sz w:val="24"/>
        </w:rPr>
        <w:t>charantia</w:t>
      </w:r>
      <w:r>
        <w:rPr>
          <w:b/>
          <w:i/>
          <w:spacing w:val="-1"/>
          <w:sz w:val="24"/>
        </w:rPr>
        <w:t> </w:t>
      </w:r>
      <w:r>
        <w:rPr>
          <w:b/>
          <w:sz w:val="24"/>
        </w:rPr>
        <w:t>L</w:t>
      </w:r>
      <w:r>
        <w:rPr>
          <w:b/>
          <w:spacing w:val="-2"/>
          <w:sz w:val="24"/>
        </w:rPr>
        <w:t> </w:t>
      </w:r>
      <w:r>
        <w:rPr>
          <w:b/>
          <w:sz w:val="24"/>
        </w:rPr>
        <w:t>(Karela)</w:t>
      </w:r>
      <w:r>
        <w:rPr>
          <w:b/>
          <w:spacing w:val="-1"/>
          <w:sz w:val="24"/>
        </w:rPr>
        <w:t> </w:t>
      </w:r>
      <w:r>
        <w:rPr>
          <w:b/>
          <w:sz w:val="24"/>
        </w:rPr>
        <w:t>or</w:t>
      </w:r>
      <w:r>
        <w:rPr>
          <w:b/>
          <w:spacing w:val="-3"/>
          <w:sz w:val="24"/>
        </w:rPr>
        <w:t> </w:t>
      </w:r>
      <w:r>
        <w:rPr>
          <w:b/>
          <w:sz w:val="24"/>
        </w:rPr>
        <w:t>(Balsam</w:t>
      </w:r>
      <w:r>
        <w:rPr>
          <w:b/>
          <w:spacing w:val="-4"/>
          <w:sz w:val="24"/>
        </w:rPr>
        <w:t> pear)</w:t>
      </w:r>
    </w:p>
    <w:p>
      <w:pPr>
        <w:pStyle w:val="BodyText"/>
        <w:spacing w:line="360" w:lineRule="auto" w:before="132"/>
        <w:ind w:left="678" w:right="992" w:firstLine="720"/>
        <w:jc w:val="both"/>
      </w:pPr>
      <w:r>
        <w:rPr>
          <w:i/>
        </w:rPr>
        <w:t>Momordica charantia </w:t>
      </w:r>
      <w:r>
        <w:rPr/>
        <w:t>known as Bitter melon is used primarily as an alternative therapy for diabetes. Bitter melon has a long history of use as a hypoglycemic agent in Asia, Africa, and Latin America, where the plant extract has been referred to as vegetable insulin.</w:t>
      </w:r>
      <w:r>
        <w:rPr>
          <w:spacing w:val="40"/>
        </w:rPr>
        <w:t> </w:t>
      </w:r>
      <w:r>
        <w:rPr/>
        <w:t>Data from </w:t>
      </w:r>
      <w:r>
        <w:rPr>
          <w:i/>
        </w:rPr>
        <w:t>in vitro</w:t>
      </w:r>
      <w:r>
        <w:rPr/>
        <w:t>, animal and designed human studies do suggest that bitter melon and some of its crude extracts have a moderate hypoglycemic effect (Basch </w:t>
      </w:r>
      <w:r>
        <w:rPr>
          <w:i/>
        </w:rPr>
        <w:t>et al</w:t>
      </w:r>
      <w:r>
        <w:rPr/>
        <w:t>., 2003)</w:t>
      </w:r>
      <w:r>
        <w:rPr>
          <w:rFonts w:ascii="Verdana"/>
        </w:rPr>
        <w:t>. </w:t>
      </w:r>
      <w:r>
        <w:rPr/>
        <w:t>In healthy mice, an aqueous extract obtained from </w:t>
      </w:r>
      <w:r>
        <w:rPr>
          <w:i/>
        </w:rPr>
        <w:t>Momordica charantia L. </w:t>
      </w:r>
      <w:r>
        <w:rPr/>
        <w:t>attenuated the glycaemic response to both oral and intraperitoneal glucose, without</w:t>
      </w:r>
      <w:r>
        <w:rPr>
          <w:spacing w:val="40"/>
        </w:rPr>
        <w:t> </w:t>
      </w:r>
      <w:r>
        <w:rPr/>
        <w:t>altering the insulin response. This aqueous extract and the residue after alkaline chloroform extraction reduced hyperglycaemia in diabetic mice after 1 hour. It was concluded that the hypoglycaemia activity of orally administered </w:t>
      </w:r>
      <w:r>
        <w:rPr>
          <w:i/>
        </w:rPr>
        <w:t>M. charantia </w:t>
      </w:r>
      <w:r>
        <w:rPr/>
        <w:t>extracts was independent of intestinal glucose absorption and involved an extrapancreatic effect (Day </w:t>
      </w:r>
      <w:r>
        <w:rPr>
          <w:i/>
        </w:rPr>
        <w:t>et al</w:t>
      </w:r>
      <w:r>
        <w:rPr/>
        <w:t>., 1990).</w:t>
      </w:r>
      <w:r>
        <w:rPr>
          <w:spacing w:val="40"/>
        </w:rPr>
        <w:t> </w:t>
      </w:r>
      <w:r>
        <w:rPr/>
        <w:t>A 50 % methanolic extract (30 mg/kg) caused a decrease in blood glucose level (BGL) 3 hours after oral administration to streptozotocin-induced diabetic rats.</w:t>
      </w:r>
      <w:r>
        <w:rPr>
          <w:spacing w:val="38"/>
        </w:rPr>
        <w:t> </w:t>
      </w:r>
      <w:r>
        <w:rPr/>
        <w:t>Other</w:t>
      </w:r>
      <w:r>
        <w:rPr>
          <w:spacing w:val="38"/>
        </w:rPr>
        <w:t> </w:t>
      </w:r>
      <w:r>
        <w:rPr/>
        <w:t>fractions,</w:t>
      </w:r>
      <w:r>
        <w:rPr>
          <w:spacing w:val="40"/>
        </w:rPr>
        <w:t> </w:t>
      </w:r>
      <w:r>
        <w:rPr/>
        <w:t>such</w:t>
      </w:r>
      <w:r>
        <w:rPr>
          <w:spacing w:val="39"/>
        </w:rPr>
        <w:t> </w:t>
      </w:r>
      <w:r>
        <w:rPr/>
        <w:t>as</w:t>
      </w:r>
      <w:r>
        <w:rPr>
          <w:spacing w:val="40"/>
        </w:rPr>
        <w:t> </w:t>
      </w:r>
      <w:r>
        <w:rPr/>
        <w:t>the</w:t>
      </w:r>
      <w:r>
        <w:rPr>
          <w:spacing w:val="39"/>
        </w:rPr>
        <w:t> </w:t>
      </w:r>
      <w:r>
        <w:rPr/>
        <w:t>n-butanol</w:t>
      </w:r>
      <w:r>
        <w:rPr>
          <w:spacing w:val="39"/>
        </w:rPr>
        <w:t> </w:t>
      </w:r>
      <w:r>
        <w:rPr/>
        <w:t>soluble</w:t>
      </w:r>
      <w:r>
        <w:rPr>
          <w:spacing w:val="40"/>
        </w:rPr>
        <w:t> </w:t>
      </w:r>
      <w:r>
        <w:rPr/>
        <w:t>fraction</w:t>
      </w:r>
      <w:r>
        <w:rPr>
          <w:spacing w:val="39"/>
        </w:rPr>
        <w:t> </w:t>
      </w:r>
      <w:r>
        <w:rPr/>
        <w:t>from</w:t>
      </w:r>
      <w:r>
        <w:rPr>
          <w:spacing w:val="42"/>
        </w:rPr>
        <w:t> </w:t>
      </w:r>
      <w:r>
        <w:rPr>
          <w:i/>
        </w:rPr>
        <w:t>M.</w:t>
      </w:r>
      <w:r>
        <w:rPr>
          <w:i/>
          <w:spacing w:val="39"/>
        </w:rPr>
        <w:t> </w:t>
      </w:r>
      <w:r>
        <w:rPr>
          <w:i/>
        </w:rPr>
        <w:t>charantia</w:t>
      </w:r>
      <w:r>
        <w:rPr>
          <w:i/>
          <w:spacing w:val="42"/>
        </w:rPr>
        <w:t> </w:t>
      </w:r>
      <w:r>
        <w:rPr>
          <w:spacing w:val="-2"/>
        </w:rPr>
        <w:t>extract,</w:t>
      </w:r>
    </w:p>
    <w:p>
      <w:pPr>
        <w:spacing w:after="0" w:line="360" w:lineRule="auto"/>
        <w:jc w:val="both"/>
        <w:sectPr>
          <w:pgSz w:w="12240" w:h="15840"/>
          <w:pgMar w:header="0" w:footer="1056" w:top="1320" w:bottom="1240" w:left="1420" w:right="420"/>
        </w:sectPr>
      </w:pPr>
    </w:p>
    <w:p>
      <w:pPr>
        <w:pStyle w:val="BodyText"/>
        <w:spacing w:line="360" w:lineRule="auto" w:before="72"/>
        <w:ind w:left="678" w:right="993"/>
        <w:jc w:val="both"/>
      </w:pPr>
      <w:r>
        <w:rPr/>
        <mc:AlternateContent>
          <mc:Choice Requires="wps">
            <w:drawing>
              <wp:anchor distT="0" distB="0" distL="0" distR="0" allowOverlap="1" layoutInCell="1" locked="0" behindDoc="1" simplePos="0" relativeHeight="482919936">
                <wp:simplePos x="0" y="0"/>
                <wp:positionH relativeFrom="page">
                  <wp:posOffset>-1402226</wp:posOffset>
                </wp:positionH>
                <wp:positionV relativeFrom="page">
                  <wp:posOffset>4612234</wp:posOffset>
                </wp:positionV>
                <wp:extent cx="10685780" cy="914400"/>
                <wp:effectExtent l="0" t="0" r="0" b="0"/>
                <wp:wrapNone/>
                <wp:docPr id="37" name="Textbox 37"/>
                <wp:cNvGraphicFramePr>
                  <a:graphicFrameLocks/>
                </wp:cNvGraphicFramePr>
                <a:graphic>
                  <a:graphicData uri="http://schemas.microsoft.com/office/word/2010/wordprocessingShape">
                    <wps:wsp>
                      <wps:cNvPr id="37" name="Textbox 3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6544;rotation:306" type="#_x0000_t136" fillcolor="#ff5400" stroked="f">
                <o:extrusion v:ext="view" autorotationcenter="t"/>
                <v:textpath style="font-family:&quot;Arial MT&quot;;font-size:72pt;v-text-kern:t;mso-text-shadow:auto" string="UNIVERSITY OF IBADAN"/>
                <w10:wrap type="none"/>
              </v:shape>
            </w:pict>
          </mc:Fallback>
        </mc:AlternateContent>
      </w:r>
      <w:r>
        <w:rPr/>
        <w:t>were</w:t>
      </w:r>
      <w:r>
        <w:rPr>
          <w:spacing w:val="-3"/>
        </w:rPr>
        <w:t> </w:t>
      </w:r>
      <w:r>
        <w:rPr/>
        <w:t>most</w:t>
      </w:r>
      <w:r>
        <w:rPr>
          <w:spacing w:val="-3"/>
        </w:rPr>
        <w:t> </w:t>
      </w:r>
      <w:r>
        <w:rPr/>
        <w:t>effective</w:t>
      </w:r>
      <w:r>
        <w:rPr>
          <w:spacing w:val="-2"/>
        </w:rPr>
        <w:t> </w:t>
      </w:r>
      <w:r>
        <w:rPr/>
        <w:t>in</w:t>
      </w:r>
      <w:r>
        <w:rPr>
          <w:spacing w:val="-3"/>
        </w:rPr>
        <w:t> </w:t>
      </w:r>
      <w:r>
        <w:rPr/>
        <w:t>lowering</w:t>
      </w:r>
      <w:r>
        <w:rPr>
          <w:spacing w:val="-4"/>
        </w:rPr>
        <w:t> </w:t>
      </w:r>
      <w:r>
        <w:rPr/>
        <w:t>BGL. The</w:t>
      </w:r>
      <w:r>
        <w:rPr>
          <w:spacing w:val="-4"/>
        </w:rPr>
        <w:t> </w:t>
      </w:r>
      <w:r>
        <w:rPr/>
        <w:t>n-butanol</w:t>
      </w:r>
      <w:r>
        <w:rPr>
          <w:spacing w:val="-3"/>
        </w:rPr>
        <w:t> </w:t>
      </w:r>
      <w:r>
        <w:rPr/>
        <w:t>fraction</w:t>
      </w:r>
      <w:r>
        <w:rPr>
          <w:spacing w:val="-3"/>
        </w:rPr>
        <w:t> </w:t>
      </w:r>
      <w:r>
        <w:rPr/>
        <w:t>of </w:t>
      </w:r>
      <w:r>
        <w:rPr>
          <w:i/>
        </w:rPr>
        <w:t>M.</w:t>
      </w:r>
      <w:r>
        <w:rPr>
          <w:i/>
          <w:spacing w:val="-3"/>
        </w:rPr>
        <w:t> </w:t>
      </w:r>
      <w:r>
        <w:rPr>
          <w:i/>
        </w:rPr>
        <w:t>charantia</w:t>
      </w:r>
      <w:r>
        <w:rPr>
          <w:i/>
          <w:spacing w:val="-2"/>
        </w:rPr>
        <w:t> </w:t>
      </w:r>
      <w:r>
        <w:rPr/>
        <w:t>inhibited</w:t>
      </w:r>
      <w:r>
        <w:rPr>
          <w:spacing w:val="-3"/>
        </w:rPr>
        <w:t> </w:t>
      </w:r>
      <w:r>
        <w:rPr/>
        <w:t>the increase of BGL prominently after intraperitoneal glucose load. Like the action of sulfonylureas</w:t>
      </w:r>
      <w:r>
        <w:rPr>
          <w:spacing w:val="-2"/>
        </w:rPr>
        <w:t> </w:t>
      </w:r>
      <w:r>
        <w:rPr/>
        <w:t>(Higashino </w:t>
      </w:r>
      <w:r>
        <w:rPr>
          <w:i/>
        </w:rPr>
        <w:t>et</w:t>
      </w:r>
      <w:r>
        <w:rPr>
          <w:i/>
          <w:spacing w:val="-2"/>
        </w:rPr>
        <w:t> </w:t>
      </w:r>
      <w:r>
        <w:rPr>
          <w:i/>
        </w:rPr>
        <w:t>al</w:t>
      </w:r>
      <w:r>
        <w:rPr/>
        <w:t>.,</w:t>
      </w:r>
      <w:r>
        <w:rPr>
          <w:spacing w:val="-2"/>
        </w:rPr>
        <w:t> </w:t>
      </w:r>
      <w:r>
        <w:rPr/>
        <w:t>1992),</w:t>
      </w:r>
      <w:r>
        <w:rPr>
          <w:spacing w:val="-4"/>
        </w:rPr>
        <w:t> </w:t>
      </w:r>
      <w:r>
        <w:rPr/>
        <w:t>the</w:t>
      </w:r>
      <w:r>
        <w:rPr>
          <w:spacing w:val="-2"/>
        </w:rPr>
        <w:t> </w:t>
      </w:r>
      <w:r>
        <w:rPr>
          <w:i/>
        </w:rPr>
        <w:t>M.</w:t>
      </w:r>
      <w:r>
        <w:rPr>
          <w:i/>
          <w:spacing w:val="-2"/>
        </w:rPr>
        <w:t> </w:t>
      </w:r>
      <w:r>
        <w:rPr>
          <w:i/>
        </w:rPr>
        <w:t>charantia</w:t>
      </w:r>
      <w:r>
        <w:rPr>
          <w:i/>
          <w:spacing w:val="-1"/>
        </w:rPr>
        <w:t> </w:t>
      </w:r>
      <w:r>
        <w:rPr/>
        <w:t>extract</w:t>
      </w:r>
      <w:r>
        <w:rPr>
          <w:spacing w:val="-2"/>
        </w:rPr>
        <w:t> </w:t>
      </w:r>
      <w:r>
        <w:rPr/>
        <w:t>seems</w:t>
      </w:r>
      <w:r>
        <w:rPr>
          <w:spacing w:val="-2"/>
        </w:rPr>
        <w:t> </w:t>
      </w:r>
      <w:r>
        <w:rPr/>
        <w:t>to</w:t>
      </w:r>
      <w:r>
        <w:rPr>
          <w:spacing w:val="-2"/>
        </w:rPr>
        <w:t> </w:t>
      </w:r>
      <w:r>
        <w:rPr/>
        <w:t>act</w:t>
      </w:r>
      <w:r>
        <w:rPr>
          <w:spacing w:val="-2"/>
        </w:rPr>
        <w:t> </w:t>
      </w:r>
      <w:r>
        <w:rPr/>
        <w:t>like</w:t>
      </w:r>
      <w:r>
        <w:rPr>
          <w:spacing w:val="-3"/>
        </w:rPr>
        <w:t> </w:t>
      </w:r>
      <w:r>
        <w:rPr/>
        <w:t>insulin</w:t>
      </w:r>
      <w:r>
        <w:rPr>
          <w:spacing w:val="-4"/>
        </w:rPr>
        <w:t> </w:t>
      </w:r>
      <w:r>
        <w:rPr/>
        <w:t>or via insulin secretion from the pancreas. The aqueous fruit extract decreased the fasting glucose level in normoglycaemic and cyproheptadine-induced hyperglycaemic mice. The alcoholic extract of the pulp (500 mg/kg), administered to healthy glucose-primed rats depressed plasma glucose levels at 1 hour. Tolbutamide (100 mg/kg), under similar conditions, produced the same effect. This reduction in plasma glucose levels was not accompanied by increased insulin secretion. In streptozotocin-induced diabetic rats, it improved the oral glucose tolerance causing significant reduction in plasma glucose.</w:t>
      </w:r>
      <w:r>
        <w:rPr>
          <w:spacing w:val="40"/>
        </w:rPr>
        <w:t> </w:t>
      </w:r>
      <w:r>
        <w:rPr/>
        <w:t>These data suggest that the mechanism of action of this plant could partly be attributed to increased glucose utilization by the liver rather than an insulin secretion effect (Sarka </w:t>
      </w:r>
      <w:r>
        <w:rPr>
          <w:i/>
        </w:rPr>
        <w:t>et al</w:t>
      </w:r>
      <w:r>
        <w:rPr/>
        <w:t>., 1996).</w:t>
      </w:r>
    </w:p>
    <w:p>
      <w:pPr>
        <w:pStyle w:val="BodyText"/>
        <w:spacing w:before="145"/>
      </w:pPr>
    </w:p>
    <w:p>
      <w:pPr>
        <w:pStyle w:val="Heading3"/>
        <w:numPr>
          <w:ilvl w:val="2"/>
          <w:numId w:val="19"/>
        </w:numPr>
        <w:tabs>
          <w:tab w:pos="1218" w:val="left" w:leader="none"/>
        </w:tabs>
        <w:spacing w:line="240" w:lineRule="auto" w:before="0" w:after="0"/>
        <w:ind w:left="1218" w:right="0" w:hanging="540"/>
        <w:jc w:val="both"/>
      </w:pPr>
      <w:bookmarkStart w:name="_TOC_250101" w:id="32"/>
      <w:r>
        <w:rPr/>
        <w:t>Caesalpinia</w:t>
      </w:r>
      <w:r>
        <w:rPr>
          <w:spacing w:val="-1"/>
        </w:rPr>
        <w:t> </w:t>
      </w:r>
      <w:bookmarkEnd w:id="32"/>
      <w:r>
        <w:rPr>
          <w:spacing w:val="-2"/>
        </w:rPr>
        <w:t>bonducella</w:t>
      </w:r>
    </w:p>
    <w:p>
      <w:pPr>
        <w:pStyle w:val="BodyText"/>
        <w:spacing w:line="360" w:lineRule="auto" w:before="132"/>
        <w:ind w:left="678" w:right="992" w:firstLine="720"/>
        <w:jc w:val="both"/>
      </w:pPr>
      <w:r>
        <w:rPr>
          <w:i/>
        </w:rPr>
        <w:t>Caesalpinia bonducella </w:t>
      </w:r>
      <w:r>
        <w:rPr/>
        <w:t>F., (Leguminosae) commonly known as Nata Karanja in Spanish, is a prickly shrub found throughout the hotter parts of India, Myanmar, Sri</w:t>
      </w:r>
      <w:r>
        <w:rPr>
          <w:spacing w:val="40"/>
        </w:rPr>
        <w:t> </w:t>
      </w:r>
      <w:r>
        <w:rPr/>
        <w:t>Lanka, Bangladesh. It is reported to have antipyretic, antidiuretic, anthelmintic and antibacterial (</w:t>
      </w:r>
      <w:hyperlink r:id="rId9">
        <w:r>
          <w:rPr/>
          <w:t>Neogi and Nayak, 1958</w:t>
        </w:r>
      </w:hyperlink>
      <w:r>
        <w:rPr/>
        <w:t>), antianaphylactic and antidiarrhoeal (</w:t>
      </w:r>
      <w:hyperlink r:id="rId10">
        <w:r>
          <w:rPr/>
          <w:t>Iyengar and</w:t>
        </w:r>
      </w:hyperlink>
      <w:r>
        <w:rPr/>
        <w:t> </w:t>
      </w:r>
      <w:hyperlink r:id="rId10">
        <w:r>
          <w:rPr/>
          <w:t>Pendse, 1965</w:t>
        </w:r>
      </w:hyperlink>
      <w:r>
        <w:rPr/>
        <w:t>), antiviral (</w:t>
      </w:r>
      <w:hyperlink r:id="rId11">
        <w:r>
          <w:rPr/>
          <w:t>Dhar </w:t>
        </w:r>
        <w:r>
          <w:rPr>
            <w:i/>
          </w:rPr>
          <w:t>et al</w:t>
        </w:r>
        <w:r>
          <w:rPr/>
          <w:t>., 1968</w:t>
        </w:r>
      </w:hyperlink>
      <w:r>
        <w:rPr/>
        <w:t>), antiasthmatic (</w:t>
      </w:r>
      <w:hyperlink r:id="rId12">
        <w:r>
          <w:rPr/>
          <w:t>Gayaraja </w:t>
        </w:r>
        <w:r>
          <w:rPr>
            <w:i/>
          </w:rPr>
          <w:t>et al</w:t>
        </w:r>
        <w:r>
          <w:rPr/>
          <w:t>., 1978</w:t>
        </w:r>
      </w:hyperlink>
      <w:r>
        <w:rPr/>
        <w:t>), antiemetic and antiestrogenic properties (</w:t>
      </w:r>
      <w:hyperlink r:id="rId13">
        <w:r>
          <w:rPr/>
          <w:t>Raghunathan and Mitra, 1982</w:t>
        </w:r>
      </w:hyperlink>
      <w:r>
        <w:rPr/>
        <w:t>).</w:t>
      </w:r>
    </w:p>
    <w:p>
      <w:pPr>
        <w:pStyle w:val="BodyText"/>
        <w:spacing w:before="5"/>
      </w:pPr>
    </w:p>
    <w:p>
      <w:pPr>
        <w:pStyle w:val="BodyText"/>
        <w:spacing w:line="360" w:lineRule="auto"/>
        <w:ind w:left="678" w:right="990" w:firstLine="720"/>
        <w:jc w:val="both"/>
      </w:pPr>
      <w:r>
        <w:rPr/>
        <w:t>Traditionally, the tribes of Andaman and Nicober Island in the Bay of Bengal and</w:t>
      </w:r>
      <w:r>
        <w:rPr>
          <w:spacing w:val="40"/>
        </w:rPr>
        <w:t> </w:t>
      </w:r>
      <w:r>
        <w:rPr/>
        <w:t>a union Territory</w:t>
      </w:r>
      <w:r>
        <w:rPr>
          <w:spacing w:val="-3"/>
        </w:rPr>
        <w:t> </w:t>
      </w:r>
      <w:r>
        <w:rPr/>
        <w:t>of India used the aqueous decoction of the seeds of this plant, simply</w:t>
      </w:r>
      <w:r>
        <w:rPr>
          <w:spacing w:val="-3"/>
        </w:rPr>
        <w:t> </w:t>
      </w:r>
      <w:r>
        <w:rPr/>
        <w:t>by rubbing on a stone, to eliminate the symptoms of diabetes mellitus. This ethnic lead necessitated</w:t>
      </w:r>
      <w:r>
        <w:rPr>
          <w:spacing w:val="-2"/>
        </w:rPr>
        <w:t> </w:t>
      </w:r>
      <w:r>
        <w:rPr/>
        <w:t>the</w:t>
      </w:r>
      <w:r>
        <w:rPr>
          <w:spacing w:val="-3"/>
        </w:rPr>
        <w:t> </w:t>
      </w:r>
      <w:r>
        <w:rPr/>
        <w:t>exploration</w:t>
      </w:r>
      <w:r>
        <w:rPr>
          <w:spacing w:val="-2"/>
        </w:rPr>
        <w:t> </w:t>
      </w:r>
      <w:r>
        <w:rPr/>
        <w:t>of </w:t>
      </w:r>
      <w:r>
        <w:rPr>
          <w:i/>
        </w:rPr>
        <w:t>Caesalpinia</w:t>
      </w:r>
      <w:r>
        <w:rPr>
          <w:i/>
          <w:spacing w:val="-3"/>
        </w:rPr>
        <w:t> </w:t>
      </w:r>
      <w:r>
        <w:rPr>
          <w:i/>
        </w:rPr>
        <w:t>bonducella</w:t>
      </w:r>
      <w:r>
        <w:rPr>
          <w:i/>
          <w:spacing w:val="-1"/>
        </w:rPr>
        <w:t> </w:t>
      </w:r>
      <w:r>
        <w:rPr/>
        <w:t>seeds</w:t>
      </w:r>
      <w:r>
        <w:rPr>
          <w:spacing w:val="-2"/>
        </w:rPr>
        <w:t> </w:t>
      </w:r>
      <w:r>
        <w:rPr/>
        <w:t>for</w:t>
      </w:r>
      <w:r>
        <w:rPr>
          <w:spacing w:val="-4"/>
        </w:rPr>
        <w:t> </w:t>
      </w:r>
      <w:r>
        <w:rPr/>
        <w:t>their</w:t>
      </w:r>
      <w:r>
        <w:rPr>
          <w:spacing w:val="-3"/>
        </w:rPr>
        <w:t> </w:t>
      </w:r>
      <w:r>
        <w:rPr/>
        <w:t>antidiabetic</w:t>
      </w:r>
      <w:r>
        <w:rPr>
          <w:spacing w:val="-3"/>
        </w:rPr>
        <w:t> </w:t>
      </w:r>
      <w:r>
        <w:rPr/>
        <w:t>activity. Blood sugar lowering activity of </w:t>
      </w:r>
      <w:r>
        <w:rPr>
          <w:i/>
        </w:rPr>
        <w:t>Caesalpinia bonducella </w:t>
      </w:r>
      <w:r>
        <w:rPr/>
        <w:t>has been primarily evaluated with significant results in rabbit (</w:t>
      </w:r>
      <w:hyperlink r:id="rId14">
        <w:r>
          <w:rPr/>
          <w:t>Rao </w:t>
        </w:r>
        <w:r>
          <w:rPr>
            <w:i/>
          </w:rPr>
          <w:t>et al</w:t>
        </w:r>
        <w:r>
          <w:rPr/>
          <w:t>., 1994</w:t>
        </w:r>
      </w:hyperlink>
      <w:r>
        <w:rPr/>
        <w:t>). Hypoglycemic activity of different extracts of </w:t>
      </w:r>
      <w:r>
        <w:rPr>
          <w:i/>
        </w:rPr>
        <w:t>Caesalpinia bonducella </w:t>
      </w:r>
      <w:r>
        <w:rPr/>
        <w:t>seed shell has been reported in physiological hyperglycemic and type 1 and type 2 diabetic model rats (</w:t>
      </w:r>
      <w:hyperlink r:id="rId15">
        <w:r>
          <w:rPr/>
          <w:t>Biswas </w:t>
        </w:r>
        <w:r>
          <w:rPr>
            <w:i/>
          </w:rPr>
          <w:t>et al</w:t>
        </w:r>
        <w:r>
          <w:rPr/>
          <w:t>., 1997</w:t>
        </w:r>
      </w:hyperlink>
      <w:r>
        <w:rPr/>
        <w:t>, </w:t>
      </w:r>
      <w:hyperlink r:id="rId16">
        <w:r>
          <w:rPr/>
          <w:t>Chakrabarti</w:t>
        </w:r>
      </w:hyperlink>
      <w:r>
        <w:rPr/>
        <w:t> </w:t>
      </w:r>
      <w:hyperlink r:id="rId16">
        <w:r>
          <w:rPr>
            <w:i/>
          </w:rPr>
          <w:t>et al</w:t>
        </w:r>
        <w:r>
          <w:rPr/>
          <w:t>., 2003</w:t>
        </w:r>
      </w:hyperlink>
      <w:r>
        <w:rPr/>
        <w:t>).</w:t>
      </w:r>
    </w:p>
    <w:p>
      <w:pPr>
        <w:spacing w:after="0" w:line="360" w:lineRule="auto"/>
        <w:jc w:val="both"/>
        <w:sectPr>
          <w:pgSz w:w="12240" w:h="15840"/>
          <w:pgMar w:header="0" w:footer="1056" w:top="1340" w:bottom="1240" w:left="1420" w:right="420"/>
        </w:sectPr>
      </w:pPr>
    </w:p>
    <w:p>
      <w:pPr>
        <w:pStyle w:val="BodyText"/>
        <w:spacing w:line="360" w:lineRule="auto" w:before="72"/>
        <w:ind w:left="678" w:right="993" w:firstLine="720"/>
        <w:jc w:val="both"/>
      </w:pPr>
      <w:r>
        <w:rPr/>
        <mc:AlternateContent>
          <mc:Choice Requires="wps">
            <w:drawing>
              <wp:anchor distT="0" distB="0" distL="0" distR="0" allowOverlap="1" layoutInCell="1" locked="0" behindDoc="1" simplePos="0" relativeHeight="482920448">
                <wp:simplePos x="0" y="0"/>
                <wp:positionH relativeFrom="page">
                  <wp:posOffset>-1402226</wp:posOffset>
                </wp:positionH>
                <wp:positionV relativeFrom="page">
                  <wp:posOffset>4612234</wp:posOffset>
                </wp:positionV>
                <wp:extent cx="10685780" cy="914400"/>
                <wp:effectExtent l="0" t="0" r="0" b="0"/>
                <wp:wrapNone/>
                <wp:docPr id="38" name="Textbox 38"/>
                <wp:cNvGraphicFramePr>
                  <a:graphicFrameLocks/>
                </wp:cNvGraphicFramePr>
                <a:graphic>
                  <a:graphicData uri="http://schemas.microsoft.com/office/word/2010/wordprocessingShape">
                    <wps:wsp>
                      <wps:cNvPr id="38" name="Textbox 3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6032;rotation:306" type="#_x0000_t136" fillcolor="#ff5400" stroked="f">
                <o:extrusion v:ext="view" autorotationcenter="t"/>
                <v:textpath style="font-family:&quot;Arial MT&quot;;font-size:72pt;v-text-kern:t;mso-text-shadow:auto" string="UNIVERSITY OF IBADAN"/>
                <w10:wrap type="none"/>
              </v:shape>
            </w:pict>
          </mc:Fallback>
        </mc:AlternateContent>
      </w:r>
      <w:r>
        <w:rPr/>
        <w:t>In healthy rats, both the aqueous and 50% ethanolic extracts of </w:t>
      </w:r>
      <w:r>
        <w:rPr>
          <w:i/>
        </w:rPr>
        <w:t>Caesalpinia bonducella Fleming </w:t>
      </w:r>
      <w:r>
        <w:rPr/>
        <w:t>seeds exhibited hypoglycaemic activity as early as 4 h after administration at a dose of 100 mg/kg. The hypoglycaemia produced by the aqueous extract was of prolonged duration as compared to the ethanolic extract. In diabetic rats, both</w:t>
      </w:r>
      <w:r>
        <w:rPr>
          <w:spacing w:val="-2"/>
        </w:rPr>
        <w:t> </w:t>
      </w:r>
      <w:r>
        <w:rPr/>
        <w:t>extracts</w:t>
      </w:r>
      <w:r>
        <w:rPr>
          <w:spacing w:val="-2"/>
        </w:rPr>
        <w:t> </w:t>
      </w:r>
      <w:r>
        <w:rPr/>
        <w:t>produced</w:t>
      </w:r>
      <w:r>
        <w:rPr>
          <w:spacing w:val="-2"/>
        </w:rPr>
        <w:t> </w:t>
      </w:r>
      <w:r>
        <w:rPr/>
        <w:t>marked</w:t>
      </w:r>
      <w:r>
        <w:rPr>
          <w:spacing w:val="-2"/>
        </w:rPr>
        <w:t> </w:t>
      </w:r>
      <w:r>
        <w:rPr/>
        <w:t>antihyperglycaemic</w:t>
      </w:r>
      <w:r>
        <w:rPr>
          <w:spacing w:val="-3"/>
        </w:rPr>
        <w:t> </w:t>
      </w:r>
      <w:r>
        <w:rPr/>
        <w:t>effects</w:t>
      </w:r>
      <w:r>
        <w:rPr>
          <w:spacing w:val="-2"/>
        </w:rPr>
        <w:t> </w:t>
      </w:r>
      <w:r>
        <w:rPr/>
        <w:t>from</w:t>
      </w:r>
      <w:r>
        <w:rPr>
          <w:spacing w:val="-2"/>
        </w:rPr>
        <w:t> </w:t>
      </w:r>
      <w:r>
        <w:rPr/>
        <w:t>day</w:t>
      </w:r>
      <w:r>
        <w:rPr>
          <w:spacing w:val="-7"/>
        </w:rPr>
        <w:t> </w:t>
      </w:r>
      <w:r>
        <w:rPr/>
        <w:t>5</w:t>
      </w:r>
      <w:r>
        <w:rPr>
          <w:spacing w:val="-2"/>
        </w:rPr>
        <w:t> </w:t>
      </w:r>
      <w:r>
        <w:rPr/>
        <w:t>onwards</w:t>
      </w:r>
      <w:r>
        <w:rPr>
          <w:spacing w:val="-3"/>
        </w:rPr>
        <w:t> </w:t>
      </w:r>
      <w:r>
        <w:rPr/>
        <w:t>(Sharma </w:t>
      </w:r>
      <w:r>
        <w:rPr>
          <w:i/>
        </w:rPr>
        <w:t>et al</w:t>
      </w:r>
      <w:r>
        <w:rPr/>
        <w:t>, 1997).</w:t>
      </w:r>
    </w:p>
    <w:p>
      <w:pPr>
        <w:pStyle w:val="BodyText"/>
        <w:spacing w:before="142"/>
      </w:pPr>
    </w:p>
    <w:p>
      <w:pPr>
        <w:pStyle w:val="Heading3"/>
        <w:numPr>
          <w:ilvl w:val="2"/>
          <w:numId w:val="19"/>
        </w:numPr>
        <w:tabs>
          <w:tab w:pos="1218" w:val="left" w:leader="none"/>
        </w:tabs>
        <w:spacing w:line="240" w:lineRule="auto" w:before="1" w:after="0"/>
        <w:ind w:left="1218" w:right="0" w:hanging="540"/>
        <w:jc w:val="both"/>
      </w:pPr>
      <w:bookmarkStart w:name="_TOC_250100" w:id="33"/>
      <w:r>
        <w:rPr/>
        <w:t>Bauhinia</w:t>
      </w:r>
      <w:bookmarkEnd w:id="33"/>
      <w:r>
        <w:rPr>
          <w:spacing w:val="-2"/>
        </w:rPr>
        <w:t> divaricata</w:t>
      </w:r>
    </w:p>
    <w:p>
      <w:pPr>
        <w:pStyle w:val="BodyText"/>
        <w:spacing w:line="360" w:lineRule="auto" w:before="134"/>
        <w:ind w:left="678" w:right="993" w:firstLine="720"/>
        <w:jc w:val="both"/>
      </w:pPr>
      <w:r>
        <w:rPr>
          <w:i/>
        </w:rPr>
        <w:t>Bauhinia divaricata </w:t>
      </w:r>
      <w:r>
        <w:rPr/>
        <w:t>is an ornamental nice looking small tree that bear small white flower that turns pink with time. In laboratory experiment </w:t>
      </w:r>
      <w:r>
        <w:rPr>
          <w:i/>
        </w:rPr>
        <w:t>Bauhinia divericata </w:t>
      </w:r>
      <w:r>
        <w:rPr/>
        <w:t>revealed hypoglycemic (antidiabetic) effect (Roman Ramos </w:t>
      </w:r>
      <w:r>
        <w:rPr>
          <w:i/>
        </w:rPr>
        <w:t>et al</w:t>
      </w:r>
      <w:r>
        <w:rPr/>
        <w:t>., 1992, Lemus </w:t>
      </w:r>
      <w:r>
        <w:rPr>
          <w:i/>
        </w:rPr>
        <w:t>et al</w:t>
      </w:r>
      <w:r>
        <w:rPr/>
        <w:t>., 1999). A study was performed using healthy rabbits with intragastric administration of water, tolbutamide or decoction of the tested plant before the induction of hyperglycaemia by subcutaneous injection of 50 % dextrose solution (4 ml/kg) at 0 and 60 min. Tolbutamide and </w:t>
      </w:r>
      <w:r>
        <w:rPr>
          <w:i/>
        </w:rPr>
        <w:t>Bauhinia divaricata </w:t>
      </w:r>
      <w:r>
        <w:rPr/>
        <w:t>significantly decreased hyperglycaemia compared with control. (Roman-Ramos </w:t>
      </w:r>
      <w:r>
        <w:rPr>
          <w:i/>
        </w:rPr>
        <w:t>et al</w:t>
      </w:r>
      <w:r>
        <w:rPr/>
        <w:t>., 1992).</w:t>
      </w:r>
      <w:r>
        <w:rPr>
          <w:spacing w:val="40"/>
        </w:rPr>
        <w:t> </w:t>
      </w:r>
      <w:r>
        <w:rPr/>
        <w:t>The hypoglycaemic activity of a 20% dried leaf infusion of </w:t>
      </w:r>
      <w:r>
        <w:rPr>
          <w:i/>
        </w:rPr>
        <w:t>Bauhinia candicans </w:t>
      </w:r>
      <w:r>
        <w:rPr/>
        <w:t>Benth. did not modify the glycaemia in healthy rats, but in alloxan- induced diabetic rats it produced a decrease in glycaemia (39 %) (Lemus </w:t>
      </w:r>
      <w:r>
        <w:rPr>
          <w:i/>
        </w:rPr>
        <w:t>et al</w:t>
      </w:r>
      <w:r>
        <w:rPr/>
        <w:t>., 1999).</w:t>
      </w:r>
    </w:p>
    <w:p>
      <w:pPr>
        <w:pStyle w:val="BodyText"/>
        <w:spacing w:before="143"/>
      </w:pPr>
    </w:p>
    <w:p>
      <w:pPr>
        <w:pStyle w:val="ListParagraph"/>
        <w:numPr>
          <w:ilvl w:val="2"/>
          <w:numId w:val="19"/>
        </w:numPr>
        <w:tabs>
          <w:tab w:pos="1218" w:val="left" w:leader="none"/>
        </w:tabs>
        <w:spacing w:line="240" w:lineRule="auto" w:before="0" w:after="0"/>
        <w:ind w:left="1218" w:right="0" w:hanging="540"/>
        <w:jc w:val="both"/>
        <w:rPr>
          <w:b/>
          <w:sz w:val="24"/>
        </w:rPr>
      </w:pPr>
      <w:r>
        <w:rPr>
          <w:b/>
          <w:i/>
          <w:sz w:val="24"/>
        </w:rPr>
        <w:t>Trigonella</w:t>
      </w:r>
      <w:r>
        <w:rPr>
          <w:b/>
          <w:i/>
          <w:spacing w:val="-2"/>
          <w:sz w:val="24"/>
        </w:rPr>
        <w:t> </w:t>
      </w:r>
      <w:r>
        <w:rPr>
          <w:b/>
          <w:i/>
          <w:sz w:val="24"/>
        </w:rPr>
        <w:t>foenum</w:t>
      </w:r>
      <w:r>
        <w:rPr>
          <w:b/>
          <w:i/>
          <w:spacing w:val="-1"/>
          <w:sz w:val="24"/>
        </w:rPr>
        <w:t> </w:t>
      </w:r>
      <w:r>
        <w:rPr>
          <w:b/>
          <w:i/>
          <w:sz w:val="24"/>
        </w:rPr>
        <w:t>graecum</w:t>
      </w:r>
      <w:r>
        <w:rPr>
          <w:b/>
          <w:i/>
          <w:spacing w:val="2"/>
          <w:sz w:val="24"/>
        </w:rPr>
        <w:t> </w:t>
      </w:r>
      <w:r>
        <w:rPr>
          <w:b/>
          <w:sz w:val="24"/>
        </w:rPr>
        <w:t>L.</w:t>
      </w:r>
      <w:r>
        <w:rPr>
          <w:b/>
          <w:spacing w:val="-1"/>
          <w:sz w:val="24"/>
        </w:rPr>
        <w:t> </w:t>
      </w:r>
      <w:r>
        <w:rPr>
          <w:b/>
          <w:spacing w:val="-2"/>
          <w:sz w:val="24"/>
        </w:rPr>
        <w:t>(fenugreek)</w:t>
      </w:r>
    </w:p>
    <w:p>
      <w:pPr>
        <w:pStyle w:val="BodyText"/>
        <w:spacing w:line="360" w:lineRule="auto" w:before="134"/>
        <w:ind w:left="678" w:right="995" w:firstLine="720"/>
        <w:jc w:val="both"/>
      </w:pPr>
      <w:r>
        <w:rPr>
          <w:i/>
        </w:rPr>
        <w:t>Trigonella foenum graecum</w:t>
      </w:r>
      <w:r>
        <w:rPr/>
        <w:t>, commonly called fenugreek, is a leguminous plant native</w:t>
      </w:r>
      <w:r>
        <w:rPr>
          <w:spacing w:val="-2"/>
        </w:rPr>
        <w:t> </w:t>
      </w:r>
      <w:r>
        <w:rPr/>
        <w:t>to</w:t>
      </w:r>
      <w:r>
        <w:rPr>
          <w:spacing w:val="-1"/>
        </w:rPr>
        <w:t> </w:t>
      </w:r>
      <w:r>
        <w:rPr/>
        <w:t>many</w:t>
      </w:r>
      <w:r>
        <w:rPr>
          <w:spacing w:val="-5"/>
        </w:rPr>
        <w:t> </w:t>
      </w:r>
      <w:r>
        <w:rPr/>
        <w:t>Asian, Middle</w:t>
      </w:r>
      <w:r>
        <w:rPr>
          <w:spacing w:val="-2"/>
        </w:rPr>
        <w:t> </w:t>
      </w:r>
      <w:r>
        <w:rPr/>
        <w:t>Eastern, and</w:t>
      </w:r>
      <w:r>
        <w:rPr>
          <w:spacing w:val="-1"/>
        </w:rPr>
        <w:t> </w:t>
      </w:r>
      <w:r>
        <w:rPr/>
        <w:t>European</w:t>
      </w:r>
      <w:r>
        <w:rPr>
          <w:spacing w:val="-1"/>
        </w:rPr>
        <w:t> </w:t>
      </w:r>
      <w:r>
        <w:rPr/>
        <w:t>countries</w:t>
      </w:r>
      <w:r>
        <w:rPr>
          <w:spacing w:val="-1"/>
        </w:rPr>
        <w:t> </w:t>
      </w:r>
      <w:r>
        <w:rPr/>
        <w:t>(Milner </w:t>
      </w:r>
      <w:r>
        <w:rPr>
          <w:i/>
        </w:rPr>
        <w:t>et al</w:t>
      </w:r>
      <w:r>
        <w:rPr/>
        <w:t>.,</w:t>
      </w:r>
      <w:r>
        <w:rPr>
          <w:spacing w:val="-1"/>
        </w:rPr>
        <w:t> </w:t>
      </w:r>
      <w:r>
        <w:rPr/>
        <w:t>2001)</w:t>
      </w:r>
      <w:r>
        <w:rPr>
          <w:spacing w:val="-2"/>
        </w:rPr>
        <w:t> </w:t>
      </w:r>
      <w:r>
        <w:rPr/>
        <w:t>where its seeds and leaves are edible and used as condiments and</w:t>
      </w:r>
      <w:r>
        <w:rPr>
          <w:spacing w:val="40"/>
        </w:rPr>
        <w:t> </w:t>
      </w:r>
      <w:r>
        <w:rPr/>
        <w:t>in Ayurvedic medicine in the Indian subcontinent to treat diabetes, high cholesterol, wounds, inflammation, and gastrointestinal ailments (Milner </w:t>
      </w:r>
      <w:r>
        <w:rPr>
          <w:i/>
        </w:rPr>
        <w:t>et al</w:t>
      </w:r>
      <w:r>
        <w:rPr/>
        <w:t>., 2000). Fenugreek seeds have been successfully tested in laboratory animals and in humans with type 1 and type 2 diabetes as a hypoglycemic agent (Basch </w:t>
      </w:r>
      <w:r>
        <w:rPr>
          <w:i/>
        </w:rPr>
        <w:t>et al</w:t>
      </w:r>
      <w:r>
        <w:rPr/>
        <w:t>., 2003; Sharma </w:t>
      </w:r>
      <w:r>
        <w:rPr>
          <w:i/>
        </w:rPr>
        <w:t>et al</w:t>
      </w:r>
      <w:r>
        <w:rPr/>
        <w:t>., 1990; Madar </w:t>
      </w:r>
      <w:r>
        <w:rPr>
          <w:i/>
        </w:rPr>
        <w:t>et al</w:t>
      </w:r>
      <w:r>
        <w:rPr/>
        <w:t>., 1988). The potential of fenugreek seeds to modulate several enzymes, including</w:t>
      </w:r>
      <w:r>
        <w:rPr>
          <w:spacing w:val="-1"/>
        </w:rPr>
        <w:t> </w:t>
      </w:r>
      <w:r>
        <w:rPr/>
        <w:t>those associated with glucose and lipid metabolism, has been documented (Raju </w:t>
      </w:r>
      <w:r>
        <w:rPr>
          <w:i/>
        </w:rPr>
        <w:t>et al</w:t>
      </w:r>
      <w:r>
        <w:rPr/>
        <w:t>., 2001). Among bioactive compounds isolated from fenugreek seeds are protodioscin, trigoneoside, diosgenin, yamogenin,</w:t>
      </w:r>
      <w:r>
        <w:rPr>
          <w:spacing w:val="39"/>
        </w:rPr>
        <w:t> </w:t>
      </w:r>
      <w:r>
        <w:rPr/>
        <w:t>and</w:t>
      </w:r>
      <w:r>
        <w:rPr>
          <w:spacing w:val="39"/>
        </w:rPr>
        <w:t> </w:t>
      </w:r>
      <w:r>
        <w:rPr/>
        <w:t>others</w:t>
      </w:r>
      <w:r>
        <w:rPr>
          <w:spacing w:val="39"/>
        </w:rPr>
        <w:t> </w:t>
      </w:r>
      <w:r>
        <w:rPr/>
        <w:t>(Murakami</w:t>
      </w:r>
      <w:r>
        <w:rPr>
          <w:spacing w:val="41"/>
        </w:rPr>
        <w:t> </w:t>
      </w:r>
      <w:r>
        <w:rPr>
          <w:i/>
        </w:rPr>
        <w:t>et</w:t>
      </w:r>
      <w:r>
        <w:rPr>
          <w:i/>
          <w:spacing w:val="40"/>
        </w:rPr>
        <w:t> </w:t>
      </w:r>
      <w:r>
        <w:rPr>
          <w:i/>
        </w:rPr>
        <w:t>al</w:t>
      </w:r>
      <w:r>
        <w:rPr/>
        <w:t>.,</w:t>
      </w:r>
      <w:r>
        <w:rPr>
          <w:spacing w:val="38"/>
        </w:rPr>
        <w:t> </w:t>
      </w:r>
      <w:r>
        <w:rPr/>
        <w:t>2000;</w:t>
      </w:r>
      <w:r>
        <w:rPr>
          <w:spacing w:val="40"/>
        </w:rPr>
        <w:t> </w:t>
      </w:r>
      <w:r>
        <w:rPr/>
        <w:t>Yoshikawa</w:t>
      </w:r>
      <w:r>
        <w:rPr>
          <w:spacing w:val="39"/>
        </w:rPr>
        <w:t> </w:t>
      </w:r>
      <w:r>
        <w:rPr>
          <w:i/>
        </w:rPr>
        <w:t>et</w:t>
      </w:r>
      <w:r>
        <w:rPr>
          <w:i/>
          <w:spacing w:val="39"/>
        </w:rPr>
        <w:t> </w:t>
      </w:r>
      <w:r>
        <w:rPr>
          <w:i/>
        </w:rPr>
        <w:t>al</w:t>
      </w:r>
      <w:r>
        <w:rPr/>
        <w:t>.,</w:t>
      </w:r>
      <w:r>
        <w:rPr>
          <w:spacing w:val="39"/>
        </w:rPr>
        <w:t> </w:t>
      </w:r>
      <w:r>
        <w:rPr/>
        <w:t>1997).</w:t>
      </w:r>
      <w:r>
        <w:rPr>
          <w:spacing w:val="39"/>
        </w:rPr>
        <w:t> </w:t>
      </w:r>
      <w:r>
        <w:rPr/>
        <w:t>Fenugreek</w:t>
      </w:r>
      <w:r>
        <w:rPr>
          <w:spacing w:val="39"/>
        </w:rPr>
        <w:t> </w:t>
      </w:r>
      <w:r>
        <w:rPr>
          <w:spacing w:val="-5"/>
        </w:rPr>
        <w:t>is</w:t>
      </w:r>
    </w:p>
    <w:p>
      <w:pPr>
        <w:spacing w:after="0" w:line="360" w:lineRule="auto"/>
        <w:jc w:val="both"/>
        <w:sectPr>
          <w:pgSz w:w="12240" w:h="15840"/>
          <w:pgMar w:header="0" w:footer="1056" w:top="1340" w:bottom="1240" w:left="1420" w:right="420"/>
        </w:sectPr>
      </w:pPr>
    </w:p>
    <w:p>
      <w:pPr>
        <w:pStyle w:val="BodyText"/>
        <w:spacing w:line="360" w:lineRule="auto" w:before="72"/>
        <w:ind w:left="678" w:right="993"/>
        <w:jc w:val="both"/>
      </w:pPr>
      <w:r>
        <w:rPr/>
        <mc:AlternateContent>
          <mc:Choice Requires="wps">
            <w:drawing>
              <wp:anchor distT="0" distB="0" distL="0" distR="0" allowOverlap="1" layoutInCell="1" locked="0" behindDoc="1" simplePos="0" relativeHeight="482920960">
                <wp:simplePos x="0" y="0"/>
                <wp:positionH relativeFrom="page">
                  <wp:posOffset>-1402226</wp:posOffset>
                </wp:positionH>
                <wp:positionV relativeFrom="page">
                  <wp:posOffset>4612234</wp:posOffset>
                </wp:positionV>
                <wp:extent cx="10685780" cy="914400"/>
                <wp:effectExtent l="0" t="0" r="0" b="0"/>
                <wp:wrapNone/>
                <wp:docPr id="39" name="Textbox 39"/>
                <wp:cNvGraphicFramePr>
                  <a:graphicFrameLocks/>
                </wp:cNvGraphicFramePr>
                <a:graphic>
                  <a:graphicData uri="http://schemas.microsoft.com/office/word/2010/wordprocessingShape">
                    <wps:wsp>
                      <wps:cNvPr id="39" name="Textbox 3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5520;rotation:306" type="#_x0000_t136" fillcolor="#ff5400" stroked="f">
                <o:extrusion v:ext="view" autorotationcenter="t"/>
                <v:textpath style="font-family:&quot;Arial MT&quot;;font-size:72pt;v-text-kern:t;mso-text-shadow:auto" string="UNIVERSITY OF IBADAN"/>
                <w10:wrap type="none"/>
              </v:shape>
            </w:pict>
          </mc:Fallback>
        </mc:AlternateContent>
      </w:r>
      <w:r>
        <w:rPr/>
        <w:t>among twelve herbs mostly used to treat diabetes in Saudi Arabia (Al-Rowais, 2002). In insulin-dependent diabetic patients, the fenugreek diet significantly reduced fasting blood glucose and improved the glucose tolerance test. There was a 54% reduction in the 24 hours urinary glucose excretion. The results showed the usefulness of fenugreek seeds in the management of diabetes (Sharma </w:t>
      </w:r>
      <w:r>
        <w:rPr>
          <w:i/>
        </w:rPr>
        <w:t>et al</w:t>
      </w:r>
      <w:r>
        <w:rPr/>
        <w:t>., 1990). Oral administration of </w:t>
      </w:r>
      <w:r>
        <w:rPr>
          <w:i/>
        </w:rPr>
        <w:t>T. foenum graecum</w:t>
      </w:r>
      <w:r>
        <w:rPr>
          <w:i/>
          <w:spacing w:val="-1"/>
        </w:rPr>
        <w:t> </w:t>
      </w:r>
      <w:r>
        <w:rPr/>
        <w:t>to healthy</w:t>
      </w:r>
      <w:r>
        <w:rPr>
          <w:spacing w:val="-3"/>
        </w:rPr>
        <w:t> </w:t>
      </w:r>
      <w:r>
        <w:rPr/>
        <w:t>and alloxan induced diabetic rats (2 and 8 g/kg) produced a significant fall in blood glucose level (BGL) both in the normal as well as in diabetic rats. The hypoglycaemic effect was dose related (Khosla </w:t>
      </w:r>
      <w:r>
        <w:rPr>
          <w:i/>
        </w:rPr>
        <w:t>et al</w:t>
      </w:r>
      <w:r>
        <w:rPr/>
        <w:t>., 1995). On the other hand, the aqueous extract of fenugreek leaf when given to both healthy and alloxan-diabetic rats, produced a significant reduction in BGL. However, an ethanolic extract of fenugreek leaf produced</w:t>
      </w:r>
      <w:r>
        <w:rPr>
          <w:spacing w:val="22"/>
        </w:rPr>
        <w:t> </w:t>
      </w:r>
      <w:r>
        <w:rPr/>
        <w:t>no</w:t>
      </w:r>
      <w:r>
        <w:rPr>
          <w:spacing w:val="23"/>
        </w:rPr>
        <w:t> </w:t>
      </w:r>
      <w:r>
        <w:rPr/>
        <w:t>reduction</w:t>
      </w:r>
      <w:r>
        <w:rPr>
          <w:spacing w:val="22"/>
        </w:rPr>
        <w:t> </w:t>
      </w:r>
      <w:r>
        <w:rPr/>
        <w:t>in</w:t>
      </w:r>
      <w:r>
        <w:rPr>
          <w:spacing w:val="23"/>
        </w:rPr>
        <w:t> </w:t>
      </w:r>
      <w:r>
        <w:rPr/>
        <w:t>BGL</w:t>
      </w:r>
      <w:r>
        <w:rPr>
          <w:spacing w:val="22"/>
        </w:rPr>
        <w:t> </w:t>
      </w:r>
      <w:r>
        <w:rPr/>
        <w:t>in</w:t>
      </w:r>
      <w:r>
        <w:rPr>
          <w:spacing w:val="24"/>
        </w:rPr>
        <w:t> </w:t>
      </w:r>
      <w:r>
        <w:rPr/>
        <w:t>healthy</w:t>
      </w:r>
      <w:r>
        <w:rPr>
          <w:spacing w:val="21"/>
        </w:rPr>
        <w:t> </w:t>
      </w:r>
      <w:r>
        <w:rPr/>
        <w:t>rats</w:t>
      </w:r>
      <w:r>
        <w:rPr>
          <w:spacing w:val="25"/>
        </w:rPr>
        <w:t> </w:t>
      </w:r>
      <w:r>
        <w:rPr/>
        <w:t>but</w:t>
      </w:r>
      <w:r>
        <w:rPr>
          <w:spacing w:val="30"/>
        </w:rPr>
        <w:t> </w:t>
      </w:r>
      <w:r>
        <w:rPr/>
        <w:t>(intraperitoneal)</w:t>
      </w:r>
      <w:r>
        <w:rPr>
          <w:spacing w:val="23"/>
        </w:rPr>
        <w:t> </w:t>
      </w:r>
      <w:r>
        <w:rPr/>
        <w:t>i.p.</w:t>
      </w:r>
      <w:r>
        <w:rPr>
          <w:spacing w:val="26"/>
        </w:rPr>
        <w:t> </w:t>
      </w:r>
      <w:r>
        <w:rPr/>
        <w:t>administration</w:t>
      </w:r>
      <w:r>
        <w:rPr>
          <w:spacing w:val="23"/>
        </w:rPr>
        <w:t> </w:t>
      </w:r>
      <w:r>
        <w:rPr>
          <w:spacing w:val="-5"/>
        </w:rPr>
        <w:t>of</w:t>
      </w:r>
    </w:p>
    <w:p>
      <w:pPr>
        <w:pStyle w:val="BodyText"/>
        <w:spacing w:line="360" w:lineRule="auto" w:before="1"/>
        <w:ind w:left="678" w:right="994"/>
        <w:jc w:val="both"/>
      </w:pPr>
      <w:r>
        <w:rPr/>
        <w:t>0.8 g/kg of the ethanolic leaf extract to diabetic rats produced a significant reduction of BGL. The Soluble Dietary Fibers (SDF) fraction of fenugreek seeds showed no effect on fasting blood glucose levels of non-diabetic or NIDDM (type II) rats. However, when fed simultaneously with glucose, it showed a hypoglycaemic effect in type II diabetic rats.</w:t>
      </w:r>
      <w:r>
        <w:rPr>
          <w:spacing w:val="40"/>
        </w:rPr>
        <w:t> </w:t>
      </w:r>
      <w:r>
        <w:rPr/>
        <w:t>The major constituent of the SDF is galactomannan (Ali </w:t>
      </w:r>
      <w:r>
        <w:rPr>
          <w:i/>
        </w:rPr>
        <w:t>et al.</w:t>
      </w:r>
      <w:r>
        <w:rPr/>
        <w:t>, 1995). When steroid and saponins extracted from the seed of fenugreek were administered chronically mixed with food (12.5 mg/day per 300 g body weight) to healthy and streptozotocin-induced diabetic rats, food intake and the motivation to eat in healthy rats were significantly increased and the</w:t>
      </w:r>
      <w:r>
        <w:rPr>
          <w:spacing w:val="-1"/>
        </w:rPr>
        <w:t> </w:t>
      </w:r>
      <w:r>
        <w:rPr/>
        <w:t>food</w:t>
      </w:r>
      <w:r>
        <w:rPr>
          <w:spacing w:val="-1"/>
        </w:rPr>
        <w:t> </w:t>
      </w:r>
      <w:r>
        <w:rPr/>
        <w:t>consumption in diabetic</w:t>
      </w:r>
      <w:r>
        <w:rPr>
          <w:spacing w:val="-1"/>
        </w:rPr>
        <w:t> </w:t>
      </w:r>
      <w:r>
        <w:rPr/>
        <w:t>rats was also stabilized. In both healthy</w:t>
      </w:r>
      <w:r>
        <w:rPr>
          <w:spacing w:val="-5"/>
        </w:rPr>
        <w:t> </w:t>
      </w:r>
      <w:r>
        <w:rPr/>
        <w:t>and diabetic</w:t>
      </w:r>
      <w:r>
        <w:rPr>
          <w:spacing w:val="-1"/>
        </w:rPr>
        <w:t> </w:t>
      </w:r>
      <w:r>
        <w:rPr/>
        <w:t>rats, steroid and saponins decreased total plasma cholesterol without any change in</w:t>
      </w:r>
      <w:r>
        <w:rPr>
          <w:spacing w:val="40"/>
        </w:rPr>
        <w:t> </w:t>
      </w:r>
      <w:r>
        <w:rPr/>
        <w:t>triglycerides (Petit </w:t>
      </w:r>
      <w:r>
        <w:rPr>
          <w:i/>
        </w:rPr>
        <w:t>et al</w:t>
      </w:r>
      <w:r>
        <w:rPr/>
        <w:t>., 1995). More recently, it has been shown that the disrupted free radical metabolism in diabetic animals may be normalized by fenugreek seed supplementation in the diet (Ravikurma and Anuradha, 1999).</w:t>
      </w:r>
      <w:r>
        <w:rPr>
          <w:spacing w:val="40"/>
        </w:rPr>
        <w:t> </w:t>
      </w:r>
      <w:r>
        <w:rPr/>
        <w:t>Moreover, fenugreek significantly decreased the hyperglycaemic peak and the area under the glucose tolerance curve in hyperglycaemic rabbits (Alarcon-Aguilar </w:t>
      </w:r>
      <w:r>
        <w:rPr>
          <w:i/>
        </w:rPr>
        <w:t>et al</w:t>
      </w:r>
      <w:r>
        <w:rPr/>
        <w:t>., 1998).</w:t>
      </w:r>
    </w:p>
    <w:p>
      <w:pPr>
        <w:pStyle w:val="BodyText"/>
        <w:spacing w:before="144"/>
      </w:pPr>
    </w:p>
    <w:p>
      <w:pPr>
        <w:pStyle w:val="ListParagraph"/>
        <w:numPr>
          <w:ilvl w:val="2"/>
          <w:numId w:val="19"/>
        </w:numPr>
        <w:tabs>
          <w:tab w:pos="1218" w:val="left" w:leader="none"/>
        </w:tabs>
        <w:spacing w:line="240" w:lineRule="auto" w:before="0" w:after="0"/>
        <w:ind w:left="1218" w:right="0" w:hanging="540"/>
        <w:jc w:val="both"/>
        <w:rPr>
          <w:b/>
          <w:sz w:val="24"/>
        </w:rPr>
      </w:pPr>
      <w:r>
        <w:rPr>
          <w:b/>
          <w:i/>
          <w:sz w:val="24"/>
        </w:rPr>
        <w:t>Allium</w:t>
      </w:r>
      <w:r>
        <w:rPr>
          <w:b/>
          <w:i/>
          <w:spacing w:val="-2"/>
          <w:sz w:val="24"/>
        </w:rPr>
        <w:t> </w:t>
      </w:r>
      <w:r>
        <w:rPr>
          <w:b/>
          <w:i/>
          <w:sz w:val="24"/>
        </w:rPr>
        <w:t>sativum</w:t>
      </w:r>
      <w:r>
        <w:rPr>
          <w:b/>
          <w:i/>
          <w:spacing w:val="3"/>
          <w:sz w:val="24"/>
        </w:rPr>
        <w:t> </w:t>
      </w:r>
      <w:r>
        <w:rPr>
          <w:b/>
          <w:spacing w:val="-2"/>
          <w:sz w:val="24"/>
        </w:rPr>
        <w:t>(Garlic)</w:t>
      </w:r>
    </w:p>
    <w:p>
      <w:pPr>
        <w:pStyle w:val="BodyText"/>
        <w:spacing w:before="137"/>
        <w:rPr>
          <w:b/>
        </w:rPr>
      </w:pPr>
    </w:p>
    <w:p>
      <w:pPr>
        <w:pStyle w:val="BodyText"/>
        <w:spacing w:line="360" w:lineRule="auto"/>
        <w:ind w:left="678" w:right="1000" w:firstLine="720"/>
        <w:jc w:val="both"/>
      </w:pPr>
      <w:r>
        <w:rPr/>
        <w:t>Garlic has a very long folk history of use in a wide range of ailments, particularly ailments such as ringworm, candida and vaginitis where its fungicidal, antiseptic, tonic</w:t>
      </w:r>
      <w:r>
        <w:rPr>
          <w:spacing w:val="40"/>
        </w:rPr>
        <w:t> </w:t>
      </w:r>
      <w:r>
        <w:rPr/>
        <w:t>and</w:t>
      </w:r>
      <w:r>
        <w:rPr>
          <w:spacing w:val="18"/>
        </w:rPr>
        <w:t> </w:t>
      </w:r>
      <w:r>
        <w:rPr/>
        <w:t>parasiticidal</w:t>
      </w:r>
      <w:r>
        <w:rPr>
          <w:spacing w:val="20"/>
        </w:rPr>
        <w:t> </w:t>
      </w:r>
      <w:r>
        <w:rPr/>
        <w:t>properties</w:t>
      </w:r>
      <w:r>
        <w:rPr>
          <w:spacing w:val="22"/>
        </w:rPr>
        <w:t> </w:t>
      </w:r>
      <w:r>
        <w:rPr/>
        <w:t>have</w:t>
      </w:r>
      <w:r>
        <w:rPr>
          <w:spacing w:val="20"/>
        </w:rPr>
        <w:t> </w:t>
      </w:r>
      <w:r>
        <w:rPr/>
        <w:t>proved</w:t>
      </w:r>
      <w:r>
        <w:rPr>
          <w:spacing w:val="20"/>
        </w:rPr>
        <w:t> </w:t>
      </w:r>
      <w:r>
        <w:rPr/>
        <w:t>of</w:t>
      </w:r>
      <w:r>
        <w:rPr>
          <w:spacing w:val="19"/>
        </w:rPr>
        <w:t> </w:t>
      </w:r>
      <w:r>
        <w:rPr/>
        <w:t>benefit.</w:t>
      </w:r>
      <w:r>
        <w:rPr>
          <w:spacing w:val="20"/>
        </w:rPr>
        <w:t> </w:t>
      </w:r>
      <w:r>
        <w:rPr/>
        <w:t>The</w:t>
      </w:r>
      <w:r>
        <w:rPr>
          <w:spacing w:val="20"/>
        </w:rPr>
        <w:t> </w:t>
      </w:r>
      <w:r>
        <w:rPr/>
        <w:t>plant</w:t>
      </w:r>
      <w:r>
        <w:rPr>
          <w:spacing w:val="20"/>
        </w:rPr>
        <w:t> </w:t>
      </w:r>
      <w:r>
        <w:rPr/>
        <w:t>produces</w:t>
      </w:r>
      <w:r>
        <w:rPr>
          <w:spacing w:val="20"/>
        </w:rPr>
        <w:t> </w:t>
      </w:r>
      <w:r>
        <w:rPr/>
        <w:t>inhibitory</w:t>
      </w:r>
      <w:r>
        <w:rPr>
          <w:spacing w:val="16"/>
        </w:rPr>
        <w:t> </w:t>
      </w:r>
      <w:r>
        <w:rPr>
          <w:spacing w:val="-2"/>
        </w:rPr>
        <w:t>effects</w:t>
      </w:r>
    </w:p>
    <w:p>
      <w:pPr>
        <w:spacing w:after="0" w:line="360" w:lineRule="auto"/>
        <w:jc w:val="both"/>
        <w:sectPr>
          <w:pgSz w:w="12240" w:h="15840"/>
          <w:pgMar w:header="0" w:footer="1056" w:top="1340" w:bottom="1240" w:left="1420" w:right="420"/>
        </w:sectPr>
      </w:pPr>
    </w:p>
    <w:p>
      <w:pPr>
        <w:pStyle w:val="BodyText"/>
        <w:spacing w:line="360" w:lineRule="auto" w:before="72"/>
        <w:ind w:left="678" w:right="999"/>
        <w:jc w:val="both"/>
      </w:pPr>
      <w:r>
        <w:rPr/>
        <mc:AlternateContent>
          <mc:Choice Requires="wps">
            <w:drawing>
              <wp:anchor distT="0" distB="0" distL="0" distR="0" allowOverlap="1" layoutInCell="1" locked="0" behindDoc="1" simplePos="0" relativeHeight="482921472">
                <wp:simplePos x="0" y="0"/>
                <wp:positionH relativeFrom="page">
                  <wp:posOffset>-1402226</wp:posOffset>
                </wp:positionH>
                <wp:positionV relativeFrom="page">
                  <wp:posOffset>4612234</wp:posOffset>
                </wp:positionV>
                <wp:extent cx="10685780" cy="914400"/>
                <wp:effectExtent l="0" t="0" r="0" b="0"/>
                <wp:wrapNone/>
                <wp:docPr id="40" name="Textbox 40"/>
                <wp:cNvGraphicFramePr>
                  <a:graphicFrameLocks/>
                </wp:cNvGraphicFramePr>
                <a:graphic>
                  <a:graphicData uri="http://schemas.microsoft.com/office/word/2010/wordprocessingShape">
                    <wps:wsp>
                      <wps:cNvPr id="40" name="Textbox 4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5008;rotation:306" type="#_x0000_t136" fillcolor="#ff5400" stroked="f">
                <o:extrusion v:ext="view" autorotationcenter="t"/>
                <v:textpath style="font-family:&quot;Arial MT&quot;;font-size:72pt;v-text-kern:t;mso-text-shadow:auto" string="UNIVERSITY OF IBADAN"/>
                <w10:wrap type="none"/>
              </v:shape>
            </w:pict>
          </mc:Fallback>
        </mc:AlternateContent>
      </w:r>
      <w:r>
        <w:rPr/>
        <w:t>on gram-negative germs of the typhoid-paratyphoid-enteritis group, indeed it possesses outstanding</w:t>
      </w:r>
      <w:r>
        <w:rPr>
          <w:spacing w:val="-2"/>
        </w:rPr>
        <w:t> </w:t>
      </w:r>
      <w:r>
        <w:rPr/>
        <w:t>germicidal properties and can keep amoebic</w:t>
      </w:r>
      <w:r>
        <w:rPr>
          <w:spacing w:val="-1"/>
        </w:rPr>
        <w:t> </w:t>
      </w:r>
      <w:r>
        <w:rPr/>
        <w:t>dysentery</w:t>
      </w:r>
      <w:r>
        <w:rPr>
          <w:spacing w:val="-5"/>
        </w:rPr>
        <w:t> </w:t>
      </w:r>
      <w:r>
        <w:rPr/>
        <w:t>at bay. It is also said to have anticancer activity. It has also been shown that garlic aids detoxification of chronic lead poisoning. Daily use of garlic in the diet has been shown to have a very beneficial effect on the body, especially the blood system and the heart. For example, demographic studies suggest that garlic is responsible for the low incidence of arteriosclerosis in areas of Italy and Spain where consumption of the bulb is heavy.</w:t>
      </w:r>
    </w:p>
    <w:p>
      <w:pPr>
        <w:pStyle w:val="BodyText"/>
        <w:spacing w:before="5"/>
      </w:pPr>
    </w:p>
    <w:p>
      <w:pPr>
        <w:pStyle w:val="BodyText"/>
        <w:spacing w:line="360" w:lineRule="auto"/>
        <w:ind w:left="678" w:right="991" w:firstLine="720"/>
        <w:jc w:val="both"/>
      </w:pPr>
      <w:r>
        <w:rPr/>
        <w:t>S-allyl cysteine sulphoxide (SACS), a sulphur-containing amino acid of </w:t>
      </w:r>
      <w:r>
        <w:rPr>
          <w:i/>
        </w:rPr>
        <w:t>Allium sativum </w:t>
      </w:r>
      <w:r>
        <w:rPr/>
        <w:t>L. (Garlic) that is the precursor of allicin and garlic oil, has been found to show significant antidiabetic effects in alloxan diabetic rats. Administration of a dose of 200 mg/kg significantly decreased the concentration of serum lipids, blood glucose and activities of serum enzymes like alkaline phosphatase, acid phosphatase and lactate dehydrogenase and liver glucose-6-phosphatase. It significantly increased liver and intestinal HMG CoA reductase activity and liver hexokinase activity (Sheela and Augusti, 1995). Oral administration of SACS to alloxan diabetic rats for a month ameliorated the diabetic conditions of treated rats comparable with rats treated with glibenclamide and insulin</w:t>
      </w:r>
      <w:r>
        <w:rPr>
          <w:spacing w:val="-1"/>
        </w:rPr>
        <w:t> </w:t>
      </w:r>
      <w:r>
        <w:rPr/>
        <w:t>(Sheela</w:t>
      </w:r>
      <w:r>
        <w:rPr>
          <w:spacing w:val="-1"/>
        </w:rPr>
        <w:t> </w:t>
      </w:r>
      <w:r>
        <w:rPr>
          <w:i/>
        </w:rPr>
        <w:t>et</w:t>
      </w:r>
      <w:r>
        <w:rPr>
          <w:i/>
          <w:spacing w:val="-1"/>
        </w:rPr>
        <w:t> </w:t>
      </w:r>
      <w:r>
        <w:rPr>
          <w:i/>
        </w:rPr>
        <w:t>al</w:t>
      </w:r>
      <w:r>
        <w:rPr/>
        <w:t>.,</w:t>
      </w:r>
      <w:r>
        <w:rPr>
          <w:spacing w:val="-1"/>
        </w:rPr>
        <w:t> </w:t>
      </w:r>
      <w:r>
        <w:rPr/>
        <w:t>1992).</w:t>
      </w:r>
      <w:r>
        <w:rPr>
          <w:spacing w:val="-2"/>
        </w:rPr>
        <w:t> </w:t>
      </w:r>
      <w:r>
        <w:rPr/>
        <w:t>Treatment</w:t>
      </w:r>
      <w:r>
        <w:rPr>
          <w:spacing w:val="-1"/>
        </w:rPr>
        <w:t> </w:t>
      </w:r>
      <w:r>
        <w:rPr/>
        <w:t>of</w:t>
      </w:r>
      <w:r>
        <w:rPr>
          <w:spacing w:val="-2"/>
        </w:rPr>
        <w:t> </w:t>
      </w:r>
      <w:r>
        <w:rPr/>
        <w:t>alloxan</w:t>
      </w:r>
      <w:r>
        <w:rPr>
          <w:spacing w:val="-1"/>
        </w:rPr>
        <w:t> </w:t>
      </w:r>
      <w:r>
        <w:rPr/>
        <w:t>diabetic</w:t>
      </w:r>
      <w:r>
        <w:rPr>
          <w:spacing w:val="-2"/>
        </w:rPr>
        <w:t> </w:t>
      </w:r>
      <w:r>
        <w:rPr/>
        <w:t>rats</w:t>
      </w:r>
      <w:r>
        <w:rPr>
          <w:spacing w:val="-1"/>
        </w:rPr>
        <w:t> </w:t>
      </w:r>
      <w:r>
        <w:rPr/>
        <w:t>with</w:t>
      </w:r>
      <w:r>
        <w:rPr>
          <w:spacing w:val="-1"/>
        </w:rPr>
        <w:t> </w:t>
      </w:r>
      <w:r>
        <w:rPr/>
        <w:t>SACS</w:t>
      </w:r>
      <w:r>
        <w:rPr>
          <w:spacing w:val="-1"/>
        </w:rPr>
        <w:t> </w:t>
      </w:r>
      <w:r>
        <w:rPr/>
        <w:t>ameliorated</w:t>
      </w:r>
      <w:r>
        <w:rPr>
          <w:spacing w:val="-2"/>
        </w:rPr>
        <w:t> </w:t>
      </w:r>
      <w:r>
        <w:rPr/>
        <w:t>the diabetic condition almost to the same extent as glibenclamide and insulin. Furthermore, SACS significantly stimulated </w:t>
      </w:r>
      <w:r>
        <w:rPr>
          <w:i/>
        </w:rPr>
        <w:t>in vitro </w:t>
      </w:r>
      <w:r>
        <w:rPr/>
        <w:t>insulin secretion from beta cells isolated from healthy rats. Hence it can be surmised that the beneficial effects of SACS could be due to both its antioxidant and its secretagogue actions. The former effect is predominant and the latter is only secondary (Augusti and Sheela, 1996).</w:t>
      </w:r>
    </w:p>
    <w:p>
      <w:pPr>
        <w:pStyle w:val="BodyText"/>
        <w:spacing w:before="144"/>
      </w:pPr>
    </w:p>
    <w:p>
      <w:pPr>
        <w:pStyle w:val="ListParagraph"/>
        <w:numPr>
          <w:ilvl w:val="2"/>
          <w:numId w:val="19"/>
        </w:numPr>
        <w:tabs>
          <w:tab w:pos="1218" w:val="left" w:leader="none"/>
        </w:tabs>
        <w:spacing w:line="240" w:lineRule="auto" w:before="0" w:after="0"/>
        <w:ind w:left="1218" w:right="0" w:hanging="540"/>
        <w:jc w:val="both"/>
        <w:rPr>
          <w:b/>
          <w:sz w:val="24"/>
        </w:rPr>
      </w:pPr>
      <w:r>
        <w:rPr>
          <w:b/>
          <w:i/>
          <w:sz w:val="24"/>
        </w:rPr>
        <w:t>Allium</w:t>
      </w:r>
      <w:r>
        <w:rPr>
          <w:b/>
          <w:i/>
          <w:spacing w:val="-3"/>
          <w:sz w:val="24"/>
        </w:rPr>
        <w:t> </w:t>
      </w:r>
      <w:r>
        <w:rPr>
          <w:b/>
          <w:i/>
          <w:sz w:val="24"/>
        </w:rPr>
        <w:t>cepa</w:t>
      </w:r>
      <w:r>
        <w:rPr>
          <w:b/>
          <w:i/>
          <w:spacing w:val="-1"/>
          <w:sz w:val="24"/>
        </w:rPr>
        <w:t> </w:t>
      </w:r>
      <w:r>
        <w:rPr>
          <w:b/>
          <w:i/>
          <w:sz w:val="24"/>
        </w:rPr>
        <w:t>L </w:t>
      </w:r>
      <w:r>
        <w:rPr>
          <w:b/>
          <w:spacing w:val="-2"/>
          <w:sz w:val="24"/>
        </w:rPr>
        <w:t>(Onion)</w:t>
      </w:r>
    </w:p>
    <w:p>
      <w:pPr>
        <w:pStyle w:val="BodyText"/>
        <w:spacing w:line="360" w:lineRule="auto" w:before="132"/>
        <w:ind w:left="678" w:right="995" w:firstLine="720"/>
        <w:jc w:val="both"/>
      </w:pPr>
      <w:r>
        <w:rPr/>
        <w:t>Although rarely used specifically as a medicinal herb, the onion has a wide range of beneficial actions on the body and when eaten (especially raw) on a regular basis will promote the general health of the body and offsets tendencies towards angina, arteriosclerosis and heart attack. The bulb is anthelmintic, anti-inflammatory, antiseptic, antispasmodic, carminative, diuretic, expectorant, febrifuge, hypoglycaemic, hypotensive, lithontripic, stomachic and tonic. It is also useful in preventing oral infection and tooth decay.</w:t>
      </w:r>
      <w:r>
        <w:rPr>
          <w:spacing w:val="-1"/>
        </w:rPr>
        <w:t> </w:t>
      </w:r>
      <w:r>
        <w:rPr/>
        <w:t>Baked onions</w:t>
      </w:r>
      <w:r>
        <w:rPr>
          <w:spacing w:val="-1"/>
        </w:rPr>
        <w:t> </w:t>
      </w:r>
      <w:r>
        <w:rPr/>
        <w:t>can</w:t>
      </w:r>
      <w:r>
        <w:rPr>
          <w:spacing w:val="2"/>
        </w:rPr>
        <w:t> </w:t>
      </w:r>
      <w:r>
        <w:rPr/>
        <w:t>be</w:t>
      </w:r>
      <w:r>
        <w:rPr>
          <w:spacing w:val="-2"/>
        </w:rPr>
        <w:t> </w:t>
      </w:r>
      <w:r>
        <w:rPr/>
        <w:t>used</w:t>
      </w:r>
      <w:r>
        <w:rPr>
          <w:spacing w:val="-1"/>
        </w:rPr>
        <w:t> </w:t>
      </w:r>
      <w:r>
        <w:rPr/>
        <w:t>as</w:t>
      </w:r>
      <w:r>
        <w:rPr>
          <w:spacing w:val="1"/>
        </w:rPr>
        <w:t> </w:t>
      </w:r>
      <w:r>
        <w:rPr/>
        <w:t>a</w:t>
      </w:r>
      <w:r>
        <w:rPr>
          <w:spacing w:val="-1"/>
        </w:rPr>
        <w:t> </w:t>
      </w:r>
      <w:r>
        <w:rPr/>
        <w:t>poultice</w:t>
      </w:r>
      <w:r>
        <w:rPr>
          <w:spacing w:val="-2"/>
        </w:rPr>
        <w:t> </w:t>
      </w:r>
      <w:r>
        <w:rPr/>
        <w:t>to</w:t>
      </w:r>
      <w:r>
        <w:rPr>
          <w:spacing w:val="1"/>
        </w:rPr>
        <w:t> </w:t>
      </w:r>
      <w:r>
        <w:rPr/>
        <w:t>remove pus</w:t>
      </w:r>
      <w:r>
        <w:rPr>
          <w:spacing w:val="-1"/>
        </w:rPr>
        <w:t> </w:t>
      </w:r>
      <w:r>
        <w:rPr/>
        <w:t>from sores.</w:t>
      </w:r>
      <w:r>
        <w:rPr>
          <w:spacing w:val="1"/>
        </w:rPr>
        <w:t> </w:t>
      </w:r>
      <w:r>
        <w:rPr/>
        <w:t>Fresh onion </w:t>
      </w:r>
      <w:r>
        <w:rPr>
          <w:spacing w:val="-2"/>
        </w:rPr>
        <w:t>juice</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2921984">
                <wp:simplePos x="0" y="0"/>
                <wp:positionH relativeFrom="page">
                  <wp:posOffset>-1402226</wp:posOffset>
                </wp:positionH>
                <wp:positionV relativeFrom="page">
                  <wp:posOffset>4612234</wp:posOffset>
                </wp:positionV>
                <wp:extent cx="10685780" cy="914400"/>
                <wp:effectExtent l="0" t="0" r="0" b="0"/>
                <wp:wrapNone/>
                <wp:docPr id="41" name="Textbox 41"/>
                <wp:cNvGraphicFramePr>
                  <a:graphicFrameLocks/>
                </wp:cNvGraphicFramePr>
                <a:graphic>
                  <a:graphicData uri="http://schemas.microsoft.com/office/word/2010/wordprocessingShape">
                    <wps:wsp>
                      <wps:cNvPr id="41" name="Textbox 4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4496;rotation:306" type="#_x0000_t136" fillcolor="#ff5400" stroked="f">
                <o:extrusion v:ext="view" autorotationcenter="t"/>
                <v:textpath style="font-family:&quot;Arial MT&quot;;font-size:72pt;v-text-kern:t;mso-text-shadow:auto" string="UNIVERSITY OF IBADAN"/>
                <w10:wrap type="none"/>
              </v:shape>
            </w:pict>
          </mc:Fallback>
        </mc:AlternateContent>
      </w:r>
      <w:r>
        <w:rPr/>
        <w:t>is a very useful first aid treatment for bee and wasp stings, bites, grazes or fungal skin complaints. When warmed, the juice can be dropped into the ear to treat earache. It also aids the formation of scar tissue on wounds, thus speeding up the healing process, and has been used as a cosmetic to remove freckles. Bulbs of red cultivars are harvested when mature in the summer and used to make a homeopathic remedy. This is used particularly</w:t>
      </w:r>
      <w:r>
        <w:rPr>
          <w:spacing w:val="40"/>
        </w:rPr>
        <w:t> </w:t>
      </w:r>
      <w:r>
        <w:rPr/>
        <w:t>in the treatment of people whose symptoms include running eyes and nose. Oral administration</w:t>
      </w:r>
      <w:r>
        <w:rPr>
          <w:spacing w:val="-1"/>
        </w:rPr>
        <w:t> </w:t>
      </w:r>
      <w:r>
        <w:rPr/>
        <w:t>of</w:t>
      </w:r>
      <w:r>
        <w:rPr>
          <w:spacing w:val="-1"/>
        </w:rPr>
        <w:t> </w:t>
      </w:r>
      <w:r>
        <w:rPr>
          <w:i/>
        </w:rPr>
        <w:t>Allium</w:t>
      </w:r>
      <w:r>
        <w:rPr>
          <w:i/>
          <w:spacing w:val="-3"/>
        </w:rPr>
        <w:t> </w:t>
      </w:r>
      <w:r>
        <w:rPr>
          <w:i/>
        </w:rPr>
        <w:t>cepa </w:t>
      </w:r>
      <w:r>
        <w:rPr/>
        <w:t>L.</w:t>
      </w:r>
      <w:r>
        <w:rPr>
          <w:spacing w:val="-1"/>
        </w:rPr>
        <w:t> </w:t>
      </w:r>
      <w:r>
        <w:rPr/>
        <w:t>(Onion),</w:t>
      </w:r>
      <w:r>
        <w:rPr>
          <w:spacing w:val="-1"/>
        </w:rPr>
        <w:t> </w:t>
      </w:r>
      <w:r>
        <w:rPr/>
        <w:t>S-methyl cysteine</w:t>
      </w:r>
      <w:r>
        <w:rPr>
          <w:spacing w:val="-2"/>
        </w:rPr>
        <w:t> </w:t>
      </w:r>
      <w:r>
        <w:rPr/>
        <w:t>sulphoxide</w:t>
      </w:r>
      <w:r>
        <w:rPr>
          <w:spacing w:val="-2"/>
        </w:rPr>
        <w:t> </w:t>
      </w:r>
      <w:r>
        <w:rPr/>
        <w:t>(SMCS)</w:t>
      </w:r>
      <w:r>
        <w:rPr>
          <w:spacing w:val="-2"/>
        </w:rPr>
        <w:t> </w:t>
      </w:r>
      <w:r>
        <w:rPr/>
        <w:t>daily</w:t>
      </w:r>
      <w:r>
        <w:rPr>
          <w:spacing w:val="-9"/>
        </w:rPr>
        <w:t> </w:t>
      </w:r>
      <w:r>
        <w:rPr/>
        <w:t>at</w:t>
      </w:r>
      <w:r>
        <w:rPr>
          <w:spacing w:val="-1"/>
        </w:rPr>
        <w:t> </w:t>
      </w:r>
      <w:r>
        <w:rPr/>
        <w:t>a dose of 200 mg/kg body weight for a period of 45 days to alloxan diabetic rats controlled the blood glucose and lipids in serum and tissues and altered the activities of liver hexokinase, glucose 6- phosphatase and HMG CoA reductase towards normal values. These effects of SMCS were comparable to those of glibenclamide and insulin (Kumari </w:t>
      </w:r>
      <w:r>
        <w:rPr>
          <w:i/>
        </w:rPr>
        <w:t>et al</w:t>
      </w:r>
      <w:r>
        <w:rPr/>
        <w:t>., 1995). Oral administration of onion SMCS to alloxan diabetic rats for a month, ameliorated the diabetic condition similar to rats treated with glibenclamide and insulin. The effect of feeding a 15 % capsaicin diet or 3 % freeze-dried onion powder containing diet produced a significant reduction in the hyperglycaemic status of diabetic animals.</w:t>
      </w:r>
      <w:r>
        <w:rPr>
          <w:spacing w:val="40"/>
        </w:rPr>
        <w:t> </w:t>
      </w:r>
      <w:r>
        <w:rPr/>
        <w:t>This study revealed that onion feeding improves the metabolic status in diabetes probably because of its hypocholesterolemic as well as its hypoglycaemic effect (Babu and Srinivasan, 1997).</w:t>
      </w:r>
    </w:p>
    <w:p>
      <w:pPr>
        <w:pStyle w:val="BodyText"/>
        <w:spacing w:before="144"/>
      </w:pPr>
    </w:p>
    <w:p>
      <w:pPr>
        <w:pStyle w:val="ListParagraph"/>
        <w:numPr>
          <w:ilvl w:val="2"/>
          <w:numId w:val="19"/>
        </w:numPr>
        <w:tabs>
          <w:tab w:pos="1158" w:val="left" w:leader="none"/>
        </w:tabs>
        <w:spacing w:line="240" w:lineRule="auto" w:before="0" w:after="0"/>
        <w:ind w:left="1158" w:right="0" w:hanging="480"/>
        <w:jc w:val="both"/>
        <w:rPr>
          <w:b/>
          <w:sz w:val="24"/>
        </w:rPr>
      </w:pPr>
      <w:r>
        <w:rPr>
          <w:b/>
          <w:i/>
          <w:sz w:val="24"/>
        </w:rPr>
        <w:t>Aloe barbadense</w:t>
      </w:r>
      <w:r>
        <w:rPr>
          <w:b/>
          <w:i/>
          <w:spacing w:val="-1"/>
          <w:sz w:val="24"/>
        </w:rPr>
        <w:t> </w:t>
      </w:r>
      <w:r>
        <w:rPr>
          <w:b/>
          <w:sz w:val="24"/>
        </w:rPr>
        <w:t>Mill</w:t>
      </w:r>
      <w:r>
        <w:rPr>
          <w:b/>
          <w:spacing w:val="1"/>
          <w:sz w:val="24"/>
        </w:rPr>
        <w:t> </w:t>
      </w:r>
      <w:r>
        <w:rPr>
          <w:b/>
          <w:spacing w:val="-2"/>
          <w:sz w:val="24"/>
        </w:rPr>
        <w:t>(Barbados)</w:t>
      </w:r>
    </w:p>
    <w:p>
      <w:pPr>
        <w:pStyle w:val="BodyText"/>
        <w:spacing w:line="360" w:lineRule="auto" w:before="135"/>
        <w:ind w:left="678" w:right="994" w:firstLine="830"/>
        <w:jc w:val="both"/>
      </w:pPr>
      <w:r>
        <w:rPr>
          <w:i/>
        </w:rPr>
        <w:t>Aloe barbadensis </w:t>
      </w:r>
      <w:r>
        <w:rPr/>
        <w:t>Mill fresh juice obtained from the cut bases of the Aloe leaves</w:t>
      </w:r>
      <w:r>
        <w:rPr>
          <w:spacing w:val="40"/>
        </w:rPr>
        <w:t> </w:t>
      </w:r>
      <w:r>
        <w:rPr/>
        <w:t>is cathartic and cooling. The juice is often used to treat eye diseases, liver and spleen ailments, muscular pain, dermatitis, burns, cutaneous leishmaniasis and other skin problems. To relieve burns, insect and fish bites, skin ailments, arthritis,</w:t>
      </w:r>
      <w:r>
        <w:rPr>
          <w:spacing w:val="-2"/>
        </w:rPr>
        <w:t> </w:t>
      </w:r>
      <w:r>
        <w:rPr/>
        <w:t>myopathies, </w:t>
      </w:r>
      <w:r>
        <w:rPr>
          <w:i/>
        </w:rPr>
        <w:t>Aloe babadensis </w:t>
      </w:r>
      <w:r>
        <w:rPr/>
        <w:t>Mill is used as external application. The plant is also used for manufacturing beauty products as hair conditioners and skin creams. The rural inhabitants of Gujarat in India use the pulp of the leaf to cure piles, boils, burns and swellings. It is considered effective to reduce excessive body fats.</w:t>
      </w:r>
    </w:p>
    <w:p>
      <w:pPr>
        <w:pStyle w:val="BodyText"/>
        <w:spacing w:line="360" w:lineRule="auto"/>
        <w:ind w:left="678" w:right="997" w:firstLine="720"/>
        <w:jc w:val="both"/>
      </w:pPr>
      <w:r>
        <w:rPr/>
        <w:t>Acute oral administration of an exudate of </w:t>
      </w:r>
      <w:r>
        <w:rPr>
          <w:i/>
        </w:rPr>
        <w:t>Aloe barbadensis </w:t>
      </w:r>
      <w:r>
        <w:rPr/>
        <w:t>Mill. (Barbados) leaves (500 mg/kg) produced no reduction in blood glucose level whereas its bitter principle</w:t>
      </w:r>
      <w:r>
        <w:rPr>
          <w:spacing w:val="19"/>
        </w:rPr>
        <w:t> </w:t>
      </w:r>
      <w:r>
        <w:rPr/>
        <w:t>(5</w:t>
      </w:r>
      <w:r>
        <w:rPr>
          <w:spacing w:val="22"/>
        </w:rPr>
        <w:t> </w:t>
      </w:r>
      <w:r>
        <w:rPr/>
        <w:t>mg/kg)</w:t>
      </w:r>
      <w:r>
        <w:rPr>
          <w:spacing w:val="21"/>
        </w:rPr>
        <w:t> </w:t>
      </w:r>
      <w:r>
        <w:rPr/>
        <w:t>administered</w:t>
      </w:r>
      <w:r>
        <w:rPr>
          <w:spacing w:val="22"/>
        </w:rPr>
        <w:t> </w:t>
      </w:r>
      <w:r>
        <w:rPr/>
        <w:t>intraperitoneally</w:t>
      </w:r>
      <w:r>
        <w:rPr>
          <w:spacing w:val="25"/>
        </w:rPr>
        <w:t> </w:t>
      </w:r>
      <w:r>
        <w:rPr/>
        <w:t>produced</w:t>
      </w:r>
      <w:r>
        <w:rPr>
          <w:spacing w:val="24"/>
        </w:rPr>
        <w:t> </w:t>
      </w:r>
      <w:r>
        <w:rPr/>
        <w:t>a</w:t>
      </w:r>
      <w:r>
        <w:rPr>
          <w:spacing w:val="21"/>
        </w:rPr>
        <w:t> </w:t>
      </w:r>
      <w:r>
        <w:rPr/>
        <w:t>significant</w:t>
      </w:r>
      <w:r>
        <w:rPr>
          <w:spacing w:val="25"/>
        </w:rPr>
        <w:t> </w:t>
      </w:r>
      <w:r>
        <w:rPr>
          <w:spacing w:val="-2"/>
        </w:rPr>
        <w:t>hypoglycaemic</w:t>
      </w:r>
    </w:p>
    <w:p>
      <w:pPr>
        <w:spacing w:after="0" w:line="360" w:lineRule="auto"/>
        <w:jc w:val="both"/>
        <w:sectPr>
          <w:pgSz w:w="12240" w:h="15840"/>
          <w:pgMar w:header="0" w:footer="1056" w:top="1340" w:bottom="1240" w:left="1420" w:right="420"/>
        </w:sectPr>
      </w:pPr>
    </w:p>
    <w:p>
      <w:pPr>
        <w:pStyle w:val="BodyText"/>
        <w:spacing w:line="360" w:lineRule="auto" w:before="72"/>
        <w:ind w:left="678" w:right="992"/>
        <w:jc w:val="both"/>
      </w:pPr>
      <w:r>
        <w:rPr/>
        <mc:AlternateContent>
          <mc:Choice Requires="wps">
            <w:drawing>
              <wp:anchor distT="0" distB="0" distL="0" distR="0" allowOverlap="1" layoutInCell="1" locked="0" behindDoc="1" simplePos="0" relativeHeight="482922496">
                <wp:simplePos x="0" y="0"/>
                <wp:positionH relativeFrom="page">
                  <wp:posOffset>-1402226</wp:posOffset>
                </wp:positionH>
                <wp:positionV relativeFrom="page">
                  <wp:posOffset>4612234</wp:posOffset>
                </wp:positionV>
                <wp:extent cx="10685780" cy="914400"/>
                <wp:effectExtent l="0" t="0" r="0" b="0"/>
                <wp:wrapNone/>
                <wp:docPr id="42" name="Textbox 42"/>
                <wp:cNvGraphicFramePr>
                  <a:graphicFrameLocks/>
                </wp:cNvGraphicFramePr>
                <a:graphic>
                  <a:graphicData uri="http://schemas.microsoft.com/office/word/2010/wordprocessingShape">
                    <wps:wsp>
                      <wps:cNvPr id="42" name="Textbox 4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3984;rotation:306" type="#_x0000_t136" fillcolor="#ff5400" stroked="f">
                <o:extrusion v:ext="view" autorotationcenter="t"/>
                <v:textpath style="font-family:&quot;Arial MT&quot;;font-size:72pt;v-text-kern:t;mso-text-shadow:auto" string="UNIVERSITY OF IBADAN"/>
                <w10:wrap type="none"/>
              </v:shape>
            </w:pict>
          </mc:Fallback>
        </mc:AlternateContent>
      </w:r>
      <w:r>
        <w:rPr/>
        <w:t>effect that extended over a period of 24 hours with maximum hypoglycaemia observed after 8 hours. In chronic studies, </w:t>
      </w:r>
      <w:r>
        <w:rPr>
          <w:i/>
        </w:rPr>
        <w:t>A. barbadensis </w:t>
      </w:r>
      <w:r>
        <w:rPr/>
        <w:t>and its bitter principle produced a maximum effect after 5 days. It seems that the hypoglycaemic effect of this plant and its bitter principle may be mediated through stimulating synthesis and/or release of insulin from the beta-cells of the islets of Langerhans (Ajabnoor, 1990).</w:t>
      </w:r>
      <w:r>
        <w:rPr>
          <w:spacing w:val="40"/>
        </w:rPr>
        <w:t> </w:t>
      </w:r>
      <w:r>
        <w:rPr/>
        <w:t>Moreover, this plant slightly decreased the area under glucose tolerance curve compared to control (1.4 %) or tolbutamide (14.3 %) in healthy rabbits (Roman-Ramos </w:t>
      </w:r>
      <w:r>
        <w:rPr>
          <w:i/>
        </w:rPr>
        <w:t>et al</w:t>
      </w:r>
      <w:r>
        <w:rPr/>
        <w:t>., 1992).</w:t>
      </w:r>
    </w:p>
    <w:p>
      <w:pPr>
        <w:pStyle w:val="BodyText"/>
        <w:spacing w:before="144"/>
      </w:pPr>
    </w:p>
    <w:p>
      <w:pPr>
        <w:pStyle w:val="Heading3"/>
        <w:numPr>
          <w:ilvl w:val="2"/>
          <w:numId w:val="19"/>
        </w:numPr>
        <w:tabs>
          <w:tab w:pos="1218" w:val="left" w:leader="none"/>
        </w:tabs>
        <w:spacing w:line="240" w:lineRule="auto" w:before="0" w:after="0"/>
        <w:ind w:left="1218" w:right="0" w:hanging="540"/>
        <w:jc w:val="both"/>
        <w:rPr>
          <w:i w:val="0"/>
        </w:rPr>
      </w:pPr>
      <w:bookmarkStart w:name="_TOC_250099" w:id="34"/>
      <w:r>
        <w:rPr/>
        <w:t>Azadirachta</w:t>
      </w:r>
      <w:r>
        <w:rPr>
          <w:spacing w:val="-4"/>
        </w:rPr>
        <w:t> </w:t>
      </w:r>
      <w:r>
        <w:rPr/>
        <w:t>indica</w:t>
      </w:r>
      <w:r>
        <w:rPr>
          <w:spacing w:val="-1"/>
        </w:rPr>
        <w:t> </w:t>
      </w:r>
      <w:bookmarkEnd w:id="34"/>
      <w:r>
        <w:rPr>
          <w:i w:val="0"/>
          <w:spacing w:val="-10"/>
        </w:rPr>
        <w:t>L</w:t>
      </w:r>
    </w:p>
    <w:p>
      <w:pPr>
        <w:pStyle w:val="BodyText"/>
        <w:spacing w:line="360" w:lineRule="auto" w:before="133"/>
        <w:ind w:left="678" w:right="1002" w:firstLine="720"/>
        <w:jc w:val="both"/>
      </w:pPr>
      <w:r>
        <w:rPr/>
        <w:t>All parts of </w:t>
      </w:r>
      <w:r>
        <w:rPr>
          <w:i/>
        </w:rPr>
        <w:t>Azadirachta indica </w:t>
      </w:r>
      <w:r>
        <w:rPr/>
        <w:t>have been used medicinally for centuries. It is widely used in toothpastes, soaps and lotion today, as well as being a biological </w:t>
      </w:r>
      <w:r>
        <w:rPr>
          <w:spacing w:val="-2"/>
        </w:rPr>
        <w:t>insecticide.</w:t>
      </w:r>
    </w:p>
    <w:p>
      <w:pPr>
        <w:pStyle w:val="BodyText"/>
        <w:spacing w:line="360" w:lineRule="auto" w:before="1"/>
        <w:ind w:left="678" w:right="995" w:firstLine="720"/>
        <w:jc w:val="both"/>
      </w:pPr>
      <w:r>
        <w:rPr/>
        <w:t>An </w:t>
      </w:r>
      <w:r>
        <w:rPr>
          <w:i/>
        </w:rPr>
        <w:t>Azadirachta indica </w:t>
      </w:r>
      <w:r>
        <w:rPr/>
        <w:t>leaf extract was found to have no action on peripheral utilization of glucose or on hepatic glycogen in healthy and streptozotocin-induced diabetic rabbits. The reduction in peripheral utilization of glucose and glycogenolytic effect due to epinephrine was blocked by the </w:t>
      </w:r>
      <w:r>
        <w:rPr>
          <w:i/>
        </w:rPr>
        <w:t>A. indica </w:t>
      </w:r>
      <w:r>
        <w:rPr/>
        <w:t>leaf extract, almost completely in diabetic rabbits and to a certain extent in healthy animals (Chattopadhyay, 1996) More recently, it has been demonstrated that in an </w:t>
      </w:r>
      <w:r>
        <w:rPr>
          <w:i/>
        </w:rPr>
        <w:t>in vitro </w:t>
      </w:r>
      <w:r>
        <w:rPr/>
        <w:t>rat pancreas preparation, </w:t>
      </w:r>
      <w:r>
        <w:rPr>
          <w:i/>
        </w:rPr>
        <w:t>A. indica</w:t>
      </w:r>
      <w:r>
        <w:rPr>
          <w:i/>
          <w:spacing w:val="40"/>
        </w:rPr>
        <w:t> </w:t>
      </w:r>
      <w:r>
        <w:rPr/>
        <w:t>leaf extract significantly blocked the inhibitory effect of serotonin on insulin secretion mediated by glucose (Chattopadhyay, 1999). Furthermore, </w:t>
      </w:r>
      <w:r>
        <w:rPr>
          <w:i/>
        </w:rPr>
        <w:t>A. indica </w:t>
      </w:r>
      <w:r>
        <w:rPr/>
        <w:t>leaf extract was</w:t>
      </w:r>
      <w:r>
        <w:rPr>
          <w:spacing w:val="40"/>
        </w:rPr>
        <w:t> </w:t>
      </w:r>
      <w:r>
        <w:rPr/>
        <w:t>found to have the most potent blood sugar-lowering followed by </w:t>
      </w:r>
      <w:r>
        <w:rPr>
          <w:i/>
        </w:rPr>
        <w:t>Catharantus roseus, Gymnema sylvestre </w:t>
      </w:r>
      <w:r>
        <w:rPr/>
        <w:t>and </w:t>
      </w:r>
      <w:r>
        <w:rPr>
          <w:i/>
        </w:rPr>
        <w:t>Ocimum sanctum </w:t>
      </w:r>
      <w:r>
        <w:rPr/>
        <w:t>(Chattopadhyay, 1999).</w:t>
      </w:r>
    </w:p>
    <w:p>
      <w:pPr>
        <w:pStyle w:val="BodyText"/>
        <w:spacing w:before="142"/>
      </w:pPr>
    </w:p>
    <w:p>
      <w:pPr>
        <w:pStyle w:val="ListParagraph"/>
        <w:numPr>
          <w:ilvl w:val="2"/>
          <w:numId w:val="19"/>
        </w:numPr>
        <w:tabs>
          <w:tab w:pos="1218" w:val="left" w:leader="none"/>
        </w:tabs>
        <w:spacing w:line="240" w:lineRule="auto" w:before="0" w:after="0"/>
        <w:ind w:left="1218" w:right="0" w:hanging="540"/>
        <w:jc w:val="both"/>
        <w:rPr>
          <w:b/>
          <w:sz w:val="24"/>
        </w:rPr>
      </w:pPr>
      <w:r>
        <w:rPr>
          <w:b/>
          <w:i/>
          <w:sz w:val="24"/>
        </w:rPr>
        <w:t>Ficus</w:t>
      </w:r>
      <w:r>
        <w:rPr>
          <w:b/>
          <w:i/>
          <w:spacing w:val="-1"/>
          <w:sz w:val="24"/>
        </w:rPr>
        <w:t> </w:t>
      </w:r>
      <w:r>
        <w:rPr>
          <w:b/>
          <w:i/>
          <w:sz w:val="24"/>
        </w:rPr>
        <w:t>carica</w:t>
      </w:r>
      <w:r>
        <w:rPr>
          <w:b/>
          <w:i/>
          <w:spacing w:val="-2"/>
          <w:sz w:val="24"/>
        </w:rPr>
        <w:t> </w:t>
      </w:r>
      <w:r>
        <w:rPr>
          <w:b/>
          <w:sz w:val="24"/>
        </w:rPr>
        <w:t>L (Common</w:t>
      </w:r>
      <w:r>
        <w:rPr>
          <w:b/>
          <w:spacing w:val="-1"/>
          <w:sz w:val="24"/>
        </w:rPr>
        <w:t> </w:t>
      </w:r>
      <w:r>
        <w:rPr>
          <w:b/>
          <w:spacing w:val="-4"/>
          <w:sz w:val="24"/>
        </w:rPr>
        <w:t>fig)</w:t>
      </w:r>
    </w:p>
    <w:p>
      <w:pPr>
        <w:pStyle w:val="BodyText"/>
        <w:spacing w:line="360" w:lineRule="auto" w:before="132"/>
        <w:ind w:left="678" w:right="994" w:firstLine="720"/>
        <w:jc w:val="both"/>
      </w:pPr>
      <w:r>
        <w:rPr/>
        <w:t>The </w:t>
      </w:r>
      <w:hyperlink r:id="rId17">
        <w:r>
          <w:rPr/>
          <w:t>sap</w:t>
        </w:r>
      </w:hyperlink>
      <w:r>
        <w:rPr/>
        <w:t> of the Fig's green parts is an irritant to human skin. The Common Fig is widely known for its edible </w:t>
      </w:r>
      <w:hyperlink r:id="rId18">
        <w:r>
          <w:rPr/>
          <w:t>fruit.</w:t>
        </w:r>
      </w:hyperlink>
      <w:r>
        <w:rPr/>
        <w:t> The effect of a decoction of leaves of </w:t>
      </w:r>
      <w:r>
        <w:rPr>
          <w:i/>
        </w:rPr>
        <w:t>Ficus carica </w:t>
      </w:r>
      <w:r>
        <w:rPr/>
        <w:t>L. (Common Fig) as a supplement to breakfast was studied in insulin-dependent diabetes mellitus</w:t>
      </w:r>
      <w:r>
        <w:rPr>
          <w:spacing w:val="5"/>
        </w:rPr>
        <w:t> </w:t>
      </w:r>
      <w:r>
        <w:rPr/>
        <w:t>(IDDM)</w:t>
      </w:r>
      <w:r>
        <w:rPr>
          <w:spacing w:val="4"/>
        </w:rPr>
        <w:t> </w:t>
      </w:r>
      <w:r>
        <w:rPr/>
        <w:t>patients.</w:t>
      </w:r>
      <w:r>
        <w:rPr>
          <w:spacing w:val="4"/>
        </w:rPr>
        <w:t> </w:t>
      </w:r>
      <w:r>
        <w:rPr/>
        <w:t>Postprandial</w:t>
      </w:r>
      <w:r>
        <w:rPr>
          <w:spacing w:val="4"/>
        </w:rPr>
        <w:t> </w:t>
      </w:r>
      <w:r>
        <w:rPr/>
        <w:t>glycaemia</w:t>
      </w:r>
      <w:r>
        <w:rPr>
          <w:spacing w:val="7"/>
        </w:rPr>
        <w:t> </w:t>
      </w:r>
      <w:r>
        <w:rPr/>
        <w:t>was</w:t>
      </w:r>
      <w:r>
        <w:rPr>
          <w:spacing w:val="5"/>
        </w:rPr>
        <w:t> </w:t>
      </w:r>
      <w:r>
        <w:rPr/>
        <w:t>lower</w:t>
      </w:r>
      <w:r>
        <w:rPr>
          <w:spacing w:val="4"/>
        </w:rPr>
        <w:t> </w:t>
      </w:r>
      <w:r>
        <w:rPr/>
        <w:t>during</w:t>
      </w:r>
      <w:r>
        <w:rPr>
          <w:spacing w:val="2"/>
        </w:rPr>
        <w:t> </w:t>
      </w:r>
      <w:r>
        <w:rPr/>
        <w:t>supplementation</w:t>
      </w:r>
      <w:r>
        <w:rPr>
          <w:spacing w:val="5"/>
        </w:rPr>
        <w:t> </w:t>
      </w:r>
      <w:r>
        <w:rPr>
          <w:spacing w:val="-4"/>
        </w:rPr>
        <w:t>with</w:t>
      </w:r>
    </w:p>
    <w:p>
      <w:pPr>
        <w:pStyle w:val="BodyText"/>
        <w:spacing w:line="360" w:lineRule="auto" w:before="1"/>
        <w:ind w:left="678" w:right="995"/>
        <w:jc w:val="both"/>
      </w:pPr>
      <w:r>
        <w:rPr>
          <w:i/>
        </w:rPr>
        <w:t>F. carica </w:t>
      </w:r>
      <w:r>
        <w:rPr/>
        <w:t>[156.6 ± 75.9 mg/dl vs commercial tea 293.7 ± 45.0 mg/dl (p &lt; 0.001)] without pre-prandial differences (145.0 ± 41.5 and 196.6 ± 43.2 mg/dl, respectively). It was concluded</w:t>
      </w:r>
      <w:r>
        <w:rPr>
          <w:spacing w:val="-1"/>
        </w:rPr>
        <w:t> </w:t>
      </w:r>
      <w:r>
        <w:rPr/>
        <w:t>that</w:t>
      </w:r>
      <w:r>
        <w:rPr>
          <w:spacing w:val="-1"/>
        </w:rPr>
        <w:t> </w:t>
      </w:r>
      <w:r>
        <w:rPr/>
        <w:t>the</w:t>
      </w:r>
      <w:r>
        <w:rPr>
          <w:spacing w:val="1"/>
        </w:rPr>
        <w:t> </w:t>
      </w:r>
      <w:r>
        <w:rPr/>
        <w:t>addition</w:t>
      </w:r>
      <w:r>
        <w:rPr>
          <w:spacing w:val="-1"/>
        </w:rPr>
        <w:t> </w:t>
      </w:r>
      <w:r>
        <w:rPr/>
        <w:t>of </w:t>
      </w:r>
      <w:r>
        <w:rPr>
          <w:i/>
        </w:rPr>
        <w:t>F. carica</w:t>
      </w:r>
      <w:r>
        <w:rPr>
          <w:i/>
          <w:spacing w:val="1"/>
        </w:rPr>
        <w:t> </w:t>
      </w:r>
      <w:r>
        <w:rPr/>
        <w:t>to</w:t>
      </w:r>
      <w:r>
        <w:rPr>
          <w:spacing w:val="-1"/>
        </w:rPr>
        <w:t> </w:t>
      </w:r>
      <w:r>
        <w:rPr/>
        <w:t>diet in</w:t>
      </w:r>
      <w:r>
        <w:rPr>
          <w:spacing w:val="1"/>
        </w:rPr>
        <w:t> </w:t>
      </w:r>
      <w:r>
        <w:rPr/>
        <w:t>IDDM</w:t>
      </w:r>
      <w:r>
        <w:rPr>
          <w:spacing w:val="-1"/>
        </w:rPr>
        <w:t> </w:t>
      </w:r>
      <w:r>
        <w:rPr/>
        <w:t>could</w:t>
      </w:r>
      <w:r>
        <w:rPr>
          <w:spacing w:val="-1"/>
        </w:rPr>
        <w:t> </w:t>
      </w:r>
      <w:r>
        <w:rPr/>
        <w:t>help to</w:t>
      </w:r>
      <w:r>
        <w:rPr>
          <w:spacing w:val="-1"/>
        </w:rPr>
        <w:t> </w:t>
      </w:r>
      <w:r>
        <w:rPr/>
        <w:t>control </w:t>
      </w:r>
      <w:r>
        <w:rPr>
          <w:spacing w:val="-2"/>
        </w:rPr>
        <w:t>postprandial</w:t>
      </w:r>
    </w:p>
    <w:p>
      <w:pPr>
        <w:spacing w:after="0" w:line="360" w:lineRule="auto"/>
        <w:jc w:val="both"/>
        <w:sectPr>
          <w:pgSz w:w="12240" w:h="15840"/>
          <w:pgMar w:header="0" w:footer="1056" w:top="134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2923008">
                <wp:simplePos x="0" y="0"/>
                <wp:positionH relativeFrom="page">
                  <wp:posOffset>-1402226</wp:posOffset>
                </wp:positionH>
                <wp:positionV relativeFrom="page">
                  <wp:posOffset>4612234</wp:posOffset>
                </wp:positionV>
                <wp:extent cx="10685780" cy="914400"/>
                <wp:effectExtent l="0" t="0" r="0" b="0"/>
                <wp:wrapNone/>
                <wp:docPr id="43" name="Textbox 43"/>
                <wp:cNvGraphicFramePr>
                  <a:graphicFrameLocks/>
                </wp:cNvGraphicFramePr>
                <a:graphic>
                  <a:graphicData uri="http://schemas.microsoft.com/office/word/2010/wordprocessingShape">
                    <wps:wsp>
                      <wps:cNvPr id="43" name="Textbox 4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3472;rotation:306" type="#_x0000_t136" fillcolor="#ff5400" stroked="f">
                <o:extrusion v:ext="view" autorotationcenter="t"/>
                <v:textpath style="font-family:&quot;Arial MT&quot;;font-size:72pt;v-text-kern:t;mso-text-shadow:auto" string="UNIVERSITY OF IBADAN"/>
                <w10:wrap type="none"/>
              </v:shape>
            </w:pict>
          </mc:Fallback>
        </mc:AlternateContent>
      </w:r>
      <w:r>
        <w:rPr/>
        <w:t>glycaemia (Serraclara, 1998). Moreover, from the aqueous decoction of fig leaves, after treatment with HCl, centrifuging, treatment with NaOH and extraction with chloroform, the administration of the organic phase to diabetic rats produced a decrease in hyperglycaemia and a decline in the level of total cholesterol and reduction in the total cholesterol/HDL cholesterol ratio (Canal </w:t>
      </w:r>
      <w:r>
        <w:rPr>
          <w:i/>
        </w:rPr>
        <w:t>et al</w:t>
      </w:r>
      <w:r>
        <w:rPr/>
        <w:t>., 2000).</w:t>
      </w:r>
    </w:p>
    <w:p>
      <w:pPr>
        <w:pStyle w:val="BodyText"/>
        <w:spacing w:before="144"/>
      </w:pPr>
    </w:p>
    <w:p>
      <w:pPr>
        <w:pStyle w:val="ListParagraph"/>
        <w:numPr>
          <w:ilvl w:val="2"/>
          <w:numId w:val="19"/>
        </w:numPr>
        <w:tabs>
          <w:tab w:pos="1338" w:val="left" w:leader="none"/>
        </w:tabs>
        <w:spacing w:line="240" w:lineRule="auto" w:before="0" w:after="0"/>
        <w:ind w:left="1338" w:right="0" w:hanging="660"/>
        <w:jc w:val="both"/>
        <w:rPr>
          <w:b/>
          <w:sz w:val="24"/>
        </w:rPr>
      </w:pPr>
      <w:r>
        <w:rPr>
          <w:b/>
          <w:i/>
          <w:sz w:val="24"/>
        </w:rPr>
        <w:t>Ficus</w:t>
      </w:r>
      <w:r>
        <w:rPr>
          <w:b/>
          <w:i/>
          <w:spacing w:val="-1"/>
          <w:sz w:val="24"/>
        </w:rPr>
        <w:t> </w:t>
      </w:r>
      <w:r>
        <w:rPr>
          <w:b/>
          <w:i/>
          <w:sz w:val="24"/>
        </w:rPr>
        <w:t>bengalensis</w:t>
      </w:r>
      <w:r>
        <w:rPr>
          <w:b/>
          <w:i/>
          <w:spacing w:val="-1"/>
          <w:sz w:val="24"/>
        </w:rPr>
        <w:t> </w:t>
      </w:r>
      <w:r>
        <w:rPr>
          <w:b/>
          <w:sz w:val="24"/>
        </w:rPr>
        <w:t>L. </w:t>
      </w:r>
      <w:r>
        <w:rPr>
          <w:b/>
          <w:spacing w:val="-2"/>
          <w:sz w:val="24"/>
        </w:rPr>
        <w:t>(Banyan)</w:t>
      </w:r>
    </w:p>
    <w:p>
      <w:pPr>
        <w:pStyle w:val="BodyText"/>
        <w:spacing w:line="360" w:lineRule="auto" w:before="132"/>
        <w:ind w:left="678" w:right="993" w:firstLine="720"/>
        <w:jc w:val="both"/>
      </w:pPr>
      <w:r>
        <w:rPr/>
        <w:t>The</w:t>
      </w:r>
      <w:r>
        <w:rPr>
          <w:spacing w:val="-6"/>
        </w:rPr>
        <w:t> </w:t>
      </w:r>
      <w:r>
        <w:rPr/>
        <w:t>oral</w:t>
      </w:r>
      <w:r>
        <w:rPr>
          <w:spacing w:val="-2"/>
        </w:rPr>
        <w:t> </w:t>
      </w:r>
      <w:r>
        <w:rPr/>
        <w:t>administration</w:t>
      </w:r>
      <w:r>
        <w:rPr>
          <w:spacing w:val="-4"/>
        </w:rPr>
        <w:t> </w:t>
      </w:r>
      <w:r>
        <w:rPr/>
        <w:t>of</w:t>
      </w:r>
      <w:r>
        <w:rPr>
          <w:spacing w:val="-5"/>
        </w:rPr>
        <w:t> </w:t>
      </w:r>
      <w:r>
        <w:rPr/>
        <w:t>the</w:t>
      </w:r>
      <w:r>
        <w:rPr>
          <w:spacing w:val="-4"/>
        </w:rPr>
        <w:t> </w:t>
      </w:r>
      <w:r>
        <w:rPr/>
        <w:t>extract</w:t>
      </w:r>
      <w:r>
        <w:rPr>
          <w:spacing w:val="-4"/>
        </w:rPr>
        <w:t> </w:t>
      </w:r>
      <w:r>
        <w:rPr/>
        <w:t>obtained</w:t>
      </w:r>
      <w:r>
        <w:rPr>
          <w:spacing w:val="-4"/>
        </w:rPr>
        <w:t> </w:t>
      </w:r>
      <w:r>
        <w:rPr/>
        <w:t>from </w:t>
      </w:r>
      <w:r>
        <w:rPr>
          <w:i/>
        </w:rPr>
        <w:t>Ficus</w:t>
      </w:r>
      <w:r>
        <w:rPr>
          <w:i/>
          <w:spacing w:val="-4"/>
        </w:rPr>
        <w:t> </w:t>
      </w:r>
      <w:r>
        <w:rPr>
          <w:i/>
        </w:rPr>
        <w:t>bengalensis</w:t>
      </w:r>
      <w:r>
        <w:rPr>
          <w:i/>
          <w:spacing w:val="-1"/>
        </w:rPr>
        <w:t> </w:t>
      </w:r>
      <w:r>
        <w:rPr/>
        <w:t>L.</w:t>
      </w:r>
      <w:r>
        <w:rPr>
          <w:spacing w:val="-2"/>
        </w:rPr>
        <w:t> </w:t>
      </w:r>
      <w:r>
        <w:rPr/>
        <w:t>(Banyan) resulted in enhancement of serum insulin levels in normoglycaemic and diabetic rats. The incubation of isolated islets of Langerhans from healthy as well as from diabetic animals with this plant extracts resulted in increased insulin secretion. This extract inhibited insulinase activity from liver and kidney (Achrekar, 1991). The antidiabetic effect of a dimethoxy derivative of perlargonidin 3-O-alpha- L rhamnoside (250 mg/kg, single dose study and 100 mg/kg/day, long term study) isolated from the bark of </w:t>
      </w:r>
      <w:r>
        <w:rPr>
          <w:i/>
        </w:rPr>
        <w:t>F</w:t>
      </w:r>
      <w:r>
        <w:rPr/>
        <w:t>. </w:t>
      </w:r>
      <w:r>
        <w:rPr>
          <w:i/>
        </w:rPr>
        <w:t>bengalensis </w:t>
      </w:r>
      <w:r>
        <w:rPr/>
        <w:t>has been compared with that of glibenclamide (2 mg/kg and 0.5 mg/kg/day respectively) in moderately diabetic rats. The single dose glycoside treatment decreased fasting blood glucose by 19% and improved glucose tolerance by 29%. After one-month treatment with the plant, the fasting blood glucose level went down to almost half of the pre-treatment levels in both the groups and their glucose tolerance improved by 41% in the glibenclamide group and by 15% in the glycoside treated group. Urine sugar decreased to trace amounts in both groups. </w:t>
      </w:r>
      <w:r>
        <w:rPr>
          <w:i/>
        </w:rPr>
        <w:t>In vitro </w:t>
      </w:r>
      <w:r>
        <w:rPr/>
        <w:t>studies showed that insulin secretion by beta-cells was greater in the presence of the pelargonidin derivative than in the presence of a leucocyanidin derivative, reported to be a good antidiabetic agent (Cherian, </w:t>
      </w:r>
      <w:r>
        <w:rPr>
          <w:i/>
        </w:rPr>
        <w:t>et al</w:t>
      </w:r>
      <w:r>
        <w:rPr/>
        <w:t>., 1992). Glycoside of leucopelargonidin isolated from the bark of </w:t>
      </w:r>
      <w:r>
        <w:rPr>
          <w:i/>
        </w:rPr>
        <w:t>F. bengalensis </w:t>
      </w:r>
      <w:r>
        <w:rPr/>
        <w:t>demonstrated significant hypoglycaemic, hypolipidemic and serum insulin raising effects in moderately diabetic rats with close similarities to the effects of a minimal dose of glibenclamide (Cherian and Augusti, 1993). Dimethoxy ether of Leucopelargonidin-3- O-alpha-L rhamnoside isolated from the bark of </w:t>
      </w:r>
      <w:r>
        <w:rPr>
          <w:i/>
        </w:rPr>
        <w:t>F. bengalensis </w:t>
      </w:r>
      <w:r>
        <w:rPr/>
        <w:t>was used at a dose of 100 mg/kg on oral administration. The compound showed significant hypoglycaemic and serum insulin raising actions in healthy and alloxan induced-diabetic dogs during a period of 2 hours. This</w:t>
      </w:r>
      <w:r>
        <w:rPr>
          <w:spacing w:val="77"/>
          <w:w w:val="150"/>
        </w:rPr>
        <w:t> </w:t>
      </w:r>
      <w:r>
        <w:rPr/>
        <w:t>compound</w:t>
      </w:r>
      <w:r>
        <w:rPr>
          <w:spacing w:val="77"/>
          <w:w w:val="150"/>
        </w:rPr>
        <w:t> </w:t>
      </w:r>
      <w:r>
        <w:rPr/>
        <w:t>appears</w:t>
      </w:r>
      <w:r>
        <w:rPr>
          <w:spacing w:val="77"/>
          <w:w w:val="150"/>
        </w:rPr>
        <w:t> </w:t>
      </w:r>
      <w:r>
        <w:rPr/>
        <w:t>to</w:t>
      </w:r>
      <w:r>
        <w:rPr>
          <w:spacing w:val="78"/>
          <w:w w:val="150"/>
        </w:rPr>
        <w:t> </w:t>
      </w:r>
      <w:r>
        <w:rPr/>
        <w:t>stimulate</w:t>
      </w:r>
      <w:r>
        <w:rPr>
          <w:spacing w:val="76"/>
          <w:w w:val="150"/>
        </w:rPr>
        <w:t> </w:t>
      </w:r>
      <w:r>
        <w:rPr/>
        <w:t>insulin</w:t>
      </w:r>
      <w:r>
        <w:rPr>
          <w:spacing w:val="74"/>
          <w:w w:val="150"/>
        </w:rPr>
        <w:t> </w:t>
      </w:r>
      <w:r>
        <w:rPr/>
        <w:t>secretion</w:t>
      </w:r>
      <w:r>
        <w:rPr>
          <w:spacing w:val="76"/>
          <w:w w:val="150"/>
        </w:rPr>
        <w:t> </w:t>
      </w:r>
      <w:r>
        <w:rPr/>
        <w:t>(Augusti</w:t>
      </w:r>
      <w:r>
        <w:rPr>
          <w:spacing w:val="27"/>
        </w:rPr>
        <w:t>  </w:t>
      </w:r>
      <w:r>
        <w:rPr>
          <w:i/>
        </w:rPr>
        <w:t>et</w:t>
      </w:r>
      <w:r>
        <w:rPr>
          <w:i/>
          <w:spacing w:val="79"/>
          <w:w w:val="150"/>
        </w:rPr>
        <w:t> </w:t>
      </w:r>
      <w:r>
        <w:rPr>
          <w:i/>
        </w:rPr>
        <w:t>al</w:t>
      </w:r>
      <w:r>
        <w:rPr/>
        <w:t>.,</w:t>
      </w:r>
      <w:r>
        <w:rPr>
          <w:spacing w:val="76"/>
          <w:w w:val="150"/>
        </w:rPr>
        <w:t> </w:t>
      </w:r>
      <w:r>
        <w:rPr/>
        <w:t>1994).</w:t>
      </w:r>
      <w:r>
        <w:rPr>
          <w:spacing w:val="77"/>
          <w:w w:val="150"/>
        </w:rPr>
        <w:t> </w:t>
      </w:r>
      <w:r>
        <w:rPr>
          <w:spacing w:val="-10"/>
        </w:rPr>
        <w:t>A</w:t>
      </w:r>
    </w:p>
    <w:p>
      <w:pPr>
        <w:spacing w:after="0" w:line="360" w:lineRule="auto"/>
        <w:jc w:val="both"/>
        <w:sectPr>
          <w:pgSz w:w="12240" w:h="15840"/>
          <w:pgMar w:header="0" w:footer="1056" w:top="134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2923520">
                <wp:simplePos x="0" y="0"/>
                <wp:positionH relativeFrom="page">
                  <wp:posOffset>-1402226</wp:posOffset>
                </wp:positionH>
                <wp:positionV relativeFrom="page">
                  <wp:posOffset>4612234</wp:posOffset>
                </wp:positionV>
                <wp:extent cx="10685780" cy="914400"/>
                <wp:effectExtent l="0" t="0" r="0" b="0"/>
                <wp:wrapNone/>
                <wp:docPr id="44" name="Textbox 44"/>
                <wp:cNvGraphicFramePr>
                  <a:graphicFrameLocks/>
                </wp:cNvGraphicFramePr>
                <a:graphic>
                  <a:graphicData uri="http://schemas.microsoft.com/office/word/2010/wordprocessingShape">
                    <wps:wsp>
                      <wps:cNvPr id="44" name="Textbox 4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2960;rotation:306" type="#_x0000_t136" fillcolor="#ff5400" stroked="f">
                <o:extrusion v:ext="view" autorotationcenter="t"/>
                <v:textpath style="font-family:&quot;Arial MT&quot;;font-size:72pt;v-text-kern:t;mso-text-shadow:auto" string="UNIVERSITY OF IBADAN"/>
                <w10:wrap type="none"/>
              </v:shape>
            </w:pict>
          </mc:Fallback>
        </mc:AlternateContent>
      </w:r>
      <w:r>
        <w:rPr/>
        <w:t>leucodelphinidin derivative isolated from the bark of </w:t>
      </w:r>
      <w:r>
        <w:rPr>
          <w:i/>
        </w:rPr>
        <w:t>F. bengalensis </w:t>
      </w:r>
      <w:r>
        <w:rPr/>
        <w:t>L. showed hypoglycaemic action at a dosage of 250 mg/kg when given to both healthy and alloxan diabetic rats. Its action was similar to that of an effective dose of glibenclamide (2 mg/kg) tested under the same conditions. However, after a glucose load, the plant product was only</w:t>
      </w:r>
      <w:r>
        <w:rPr>
          <w:spacing w:val="-7"/>
        </w:rPr>
        <w:t> </w:t>
      </w:r>
      <w:r>
        <w:rPr/>
        <w:t>just</w:t>
      </w:r>
      <w:r>
        <w:rPr>
          <w:spacing w:val="-3"/>
        </w:rPr>
        <w:t> </w:t>
      </w:r>
      <w:r>
        <w:rPr/>
        <w:t>significantly</w:t>
      </w:r>
      <w:r>
        <w:rPr>
          <w:spacing w:val="-6"/>
        </w:rPr>
        <w:t> </w:t>
      </w:r>
      <w:r>
        <w:rPr/>
        <w:t>active</w:t>
      </w:r>
      <w:r>
        <w:rPr>
          <w:spacing w:val="-3"/>
        </w:rPr>
        <w:t> </w:t>
      </w:r>
      <w:r>
        <w:rPr/>
        <w:t>and</w:t>
      </w:r>
      <w:r>
        <w:rPr>
          <w:spacing w:val="-3"/>
        </w:rPr>
        <w:t> </w:t>
      </w:r>
      <w:r>
        <w:rPr/>
        <w:t>not</w:t>
      </w:r>
      <w:r>
        <w:rPr>
          <w:spacing w:val="-3"/>
        </w:rPr>
        <w:t> </w:t>
      </w:r>
      <w:r>
        <w:rPr/>
        <w:t>as</w:t>
      </w:r>
      <w:r>
        <w:rPr>
          <w:spacing w:val="-3"/>
        </w:rPr>
        <w:t> </w:t>
      </w:r>
      <w:r>
        <w:rPr/>
        <w:t>effective</w:t>
      </w:r>
      <w:r>
        <w:rPr>
          <w:spacing w:val="-2"/>
        </w:rPr>
        <w:t> </w:t>
      </w:r>
      <w:r>
        <w:rPr/>
        <w:t>as</w:t>
      </w:r>
      <w:r>
        <w:rPr>
          <w:spacing w:val="-3"/>
        </w:rPr>
        <w:t> </w:t>
      </w:r>
      <w:r>
        <w:rPr/>
        <w:t>the sulphonylureas.</w:t>
      </w:r>
      <w:r>
        <w:rPr>
          <w:spacing w:val="-3"/>
        </w:rPr>
        <w:t> </w:t>
      </w:r>
      <w:r>
        <w:rPr/>
        <w:t>The</w:t>
      </w:r>
      <w:r>
        <w:rPr>
          <w:spacing w:val="-2"/>
        </w:rPr>
        <w:t> </w:t>
      </w:r>
      <w:r>
        <w:rPr/>
        <w:t>efficacy</w:t>
      </w:r>
      <w:r>
        <w:rPr>
          <w:spacing w:val="-7"/>
        </w:rPr>
        <w:t> </w:t>
      </w:r>
      <w:r>
        <w:rPr/>
        <w:t>of</w:t>
      </w:r>
      <w:r>
        <w:rPr>
          <w:spacing w:val="-3"/>
        </w:rPr>
        <w:t> </w:t>
      </w:r>
      <w:r>
        <w:rPr/>
        <w:t>the plant product as an hypoglycaemic agent adds to the other therapeutic effects associated with this class of flavonoids (Geetha </w:t>
      </w:r>
      <w:r>
        <w:rPr>
          <w:i/>
        </w:rPr>
        <w:t>et al</w:t>
      </w:r>
      <w:r>
        <w:rPr/>
        <w:t>., 1994).</w:t>
      </w:r>
    </w:p>
    <w:p>
      <w:pPr>
        <w:pStyle w:val="BodyText"/>
        <w:spacing w:before="144"/>
      </w:pPr>
    </w:p>
    <w:p>
      <w:pPr>
        <w:pStyle w:val="ListParagraph"/>
        <w:numPr>
          <w:ilvl w:val="2"/>
          <w:numId w:val="19"/>
        </w:numPr>
        <w:tabs>
          <w:tab w:pos="1338" w:val="left" w:leader="none"/>
        </w:tabs>
        <w:spacing w:line="240" w:lineRule="auto" w:before="0" w:after="0"/>
        <w:ind w:left="1338" w:right="0" w:hanging="660"/>
        <w:jc w:val="both"/>
        <w:rPr>
          <w:b/>
          <w:sz w:val="24"/>
        </w:rPr>
      </w:pPr>
      <w:r>
        <w:rPr>
          <w:b/>
          <w:i/>
          <w:sz w:val="24"/>
        </w:rPr>
        <w:t>Eugenia</w:t>
      </w:r>
      <w:r>
        <w:rPr>
          <w:b/>
          <w:i/>
          <w:spacing w:val="-4"/>
          <w:sz w:val="24"/>
        </w:rPr>
        <w:t> </w:t>
      </w:r>
      <w:r>
        <w:rPr>
          <w:b/>
          <w:i/>
          <w:sz w:val="24"/>
        </w:rPr>
        <w:t>jambolana</w:t>
      </w:r>
      <w:r>
        <w:rPr>
          <w:b/>
          <w:i/>
          <w:spacing w:val="-1"/>
          <w:sz w:val="24"/>
        </w:rPr>
        <w:t> </w:t>
      </w:r>
      <w:r>
        <w:rPr>
          <w:b/>
          <w:sz w:val="24"/>
        </w:rPr>
        <w:t>Lam.</w:t>
      </w:r>
      <w:r>
        <w:rPr>
          <w:b/>
          <w:spacing w:val="-2"/>
          <w:sz w:val="24"/>
        </w:rPr>
        <w:t> </w:t>
      </w:r>
      <w:r>
        <w:rPr>
          <w:b/>
          <w:sz w:val="24"/>
        </w:rPr>
        <w:t>(Gambol)</w:t>
      </w:r>
      <w:r>
        <w:rPr>
          <w:b/>
          <w:spacing w:val="-2"/>
          <w:sz w:val="24"/>
        </w:rPr>
        <w:t> </w:t>
      </w:r>
      <w:r>
        <w:rPr>
          <w:b/>
          <w:sz w:val="24"/>
        </w:rPr>
        <w:t>=Syzigium</w:t>
      </w:r>
      <w:r>
        <w:rPr>
          <w:b/>
          <w:spacing w:val="-5"/>
          <w:sz w:val="24"/>
        </w:rPr>
        <w:t> </w:t>
      </w:r>
      <w:r>
        <w:rPr>
          <w:b/>
          <w:sz w:val="24"/>
        </w:rPr>
        <w:t>cumini</w:t>
      </w:r>
      <w:r>
        <w:rPr>
          <w:b/>
          <w:spacing w:val="-2"/>
          <w:sz w:val="24"/>
        </w:rPr>
        <w:t> </w:t>
      </w:r>
      <w:r>
        <w:rPr>
          <w:b/>
          <w:sz w:val="24"/>
        </w:rPr>
        <w:t>Skeels</w:t>
      </w:r>
      <w:r>
        <w:rPr>
          <w:b/>
          <w:spacing w:val="-2"/>
          <w:sz w:val="24"/>
        </w:rPr>
        <w:t> (Jamum)</w:t>
      </w:r>
    </w:p>
    <w:p>
      <w:pPr>
        <w:pStyle w:val="BodyText"/>
        <w:spacing w:line="360" w:lineRule="auto" w:before="133"/>
        <w:ind w:left="678" w:right="993" w:firstLine="720"/>
        <w:jc w:val="both"/>
      </w:pPr>
      <w:r>
        <w:rPr/>
        <w:t>Both the fruit pulp and seed extracts of the Jamun berry have a long history of medicinal use and they have been extensively studied for their anti-diabetic properties (Helmstoadter, 2008).The hypoglycaemic activity of the extract of jamum pulp from the fruit of </w:t>
      </w:r>
      <w:r>
        <w:rPr>
          <w:i/>
        </w:rPr>
        <w:t>Eugenia jambolana </w:t>
      </w:r>
      <w:r>
        <w:rPr/>
        <w:t>Lam. (Gambol), also called </w:t>
      </w:r>
      <w:r>
        <w:rPr>
          <w:i/>
        </w:rPr>
        <w:t>Syzigium cumini </w:t>
      </w:r>
      <w:r>
        <w:rPr/>
        <w:t>Skeels (Jamum) was seen after 30 min, while the seeds of the same fruit required 24 h to produce the same effect. These results were confirmed in streptozotocin-induced diabetic animals. The oral administration of the extract resulted in the enhancement of insulinemia in normoglycaemic and diabetic rats. The incubation of isolated pancreatic islet cells of normal and diabetic animals with this plant extracts resulted in increased insulin secretion. This extract inhibited insulinase activity in the liver and kidney (Achrekar </w:t>
      </w:r>
      <w:r>
        <w:rPr>
          <w:i/>
        </w:rPr>
        <w:t>et al</w:t>
      </w:r>
      <w:r>
        <w:rPr/>
        <w:t>., 1991). Oral</w:t>
      </w:r>
      <w:r>
        <w:rPr>
          <w:spacing w:val="4"/>
        </w:rPr>
        <w:t> </w:t>
      </w:r>
      <w:r>
        <w:rPr/>
        <w:t>administration</w:t>
      </w:r>
      <w:r>
        <w:rPr>
          <w:spacing w:val="5"/>
        </w:rPr>
        <w:t> </w:t>
      </w:r>
      <w:r>
        <w:rPr/>
        <w:t>of</w:t>
      </w:r>
      <w:r>
        <w:rPr>
          <w:spacing w:val="5"/>
        </w:rPr>
        <w:t> </w:t>
      </w:r>
      <w:r>
        <w:rPr/>
        <w:t>2.5</w:t>
      </w:r>
      <w:r>
        <w:rPr>
          <w:spacing w:val="6"/>
        </w:rPr>
        <w:t> </w:t>
      </w:r>
      <w:r>
        <w:rPr/>
        <w:t>and</w:t>
      </w:r>
      <w:r>
        <w:rPr>
          <w:spacing w:val="5"/>
        </w:rPr>
        <w:t> </w:t>
      </w:r>
      <w:r>
        <w:rPr/>
        <w:t>5.0</w:t>
      </w:r>
      <w:r>
        <w:rPr>
          <w:spacing w:val="5"/>
        </w:rPr>
        <w:t> </w:t>
      </w:r>
      <w:r>
        <w:rPr/>
        <w:t>g/kg</w:t>
      </w:r>
      <w:r>
        <w:rPr>
          <w:spacing w:val="5"/>
        </w:rPr>
        <w:t> </w:t>
      </w:r>
      <w:r>
        <w:rPr/>
        <w:t>body</w:t>
      </w:r>
      <w:r>
        <w:rPr>
          <w:spacing w:val="-2"/>
        </w:rPr>
        <w:t> </w:t>
      </w:r>
      <w:r>
        <w:rPr/>
        <w:t>weight</w:t>
      </w:r>
      <w:r>
        <w:rPr>
          <w:spacing w:val="6"/>
        </w:rPr>
        <w:t> </w:t>
      </w:r>
      <w:r>
        <w:rPr/>
        <w:t>of</w:t>
      </w:r>
      <w:r>
        <w:rPr>
          <w:spacing w:val="6"/>
        </w:rPr>
        <w:t> </w:t>
      </w:r>
      <w:r>
        <w:rPr/>
        <w:t>the</w:t>
      </w:r>
      <w:r>
        <w:rPr>
          <w:spacing w:val="5"/>
        </w:rPr>
        <w:t> </w:t>
      </w:r>
      <w:r>
        <w:rPr/>
        <w:t>aqueous</w:t>
      </w:r>
      <w:r>
        <w:rPr>
          <w:spacing w:val="12"/>
        </w:rPr>
        <w:t> </w:t>
      </w:r>
      <w:r>
        <w:rPr/>
        <w:t>extract</w:t>
      </w:r>
      <w:r>
        <w:rPr>
          <w:spacing w:val="7"/>
        </w:rPr>
        <w:t> </w:t>
      </w:r>
      <w:r>
        <w:rPr/>
        <w:t>of</w:t>
      </w:r>
      <w:r>
        <w:rPr>
          <w:spacing w:val="5"/>
        </w:rPr>
        <w:t> </w:t>
      </w:r>
      <w:r>
        <w:rPr/>
        <w:t>the</w:t>
      </w:r>
      <w:r>
        <w:rPr>
          <w:spacing w:val="5"/>
        </w:rPr>
        <w:t> </w:t>
      </w:r>
      <w:r>
        <w:rPr/>
        <w:t>seeds</w:t>
      </w:r>
      <w:r>
        <w:rPr>
          <w:spacing w:val="7"/>
        </w:rPr>
        <w:t> </w:t>
      </w:r>
      <w:r>
        <w:rPr>
          <w:spacing w:val="-5"/>
        </w:rPr>
        <w:t>of</w:t>
      </w:r>
    </w:p>
    <w:p>
      <w:pPr>
        <w:pStyle w:val="BodyText"/>
        <w:spacing w:line="360" w:lineRule="auto" w:before="2"/>
        <w:ind w:left="678" w:right="998"/>
        <w:jc w:val="both"/>
      </w:pPr>
      <w:r>
        <w:rPr>
          <w:i/>
        </w:rPr>
        <w:t>S. cumini </w:t>
      </w:r>
      <w:r>
        <w:rPr/>
        <w:t>for six weeks in alloxan-diabetic rats resulted in a significant reduction in blood glucose concentration and an increase in total haemoglobin, but in the case of 7.5 g/kg body weight, the effect was not significant. It also resulted in decreased free radical formation in tissues (Prince </w:t>
      </w:r>
      <w:r>
        <w:rPr>
          <w:i/>
        </w:rPr>
        <w:t>et al</w:t>
      </w:r>
      <w:r>
        <w:rPr/>
        <w:t>., 1998).</w:t>
      </w:r>
    </w:p>
    <w:p>
      <w:pPr>
        <w:pStyle w:val="BodyText"/>
        <w:spacing w:before="141"/>
      </w:pPr>
    </w:p>
    <w:p>
      <w:pPr>
        <w:pStyle w:val="ListParagraph"/>
        <w:numPr>
          <w:ilvl w:val="2"/>
          <w:numId w:val="19"/>
        </w:numPr>
        <w:tabs>
          <w:tab w:pos="1338" w:val="left" w:leader="none"/>
        </w:tabs>
        <w:spacing w:line="240" w:lineRule="auto" w:before="0" w:after="0"/>
        <w:ind w:left="1338" w:right="0" w:hanging="660"/>
        <w:jc w:val="both"/>
        <w:rPr>
          <w:b/>
          <w:sz w:val="24"/>
        </w:rPr>
      </w:pPr>
      <w:r>
        <w:rPr>
          <w:b/>
          <w:i/>
          <w:sz w:val="24"/>
        </w:rPr>
        <w:t>Musa</w:t>
      </w:r>
      <w:r>
        <w:rPr>
          <w:b/>
          <w:i/>
          <w:spacing w:val="-3"/>
          <w:sz w:val="24"/>
        </w:rPr>
        <w:t> </w:t>
      </w:r>
      <w:r>
        <w:rPr>
          <w:b/>
          <w:i/>
          <w:sz w:val="24"/>
        </w:rPr>
        <w:t>sapientum</w:t>
      </w:r>
      <w:r>
        <w:rPr>
          <w:b/>
          <w:i/>
          <w:spacing w:val="-3"/>
          <w:sz w:val="24"/>
        </w:rPr>
        <w:t> </w:t>
      </w:r>
      <w:r>
        <w:rPr>
          <w:b/>
          <w:sz w:val="24"/>
        </w:rPr>
        <w:t>Kuntze</w:t>
      </w:r>
      <w:r>
        <w:rPr>
          <w:b/>
          <w:spacing w:val="-2"/>
          <w:sz w:val="24"/>
        </w:rPr>
        <w:t> (Banana)</w:t>
      </w:r>
    </w:p>
    <w:p>
      <w:pPr>
        <w:pStyle w:val="BodyText"/>
        <w:spacing w:line="360" w:lineRule="auto" w:before="133"/>
        <w:ind w:left="678" w:right="996" w:firstLine="720"/>
        <w:jc w:val="both"/>
      </w:pPr>
      <w:r>
        <w:rPr/>
        <w:t>Among the plants most used in the treatment of diabetes mellitus </w:t>
      </w:r>
      <w:r>
        <w:rPr>
          <w:i/>
        </w:rPr>
        <w:t>Musa sapientum </w:t>
      </w:r>
      <w:r>
        <w:rPr/>
        <w:t>Kuntze (Banana) significantly decreased the hyperglycaemic peak and the area under the glucose tolerance curve in hyperglycaemic rabbits (Alarcon-Aguilar </w:t>
      </w:r>
      <w:r>
        <w:rPr>
          <w:i/>
        </w:rPr>
        <w:t>et al</w:t>
      </w:r>
      <w:r>
        <w:rPr/>
        <w:t>., 1999). Oral administration of 1.5, 0.2 and 0.25 g/kg body weight of the chloroform extract of the flowers</w:t>
      </w:r>
      <w:r>
        <w:rPr>
          <w:spacing w:val="19"/>
        </w:rPr>
        <w:t> </w:t>
      </w:r>
      <w:r>
        <w:rPr/>
        <w:t>of</w:t>
      </w:r>
      <w:r>
        <w:rPr>
          <w:spacing w:val="23"/>
        </w:rPr>
        <w:t> </w:t>
      </w:r>
      <w:r>
        <w:rPr>
          <w:i/>
        </w:rPr>
        <w:t>M.</w:t>
      </w:r>
      <w:r>
        <w:rPr>
          <w:i/>
          <w:spacing w:val="21"/>
        </w:rPr>
        <w:t> </w:t>
      </w:r>
      <w:r>
        <w:rPr>
          <w:i/>
        </w:rPr>
        <w:t>sapientum</w:t>
      </w:r>
      <w:r>
        <w:rPr>
          <w:i/>
          <w:spacing w:val="24"/>
        </w:rPr>
        <w:t> </w:t>
      </w:r>
      <w:r>
        <w:rPr/>
        <w:t>during</w:t>
      </w:r>
      <w:r>
        <w:rPr>
          <w:spacing w:val="21"/>
        </w:rPr>
        <w:t> </w:t>
      </w:r>
      <w:r>
        <w:rPr/>
        <w:t>a</w:t>
      </w:r>
      <w:r>
        <w:rPr>
          <w:spacing w:val="20"/>
        </w:rPr>
        <w:t> </w:t>
      </w:r>
      <w:r>
        <w:rPr/>
        <w:t>30-day</w:t>
      </w:r>
      <w:r>
        <w:rPr>
          <w:spacing w:val="16"/>
        </w:rPr>
        <w:t> </w:t>
      </w:r>
      <w:r>
        <w:rPr/>
        <w:t>period</w:t>
      </w:r>
      <w:r>
        <w:rPr>
          <w:spacing w:val="22"/>
        </w:rPr>
        <w:t> </w:t>
      </w:r>
      <w:r>
        <w:rPr/>
        <w:t>caused</w:t>
      </w:r>
      <w:r>
        <w:rPr>
          <w:spacing w:val="23"/>
        </w:rPr>
        <w:t> </w:t>
      </w:r>
      <w:r>
        <w:rPr/>
        <w:t>a</w:t>
      </w:r>
      <w:r>
        <w:rPr>
          <w:spacing w:val="20"/>
        </w:rPr>
        <w:t> </w:t>
      </w:r>
      <w:r>
        <w:rPr/>
        <w:t>decrease</w:t>
      </w:r>
      <w:r>
        <w:rPr>
          <w:spacing w:val="19"/>
        </w:rPr>
        <w:t> </w:t>
      </w:r>
      <w:r>
        <w:rPr/>
        <w:t>in</w:t>
      </w:r>
      <w:r>
        <w:rPr>
          <w:spacing w:val="21"/>
        </w:rPr>
        <w:t> </w:t>
      </w:r>
      <w:r>
        <w:rPr/>
        <w:t>blood</w:t>
      </w:r>
      <w:r>
        <w:rPr>
          <w:spacing w:val="21"/>
        </w:rPr>
        <w:t> </w:t>
      </w:r>
      <w:r>
        <w:rPr/>
        <w:t>glucose</w:t>
      </w:r>
      <w:r>
        <w:rPr>
          <w:spacing w:val="23"/>
        </w:rPr>
        <w:t> </w:t>
      </w:r>
      <w:r>
        <w:rPr>
          <w:spacing w:val="-5"/>
        </w:rPr>
        <w:t>and</w:t>
      </w:r>
    </w:p>
    <w:p>
      <w:pPr>
        <w:spacing w:after="0" w:line="360" w:lineRule="auto"/>
        <w:jc w:val="both"/>
        <w:sectPr>
          <w:pgSz w:w="12240" w:h="15840"/>
          <w:pgMar w:header="0" w:footer="1056" w:top="1340" w:bottom="1240" w:left="1420" w:right="420"/>
        </w:sectPr>
      </w:pPr>
    </w:p>
    <w:p>
      <w:pPr>
        <w:pStyle w:val="BodyText"/>
        <w:spacing w:line="360" w:lineRule="auto" w:before="72"/>
        <w:ind w:left="678" w:right="1000"/>
        <w:jc w:val="both"/>
      </w:pPr>
      <w:r>
        <w:rPr/>
        <mc:AlternateContent>
          <mc:Choice Requires="wps">
            <w:drawing>
              <wp:anchor distT="0" distB="0" distL="0" distR="0" allowOverlap="1" layoutInCell="1" locked="0" behindDoc="1" simplePos="0" relativeHeight="482924032">
                <wp:simplePos x="0" y="0"/>
                <wp:positionH relativeFrom="page">
                  <wp:posOffset>-1402226</wp:posOffset>
                </wp:positionH>
                <wp:positionV relativeFrom="page">
                  <wp:posOffset>4612234</wp:posOffset>
                </wp:positionV>
                <wp:extent cx="10685780" cy="914400"/>
                <wp:effectExtent l="0" t="0" r="0" b="0"/>
                <wp:wrapNone/>
                <wp:docPr id="45" name="Textbox 45"/>
                <wp:cNvGraphicFramePr>
                  <a:graphicFrameLocks/>
                </wp:cNvGraphicFramePr>
                <a:graphic>
                  <a:graphicData uri="http://schemas.microsoft.com/office/word/2010/wordprocessingShape">
                    <wps:wsp>
                      <wps:cNvPr id="45" name="Textbox 4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2448;rotation:306" type="#_x0000_t136" fillcolor="#ff5400" stroked="f">
                <o:extrusion v:ext="view" autorotationcenter="t"/>
                <v:textpath style="font-family:&quot;Arial MT&quot;;font-size:72pt;v-text-kern:t;mso-text-shadow:auto" string="UNIVERSITY OF IBADAN"/>
                <w10:wrap type="none"/>
              </v:shape>
            </w:pict>
          </mc:Fallback>
        </mc:AlternateContent>
      </w:r>
      <w:r>
        <w:rPr/>
        <w:t>glycosylated haemoglobin levels and an increase in total haemoglobin. The extract</w:t>
      </w:r>
      <w:r>
        <w:rPr>
          <w:spacing w:val="40"/>
        </w:rPr>
        <w:t> </w:t>
      </w:r>
      <w:r>
        <w:rPr/>
        <w:t>showed antihyperglycaemic action and an antioxidant effect. Banana flower was more effective than glibenclamide (Pari and Umamaheswari, 2000).</w:t>
      </w:r>
    </w:p>
    <w:p>
      <w:pPr>
        <w:pStyle w:val="BodyText"/>
      </w:pPr>
    </w:p>
    <w:p>
      <w:pPr>
        <w:pStyle w:val="BodyText"/>
        <w:spacing w:before="146"/>
      </w:pPr>
    </w:p>
    <w:p>
      <w:pPr>
        <w:pStyle w:val="ListParagraph"/>
        <w:numPr>
          <w:ilvl w:val="1"/>
          <w:numId w:val="19"/>
        </w:numPr>
        <w:tabs>
          <w:tab w:pos="1158" w:val="left" w:leader="none"/>
        </w:tabs>
        <w:spacing w:line="240" w:lineRule="auto" w:before="0" w:after="0"/>
        <w:ind w:left="1158" w:right="0" w:hanging="480"/>
        <w:jc w:val="both"/>
        <w:rPr>
          <w:b/>
          <w:sz w:val="24"/>
        </w:rPr>
      </w:pPr>
      <w:r>
        <w:rPr>
          <w:b/>
          <w:i/>
          <w:sz w:val="24"/>
        </w:rPr>
        <w:t>Mucuna</w:t>
      </w:r>
      <w:r>
        <w:rPr>
          <w:b/>
          <w:i/>
          <w:spacing w:val="-4"/>
          <w:sz w:val="24"/>
        </w:rPr>
        <w:t> </w:t>
      </w:r>
      <w:r>
        <w:rPr>
          <w:b/>
          <w:i/>
          <w:sz w:val="24"/>
        </w:rPr>
        <w:t>pruriens </w:t>
      </w:r>
      <w:r>
        <w:rPr>
          <w:b/>
          <w:spacing w:val="-2"/>
          <w:sz w:val="24"/>
        </w:rPr>
        <w:t>(Linn)</w:t>
      </w:r>
    </w:p>
    <w:p>
      <w:pPr>
        <w:pStyle w:val="BodyText"/>
        <w:spacing w:line="360" w:lineRule="auto" w:before="135"/>
        <w:ind w:left="678" w:right="1203" w:firstLine="720"/>
        <w:jc w:val="both"/>
      </w:pPr>
      <w:r>
        <w:rPr>
          <w:i/>
        </w:rPr>
        <w:t>Mucuna pruriens </w:t>
      </w:r>
      <w:r>
        <w:rPr/>
        <w:t>belongs to the Kingdom: Plants, Sub Kingdom: Vascular Plants; Division: Angiosperm; Class Dicotyledon; Sub class: Rosidae; Order: Fabales; Family: Leguminoseae; Sub Family: Papilionoideae/Fabaceae; Genus: Mucuna;</w:t>
      </w:r>
      <w:r>
        <w:rPr>
          <w:spacing w:val="40"/>
        </w:rPr>
        <w:t> </w:t>
      </w:r>
      <w:r>
        <w:rPr/>
        <w:t>Species:</w:t>
      </w:r>
      <w:r>
        <w:rPr>
          <w:spacing w:val="40"/>
        </w:rPr>
        <w:t> </w:t>
      </w:r>
      <w:r>
        <w:rPr/>
        <w:t>pruriens.</w:t>
      </w:r>
      <w:r>
        <w:rPr>
          <w:spacing w:val="40"/>
        </w:rPr>
        <w:t> </w:t>
      </w:r>
      <w:r>
        <w:rPr/>
        <w:t>Duke</w:t>
      </w:r>
      <w:r>
        <w:rPr>
          <w:spacing w:val="40"/>
        </w:rPr>
        <w:t> </w:t>
      </w:r>
      <w:r>
        <w:rPr/>
        <w:t>(1981)</w:t>
      </w:r>
      <w:r>
        <w:rPr>
          <w:spacing w:val="40"/>
        </w:rPr>
        <w:t> </w:t>
      </w:r>
      <w:r>
        <w:rPr/>
        <w:t>recognized</w:t>
      </w:r>
      <w:r>
        <w:rPr>
          <w:spacing w:val="40"/>
        </w:rPr>
        <w:t> </w:t>
      </w:r>
      <w:r>
        <w:rPr/>
        <w:t>five</w:t>
      </w:r>
      <w:r>
        <w:rPr>
          <w:spacing w:val="40"/>
        </w:rPr>
        <w:t> </w:t>
      </w:r>
      <w:r>
        <w:rPr/>
        <w:t>species,</w:t>
      </w:r>
      <w:r>
        <w:rPr>
          <w:spacing w:val="40"/>
        </w:rPr>
        <w:t> </w:t>
      </w:r>
      <w:r>
        <w:rPr/>
        <w:t>namely,</w:t>
      </w:r>
      <w:r>
        <w:rPr>
          <w:spacing w:val="40"/>
        </w:rPr>
        <w:t> </w:t>
      </w:r>
      <w:r>
        <w:rPr>
          <w:i/>
        </w:rPr>
        <w:t>Mucuna</w:t>
      </w:r>
      <w:r>
        <w:rPr>
          <w:i/>
          <w:spacing w:val="40"/>
        </w:rPr>
        <w:t> </w:t>
      </w:r>
      <w:r>
        <w:rPr>
          <w:i/>
        </w:rPr>
        <w:t>pruriens </w:t>
      </w:r>
      <w:r>
        <w:rPr/>
        <w:t>(L.)</w:t>
      </w:r>
      <w:r>
        <w:rPr>
          <w:spacing w:val="40"/>
        </w:rPr>
        <w:t> </w:t>
      </w:r>
      <w:r>
        <w:rPr/>
        <w:t>DC,</w:t>
      </w:r>
      <w:r>
        <w:rPr>
          <w:spacing w:val="40"/>
        </w:rPr>
        <w:t> </w:t>
      </w:r>
      <w:r>
        <w:rPr>
          <w:i/>
        </w:rPr>
        <w:t>Mucuna</w:t>
      </w:r>
      <w:r>
        <w:rPr>
          <w:i/>
          <w:spacing w:val="40"/>
        </w:rPr>
        <w:t> </w:t>
      </w:r>
      <w:r>
        <w:rPr>
          <w:i/>
        </w:rPr>
        <w:t>nivea</w:t>
      </w:r>
      <w:r>
        <w:rPr>
          <w:i/>
          <w:spacing w:val="40"/>
        </w:rPr>
        <w:t> </w:t>
      </w:r>
      <w:r>
        <w:rPr/>
        <w:t>(syn.</w:t>
      </w:r>
      <w:r>
        <w:rPr>
          <w:spacing w:val="40"/>
        </w:rPr>
        <w:t> </w:t>
      </w:r>
      <w:r>
        <w:rPr>
          <w:i/>
        </w:rPr>
        <w:t>Mucuna</w:t>
      </w:r>
      <w:r>
        <w:rPr>
          <w:i/>
          <w:spacing w:val="40"/>
        </w:rPr>
        <w:t> </w:t>
      </w:r>
      <w:r>
        <w:rPr>
          <w:i/>
        </w:rPr>
        <w:t>yonii</w:t>
      </w:r>
      <w:r>
        <w:rPr>
          <w:i/>
          <w:spacing w:val="40"/>
        </w:rPr>
        <w:t> </w:t>
      </w:r>
      <w:r>
        <w:rPr/>
        <w:t>Merr.)</w:t>
      </w:r>
      <w:r>
        <w:rPr>
          <w:spacing w:val="40"/>
        </w:rPr>
        <w:t> </w:t>
      </w:r>
      <w:r>
        <w:rPr/>
        <w:t>(Lyon</w:t>
      </w:r>
      <w:r>
        <w:rPr>
          <w:spacing w:val="40"/>
        </w:rPr>
        <w:t> </w:t>
      </w:r>
      <w:r>
        <w:rPr/>
        <w:t>velvetbean),</w:t>
      </w:r>
      <w:r>
        <w:rPr>
          <w:spacing w:val="40"/>
        </w:rPr>
        <w:t> </w:t>
      </w:r>
      <w:r>
        <w:rPr>
          <w:i/>
        </w:rPr>
        <w:t>Mucuna hassjoo </w:t>
      </w:r>
      <w:r>
        <w:rPr/>
        <w:t>(Yokohama velvetbean), </w:t>
      </w:r>
      <w:r>
        <w:rPr>
          <w:i/>
        </w:rPr>
        <w:t>Mucuna aterrima </w:t>
      </w:r>
      <w:r>
        <w:rPr/>
        <w:t>Holi. (Mauritius or Bourbon velvetbean),</w:t>
      </w:r>
      <w:r>
        <w:rPr>
          <w:spacing w:val="40"/>
        </w:rPr>
        <w:t> </w:t>
      </w:r>
      <w:r>
        <w:rPr>
          <w:i/>
        </w:rPr>
        <w:t>Mucuna</w:t>
      </w:r>
      <w:r>
        <w:rPr>
          <w:i/>
          <w:spacing w:val="40"/>
        </w:rPr>
        <w:t> </w:t>
      </w:r>
      <w:r>
        <w:rPr>
          <w:i/>
        </w:rPr>
        <w:t>utilis</w:t>
      </w:r>
      <w:r>
        <w:rPr>
          <w:i/>
          <w:spacing w:val="40"/>
        </w:rPr>
        <w:t> </w:t>
      </w:r>
      <w:r>
        <w:rPr/>
        <w:t>Wall.</w:t>
      </w:r>
      <w:r>
        <w:rPr>
          <w:spacing w:val="40"/>
        </w:rPr>
        <w:t> </w:t>
      </w:r>
      <w:r>
        <w:rPr/>
        <w:t>(Bengal</w:t>
      </w:r>
      <w:r>
        <w:rPr>
          <w:spacing w:val="40"/>
        </w:rPr>
        <w:t> </w:t>
      </w:r>
      <w:r>
        <w:rPr/>
        <w:t>velvetbean),</w:t>
      </w:r>
      <w:r>
        <w:rPr>
          <w:spacing w:val="40"/>
        </w:rPr>
        <w:t> </w:t>
      </w:r>
      <w:r>
        <w:rPr/>
        <w:t>and</w:t>
      </w:r>
      <w:r>
        <w:rPr>
          <w:spacing w:val="40"/>
        </w:rPr>
        <w:t> </w:t>
      </w:r>
      <w:r>
        <w:rPr>
          <w:i/>
        </w:rPr>
        <w:t>Mucuna</w:t>
      </w:r>
      <w:r>
        <w:rPr>
          <w:i/>
          <w:spacing w:val="40"/>
        </w:rPr>
        <w:t> </w:t>
      </w:r>
      <w:r>
        <w:rPr>
          <w:i/>
        </w:rPr>
        <w:t>deeringiana </w:t>
      </w:r>
      <w:r>
        <w:rPr/>
        <w:t>Merr. (Florida or Georgia velvetbean). However, it is now well accepted in the taxonomic</w:t>
      </w:r>
      <w:r>
        <w:rPr>
          <w:spacing w:val="40"/>
        </w:rPr>
        <w:t> </w:t>
      </w:r>
      <w:r>
        <w:rPr/>
        <w:t>community</w:t>
      </w:r>
      <w:r>
        <w:rPr>
          <w:spacing w:val="40"/>
        </w:rPr>
        <w:t> </w:t>
      </w:r>
      <w:r>
        <w:rPr/>
        <w:t>that</w:t>
      </w:r>
      <w:r>
        <w:rPr>
          <w:spacing w:val="40"/>
        </w:rPr>
        <w:t> </w:t>
      </w:r>
      <w:r>
        <w:rPr/>
        <w:t>most</w:t>
      </w:r>
      <w:r>
        <w:rPr>
          <w:spacing w:val="40"/>
        </w:rPr>
        <w:t> </w:t>
      </w:r>
      <w:r>
        <w:rPr/>
        <w:t>cultivars</w:t>
      </w:r>
      <w:r>
        <w:rPr>
          <w:spacing w:val="40"/>
        </w:rPr>
        <w:t> </w:t>
      </w:r>
      <w:r>
        <w:rPr/>
        <w:t>of</w:t>
      </w:r>
      <w:r>
        <w:rPr>
          <w:spacing w:val="40"/>
        </w:rPr>
        <w:t> </w:t>
      </w:r>
      <w:r>
        <w:rPr/>
        <w:t>Mucuna</w:t>
      </w:r>
      <w:r>
        <w:rPr>
          <w:spacing w:val="40"/>
        </w:rPr>
        <w:t> </w:t>
      </w:r>
      <w:r>
        <w:rPr/>
        <w:t>belong</w:t>
      </w:r>
      <w:r>
        <w:rPr>
          <w:spacing w:val="40"/>
        </w:rPr>
        <w:t> </w:t>
      </w:r>
      <w:r>
        <w:rPr/>
        <w:t>to</w:t>
      </w:r>
      <w:r>
        <w:rPr>
          <w:spacing w:val="40"/>
        </w:rPr>
        <w:t> </w:t>
      </w:r>
      <w:r>
        <w:rPr/>
        <w:t>the</w:t>
      </w:r>
      <w:r>
        <w:rPr>
          <w:spacing w:val="40"/>
        </w:rPr>
        <w:t> </w:t>
      </w:r>
      <w:r>
        <w:rPr/>
        <w:t>species</w:t>
      </w:r>
      <w:r>
        <w:rPr>
          <w:spacing w:val="40"/>
        </w:rPr>
        <w:t> </w:t>
      </w:r>
      <w:r>
        <w:rPr>
          <w:i/>
        </w:rPr>
        <w:t>M. pruriens </w:t>
      </w:r>
      <w:r>
        <w:rPr/>
        <w:t>(Kay, 1979; Wilmot-Dear, 1984 and 1991). Two main varieties are encountered,</w:t>
      </w:r>
      <w:r>
        <w:rPr>
          <w:spacing w:val="40"/>
        </w:rPr>
        <w:t> </w:t>
      </w:r>
      <w:r>
        <w:rPr>
          <w:i/>
        </w:rPr>
        <w:t>Mucuna</w:t>
      </w:r>
      <w:r>
        <w:rPr>
          <w:i/>
          <w:spacing w:val="40"/>
        </w:rPr>
        <w:t> </w:t>
      </w:r>
      <w:r>
        <w:rPr>
          <w:i/>
        </w:rPr>
        <w:t>pruriens</w:t>
      </w:r>
      <w:r>
        <w:rPr>
          <w:i/>
          <w:spacing w:val="40"/>
        </w:rPr>
        <w:t> </w:t>
      </w:r>
      <w:r>
        <w:rPr/>
        <w:t>var.</w:t>
      </w:r>
      <w:r>
        <w:rPr>
          <w:spacing w:val="40"/>
        </w:rPr>
        <w:t> </w:t>
      </w:r>
      <w:r>
        <w:rPr>
          <w:i/>
        </w:rPr>
        <w:t>pruriem</w:t>
      </w:r>
      <w:r>
        <w:rPr>
          <w:i/>
          <w:spacing w:val="40"/>
        </w:rPr>
        <w:t> </w:t>
      </w:r>
      <w:r>
        <w:rPr/>
        <w:t>known</w:t>
      </w:r>
      <w:r>
        <w:rPr>
          <w:spacing w:val="40"/>
        </w:rPr>
        <w:t> </w:t>
      </w:r>
      <w:r>
        <w:rPr/>
        <w:t>for</w:t>
      </w:r>
      <w:r>
        <w:rPr>
          <w:spacing w:val="40"/>
        </w:rPr>
        <w:t> </w:t>
      </w:r>
      <w:r>
        <w:rPr/>
        <w:t>its</w:t>
      </w:r>
      <w:r>
        <w:rPr>
          <w:spacing w:val="40"/>
        </w:rPr>
        <w:t> </w:t>
      </w:r>
      <w:r>
        <w:rPr/>
        <w:t>particularly</w:t>
      </w:r>
      <w:r>
        <w:rPr>
          <w:spacing w:val="40"/>
        </w:rPr>
        <w:t> </w:t>
      </w:r>
      <w:r>
        <w:rPr/>
        <w:t>itching</w:t>
      </w:r>
      <w:r>
        <w:rPr>
          <w:spacing w:val="40"/>
        </w:rPr>
        <w:t> </w:t>
      </w:r>
      <w:r>
        <w:rPr/>
        <w:t>hairs on</w:t>
      </w:r>
      <w:r>
        <w:rPr>
          <w:spacing w:val="40"/>
        </w:rPr>
        <w:t> </w:t>
      </w:r>
      <w:r>
        <w:rPr/>
        <w:t>the</w:t>
      </w:r>
      <w:r>
        <w:rPr>
          <w:spacing w:val="40"/>
        </w:rPr>
        <w:t> </w:t>
      </w:r>
      <w:r>
        <w:rPr/>
        <w:t>pods,</w:t>
      </w:r>
      <w:r>
        <w:rPr>
          <w:spacing w:val="40"/>
        </w:rPr>
        <w:t> </w:t>
      </w:r>
      <w:r>
        <w:rPr/>
        <w:t>and</w:t>
      </w:r>
      <w:r>
        <w:rPr>
          <w:spacing w:val="40"/>
        </w:rPr>
        <w:t> </w:t>
      </w:r>
      <w:r>
        <w:rPr>
          <w:i/>
        </w:rPr>
        <w:t>Mucuna</w:t>
      </w:r>
      <w:r>
        <w:rPr>
          <w:i/>
          <w:spacing w:val="40"/>
        </w:rPr>
        <w:t> </w:t>
      </w:r>
      <w:r>
        <w:rPr>
          <w:i/>
        </w:rPr>
        <w:t>pruriens</w:t>
      </w:r>
      <w:r>
        <w:rPr>
          <w:i/>
          <w:spacing w:val="40"/>
        </w:rPr>
        <w:t> </w:t>
      </w:r>
      <w:r>
        <w:rPr/>
        <w:t>var.</w:t>
      </w:r>
      <w:r>
        <w:rPr>
          <w:spacing w:val="40"/>
        </w:rPr>
        <w:t> </w:t>
      </w:r>
      <w:r>
        <w:rPr>
          <w:i/>
        </w:rPr>
        <w:t>utiiis,</w:t>
      </w:r>
      <w:r>
        <w:rPr>
          <w:i/>
          <w:spacing w:val="40"/>
        </w:rPr>
        <w:t> </w:t>
      </w:r>
      <w:r>
        <w:rPr/>
        <w:t>similar</w:t>
      </w:r>
      <w:r>
        <w:rPr>
          <w:spacing w:val="40"/>
        </w:rPr>
        <w:t> </w:t>
      </w:r>
      <w:r>
        <w:rPr/>
        <w:t>in</w:t>
      </w:r>
      <w:r>
        <w:rPr>
          <w:spacing w:val="40"/>
        </w:rPr>
        <w:t> </w:t>
      </w:r>
      <w:r>
        <w:rPr/>
        <w:t>shape,</w:t>
      </w:r>
      <w:r>
        <w:rPr>
          <w:spacing w:val="40"/>
        </w:rPr>
        <w:t> </w:t>
      </w:r>
      <w:r>
        <w:rPr/>
        <w:t>but</w:t>
      </w:r>
      <w:r>
        <w:rPr>
          <w:spacing w:val="40"/>
        </w:rPr>
        <w:t> </w:t>
      </w:r>
      <w:r>
        <w:rPr/>
        <w:t>possessing velvety pods, hence the frequently used English common name, velvet bean or</w:t>
      </w:r>
      <w:r>
        <w:rPr>
          <w:spacing w:val="40"/>
        </w:rPr>
        <w:t> </w:t>
      </w:r>
      <w:r>
        <w:rPr/>
        <w:t>cowhage.</w:t>
      </w:r>
      <w:r>
        <w:rPr>
          <w:spacing w:val="40"/>
        </w:rPr>
        <w:t> </w:t>
      </w:r>
      <w:r>
        <w:rPr/>
        <w:t>In</w:t>
      </w:r>
      <w:r>
        <w:rPr>
          <w:spacing w:val="40"/>
        </w:rPr>
        <w:t> </w:t>
      </w:r>
      <w:r>
        <w:rPr/>
        <w:t>Nigeria,</w:t>
      </w:r>
      <w:r>
        <w:rPr>
          <w:spacing w:val="40"/>
        </w:rPr>
        <w:t> </w:t>
      </w:r>
      <w:r>
        <w:rPr>
          <w:i/>
        </w:rPr>
        <w:t>Mucuna</w:t>
      </w:r>
      <w:r>
        <w:rPr>
          <w:i/>
          <w:spacing w:val="40"/>
        </w:rPr>
        <w:t> </w:t>
      </w:r>
      <w:r>
        <w:rPr>
          <w:i/>
        </w:rPr>
        <w:t>pruriens</w:t>
      </w:r>
      <w:r>
        <w:rPr/>
        <w:t>‘</w:t>
      </w:r>
      <w:r>
        <w:rPr>
          <w:spacing w:val="40"/>
        </w:rPr>
        <w:t> </w:t>
      </w:r>
      <w:r>
        <w:rPr/>
        <w:t>local</w:t>
      </w:r>
      <w:r>
        <w:rPr>
          <w:spacing w:val="40"/>
        </w:rPr>
        <w:t> </w:t>
      </w:r>
      <w:r>
        <w:rPr/>
        <w:t>names</w:t>
      </w:r>
      <w:r>
        <w:rPr>
          <w:spacing w:val="40"/>
        </w:rPr>
        <w:t> </w:t>
      </w:r>
      <w:r>
        <w:rPr/>
        <w:t>are:</w:t>
      </w:r>
      <w:r>
        <w:rPr>
          <w:spacing w:val="40"/>
        </w:rPr>
        <w:t> </w:t>
      </w:r>
      <w:r>
        <w:rPr/>
        <w:t>Agbala</w:t>
      </w:r>
      <w:r>
        <w:rPr>
          <w:spacing w:val="40"/>
        </w:rPr>
        <w:t> </w:t>
      </w:r>
      <w:r>
        <w:rPr/>
        <w:t>(Igbo),</w:t>
      </w:r>
      <w:r>
        <w:rPr>
          <w:spacing w:val="40"/>
        </w:rPr>
        <w:t> </w:t>
      </w:r>
      <w:r>
        <w:rPr/>
        <w:t>Karara (Hausa)</w:t>
      </w:r>
      <w:r>
        <w:rPr>
          <w:spacing w:val="40"/>
        </w:rPr>
        <w:t> </w:t>
      </w:r>
      <w:r>
        <w:rPr/>
        <w:t>and</w:t>
      </w:r>
      <w:r>
        <w:rPr>
          <w:spacing w:val="40"/>
        </w:rPr>
        <w:t> </w:t>
      </w:r>
      <w:r>
        <w:rPr/>
        <w:t>Werepe</w:t>
      </w:r>
      <w:r>
        <w:rPr>
          <w:spacing w:val="40"/>
        </w:rPr>
        <w:t> </w:t>
      </w:r>
      <w:r>
        <w:rPr/>
        <w:t>or</w:t>
      </w:r>
      <w:r>
        <w:rPr>
          <w:spacing w:val="40"/>
        </w:rPr>
        <w:t> </w:t>
      </w:r>
      <w:r>
        <w:rPr/>
        <w:t>Yerepe</w:t>
      </w:r>
      <w:r>
        <w:rPr>
          <w:spacing w:val="40"/>
        </w:rPr>
        <w:t> </w:t>
      </w:r>
      <w:r>
        <w:rPr/>
        <w:t>(Yoruba).</w:t>
      </w:r>
    </w:p>
    <w:p>
      <w:pPr>
        <w:pStyle w:val="BodyText"/>
        <w:spacing w:line="360" w:lineRule="auto"/>
        <w:ind w:left="678" w:right="994" w:firstLine="780"/>
        <w:jc w:val="both"/>
      </w:pPr>
      <w:r>
        <w:rPr/>
        <w:t>Mucuna is an annual climbing and twinning plant that grows 3-18 m in height. It</w:t>
      </w:r>
      <w:r>
        <w:rPr>
          <w:spacing w:val="40"/>
        </w:rPr>
        <w:t> </w:t>
      </w:r>
      <w:r>
        <w:rPr/>
        <w:t>is indigenous to tropical regions, especially Africa, India, and the West Indies. Its flowers are white to dark purple and hang in long clusters. The plant also produces clusters of pods, which contain seeds known as Mucuna beans. The seed pods are covered with reddish-orange hairs that are readily dislodged and can cause intense irritation to the skin. The species name "pruriens" comes from the Latin which means "itching sensation."</w:t>
      </w:r>
      <w:r>
        <w:rPr>
          <w:spacing w:val="40"/>
        </w:rPr>
        <w:t> </w:t>
      </w:r>
      <w:r>
        <w:rPr/>
        <w:t>These hairs contain mucunian and serotonine causing blisters and dermatitis. The hairs have been used in itching powder and mixed with honey and used as vermifuge.</w:t>
      </w:r>
    </w:p>
    <w:p>
      <w:pPr>
        <w:pStyle w:val="BodyText"/>
        <w:spacing w:before="145"/>
      </w:pPr>
    </w:p>
    <w:p>
      <w:pPr>
        <w:pStyle w:val="ListParagraph"/>
        <w:numPr>
          <w:ilvl w:val="2"/>
          <w:numId w:val="19"/>
        </w:numPr>
        <w:tabs>
          <w:tab w:pos="1208" w:val="left" w:leader="none"/>
        </w:tabs>
        <w:spacing w:line="240" w:lineRule="auto" w:before="0" w:after="0"/>
        <w:ind w:left="1208" w:right="0" w:hanging="530"/>
        <w:jc w:val="both"/>
        <w:rPr>
          <w:b/>
          <w:i/>
          <w:sz w:val="24"/>
        </w:rPr>
      </w:pPr>
      <w:r>
        <w:rPr>
          <w:b/>
          <w:sz w:val="24"/>
        </w:rPr>
        <w:t>Medicinal</w:t>
      </w:r>
      <w:r>
        <w:rPr>
          <w:b/>
          <w:spacing w:val="-2"/>
          <w:sz w:val="24"/>
        </w:rPr>
        <w:t> </w:t>
      </w:r>
      <w:r>
        <w:rPr>
          <w:b/>
          <w:sz w:val="24"/>
        </w:rPr>
        <w:t>importance</w:t>
      </w:r>
      <w:r>
        <w:rPr>
          <w:b/>
          <w:spacing w:val="-3"/>
          <w:sz w:val="24"/>
        </w:rPr>
        <w:t> </w:t>
      </w:r>
      <w:r>
        <w:rPr>
          <w:b/>
          <w:sz w:val="24"/>
        </w:rPr>
        <w:t>of </w:t>
      </w:r>
      <w:r>
        <w:rPr>
          <w:b/>
          <w:i/>
          <w:sz w:val="24"/>
        </w:rPr>
        <w:t>Mucuna</w:t>
      </w:r>
      <w:r>
        <w:rPr>
          <w:b/>
          <w:i/>
          <w:spacing w:val="-1"/>
          <w:sz w:val="24"/>
        </w:rPr>
        <w:t> </w:t>
      </w:r>
      <w:r>
        <w:rPr>
          <w:b/>
          <w:i/>
          <w:spacing w:val="-2"/>
          <w:sz w:val="24"/>
        </w:rPr>
        <w:t>pruriens</w:t>
      </w:r>
    </w:p>
    <w:p>
      <w:pPr>
        <w:pStyle w:val="BodyText"/>
        <w:spacing w:before="132"/>
        <w:ind w:left="1398"/>
      </w:pPr>
      <w:r>
        <w:rPr/>
        <w:t>All</w:t>
      </w:r>
      <w:r>
        <w:rPr>
          <w:spacing w:val="30"/>
        </w:rPr>
        <w:t> </w:t>
      </w:r>
      <w:r>
        <w:rPr/>
        <w:t>parts</w:t>
      </w:r>
      <w:r>
        <w:rPr>
          <w:spacing w:val="33"/>
        </w:rPr>
        <w:t> </w:t>
      </w:r>
      <w:r>
        <w:rPr/>
        <w:t>of</w:t>
      </w:r>
      <w:r>
        <w:rPr>
          <w:spacing w:val="33"/>
        </w:rPr>
        <w:t> </w:t>
      </w:r>
      <w:r>
        <w:rPr>
          <w:i/>
        </w:rPr>
        <w:t>Mucuna</w:t>
      </w:r>
      <w:r>
        <w:rPr>
          <w:i/>
          <w:spacing w:val="36"/>
        </w:rPr>
        <w:t> </w:t>
      </w:r>
      <w:r>
        <w:rPr/>
        <w:t>plant</w:t>
      </w:r>
      <w:r>
        <w:rPr>
          <w:spacing w:val="32"/>
        </w:rPr>
        <w:t> </w:t>
      </w:r>
      <w:r>
        <w:rPr/>
        <w:t>are</w:t>
      </w:r>
      <w:r>
        <w:rPr>
          <w:spacing w:val="31"/>
        </w:rPr>
        <w:t> </w:t>
      </w:r>
      <w:r>
        <w:rPr/>
        <w:t>known</w:t>
      </w:r>
      <w:r>
        <w:rPr>
          <w:spacing w:val="32"/>
        </w:rPr>
        <w:t> </w:t>
      </w:r>
      <w:r>
        <w:rPr/>
        <w:t>to</w:t>
      </w:r>
      <w:r>
        <w:rPr>
          <w:spacing w:val="32"/>
        </w:rPr>
        <w:t> </w:t>
      </w:r>
      <w:r>
        <w:rPr/>
        <w:t>possess</w:t>
      </w:r>
      <w:r>
        <w:rPr>
          <w:spacing w:val="35"/>
        </w:rPr>
        <w:t> </w:t>
      </w:r>
      <w:r>
        <w:rPr/>
        <w:t>high</w:t>
      </w:r>
      <w:r>
        <w:rPr>
          <w:spacing w:val="32"/>
        </w:rPr>
        <w:t> </w:t>
      </w:r>
      <w:r>
        <w:rPr/>
        <w:t>medicinal</w:t>
      </w:r>
      <w:r>
        <w:rPr>
          <w:spacing w:val="33"/>
        </w:rPr>
        <w:t> </w:t>
      </w:r>
      <w:r>
        <w:rPr/>
        <w:t>value</w:t>
      </w:r>
      <w:r>
        <w:rPr>
          <w:spacing w:val="32"/>
        </w:rPr>
        <w:t> </w:t>
      </w:r>
      <w:r>
        <w:rPr>
          <w:spacing w:val="-2"/>
        </w:rPr>
        <w:t>(Caius,</w:t>
      </w:r>
    </w:p>
    <w:p>
      <w:pPr>
        <w:spacing w:after="0"/>
        <w:sectPr>
          <w:pgSz w:w="12240" w:h="15840"/>
          <w:pgMar w:header="0" w:footer="1056" w:top="1340" w:bottom="1240" w:left="1420" w:right="420"/>
        </w:sectPr>
      </w:pPr>
    </w:p>
    <w:p>
      <w:pPr>
        <w:spacing w:line="360" w:lineRule="auto" w:before="72"/>
        <w:ind w:left="678" w:right="1206" w:firstLine="0"/>
        <w:jc w:val="both"/>
        <w:rPr>
          <w:sz w:val="24"/>
        </w:rPr>
      </w:pPr>
      <w:r>
        <w:rPr/>
        <mc:AlternateContent>
          <mc:Choice Requires="wps">
            <w:drawing>
              <wp:anchor distT="0" distB="0" distL="0" distR="0" allowOverlap="1" layoutInCell="1" locked="0" behindDoc="1" simplePos="0" relativeHeight="482924544">
                <wp:simplePos x="0" y="0"/>
                <wp:positionH relativeFrom="page">
                  <wp:posOffset>-1402226</wp:posOffset>
                </wp:positionH>
                <wp:positionV relativeFrom="page">
                  <wp:posOffset>4612234</wp:posOffset>
                </wp:positionV>
                <wp:extent cx="10685780" cy="914400"/>
                <wp:effectExtent l="0" t="0" r="0" b="0"/>
                <wp:wrapNone/>
                <wp:docPr id="46" name="Textbox 46"/>
                <wp:cNvGraphicFramePr>
                  <a:graphicFrameLocks/>
                </wp:cNvGraphicFramePr>
                <a:graphic>
                  <a:graphicData uri="http://schemas.microsoft.com/office/word/2010/wordprocessingShape">
                    <wps:wsp>
                      <wps:cNvPr id="46" name="Textbox 4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9193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1989,</w:t>
      </w:r>
      <w:r>
        <w:rPr>
          <w:spacing w:val="-2"/>
          <w:sz w:val="24"/>
        </w:rPr>
        <w:t> </w:t>
      </w:r>
      <w:r>
        <w:rPr>
          <w:sz w:val="24"/>
        </w:rPr>
        <w:t>Warrier</w:t>
      </w:r>
      <w:r>
        <w:rPr>
          <w:spacing w:val="-3"/>
          <w:sz w:val="24"/>
        </w:rPr>
        <w:t> </w:t>
      </w:r>
      <w:r>
        <w:rPr>
          <w:i/>
          <w:sz w:val="24"/>
        </w:rPr>
        <w:t>et</w:t>
      </w:r>
      <w:r>
        <w:rPr>
          <w:i/>
          <w:spacing w:val="-2"/>
          <w:sz w:val="24"/>
        </w:rPr>
        <w:t> </w:t>
      </w:r>
      <w:r>
        <w:rPr>
          <w:i/>
          <w:sz w:val="24"/>
        </w:rPr>
        <w:t>al.,</w:t>
      </w:r>
      <w:r>
        <w:rPr>
          <w:i/>
          <w:spacing w:val="-1"/>
          <w:sz w:val="24"/>
        </w:rPr>
        <w:t> </w:t>
      </w:r>
      <w:r>
        <w:rPr>
          <w:sz w:val="24"/>
        </w:rPr>
        <w:t>1996).</w:t>
      </w:r>
      <w:r>
        <w:rPr>
          <w:spacing w:val="-2"/>
          <w:sz w:val="24"/>
        </w:rPr>
        <w:t> </w:t>
      </w:r>
      <w:r>
        <w:rPr>
          <w:i/>
          <w:sz w:val="24"/>
        </w:rPr>
        <w:t>Mucuna</w:t>
      </w:r>
      <w:r>
        <w:rPr>
          <w:i/>
          <w:spacing w:val="-2"/>
          <w:sz w:val="24"/>
        </w:rPr>
        <w:t> </w:t>
      </w:r>
      <w:r>
        <w:rPr>
          <w:i/>
          <w:sz w:val="24"/>
        </w:rPr>
        <w:t>pruriens</w:t>
      </w:r>
      <w:r>
        <w:rPr>
          <w:i/>
          <w:spacing w:val="-1"/>
          <w:sz w:val="24"/>
        </w:rPr>
        <w:t> </w:t>
      </w:r>
      <w:r>
        <w:rPr>
          <w:sz w:val="24"/>
        </w:rPr>
        <w:t>has</w:t>
      </w:r>
      <w:r>
        <w:rPr>
          <w:spacing w:val="-2"/>
          <w:sz w:val="24"/>
        </w:rPr>
        <w:t> </w:t>
      </w:r>
      <w:r>
        <w:rPr>
          <w:sz w:val="24"/>
        </w:rPr>
        <w:t>been</w:t>
      </w:r>
      <w:r>
        <w:rPr>
          <w:spacing w:val="-2"/>
          <w:sz w:val="24"/>
        </w:rPr>
        <w:t> </w:t>
      </w:r>
      <w:r>
        <w:rPr>
          <w:sz w:val="24"/>
        </w:rPr>
        <w:t>reported</w:t>
      </w:r>
      <w:r>
        <w:rPr>
          <w:spacing w:val="-2"/>
          <w:sz w:val="24"/>
        </w:rPr>
        <w:t> </w:t>
      </w:r>
      <w:r>
        <w:rPr>
          <w:sz w:val="24"/>
        </w:rPr>
        <w:t>to</w:t>
      </w:r>
      <w:r>
        <w:rPr>
          <w:spacing w:val="-2"/>
          <w:sz w:val="24"/>
        </w:rPr>
        <w:t> </w:t>
      </w:r>
      <w:r>
        <w:rPr>
          <w:sz w:val="24"/>
        </w:rPr>
        <w:t>contain</w:t>
      </w:r>
      <w:r>
        <w:rPr>
          <w:spacing w:val="-2"/>
          <w:sz w:val="24"/>
        </w:rPr>
        <w:t> </w:t>
      </w:r>
      <w:r>
        <w:rPr>
          <w:sz w:val="24"/>
        </w:rPr>
        <w:t>several</w:t>
      </w:r>
      <w:r>
        <w:rPr>
          <w:spacing w:val="-2"/>
          <w:sz w:val="24"/>
        </w:rPr>
        <w:t> </w:t>
      </w:r>
      <w:r>
        <w:rPr>
          <w:sz w:val="24"/>
        </w:rPr>
        <w:t>useful phytochemicals (Morris, 1999).</w:t>
      </w:r>
    </w:p>
    <w:p>
      <w:pPr>
        <w:pStyle w:val="BodyText"/>
        <w:spacing w:line="360" w:lineRule="auto" w:before="1"/>
        <w:ind w:left="678" w:right="1198" w:firstLine="720"/>
        <w:jc w:val="both"/>
      </w:pPr>
      <w:r>
        <w:rPr/>
        <w:t>The roots contain alkaloids such as 5-methoxytryptamine, bufotenine, choline, N,N-dimethyltryptamine, 5-oxyindole-3-alkylamines, indole-3-alkylamine and B- carboline (Ghosal </w:t>
      </w:r>
      <w:r>
        <w:rPr>
          <w:i/>
        </w:rPr>
        <w:t>et al., </w:t>
      </w:r>
      <w:r>
        <w:rPr/>
        <w:t>1971). Gupta </w:t>
      </w:r>
      <w:r>
        <w:rPr>
          <w:i/>
        </w:rPr>
        <w:t>et al </w:t>
      </w:r>
      <w:r>
        <w:rPr/>
        <w:t>(1997) reported the antiepileptic and antineoplastic activity of methanol extract of </w:t>
      </w:r>
      <w:r>
        <w:rPr>
          <w:i/>
        </w:rPr>
        <w:t>Mucuna pruriens </w:t>
      </w:r>
      <w:r>
        <w:rPr/>
        <w:t>roots. Roots of </w:t>
      </w:r>
      <w:r>
        <w:rPr>
          <w:i/>
        </w:rPr>
        <w:t>Mucuna </w:t>
      </w:r>
      <w:r>
        <w:rPr/>
        <w:t>are used in Ayurveda and in indigenous medicines to relieve constipation, nephropathy, strangury, dysmenorrhoea, amenorrhoea, elephantiasis, dropsy, neuropathy, consumption, ulcers, helminthiasis, fever and delirium (Sastry and Kavathekar, 1990).</w:t>
      </w:r>
    </w:p>
    <w:p>
      <w:pPr>
        <w:pStyle w:val="BodyText"/>
        <w:spacing w:line="360" w:lineRule="auto"/>
        <w:ind w:left="678" w:right="993" w:firstLine="720"/>
        <w:jc w:val="both"/>
      </w:pPr>
      <w:r>
        <w:rPr/>
        <w:t>Mucuna leaves also contain 5-methoxytryptamine, bufotenine, choline, N,N- dimethyltryptamine, 5-oxyindole-3-alkylamines, indole-3-alkylamine and B-carboline (Ghosal </w:t>
      </w:r>
      <w:r>
        <w:rPr>
          <w:i/>
        </w:rPr>
        <w:t>et al., </w:t>
      </w:r>
      <w:r>
        <w:rPr/>
        <w:t>1971). The leaves are aphrodisiac, anthelmintic and useful in treating</w:t>
      </w:r>
      <w:r>
        <w:rPr>
          <w:spacing w:val="40"/>
        </w:rPr>
        <w:t> </w:t>
      </w:r>
      <w:r>
        <w:rPr/>
        <w:t>ulcers, inflammation, helminthiasis, cephalalgia and general debility. The seeds also contain 5-methoxytryptamine, bufotenine, choline, N,N-dimethyltryptamine, 5-oxyindole- 3-alkylamines, indole-3-alkylamine and B-carboline (Ghosal </w:t>
      </w:r>
      <w:r>
        <w:rPr>
          <w:i/>
        </w:rPr>
        <w:t>et al., </w:t>
      </w:r>
      <w:r>
        <w:rPr/>
        <w:t>1971). Seeds of </w:t>
      </w:r>
      <w:r>
        <w:rPr>
          <w:i/>
        </w:rPr>
        <w:t>Mucuna </w:t>
      </w:r>
      <w:r>
        <w:rPr/>
        <w:t>are prescribed as powder to treat leucorrhoea, spermatorrhoea and wherever aphrodisiac action is required (Nadkarni, 1982). Seeds possess anabolic, androgenic, analgesic (pain-relieving), anti-inflammatory, anti-Parkinson's, antispasmodic, antivenin, aphrodisiac, febrifuge (fever reducing), hormonal, hypocholesterolemic (cholesterol lowering), hypoglycemic, immunomodulator, nervine (nerve balancing), neurasthenic (nerve pain relieving), antilithic (kidney stones preventing or eliminating), antiparasitic, cough suppressant, blood cleanser, carminative (gas expelling), central nervous system stimulant, diuretic, hypotensive (blood pressure lowering), menstrual stimulant, uterine stimulant</w:t>
      </w:r>
      <w:r>
        <w:rPr>
          <w:spacing w:val="-3"/>
        </w:rPr>
        <w:t> </w:t>
      </w:r>
      <w:r>
        <w:rPr/>
        <w:t>and</w:t>
      </w:r>
      <w:r>
        <w:rPr>
          <w:spacing w:val="-3"/>
        </w:rPr>
        <w:t> </w:t>
      </w:r>
      <w:r>
        <w:rPr/>
        <w:t>vermifuge</w:t>
      </w:r>
      <w:r>
        <w:rPr>
          <w:spacing w:val="-1"/>
        </w:rPr>
        <w:t> </w:t>
      </w:r>
      <w:r>
        <w:rPr/>
        <w:t>properties</w:t>
      </w:r>
      <w:r>
        <w:rPr>
          <w:spacing w:val="-4"/>
        </w:rPr>
        <w:t> </w:t>
      </w:r>
      <w:r>
        <w:rPr/>
        <w:t>(Sridhar</w:t>
      </w:r>
      <w:r>
        <w:rPr>
          <w:spacing w:val="-3"/>
        </w:rPr>
        <w:t> </w:t>
      </w:r>
      <w:r>
        <w:rPr/>
        <w:t>and</w:t>
      </w:r>
      <w:r>
        <w:rPr>
          <w:spacing w:val="-1"/>
        </w:rPr>
        <w:t> </w:t>
      </w:r>
      <w:r>
        <w:rPr/>
        <w:t>Bhat,</w:t>
      </w:r>
      <w:r>
        <w:rPr>
          <w:spacing w:val="-3"/>
        </w:rPr>
        <w:t> </w:t>
      </w:r>
      <w:r>
        <w:rPr/>
        <w:t>2007).</w:t>
      </w:r>
      <w:r>
        <w:rPr>
          <w:spacing w:val="-3"/>
        </w:rPr>
        <w:t> </w:t>
      </w:r>
      <w:r>
        <w:rPr/>
        <w:t>There</w:t>
      </w:r>
      <w:r>
        <w:rPr>
          <w:spacing w:val="-4"/>
        </w:rPr>
        <w:t> </w:t>
      </w:r>
      <w:r>
        <w:rPr/>
        <w:t>are</w:t>
      </w:r>
      <w:r>
        <w:rPr>
          <w:spacing w:val="-4"/>
        </w:rPr>
        <w:t> </w:t>
      </w:r>
      <w:r>
        <w:rPr/>
        <w:t>a</w:t>
      </w:r>
      <w:r>
        <w:rPr>
          <w:spacing w:val="-4"/>
        </w:rPr>
        <w:t> </w:t>
      </w:r>
      <w:r>
        <w:rPr/>
        <w:t>number</w:t>
      </w:r>
      <w:r>
        <w:rPr>
          <w:spacing w:val="-5"/>
        </w:rPr>
        <w:t> </w:t>
      </w:r>
      <w:r>
        <w:rPr/>
        <w:t>of</w:t>
      </w:r>
      <w:r>
        <w:rPr>
          <w:spacing w:val="-3"/>
        </w:rPr>
        <w:t> </w:t>
      </w:r>
      <w:r>
        <w:rPr/>
        <w:t>value- added phytochemicals of </w:t>
      </w:r>
      <w:r>
        <w:rPr>
          <w:i/>
        </w:rPr>
        <w:t>Mucuna </w:t>
      </w:r>
      <w:r>
        <w:rPr/>
        <w:t>seeds of medicinal importance (e.g. alkaloids, alkylamines, arachidic acid, behenic acid, betacarboline, beta-sitosterol, bufotenine, cystine, dopamine, fatty acids, flavones, galactose, gallic acid, genistein, glutamic acid, glutathione, glycine, histidine, hydroxygenistein, 5-hydroxytryptamine, methionine, 6- methoxyharman, mucunadine, mucunain, mucunine, myristic acid, niacin, nicotine,</w:t>
      </w:r>
    </w:p>
    <w:p>
      <w:pPr>
        <w:spacing w:after="0" w:line="360" w:lineRule="auto"/>
        <w:jc w:val="both"/>
        <w:sectPr>
          <w:pgSz w:w="12240" w:h="15840"/>
          <w:pgMar w:header="0" w:footer="1056" w:top="1340" w:bottom="1240" w:left="1420" w:right="420"/>
        </w:sectPr>
      </w:pPr>
    </w:p>
    <w:p>
      <w:pPr>
        <w:pStyle w:val="BodyText"/>
        <w:rPr>
          <w:sz w:val="20"/>
        </w:rPr>
      </w:pPr>
      <w:r>
        <w:rPr/>
        <mc:AlternateContent>
          <mc:Choice Requires="wps">
            <w:drawing>
              <wp:anchor distT="0" distB="0" distL="0" distR="0" allowOverlap="1" layoutInCell="1" locked="0" behindDoc="1" simplePos="0" relativeHeight="482926080">
                <wp:simplePos x="0" y="0"/>
                <wp:positionH relativeFrom="page">
                  <wp:posOffset>4288097</wp:posOffset>
                </wp:positionH>
                <wp:positionV relativeFrom="page">
                  <wp:posOffset>1617859</wp:posOffset>
                </wp:positionV>
                <wp:extent cx="3421379" cy="914400"/>
                <wp:effectExtent l="0" t="0" r="0" b="0"/>
                <wp:wrapNone/>
                <wp:docPr id="47" name="Textbox 47"/>
                <wp:cNvGraphicFramePr>
                  <a:graphicFrameLocks/>
                </wp:cNvGraphicFramePr>
                <a:graphic>
                  <a:graphicData uri="http://schemas.microsoft.com/office/word/2010/wordprocessingShape">
                    <wps:wsp>
                      <wps:cNvPr id="47" name="Textbox 47"/>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9040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26592">
                <wp:simplePos x="0" y="0"/>
                <wp:positionH relativeFrom="page">
                  <wp:posOffset>-316181</wp:posOffset>
                </wp:positionH>
                <wp:positionV relativeFrom="page">
                  <wp:posOffset>6721518</wp:posOffset>
                </wp:positionV>
                <wp:extent cx="5504815" cy="914400"/>
                <wp:effectExtent l="0" t="0" r="0" b="0"/>
                <wp:wrapNone/>
                <wp:docPr id="48" name="Textbox 48"/>
                <wp:cNvGraphicFramePr>
                  <a:graphicFrameLocks/>
                </wp:cNvGraphicFramePr>
                <a:graphic>
                  <a:graphicData uri="http://schemas.microsoft.com/office/word/2010/wordprocessingShape">
                    <wps:wsp>
                      <wps:cNvPr id="48" name="Textbox 48"/>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89888;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sz w:val="20"/>
        </w:rPr>
      </w:pPr>
    </w:p>
    <w:p>
      <w:pPr>
        <w:pStyle w:val="BodyText"/>
        <w:spacing w:before="45"/>
        <w:rPr>
          <w:sz w:val="20"/>
        </w:rPr>
      </w:pPr>
    </w:p>
    <w:p>
      <w:pPr>
        <w:pStyle w:val="BodyText"/>
        <w:ind w:left="1399"/>
        <w:rPr>
          <w:sz w:val="20"/>
        </w:rPr>
      </w:pPr>
      <w:r>
        <w:rPr>
          <w:sz w:val="20"/>
        </w:rPr>
        <mc:AlternateContent>
          <mc:Choice Requires="wps">
            <w:drawing>
              <wp:inline distT="0" distB="0" distL="0" distR="0">
                <wp:extent cx="4276725" cy="3894454"/>
                <wp:effectExtent l="0" t="0" r="0" b="1270"/>
                <wp:docPr id="49" name="Group 49"/>
                <wp:cNvGraphicFramePr>
                  <a:graphicFrameLocks/>
                </wp:cNvGraphicFramePr>
                <a:graphic>
                  <a:graphicData uri="http://schemas.microsoft.com/office/word/2010/wordprocessingGroup">
                    <wpg:wgp>
                      <wpg:cNvPr id="49" name="Group 49"/>
                      <wpg:cNvGrpSpPr/>
                      <wpg:grpSpPr>
                        <a:xfrm>
                          <a:off x="0" y="0"/>
                          <a:ext cx="4276725" cy="3894454"/>
                          <a:chExt cx="4276725" cy="3894454"/>
                        </a:xfrm>
                      </wpg:grpSpPr>
                      <wps:wsp>
                        <wps:cNvPr id="50" name="Graphic 50"/>
                        <wps:cNvSpPr/>
                        <wps:spPr>
                          <a:xfrm>
                            <a:off x="0" y="0"/>
                            <a:ext cx="4276725" cy="3894454"/>
                          </a:xfrm>
                          <a:custGeom>
                            <a:avLst/>
                            <a:gdLst/>
                            <a:ahLst/>
                            <a:cxnLst/>
                            <a:rect l="l" t="t" r="r" b="b"/>
                            <a:pathLst>
                              <a:path w="4276725" h="3894454">
                                <a:moveTo>
                                  <a:pt x="4276382" y="0"/>
                                </a:moveTo>
                                <a:lnTo>
                                  <a:pt x="0" y="0"/>
                                </a:lnTo>
                                <a:lnTo>
                                  <a:pt x="0" y="3894461"/>
                                </a:lnTo>
                                <a:lnTo>
                                  <a:pt x="4276382" y="3894461"/>
                                </a:lnTo>
                                <a:lnTo>
                                  <a:pt x="4276382" y="0"/>
                                </a:lnTo>
                                <a:close/>
                              </a:path>
                            </a:pathLst>
                          </a:custGeom>
                          <a:solidFill>
                            <a:srgbClr val="FFFFFF"/>
                          </a:solidFill>
                        </wps:spPr>
                        <wps:bodyPr wrap="square" lIns="0" tIns="0" rIns="0" bIns="0" rtlCol="0">
                          <a:prstTxWarp prst="textNoShape">
                            <a:avLst/>
                          </a:prstTxWarp>
                          <a:noAutofit/>
                        </wps:bodyPr>
                      </wps:wsp>
                      <pic:pic>
                        <pic:nvPicPr>
                          <pic:cNvPr id="51" name="Image 51"/>
                          <pic:cNvPicPr/>
                        </pic:nvPicPr>
                        <pic:blipFill>
                          <a:blip r:embed="rId19" cstate="print"/>
                          <a:stretch>
                            <a:fillRect/>
                          </a:stretch>
                        </pic:blipFill>
                        <pic:spPr>
                          <a:xfrm>
                            <a:off x="100227" y="730254"/>
                            <a:ext cx="2004599" cy="2515127"/>
                          </a:xfrm>
                          <a:prstGeom prst="rect">
                            <a:avLst/>
                          </a:prstGeom>
                        </pic:spPr>
                      </pic:pic>
                      <pic:pic>
                        <pic:nvPicPr>
                          <pic:cNvPr id="52" name="Image 52"/>
                          <pic:cNvPicPr/>
                        </pic:nvPicPr>
                        <pic:blipFill>
                          <a:blip r:embed="rId20" cstate="print"/>
                          <a:stretch>
                            <a:fillRect/>
                          </a:stretch>
                        </pic:blipFill>
                        <pic:spPr>
                          <a:xfrm>
                            <a:off x="2205047" y="730254"/>
                            <a:ext cx="1971111" cy="2515127"/>
                          </a:xfrm>
                          <a:prstGeom prst="rect">
                            <a:avLst/>
                          </a:prstGeom>
                        </pic:spPr>
                      </pic:pic>
                    </wpg:wgp>
                  </a:graphicData>
                </a:graphic>
              </wp:inline>
            </w:drawing>
          </mc:Choice>
          <mc:Fallback>
            <w:pict>
              <v:group style="width:336.75pt;height:306.650pt;mso-position-horizontal-relative:char;mso-position-vertical-relative:line" id="docshapegroup3" coordorigin="0,0" coordsize="6735,6133">
                <v:rect style="position:absolute;left:0;top:0;width:6735;height:6133" id="docshape4" filled="true" fillcolor="#ffffff" stroked="false">
                  <v:fill type="solid"/>
                </v:rect>
                <v:shape style="position:absolute;left:157;top:1150;width:3157;height:3961" type="#_x0000_t75" id="docshape5" stroked="false">
                  <v:imagedata r:id="rId19" o:title=""/>
                </v:shape>
                <v:shape style="position:absolute;left:3472;top:1150;width:3105;height:3961" type="#_x0000_t75" id="docshape6" stroked="false">
                  <v:imagedata r:id="rId20" o:title=""/>
                </v:shape>
              </v:group>
            </w:pict>
          </mc:Fallback>
        </mc:AlternateContent>
      </w:r>
      <w:r>
        <w:rPr>
          <w:sz w:val="20"/>
        </w:rPr>
      </w:r>
    </w:p>
    <w:p>
      <w:pPr>
        <w:pStyle w:val="BodyText"/>
        <w:spacing w:before="143"/>
      </w:pPr>
    </w:p>
    <w:p>
      <w:pPr>
        <w:tabs>
          <w:tab w:pos="2581" w:val="left" w:leader="none"/>
        </w:tabs>
        <w:spacing w:line="360" w:lineRule="auto" w:before="0"/>
        <w:ind w:left="1398" w:right="1433" w:firstLine="0"/>
        <w:jc w:val="left"/>
        <w:rPr>
          <w:b/>
          <w:sz w:val="24"/>
        </w:rPr>
      </w:pPr>
      <w:r>
        <w:rPr/>
        <mc:AlternateContent>
          <mc:Choice Requires="wps">
            <w:drawing>
              <wp:anchor distT="0" distB="0" distL="0" distR="0" allowOverlap="1" layoutInCell="1" locked="0" behindDoc="1" simplePos="0" relativeHeight="482925568">
                <wp:simplePos x="0" y="0"/>
                <wp:positionH relativeFrom="page">
                  <wp:posOffset>3861220</wp:posOffset>
                </wp:positionH>
                <wp:positionV relativeFrom="paragraph">
                  <wp:posOffset>-2065673</wp:posOffset>
                </wp:positionV>
                <wp:extent cx="1287780" cy="914400"/>
                <wp:effectExtent l="0" t="0" r="0" b="0"/>
                <wp:wrapNone/>
                <wp:docPr id="53" name="Textbox 53"/>
                <wp:cNvGraphicFramePr>
                  <a:graphicFrameLocks/>
                </wp:cNvGraphicFramePr>
                <a:graphic>
                  <a:graphicData uri="http://schemas.microsoft.com/office/word/2010/wordprocessingShape">
                    <wps:wsp>
                      <wps:cNvPr id="53" name="Textbox 53"/>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162.65144pt;width:101.4pt;height:72pt;mso-position-horizontal-relative:page;mso-position-vertical-relative:paragraph;z-index:-20390912;rotation:306" type="#_x0000_t136" fillcolor="#ff5400" stroked="f">
                <o:extrusion v:ext="view" autorotationcenter="t"/>
                <v:textpath style="font-family:&quot;Arial MT&quot;;font-size:72pt;v-text-kern:t;mso-text-shadow:auto" string="OF"/>
                <w10:wrap type="none"/>
              </v:shape>
            </w:pict>
          </mc:Fallback>
        </mc:AlternateContent>
      </w:r>
      <w:r>
        <w:rPr>
          <w:b/>
          <w:w w:val="105"/>
          <w:sz w:val="24"/>
        </w:rPr>
        <w:t>Fig.</w:t>
      </w:r>
      <w:r>
        <w:rPr>
          <w:b/>
          <w:spacing w:val="80"/>
          <w:w w:val="105"/>
          <w:sz w:val="24"/>
        </w:rPr>
        <w:t> </w:t>
      </w:r>
      <w:r>
        <w:rPr>
          <w:b/>
          <w:w w:val="105"/>
          <w:sz w:val="24"/>
        </w:rPr>
        <w:t>1.1</w:t>
      </w:r>
      <w:r>
        <w:rPr>
          <w:b/>
          <w:spacing w:val="80"/>
          <w:w w:val="105"/>
          <w:sz w:val="24"/>
        </w:rPr>
        <w:t> </w:t>
      </w:r>
      <w:r>
        <w:rPr>
          <w:b/>
          <w:i/>
          <w:w w:val="105"/>
          <w:sz w:val="24"/>
        </w:rPr>
        <w:t>Mucuna</w:t>
      </w:r>
      <w:r>
        <w:rPr>
          <w:b/>
          <w:i/>
          <w:spacing w:val="80"/>
          <w:w w:val="105"/>
          <w:sz w:val="24"/>
        </w:rPr>
        <w:t> </w:t>
      </w:r>
      <w:r>
        <w:rPr>
          <w:b/>
          <w:i/>
          <w:w w:val="105"/>
          <w:sz w:val="24"/>
        </w:rPr>
        <w:t>pruriens</w:t>
      </w:r>
      <w:r>
        <w:rPr>
          <w:b/>
          <w:i/>
          <w:spacing w:val="80"/>
          <w:w w:val="105"/>
          <w:sz w:val="24"/>
        </w:rPr>
        <w:t> </w:t>
      </w:r>
      <w:r>
        <w:rPr>
          <w:b/>
          <w:w w:val="105"/>
          <w:sz w:val="24"/>
        </w:rPr>
        <w:t>growing</w:t>
      </w:r>
      <w:r>
        <w:rPr>
          <w:b/>
          <w:spacing w:val="80"/>
          <w:w w:val="105"/>
          <w:sz w:val="24"/>
        </w:rPr>
        <w:t> </w:t>
      </w:r>
      <w:r>
        <w:rPr>
          <w:b/>
          <w:w w:val="105"/>
          <w:sz w:val="24"/>
        </w:rPr>
        <w:t>on</w:t>
      </w:r>
      <w:r>
        <w:rPr>
          <w:b/>
          <w:spacing w:val="80"/>
          <w:w w:val="105"/>
          <w:sz w:val="24"/>
        </w:rPr>
        <w:t> </w:t>
      </w:r>
      <w:r>
        <w:rPr>
          <w:b/>
          <w:w w:val="105"/>
          <w:sz w:val="24"/>
        </w:rPr>
        <w:t>trees</w:t>
      </w:r>
      <w:r>
        <w:rPr>
          <w:b/>
          <w:spacing w:val="80"/>
          <w:w w:val="105"/>
          <w:sz w:val="24"/>
        </w:rPr>
        <w:t> </w:t>
      </w:r>
      <w:r>
        <w:rPr>
          <w:b/>
          <w:w w:val="105"/>
          <w:sz w:val="24"/>
        </w:rPr>
        <w:t>at</w:t>
      </w:r>
      <w:r>
        <w:rPr>
          <w:b/>
          <w:spacing w:val="80"/>
          <w:w w:val="105"/>
          <w:sz w:val="24"/>
        </w:rPr>
        <w:t> </w:t>
      </w:r>
      <w:r>
        <w:rPr>
          <w:b/>
          <w:w w:val="105"/>
          <w:sz w:val="24"/>
        </w:rPr>
        <w:t>Tosa</w:t>
      </w:r>
      <w:r>
        <w:rPr>
          <w:b/>
          <w:spacing w:val="80"/>
          <w:w w:val="105"/>
          <w:sz w:val="24"/>
        </w:rPr>
        <w:t> </w:t>
      </w:r>
      <w:r>
        <w:rPr>
          <w:b/>
          <w:w w:val="105"/>
          <w:sz w:val="24"/>
        </w:rPr>
        <w:t>village</w:t>
      </w:r>
      <w:r>
        <w:rPr>
          <w:b/>
          <w:spacing w:val="80"/>
          <w:w w:val="105"/>
          <w:sz w:val="24"/>
        </w:rPr>
        <w:t> </w:t>
      </w:r>
      <w:r>
        <w:rPr>
          <w:b/>
          <w:w w:val="105"/>
          <w:sz w:val="24"/>
        </w:rPr>
        <w:t>near</w:t>
      </w:r>
      <w:r>
        <w:rPr>
          <w:b/>
          <w:spacing w:val="80"/>
          <w:w w:val="105"/>
          <w:sz w:val="24"/>
        </w:rPr>
        <w:t> </w:t>
      </w:r>
      <w:r>
        <w:rPr>
          <w:b/>
          <w:spacing w:val="-2"/>
          <w:w w:val="105"/>
          <w:sz w:val="24"/>
        </w:rPr>
        <w:t>Moniya,</w:t>
      </w:r>
      <w:r>
        <w:rPr>
          <w:b/>
          <w:sz w:val="24"/>
        </w:rPr>
        <w:tab/>
      </w:r>
      <w:r>
        <w:rPr>
          <w:b/>
          <w:spacing w:val="-2"/>
          <w:w w:val="105"/>
          <w:sz w:val="24"/>
        </w:rPr>
        <w:t>Ibadan.</w:t>
      </w:r>
    </w:p>
    <w:p>
      <w:pPr>
        <w:spacing w:after="0" w:line="360" w:lineRule="auto"/>
        <w:jc w:val="left"/>
        <w:rPr>
          <w:sz w:val="24"/>
        </w:rPr>
        <w:sectPr>
          <w:pgSz w:w="12240" w:h="15840"/>
          <w:pgMar w:header="0" w:footer="1056" w:top="1820" w:bottom="1240" w:left="1420" w:right="420"/>
        </w:sectPr>
      </w:pPr>
    </w:p>
    <w:p>
      <w:pPr>
        <w:pStyle w:val="BodyText"/>
        <w:ind w:left="879"/>
        <w:rPr>
          <w:sz w:val="20"/>
        </w:rPr>
      </w:pPr>
      <w:r>
        <w:rPr/>
        <mc:AlternateContent>
          <mc:Choice Requires="wps">
            <w:drawing>
              <wp:anchor distT="0" distB="0" distL="0" distR="0" allowOverlap="1" layoutInCell="1" locked="0" behindDoc="1" simplePos="0" relativeHeight="482927616">
                <wp:simplePos x="0" y="0"/>
                <wp:positionH relativeFrom="page">
                  <wp:posOffset>3861220</wp:posOffset>
                </wp:positionH>
                <wp:positionV relativeFrom="page">
                  <wp:posOffset>3734575</wp:posOffset>
                </wp:positionV>
                <wp:extent cx="1287780" cy="914400"/>
                <wp:effectExtent l="0" t="0" r="0" b="0"/>
                <wp:wrapNone/>
                <wp:docPr id="54" name="Textbox 54"/>
                <wp:cNvGraphicFramePr>
                  <a:graphicFrameLocks/>
                </wp:cNvGraphicFramePr>
                <a:graphic>
                  <a:graphicData uri="http://schemas.microsoft.com/office/word/2010/wordprocessingShape">
                    <wps:wsp>
                      <wps:cNvPr id="54" name="Textbox 54"/>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88864;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28128">
                <wp:simplePos x="0" y="0"/>
                <wp:positionH relativeFrom="page">
                  <wp:posOffset>4288097</wp:posOffset>
                </wp:positionH>
                <wp:positionV relativeFrom="page">
                  <wp:posOffset>1617859</wp:posOffset>
                </wp:positionV>
                <wp:extent cx="3421379" cy="914400"/>
                <wp:effectExtent l="0" t="0" r="0" b="0"/>
                <wp:wrapNone/>
                <wp:docPr id="55" name="Textbox 55"/>
                <wp:cNvGraphicFramePr>
                  <a:graphicFrameLocks/>
                </wp:cNvGraphicFramePr>
                <a:graphic>
                  <a:graphicData uri="http://schemas.microsoft.com/office/word/2010/wordprocessingShape">
                    <wps:wsp>
                      <wps:cNvPr id="55" name="Textbox 55"/>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88352;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28640">
                <wp:simplePos x="0" y="0"/>
                <wp:positionH relativeFrom="page">
                  <wp:posOffset>-316181</wp:posOffset>
                </wp:positionH>
                <wp:positionV relativeFrom="page">
                  <wp:posOffset>6721518</wp:posOffset>
                </wp:positionV>
                <wp:extent cx="5504815" cy="914400"/>
                <wp:effectExtent l="0" t="0" r="0" b="0"/>
                <wp:wrapNone/>
                <wp:docPr id="56" name="Textbox 56"/>
                <wp:cNvGraphicFramePr>
                  <a:graphicFrameLocks/>
                </wp:cNvGraphicFramePr>
                <a:graphic>
                  <a:graphicData uri="http://schemas.microsoft.com/office/word/2010/wordprocessingShape">
                    <wps:wsp>
                      <wps:cNvPr id="56" name="Textbox 56"/>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87840;rotation:306" type="#_x0000_t136" fillcolor="#ff5400" stroked="f">
                <o:extrusion v:ext="view" autorotationcenter="t"/>
                <v:textpath style="font-family:&quot;Arial MT&quot;;font-size:72pt;v-text-kern:t;mso-text-shadow:auto" string="UNIVERSITY"/>
                <w10:wrap type="none"/>
              </v:shape>
            </w:pict>
          </mc:Fallback>
        </mc:AlternateContent>
      </w:r>
      <w:r>
        <w:rPr>
          <w:sz w:val="20"/>
        </w:rPr>
        <mc:AlternateContent>
          <mc:Choice Requires="wps">
            <w:drawing>
              <wp:inline distT="0" distB="0" distL="0" distR="0">
                <wp:extent cx="5267325" cy="7344409"/>
                <wp:effectExtent l="0" t="0" r="0" b="8890"/>
                <wp:docPr id="57" name="Group 57"/>
                <wp:cNvGraphicFramePr>
                  <a:graphicFrameLocks/>
                </wp:cNvGraphicFramePr>
                <a:graphic>
                  <a:graphicData uri="http://schemas.microsoft.com/office/word/2010/wordprocessingGroup">
                    <wpg:wgp>
                      <wpg:cNvPr id="57" name="Group 57"/>
                      <wpg:cNvGrpSpPr/>
                      <wpg:grpSpPr>
                        <a:xfrm>
                          <a:off x="0" y="0"/>
                          <a:ext cx="5267325" cy="7344409"/>
                          <a:chExt cx="5267325" cy="7344409"/>
                        </a:xfrm>
                      </wpg:grpSpPr>
                      <pic:pic>
                        <pic:nvPicPr>
                          <pic:cNvPr id="58" name="Image 58" descr="C:\Documents and Settings\Olaribigbe\My Documents\Mucuna_files\srid19126_data\srid19091.jpg"/>
                          <pic:cNvPicPr/>
                        </pic:nvPicPr>
                        <pic:blipFill>
                          <a:blip r:embed="rId21" cstate="print"/>
                          <a:stretch>
                            <a:fillRect/>
                          </a:stretch>
                        </pic:blipFill>
                        <pic:spPr>
                          <a:xfrm>
                            <a:off x="457200" y="0"/>
                            <a:ext cx="4810125" cy="5020310"/>
                          </a:xfrm>
                          <a:prstGeom prst="rect">
                            <a:avLst/>
                          </a:prstGeom>
                        </pic:spPr>
                      </pic:pic>
                      <pic:pic>
                        <pic:nvPicPr>
                          <pic:cNvPr id="59" name="Image 59" descr="C:\Documents and Settings\Olaribigbe\My Documents\Mucuna_files\srid19126_data\srid19092.jpg"/>
                          <pic:cNvPicPr/>
                        </pic:nvPicPr>
                        <pic:blipFill>
                          <a:blip r:embed="rId22" cstate="print"/>
                          <a:stretch>
                            <a:fillRect/>
                          </a:stretch>
                        </pic:blipFill>
                        <pic:spPr>
                          <a:xfrm>
                            <a:off x="0" y="5058410"/>
                            <a:ext cx="2543810" cy="2286000"/>
                          </a:xfrm>
                          <a:prstGeom prst="rect">
                            <a:avLst/>
                          </a:prstGeom>
                        </pic:spPr>
                      </pic:pic>
                      <pic:pic>
                        <pic:nvPicPr>
                          <pic:cNvPr id="60" name="Image 60" descr="C:\Documents and Settings\Olaribigbe\My Documents\Mucuna_files\srid19126_data\srid19093.jpg"/>
                          <pic:cNvPicPr/>
                        </pic:nvPicPr>
                        <pic:blipFill>
                          <a:blip r:embed="rId23" cstate="print"/>
                          <a:stretch>
                            <a:fillRect/>
                          </a:stretch>
                        </pic:blipFill>
                        <pic:spPr>
                          <a:xfrm>
                            <a:off x="2819400" y="5161914"/>
                            <a:ext cx="2247900" cy="2077085"/>
                          </a:xfrm>
                          <a:prstGeom prst="rect">
                            <a:avLst/>
                          </a:prstGeom>
                        </pic:spPr>
                      </pic:pic>
                    </wpg:wgp>
                  </a:graphicData>
                </a:graphic>
              </wp:inline>
            </w:drawing>
          </mc:Choice>
          <mc:Fallback>
            <w:pict>
              <v:group style="width:414.75pt;height:578.3pt;mso-position-horizontal-relative:char;mso-position-vertical-relative:line" id="docshapegroup7" coordorigin="0,0" coordsize="8295,11566">
                <v:shape style="position:absolute;left:720;top:0;width:7575;height:7906" type="#_x0000_t75" id="docshape8" alt="C:\Documents and Settings\Olaribigbe\My Documents\Mucuna_files\srid19126_data\srid19091.jpg" stroked="false">
                  <v:imagedata r:id="rId21" o:title=""/>
                </v:shape>
                <v:shape style="position:absolute;left:0;top:7966;width:4006;height:3600" type="#_x0000_t75" id="docshape9" alt="C:\Documents and Settings\Olaribigbe\My Documents\Mucuna_files\srid19126_data\srid19092.jpg" stroked="false">
                  <v:imagedata r:id="rId22" o:title=""/>
                </v:shape>
                <v:shape style="position:absolute;left:4440;top:8129;width:3540;height:3271" type="#_x0000_t75" id="docshape10" alt="C:\Documents and Settings\Olaribigbe\My Documents\Mucuna_files\srid19126_data\srid19093.jpg" stroked="false">
                  <v:imagedata r:id="rId23" o:title=""/>
                </v:shape>
              </v:group>
            </w:pict>
          </mc:Fallback>
        </mc:AlternateContent>
      </w:r>
      <w:r>
        <w:rPr>
          <w:sz w:val="20"/>
        </w:rPr>
      </w:r>
    </w:p>
    <w:p>
      <w:pPr>
        <w:pStyle w:val="BodyText"/>
        <w:spacing w:before="47"/>
        <w:rPr>
          <w:b/>
        </w:rPr>
      </w:pPr>
    </w:p>
    <w:p>
      <w:pPr>
        <w:pStyle w:val="BodyText"/>
        <w:ind w:left="879" w:right="1041"/>
      </w:pPr>
      <w:r>
        <w:rPr>
          <w:b/>
        </w:rPr>
        <w:t>Fig.</w:t>
      </w:r>
      <w:r>
        <w:rPr>
          <w:b/>
          <w:spacing w:val="26"/>
        </w:rPr>
        <w:t> </w:t>
      </w:r>
      <w:r>
        <w:rPr>
          <w:b/>
        </w:rPr>
        <w:t>1.2</w:t>
      </w:r>
      <w:r>
        <w:rPr>
          <w:b/>
          <w:spacing w:val="28"/>
        </w:rPr>
        <w:t> </w:t>
      </w:r>
      <w:r>
        <w:rPr>
          <w:i/>
        </w:rPr>
        <w:t>Mucuna</w:t>
      </w:r>
      <w:r>
        <w:rPr>
          <w:i/>
          <w:spacing w:val="25"/>
        </w:rPr>
        <w:t> </w:t>
      </w:r>
      <w:r>
        <w:rPr>
          <w:i/>
        </w:rPr>
        <w:t>pruriens</w:t>
      </w:r>
      <w:r>
        <w:rPr>
          <w:i/>
          <w:spacing w:val="27"/>
        </w:rPr>
        <w:t> </w:t>
      </w:r>
      <w:r>
        <w:rPr/>
        <w:t>climber</w:t>
      </w:r>
      <w:r>
        <w:rPr>
          <w:spacing w:val="24"/>
        </w:rPr>
        <w:t> </w:t>
      </w:r>
      <w:r>
        <w:rPr/>
        <w:t>in</w:t>
      </w:r>
      <w:r>
        <w:rPr>
          <w:spacing w:val="26"/>
        </w:rPr>
        <w:t> </w:t>
      </w:r>
      <w:r>
        <w:rPr/>
        <w:t>natural</w:t>
      </w:r>
      <w:r>
        <w:rPr>
          <w:spacing w:val="26"/>
        </w:rPr>
        <w:t> </w:t>
      </w:r>
      <w:r>
        <w:rPr/>
        <w:t>habitat</w:t>
      </w:r>
      <w:r>
        <w:rPr>
          <w:spacing w:val="26"/>
        </w:rPr>
        <w:t> </w:t>
      </w:r>
      <w:r>
        <w:rPr/>
        <w:t>with</w:t>
      </w:r>
      <w:r>
        <w:rPr>
          <w:spacing w:val="26"/>
        </w:rPr>
        <w:t> </w:t>
      </w:r>
      <w:r>
        <w:rPr/>
        <w:t>hanging</w:t>
      </w:r>
      <w:r>
        <w:rPr>
          <w:spacing w:val="23"/>
        </w:rPr>
        <w:t> </w:t>
      </w:r>
      <w:r>
        <w:rPr/>
        <w:t>bunch</w:t>
      </w:r>
      <w:r>
        <w:rPr>
          <w:spacing w:val="25"/>
        </w:rPr>
        <w:t> </w:t>
      </w:r>
      <w:r>
        <w:rPr/>
        <w:t>of</w:t>
      </w:r>
      <w:r>
        <w:rPr>
          <w:spacing w:val="24"/>
        </w:rPr>
        <w:t> </w:t>
      </w:r>
      <w:r>
        <w:rPr/>
        <w:t>pods</w:t>
      </w:r>
      <w:r>
        <w:rPr>
          <w:spacing w:val="25"/>
        </w:rPr>
        <w:t> </w:t>
      </w:r>
      <w:r>
        <w:rPr/>
        <w:t>in Abeokuta, Nigeria (a), ripened beans (b) and dried seeds (c)</w:t>
      </w:r>
    </w:p>
    <w:p>
      <w:pPr>
        <w:spacing w:after="0"/>
        <w:sectPr>
          <w:pgSz w:w="12240" w:h="15840"/>
          <w:pgMar w:header="0" w:footer="1056" w:top="146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29152">
                <wp:simplePos x="0" y="0"/>
                <wp:positionH relativeFrom="page">
                  <wp:posOffset>-1402226</wp:posOffset>
                </wp:positionH>
                <wp:positionV relativeFrom="page">
                  <wp:posOffset>4612234</wp:posOffset>
                </wp:positionV>
                <wp:extent cx="10685780" cy="914400"/>
                <wp:effectExtent l="0" t="0" r="0" b="0"/>
                <wp:wrapNone/>
                <wp:docPr id="61" name="Textbox 61"/>
                <wp:cNvGraphicFramePr>
                  <a:graphicFrameLocks/>
                </wp:cNvGraphicFramePr>
                <a:graphic>
                  <a:graphicData uri="http://schemas.microsoft.com/office/word/2010/wordprocessingShape">
                    <wps:wsp>
                      <wps:cNvPr id="61" name="Textbox 6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7328;rotation:306" type="#_x0000_t136" fillcolor="#ff5400" stroked="f">
                <o:extrusion v:ext="view" autorotationcenter="t"/>
                <v:textpath style="font-family:&quot;Arial MT&quot;;font-size:72pt;v-text-kern:t;mso-text-shadow:auto" string="UNIVERSITY OF IBADAN"/>
                <w10:wrap type="none"/>
              </v:shape>
            </w:pict>
          </mc:Fallback>
        </mc:AlternateContent>
      </w:r>
      <w:r>
        <w:rPr/>
        <w:t>prurienidine, prurienine, riboflavin, saponins, serine, serotonin, stearic acid, stizolamine, threonine, trypsin, tryptamine, tyrosine, valine, vernolic acid) (Sridhar and Bhat, 2007).</w:t>
      </w:r>
    </w:p>
    <w:p>
      <w:pPr>
        <w:pStyle w:val="BodyText"/>
        <w:spacing w:before="6"/>
      </w:pPr>
    </w:p>
    <w:p>
      <w:pPr>
        <w:pStyle w:val="BodyText"/>
        <w:spacing w:line="360" w:lineRule="auto"/>
        <w:ind w:left="678" w:right="994" w:firstLine="720"/>
        <w:jc w:val="both"/>
      </w:pPr>
      <w:r>
        <w:rPr>
          <w:i/>
        </w:rPr>
        <w:t>Mucuna </w:t>
      </w:r>
      <w:r>
        <w:rPr/>
        <w:t>seeds are in high demand in international market after the discovery of L- dopa, which serves as a potential drug for Parkinson's disease (Farooqi </w:t>
      </w:r>
      <w:r>
        <w:rPr>
          <w:i/>
        </w:rPr>
        <w:t>et al</w:t>
      </w:r>
      <w:r>
        <w:rPr/>
        <w:t>., 1999) and provides symptomatic relief against Parkinson disease (Nagashayana </w:t>
      </w:r>
      <w:r>
        <w:rPr>
          <w:i/>
        </w:rPr>
        <w:t>et al</w:t>
      </w:r>
      <w:r>
        <w:rPr/>
        <w:t>., 2000).</w:t>
      </w:r>
      <w:r>
        <w:rPr>
          <w:spacing w:val="40"/>
        </w:rPr>
        <w:t> </w:t>
      </w:r>
      <w:r>
        <w:rPr>
          <w:i/>
        </w:rPr>
        <w:t>Mucuna </w:t>
      </w:r>
      <w:r>
        <w:rPr/>
        <w:t>seeds produce hypoglycemic effect and the fruits possess a weak neuromuscular blocking effect in rats but not in alloxan-treated rats (Joshi and Pant, 1970). Presence of bioactive</w:t>
      </w:r>
      <w:r>
        <w:rPr>
          <w:spacing w:val="-2"/>
        </w:rPr>
        <w:t> </w:t>
      </w:r>
      <w:r>
        <w:rPr/>
        <w:t>alkaloids</w:t>
      </w:r>
      <w:r>
        <w:rPr>
          <w:spacing w:val="-1"/>
        </w:rPr>
        <w:t> </w:t>
      </w:r>
      <w:r>
        <w:rPr/>
        <w:t>such as</w:t>
      </w:r>
      <w:r>
        <w:rPr>
          <w:spacing w:val="-1"/>
        </w:rPr>
        <w:t> </w:t>
      </w:r>
      <w:r>
        <w:rPr/>
        <w:t>nicotine,</w:t>
      </w:r>
      <w:r>
        <w:rPr>
          <w:spacing w:val="-2"/>
        </w:rPr>
        <w:t> </w:t>
      </w:r>
      <w:r>
        <w:rPr/>
        <w:t>physostigmine</w:t>
      </w:r>
      <w:r>
        <w:rPr>
          <w:spacing w:val="-1"/>
        </w:rPr>
        <w:t> </w:t>
      </w:r>
      <w:r>
        <w:rPr/>
        <w:t>and serotonin</w:t>
      </w:r>
      <w:r>
        <w:rPr>
          <w:spacing w:val="-1"/>
        </w:rPr>
        <w:t> </w:t>
      </w:r>
      <w:r>
        <w:rPr/>
        <w:t>in</w:t>
      </w:r>
      <w:r>
        <w:rPr>
          <w:spacing w:val="-1"/>
        </w:rPr>
        <w:t> </w:t>
      </w:r>
      <w:r>
        <w:rPr/>
        <w:t>the </w:t>
      </w:r>
      <w:r>
        <w:rPr>
          <w:i/>
        </w:rPr>
        <w:t>Mucuna </w:t>
      </w:r>
      <w:r>
        <w:rPr/>
        <w:t>seeds has been reported by Duke (1981). Mucunine, mucunadine, prurienine and prurieninine are</w:t>
      </w:r>
      <w:r>
        <w:rPr>
          <w:spacing w:val="40"/>
        </w:rPr>
        <w:t> </w:t>
      </w:r>
      <w:r>
        <w:rPr/>
        <w:t>the additional four important alkaloids isolated from seed extracts (Mehta and Majumdar, 1994). The seeds of </w:t>
      </w:r>
      <w:r>
        <w:rPr>
          <w:i/>
        </w:rPr>
        <w:t>Mucuna pruriens </w:t>
      </w:r>
      <w:r>
        <w:rPr/>
        <w:t>revealed high potassium (806-2790 mg/100g) (Janardhanan and Lakshmanan, 1985), while low potassium (356-433 mg/100g) was reported by</w:t>
      </w:r>
      <w:r>
        <w:rPr>
          <w:spacing w:val="-1"/>
        </w:rPr>
        <w:t> </w:t>
      </w:r>
      <w:r>
        <w:rPr/>
        <w:t>Adebowale </w:t>
      </w:r>
      <w:r>
        <w:rPr>
          <w:i/>
        </w:rPr>
        <w:t>et al., </w:t>
      </w:r>
      <w:r>
        <w:rPr/>
        <w:t>(2005a). Mineral composition of seed legumes is dependent on the soil edaphic factors including the genetic origin and geographical source (Vadivel and Janardhanan, 2000). It is known that iron, selenium, zinc and manganese strengthen the immune system as antioxidants (Talwar </w:t>
      </w:r>
      <w:r>
        <w:rPr>
          <w:i/>
        </w:rPr>
        <w:t>et al., </w:t>
      </w:r>
      <w:r>
        <w:rPr/>
        <w:t>1989). Similarly, magnesium, zinc and selenium are also known to prevent cardiomyopathy, muscle degeneration, growth retardation, alopecia, dermatitis, immunologic dysfunction, gonadal atrophy, impaired spermatogenesis, congenital malformations and bleeding disorders (Chaturvedi </w:t>
      </w:r>
      <w:r>
        <w:rPr>
          <w:i/>
        </w:rPr>
        <w:t>et al., </w:t>
      </w:r>
      <w:r>
        <w:rPr>
          <w:spacing w:val="-2"/>
        </w:rPr>
        <w:t>2004).</w:t>
      </w:r>
    </w:p>
    <w:p>
      <w:pPr>
        <w:pStyle w:val="BodyText"/>
        <w:spacing w:line="360" w:lineRule="auto"/>
        <w:ind w:left="678" w:right="999" w:firstLine="720"/>
        <w:jc w:val="both"/>
      </w:pPr>
      <w:r>
        <w:rPr/>
        <w:t>The stem contains 5-methoxytryptamine, serotonine and trichomes of pods are used for de-worming.</w:t>
      </w:r>
    </w:p>
    <w:p>
      <w:pPr>
        <w:pStyle w:val="BodyText"/>
        <w:spacing w:line="360" w:lineRule="auto"/>
        <w:ind w:left="678" w:right="993" w:firstLine="720"/>
        <w:jc w:val="both"/>
      </w:pPr>
      <w:r>
        <w:rPr/>
        <w:t>Besides</w:t>
      </w:r>
      <w:r>
        <w:rPr>
          <w:spacing w:val="-2"/>
        </w:rPr>
        <w:t> </w:t>
      </w:r>
      <w:r>
        <w:rPr/>
        <w:t>typical</w:t>
      </w:r>
      <w:r>
        <w:rPr>
          <w:spacing w:val="-2"/>
        </w:rPr>
        <w:t> </w:t>
      </w:r>
      <w:r>
        <w:rPr/>
        <w:t>medicinal</w:t>
      </w:r>
      <w:r>
        <w:rPr>
          <w:spacing w:val="-2"/>
        </w:rPr>
        <w:t> </w:t>
      </w:r>
      <w:r>
        <w:rPr/>
        <w:t>properties</w:t>
      </w:r>
      <w:r>
        <w:rPr>
          <w:spacing w:val="-3"/>
        </w:rPr>
        <w:t> </w:t>
      </w:r>
      <w:r>
        <w:rPr/>
        <w:t>of</w:t>
      </w:r>
      <w:r>
        <w:rPr>
          <w:spacing w:val="-2"/>
        </w:rPr>
        <w:t> </w:t>
      </w:r>
      <w:r>
        <w:rPr>
          <w:i/>
        </w:rPr>
        <w:t>Mucuna</w:t>
      </w:r>
      <w:r>
        <w:rPr>
          <w:i/>
          <w:spacing w:val="-2"/>
        </w:rPr>
        <w:t> </w:t>
      </w:r>
      <w:r>
        <w:rPr>
          <w:i/>
        </w:rPr>
        <w:t>pruriens</w:t>
      </w:r>
      <w:r>
        <w:rPr>
          <w:i/>
          <w:spacing w:val="-1"/>
        </w:rPr>
        <w:t> </w:t>
      </w:r>
      <w:r>
        <w:rPr/>
        <w:t>mentioned</w:t>
      </w:r>
      <w:r>
        <w:rPr>
          <w:spacing w:val="-3"/>
        </w:rPr>
        <w:t> </w:t>
      </w:r>
      <w:r>
        <w:rPr/>
        <w:t>earlier,</w:t>
      </w:r>
      <w:r>
        <w:rPr>
          <w:spacing w:val="-2"/>
        </w:rPr>
        <w:t> </w:t>
      </w:r>
      <w:r>
        <w:rPr/>
        <w:t>certain toxic compounds which can be responsible for the antioxidant activities and potential health benefits are known. The high phenolics may be responsible for the reduction of cardio-vascular diseases and cancer mortality (Hertog </w:t>
      </w:r>
      <w:r>
        <w:rPr>
          <w:i/>
        </w:rPr>
        <w:t>et al</w:t>
      </w:r>
      <w:r>
        <w:rPr/>
        <w:t>., 1997). Polyphenols are important phytochemicals due to their free radical scavenging and </w:t>
      </w:r>
      <w:r>
        <w:rPr>
          <w:i/>
        </w:rPr>
        <w:t>in vivo </w:t>
      </w:r>
      <w:r>
        <w:rPr/>
        <w:t>biological activities as reported by many investigators (Rice-Evans </w:t>
      </w:r>
      <w:r>
        <w:rPr>
          <w:i/>
        </w:rPr>
        <w:t>et al., </w:t>
      </w:r>
      <w:r>
        <w:rPr/>
        <w:t>1996; Bravo, 1998). Tannins are also known to possess health benefits, wherein they are 15-30 times more efficient in free radical quenching activity than Trolox and other simple phenolics (Hagerman</w:t>
      </w:r>
      <w:r>
        <w:rPr>
          <w:spacing w:val="46"/>
        </w:rPr>
        <w:t>  </w:t>
      </w:r>
      <w:r>
        <w:rPr>
          <w:i/>
        </w:rPr>
        <w:t>et</w:t>
      </w:r>
      <w:r>
        <w:rPr>
          <w:i/>
          <w:spacing w:val="46"/>
        </w:rPr>
        <w:t>  </w:t>
      </w:r>
      <w:r>
        <w:rPr>
          <w:i/>
        </w:rPr>
        <w:t>al.,</w:t>
      </w:r>
      <w:r>
        <w:rPr>
          <w:i/>
          <w:spacing w:val="46"/>
        </w:rPr>
        <w:t>  </w:t>
      </w:r>
      <w:r>
        <w:rPr/>
        <w:t>1998).</w:t>
      </w:r>
      <w:r>
        <w:rPr>
          <w:spacing w:val="46"/>
        </w:rPr>
        <w:t>  </w:t>
      </w:r>
      <w:r>
        <w:rPr/>
        <w:t>The</w:t>
      </w:r>
      <w:r>
        <w:rPr>
          <w:spacing w:val="45"/>
        </w:rPr>
        <w:t>  </w:t>
      </w:r>
      <w:r>
        <w:rPr/>
        <w:t>phytic</w:t>
      </w:r>
      <w:r>
        <w:rPr>
          <w:spacing w:val="46"/>
        </w:rPr>
        <w:t>  </w:t>
      </w:r>
      <w:r>
        <w:rPr/>
        <w:t>acid</w:t>
      </w:r>
      <w:r>
        <w:rPr>
          <w:spacing w:val="47"/>
        </w:rPr>
        <w:t>  </w:t>
      </w:r>
      <w:r>
        <w:rPr/>
        <w:t>of</w:t>
      </w:r>
      <w:r>
        <w:rPr>
          <w:spacing w:val="47"/>
        </w:rPr>
        <w:t>  </w:t>
      </w:r>
      <w:r>
        <w:rPr>
          <w:i/>
        </w:rPr>
        <w:t>Mucuna</w:t>
      </w:r>
      <w:r>
        <w:rPr>
          <w:i/>
          <w:spacing w:val="45"/>
        </w:rPr>
        <w:t>  </w:t>
      </w:r>
      <w:r>
        <w:rPr/>
        <w:t>possesses</w:t>
      </w:r>
      <w:r>
        <w:rPr>
          <w:spacing w:val="46"/>
        </w:rPr>
        <w:t>  </w:t>
      </w:r>
      <w:r>
        <w:rPr>
          <w:spacing w:val="-2"/>
        </w:rPr>
        <w:t>antioxidant,</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2929664">
                <wp:simplePos x="0" y="0"/>
                <wp:positionH relativeFrom="page">
                  <wp:posOffset>-1402226</wp:posOffset>
                </wp:positionH>
                <wp:positionV relativeFrom="page">
                  <wp:posOffset>4612234</wp:posOffset>
                </wp:positionV>
                <wp:extent cx="10685780" cy="914400"/>
                <wp:effectExtent l="0" t="0" r="0" b="0"/>
                <wp:wrapNone/>
                <wp:docPr id="62" name="Textbox 62"/>
                <wp:cNvGraphicFramePr>
                  <a:graphicFrameLocks/>
                </wp:cNvGraphicFramePr>
                <a:graphic>
                  <a:graphicData uri="http://schemas.microsoft.com/office/word/2010/wordprocessingShape">
                    <wps:wsp>
                      <wps:cNvPr id="62" name="Textbox 6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6816;rotation:306" type="#_x0000_t136" fillcolor="#ff5400" stroked="f">
                <o:extrusion v:ext="view" autorotationcenter="t"/>
                <v:textpath style="font-family:&quot;Arial MT&quot;;font-size:72pt;v-text-kern:t;mso-text-shadow:auto" string="UNIVERSITY OF IBADAN"/>
                <w10:wrap type="none"/>
              </v:shape>
            </w:pict>
          </mc:Fallback>
        </mc:AlternateContent>
      </w:r>
      <w:r>
        <w:rPr/>
        <w:t>anticarcinogenic and hypoglycemic activities (Graf and Eaton, 1990; Rickard and Thompson, 1997; Shamsuddin </w:t>
      </w:r>
      <w:r>
        <w:rPr>
          <w:i/>
        </w:rPr>
        <w:t>et al., </w:t>
      </w:r>
      <w:r>
        <w:rPr/>
        <w:t>1997) and is effective at low concentrations. Saponins are recently shown to have hypocholesterolemic as well as anticarcinogenic effects (Koratkar and Rao, 1997). Cholesterol lowering effect in animals and humans through the formation of mixed micelles and bile acids into miceller bile acid molecules</w:t>
      </w:r>
      <w:r>
        <w:rPr>
          <w:spacing w:val="40"/>
        </w:rPr>
        <w:t> </w:t>
      </w:r>
      <w:r>
        <w:rPr/>
        <w:t>by saponins have been reported by Okenfull </w:t>
      </w:r>
      <w:r>
        <w:rPr>
          <w:i/>
        </w:rPr>
        <w:t>et al </w:t>
      </w:r>
      <w:r>
        <w:rPr/>
        <w:t>(1984).</w:t>
      </w:r>
    </w:p>
    <w:p>
      <w:pPr>
        <w:pStyle w:val="BodyText"/>
        <w:spacing w:before="142"/>
      </w:pPr>
    </w:p>
    <w:p>
      <w:pPr>
        <w:pStyle w:val="ListParagraph"/>
        <w:numPr>
          <w:ilvl w:val="2"/>
          <w:numId w:val="19"/>
        </w:numPr>
        <w:tabs>
          <w:tab w:pos="1218" w:val="left" w:leader="none"/>
        </w:tabs>
        <w:spacing w:line="240" w:lineRule="auto" w:before="1" w:after="0"/>
        <w:ind w:left="1218" w:right="0" w:hanging="540"/>
        <w:jc w:val="both"/>
        <w:rPr>
          <w:b/>
          <w:i/>
          <w:sz w:val="24"/>
        </w:rPr>
      </w:pPr>
      <w:r>
        <w:rPr>
          <w:b/>
          <w:sz w:val="24"/>
        </w:rPr>
        <w:t>Experimental</w:t>
      </w:r>
      <w:r>
        <w:rPr>
          <w:b/>
          <w:spacing w:val="-4"/>
          <w:sz w:val="24"/>
        </w:rPr>
        <w:t> </w:t>
      </w:r>
      <w:r>
        <w:rPr>
          <w:b/>
          <w:sz w:val="24"/>
        </w:rPr>
        <w:t>evidence</w:t>
      </w:r>
      <w:r>
        <w:rPr>
          <w:b/>
          <w:spacing w:val="-3"/>
          <w:sz w:val="24"/>
        </w:rPr>
        <w:t> </w:t>
      </w:r>
      <w:r>
        <w:rPr>
          <w:b/>
          <w:sz w:val="24"/>
        </w:rPr>
        <w:t>of</w:t>
      </w:r>
      <w:r>
        <w:rPr>
          <w:b/>
          <w:spacing w:val="-1"/>
          <w:sz w:val="24"/>
        </w:rPr>
        <w:t> </w:t>
      </w:r>
      <w:r>
        <w:rPr>
          <w:b/>
          <w:sz w:val="24"/>
        </w:rPr>
        <w:t>the</w:t>
      </w:r>
      <w:r>
        <w:rPr>
          <w:b/>
          <w:spacing w:val="-2"/>
          <w:sz w:val="24"/>
        </w:rPr>
        <w:t> </w:t>
      </w:r>
      <w:r>
        <w:rPr>
          <w:b/>
          <w:sz w:val="24"/>
        </w:rPr>
        <w:t>potency</w:t>
      </w:r>
      <w:r>
        <w:rPr>
          <w:b/>
          <w:spacing w:val="-2"/>
          <w:sz w:val="24"/>
        </w:rPr>
        <w:t> </w:t>
      </w:r>
      <w:r>
        <w:rPr>
          <w:b/>
          <w:sz w:val="24"/>
        </w:rPr>
        <w:t>of</w:t>
      </w:r>
      <w:r>
        <w:rPr>
          <w:b/>
          <w:spacing w:val="3"/>
          <w:sz w:val="24"/>
        </w:rPr>
        <w:t> </w:t>
      </w:r>
      <w:r>
        <w:rPr>
          <w:b/>
          <w:i/>
          <w:sz w:val="24"/>
        </w:rPr>
        <w:t>Mucuna</w:t>
      </w:r>
      <w:r>
        <w:rPr>
          <w:b/>
          <w:i/>
          <w:spacing w:val="-1"/>
          <w:sz w:val="24"/>
        </w:rPr>
        <w:t> </w:t>
      </w:r>
      <w:r>
        <w:rPr>
          <w:b/>
          <w:i/>
          <w:spacing w:val="-2"/>
          <w:sz w:val="24"/>
        </w:rPr>
        <w:t>pruriens</w:t>
      </w:r>
    </w:p>
    <w:p>
      <w:pPr>
        <w:pStyle w:val="Heading2"/>
        <w:numPr>
          <w:ilvl w:val="3"/>
          <w:numId w:val="19"/>
        </w:numPr>
        <w:tabs>
          <w:tab w:pos="1398" w:val="left" w:leader="none"/>
        </w:tabs>
        <w:spacing w:line="240" w:lineRule="auto" w:before="139" w:after="0"/>
        <w:ind w:left="1398" w:right="0" w:hanging="720"/>
        <w:jc w:val="both"/>
      </w:pPr>
      <w:r>
        <w:rPr/>
        <w:t>L-dopa</w:t>
      </w:r>
      <w:r>
        <w:rPr>
          <w:spacing w:val="-1"/>
        </w:rPr>
        <w:t> </w:t>
      </w:r>
      <w:r>
        <w:rPr>
          <w:spacing w:val="-2"/>
        </w:rPr>
        <w:t>constituents</w:t>
      </w:r>
    </w:p>
    <w:p>
      <w:pPr>
        <w:pStyle w:val="BodyText"/>
        <w:spacing w:line="360" w:lineRule="auto" w:before="133"/>
        <w:ind w:left="678" w:right="993" w:firstLine="720"/>
        <w:jc w:val="both"/>
      </w:pPr>
      <w:r>
        <w:rPr/>
        <w:t>Cell suspension cultures of seeds of </w:t>
      </w:r>
      <w:r>
        <w:rPr>
          <w:i/>
        </w:rPr>
        <w:t>Mucuna pruriens </w:t>
      </w:r>
      <w:r>
        <w:rPr/>
        <w:t>accumulate L-dopa (Pras </w:t>
      </w:r>
      <w:r>
        <w:rPr>
          <w:i/>
        </w:rPr>
        <w:t>et al., </w:t>
      </w:r>
      <w:r>
        <w:rPr/>
        <w:t>1993). Paul and Joseph (2001) studied the effects of ethanolic seed extract of </w:t>
      </w:r>
      <w:r>
        <w:rPr>
          <w:i/>
        </w:rPr>
        <w:t>Mucuna pruriens </w:t>
      </w:r>
      <w:r>
        <w:rPr/>
        <w:t>on the gonads and sex accessory glands of male guinea-pigs and showed the presence of potential male antifertility agent. Due to the presence of L-dopa, </w:t>
      </w:r>
      <w:r>
        <w:rPr>
          <w:i/>
        </w:rPr>
        <w:t>Mucuna pruriens </w:t>
      </w:r>
      <w:r>
        <w:rPr/>
        <w:t>serve as a precursor of neurotransmitter and thus used as aphrodisiac and prophylactic agent in patients suffering from oligospermia to elevate the sperm count and improve the ovulation in women. As L-dopa acts as a nervine tonic, it prevents male and female sterility. The effectiveness of using </w:t>
      </w:r>
      <w:r>
        <w:rPr>
          <w:i/>
        </w:rPr>
        <w:t>Mucuna </w:t>
      </w:r>
      <w:r>
        <w:rPr/>
        <w:t>seed powder over synthetic L-dopa</w:t>
      </w:r>
      <w:r>
        <w:rPr>
          <w:spacing w:val="40"/>
        </w:rPr>
        <w:t> </w:t>
      </w:r>
      <w:r>
        <w:rPr/>
        <w:t>has been established by clinical trials (Hussain and Manyam, 1997). However, some reports reveal that administration of L- dopa have some serious side effects in patients suffering Parkinson's disease (e.g. confusion state, hallucination, nausea, vomiting, anorexia) (Infante, 1990, Reynolds, 1989). </w:t>
      </w:r>
      <w:r>
        <w:rPr>
          <w:i/>
        </w:rPr>
        <w:t>Mucuna </w:t>
      </w:r>
      <w:r>
        <w:rPr/>
        <w:t>plants are known to resist most of the pest-causing diseases due to high amount of L-dopa (Takahashi and Riperton, 1949).</w:t>
      </w:r>
    </w:p>
    <w:p>
      <w:pPr>
        <w:pStyle w:val="BodyText"/>
      </w:pPr>
    </w:p>
    <w:p>
      <w:pPr>
        <w:pStyle w:val="BodyText"/>
        <w:spacing w:before="6"/>
      </w:pPr>
    </w:p>
    <w:p>
      <w:pPr>
        <w:pStyle w:val="ListParagraph"/>
        <w:numPr>
          <w:ilvl w:val="3"/>
          <w:numId w:val="19"/>
        </w:numPr>
        <w:tabs>
          <w:tab w:pos="1398" w:val="left" w:leader="none"/>
        </w:tabs>
        <w:spacing w:line="240" w:lineRule="auto" w:before="0" w:after="0"/>
        <w:ind w:left="1398" w:right="0" w:hanging="720"/>
        <w:jc w:val="both"/>
        <w:rPr>
          <w:b/>
          <w:i/>
          <w:sz w:val="24"/>
        </w:rPr>
      </w:pPr>
      <w:r>
        <w:rPr>
          <w:b/>
          <w:sz w:val="24"/>
        </w:rPr>
        <w:t>Antioxidant</w:t>
      </w:r>
      <w:r>
        <w:rPr>
          <w:b/>
          <w:spacing w:val="-3"/>
          <w:sz w:val="24"/>
        </w:rPr>
        <w:t> </w:t>
      </w:r>
      <w:r>
        <w:rPr>
          <w:b/>
          <w:sz w:val="24"/>
        </w:rPr>
        <w:t>properties</w:t>
      </w:r>
      <w:r>
        <w:rPr>
          <w:b/>
          <w:spacing w:val="-2"/>
          <w:sz w:val="24"/>
        </w:rPr>
        <w:t> </w:t>
      </w:r>
      <w:r>
        <w:rPr>
          <w:b/>
          <w:sz w:val="24"/>
        </w:rPr>
        <w:t>of</w:t>
      </w:r>
      <w:r>
        <w:rPr>
          <w:b/>
          <w:spacing w:val="1"/>
          <w:sz w:val="24"/>
        </w:rPr>
        <w:t> </w:t>
      </w:r>
      <w:r>
        <w:rPr>
          <w:b/>
          <w:i/>
          <w:sz w:val="24"/>
        </w:rPr>
        <w:t>Mucuna</w:t>
      </w:r>
      <w:r>
        <w:rPr>
          <w:b/>
          <w:i/>
          <w:spacing w:val="-2"/>
          <w:sz w:val="24"/>
        </w:rPr>
        <w:t> pruriens</w:t>
      </w:r>
    </w:p>
    <w:p>
      <w:pPr>
        <w:pStyle w:val="BodyText"/>
        <w:spacing w:before="3"/>
        <w:rPr>
          <w:b/>
          <w:i/>
        </w:rPr>
      </w:pPr>
    </w:p>
    <w:p>
      <w:pPr>
        <w:pStyle w:val="BodyText"/>
        <w:spacing w:line="360" w:lineRule="auto"/>
        <w:ind w:left="678" w:right="990" w:firstLine="720"/>
        <w:jc w:val="both"/>
      </w:pPr>
      <w:r>
        <w:rPr/>
        <w:t>Both </w:t>
      </w:r>
      <w:r>
        <w:rPr>
          <w:i/>
        </w:rPr>
        <w:t>in vitro </w:t>
      </w:r>
      <w:r>
        <w:rPr/>
        <w:t>and </w:t>
      </w:r>
      <w:r>
        <w:rPr>
          <w:i/>
        </w:rPr>
        <w:t>in vivo </w:t>
      </w:r>
      <w:r>
        <w:rPr/>
        <w:t>methods have been used in the study of the antioxidant properties of </w:t>
      </w:r>
      <w:r>
        <w:rPr>
          <w:i/>
        </w:rPr>
        <w:t>Mucuna pruriens </w:t>
      </w:r>
      <w:r>
        <w:rPr/>
        <w:t>by Tripathi and Upadhyay (2002) and Rajeshwar </w:t>
      </w:r>
      <w:r>
        <w:rPr>
          <w:i/>
        </w:rPr>
        <w:t>et al </w:t>
      </w:r>
      <w:r>
        <w:rPr/>
        <w:t>(2005a). The </w:t>
      </w:r>
      <w:r>
        <w:rPr>
          <w:i/>
        </w:rPr>
        <w:t>in vitro </w:t>
      </w:r>
      <w:r>
        <w:rPr/>
        <w:t>evaluation of ethanolic extract of </w:t>
      </w:r>
      <w:r>
        <w:rPr>
          <w:i/>
        </w:rPr>
        <w:t>M. pruriens </w:t>
      </w:r>
      <w:r>
        <w:rPr/>
        <w:t>in rat liver revealed no changes in the rate of aerial oxidation of glutathione S-transferase (GST), reduced form of glutathione, but it significantly inhibited ferrous sulphate-induced lipid peroxidation with inhibition</w:t>
      </w:r>
      <w:r>
        <w:rPr>
          <w:spacing w:val="-2"/>
        </w:rPr>
        <w:t> </w:t>
      </w:r>
      <w:r>
        <w:rPr/>
        <w:t>of</w:t>
      </w:r>
      <w:r>
        <w:rPr>
          <w:spacing w:val="-2"/>
        </w:rPr>
        <w:t> </w:t>
      </w:r>
      <w:r>
        <w:rPr/>
        <w:t>superoxides</w:t>
      </w:r>
      <w:r>
        <w:rPr>
          <w:spacing w:val="-5"/>
        </w:rPr>
        <w:t> </w:t>
      </w:r>
      <w:r>
        <w:rPr/>
        <w:t>and</w:t>
      </w:r>
      <w:r>
        <w:rPr>
          <w:spacing w:val="-2"/>
        </w:rPr>
        <w:t> </w:t>
      </w:r>
      <w:r>
        <w:rPr/>
        <w:t>hydroxyl</w:t>
      </w:r>
      <w:r>
        <w:rPr>
          <w:spacing w:val="-2"/>
        </w:rPr>
        <w:t> </w:t>
      </w:r>
      <w:r>
        <w:rPr/>
        <w:t>radicals.</w:t>
      </w:r>
      <w:r>
        <w:rPr>
          <w:spacing w:val="-2"/>
        </w:rPr>
        <w:t> </w:t>
      </w:r>
      <w:r>
        <w:rPr/>
        <w:t>The </w:t>
      </w:r>
      <w:r>
        <w:rPr>
          <w:i/>
        </w:rPr>
        <w:t>in</w:t>
      </w:r>
      <w:r>
        <w:rPr>
          <w:i/>
          <w:spacing w:val="-2"/>
        </w:rPr>
        <w:t> </w:t>
      </w:r>
      <w:r>
        <w:rPr>
          <w:i/>
        </w:rPr>
        <w:t>vivo</w:t>
      </w:r>
      <w:r>
        <w:rPr>
          <w:i/>
          <w:spacing w:val="-2"/>
        </w:rPr>
        <w:t> </w:t>
      </w:r>
      <w:r>
        <w:rPr/>
        <w:t>tests</w:t>
      </w:r>
      <w:r>
        <w:rPr>
          <w:spacing w:val="-2"/>
        </w:rPr>
        <w:t> </w:t>
      </w:r>
      <w:r>
        <w:rPr/>
        <w:t>using</w:t>
      </w:r>
      <w:r>
        <w:rPr>
          <w:spacing w:val="-5"/>
        </w:rPr>
        <w:t> </w:t>
      </w:r>
      <w:r>
        <w:rPr/>
        <w:t>albino</w:t>
      </w:r>
      <w:r>
        <w:rPr>
          <w:spacing w:val="-2"/>
        </w:rPr>
        <w:t> </w:t>
      </w:r>
      <w:r>
        <w:rPr/>
        <w:t>rats</w:t>
      </w:r>
      <w:r>
        <w:rPr>
          <w:spacing w:val="-2"/>
        </w:rPr>
        <w:t> </w:t>
      </w:r>
      <w:r>
        <w:rPr/>
        <w:t>up</w:t>
      </w:r>
      <w:r>
        <w:rPr>
          <w:spacing w:val="-2"/>
        </w:rPr>
        <w:t> </w:t>
      </w:r>
      <w:r>
        <w:rPr/>
        <w:t>to</w:t>
      </w:r>
      <w:r>
        <w:rPr>
          <w:spacing w:val="-2"/>
        </w:rPr>
        <w:t> </w:t>
      </w:r>
      <w:r>
        <w:rPr/>
        <w:t>30 days</w:t>
      </w:r>
      <w:r>
        <w:rPr>
          <w:spacing w:val="33"/>
        </w:rPr>
        <w:t> </w:t>
      </w:r>
      <w:r>
        <w:rPr/>
        <w:t>revealed</w:t>
      </w:r>
      <w:r>
        <w:rPr>
          <w:spacing w:val="32"/>
        </w:rPr>
        <w:t> </w:t>
      </w:r>
      <w:r>
        <w:rPr/>
        <w:t>no</w:t>
      </w:r>
      <w:r>
        <w:rPr>
          <w:spacing w:val="30"/>
        </w:rPr>
        <w:t> </w:t>
      </w:r>
      <w:r>
        <w:rPr/>
        <w:t>toxic</w:t>
      </w:r>
      <w:r>
        <w:rPr>
          <w:spacing w:val="31"/>
        </w:rPr>
        <w:t> </w:t>
      </w:r>
      <w:r>
        <w:rPr/>
        <w:t>effect</w:t>
      </w:r>
      <w:r>
        <w:rPr>
          <w:spacing w:val="33"/>
        </w:rPr>
        <w:t> </w:t>
      </w:r>
      <w:r>
        <w:rPr/>
        <w:t>after</w:t>
      </w:r>
      <w:r>
        <w:rPr>
          <w:spacing w:val="30"/>
        </w:rPr>
        <w:t> </w:t>
      </w:r>
      <w:r>
        <w:rPr/>
        <w:t>oral</w:t>
      </w:r>
      <w:r>
        <w:rPr>
          <w:spacing w:val="31"/>
        </w:rPr>
        <w:t> </w:t>
      </w:r>
      <w:r>
        <w:rPr/>
        <w:t>administration</w:t>
      </w:r>
      <w:r>
        <w:rPr>
          <w:spacing w:val="31"/>
        </w:rPr>
        <w:t> </w:t>
      </w:r>
      <w:r>
        <w:rPr/>
        <w:t>up</w:t>
      </w:r>
      <w:r>
        <w:rPr>
          <w:spacing w:val="30"/>
        </w:rPr>
        <w:t> </w:t>
      </w:r>
      <w:r>
        <w:rPr/>
        <w:t>to</w:t>
      </w:r>
      <w:r>
        <w:rPr>
          <w:spacing w:val="31"/>
        </w:rPr>
        <w:t> </w:t>
      </w:r>
      <w:r>
        <w:rPr/>
        <w:t>a</w:t>
      </w:r>
      <w:r>
        <w:rPr>
          <w:spacing w:val="30"/>
        </w:rPr>
        <w:t> </w:t>
      </w:r>
      <w:r>
        <w:rPr/>
        <w:t>dose</w:t>
      </w:r>
      <w:r>
        <w:rPr>
          <w:spacing w:val="31"/>
        </w:rPr>
        <w:t> </w:t>
      </w:r>
      <w:r>
        <w:rPr/>
        <w:t>of</w:t>
      </w:r>
      <w:r>
        <w:rPr>
          <w:spacing w:val="32"/>
        </w:rPr>
        <w:t> </w:t>
      </w:r>
      <w:r>
        <w:rPr/>
        <w:t>600</w:t>
      </w:r>
      <w:r>
        <w:rPr>
          <w:spacing w:val="30"/>
        </w:rPr>
        <w:t> </w:t>
      </w:r>
      <w:r>
        <w:rPr/>
        <w:t>mg/kg</w:t>
      </w:r>
      <w:r>
        <w:rPr>
          <w:spacing w:val="29"/>
        </w:rPr>
        <w:t> </w:t>
      </w:r>
      <w:r>
        <w:rPr>
          <w:spacing w:val="-4"/>
        </w:rPr>
        <w:t>body</w:t>
      </w:r>
    </w:p>
    <w:p>
      <w:pPr>
        <w:spacing w:after="0" w:line="360" w:lineRule="auto"/>
        <w:jc w:val="both"/>
        <w:sectPr>
          <w:pgSz w:w="12240" w:h="15840"/>
          <w:pgMar w:header="0" w:footer="1056" w:top="1340" w:bottom="1240" w:left="1420" w:right="420"/>
        </w:sectPr>
      </w:pPr>
    </w:p>
    <w:p>
      <w:pPr>
        <w:pStyle w:val="BodyText"/>
        <w:spacing w:line="360" w:lineRule="auto" w:before="72"/>
        <w:ind w:left="678" w:right="992"/>
        <w:jc w:val="both"/>
      </w:pPr>
      <w:r>
        <w:rPr/>
        <mc:AlternateContent>
          <mc:Choice Requires="wps">
            <w:drawing>
              <wp:anchor distT="0" distB="0" distL="0" distR="0" allowOverlap="1" layoutInCell="1" locked="0" behindDoc="1" simplePos="0" relativeHeight="482930176">
                <wp:simplePos x="0" y="0"/>
                <wp:positionH relativeFrom="page">
                  <wp:posOffset>-1402226</wp:posOffset>
                </wp:positionH>
                <wp:positionV relativeFrom="page">
                  <wp:posOffset>4612234</wp:posOffset>
                </wp:positionV>
                <wp:extent cx="10685780" cy="914400"/>
                <wp:effectExtent l="0" t="0" r="0" b="0"/>
                <wp:wrapNone/>
                <wp:docPr id="63" name="Textbox 63"/>
                <wp:cNvGraphicFramePr>
                  <a:graphicFrameLocks/>
                </wp:cNvGraphicFramePr>
                <a:graphic>
                  <a:graphicData uri="http://schemas.microsoft.com/office/word/2010/wordprocessingShape">
                    <wps:wsp>
                      <wps:cNvPr id="63" name="Textbox 6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6304;rotation:306" type="#_x0000_t136" fillcolor="#ff5400" stroked="f">
                <o:extrusion v:ext="view" autorotationcenter="t"/>
                <v:textpath style="font-family:&quot;Arial MT&quot;;font-size:72pt;v-text-kern:t;mso-text-shadow:auto" string="UNIVERSITY OF IBADAN"/>
                <w10:wrap type="none"/>
              </v:shape>
            </w:pict>
          </mc:Fallback>
        </mc:AlternateContent>
      </w:r>
      <w:r>
        <w:rPr/>
        <w:t>weight. Similarly, no impact was seen on the level of thiobarbituric acid (TBA) reactive substances, reduction in glutathione level and superoxide dismutase (SOD) activity in the liver. The activity</w:t>
      </w:r>
      <w:r>
        <w:rPr>
          <w:spacing w:val="-1"/>
        </w:rPr>
        <w:t> </w:t>
      </w:r>
      <w:r>
        <w:rPr/>
        <w:t>of serum GOT, GPT and alkaline phosphatase was also unaltered. With these</w:t>
      </w:r>
      <w:r>
        <w:rPr>
          <w:spacing w:val="-5"/>
        </w:rPr>
        <w:t> </w:t>
      </w:r>
      <w:r>
        <w:rPr/>
        <w:t>observations,</w:t>
      </w:r>
      <w:r>
        <w:rPr>
          <w:spacing w:val="-3"/>
        </w:rPr>
        <w:t> </w:t>
      </w:r>
      <w:r>
        <w:rPr/>
        <w:t>Tripathi</w:t>
      </w:r>
      <w:r>
        <w:rPr>
          <w:spacing w:val="-3"/>
        </w:rPr>
        <w:t> </w:t>
      </w:r>
      <w:r>
        <w:rPr/>
        <w:t>and</w:t>
      </w:r>
      <w:r>
        <w:rPr>
          <w:spacing w:val="-3"/>
        </w:rPr>
        <w:t> </w:t>
      </w:r>
      <w:r>
        <w:rPr/>
        <w:t>Upadhyay</w:t>
      </w:r>
      <w:r>
        <w:rPr>
          <w:spacing w:val="-8"/>
        </w:rPr>
        <w:t> </w:t>
      </w:r>
      <w:r>
        <w:rPr/>
        <w:t>(2002)</w:t>
      </w:r>
      <w:r>
        <w:rPr>
          <w:spacing w:val="-2"/>
        </w:rPr>
        <w:t> </w:t>
      </w:r>
      <w:r>
        <w:rPr/>
        <w:t>concluded</w:t>
      </w:r>
      <w:r>
        <w:rPr>
          <w:spacing w:val="-3"/>
        </w:rPr>
        <w:t> </w:t>
      </w:r>
      <w:r>
        <w:rPr/>
        <w:t>that</w:t>
      </w:r>
      <w:r>
        <w:rPr>
          <w:spacing w:val="-3"/>
        </w:rPr>
        <w:t> </w:t>
      </w:r>
      <w:r>
        <w:rPr/>
        <w:t>the</w:t>
      </w:r>
      <w:r>
        <w:rPr>
          <w:spacing w:val="-2"/>
        </w:rPr>
        <w:t> </w:t>
      </w:r>
      <w:r>
        <w:rPr/>
        <w:t>alcohol</w:t>
      </w:r>
      <w:r>
        <w:rPr>
          <w:spacing w:val="-3"/>
        </w:rPr>
        <w:t> </w:t>
      </w:r>
      <w:r>
        <w:rPr/>
        <w:t>extract</w:t>
      </w:r>
      <w:r>
        <w:rPr>
          <w:spacing w:val="-3"/>
        </w:rPr>
        <w:t> </w:t>
      </w:r>
      <w:r>
        <w:rPr/>
        <w:t>of</w:t>
      </w:r>
      <w:r>
        <w:rPr>
          <w:spacing w:val="-3"/>
        </w:rPr>
        <w:t> </w:t>
      </w:r>
      <w:r>
        <w:rPr/>
        <w:t>the seeds of </w:t>
      </w:r>
      <w:r>
        <w:rPr>
          <w:i/>
        </w:rPr>
        <w:t>Mucuna pruriens </w:t>
      </w:r>
      <w:r>
        <w:rPr/>
        <w:t>has an anti-lipid peroxidation property, which is mediated through the removal of superoxides and hydroxyl radicals. Rajeshwar and coworkers (2005a) investigated the antioxidant activities of methanol extract of seeds of </w:t>
      </w:r>
      <w:r>
        <w:rPr>
          <w:i/>
        </w:rPr>
        <w:t>Mucuna pruriens </w:t>
      </w:r>
      <w:r>
        <w:rPr/>
        <w:t>in various </w:t>
      </w:r>
      <w:r>
        <w:rPr>
          <w:i/>
        </w:rPr>
        <w:t>in vitro </w:t>
      </w:r>
      <w:r>
        <w:rPr/>
        <w:t>models by measuring the hydrogen donating ability in the presence of a scavenger, 2,2-diphenyl-1-picrylhydrazyl </w:t>
      </w:r>
      <w:r>
        <w:rPr>
          <w:b/>
        </w:rPr>
        <w:t>(</w:t>
      </w:r>
      <w:r>
        <w:rPr/>
        <w:t>DPPH) radical. Methanol extract at 100 µg/ml revealed an inhibition of up to 90.16% and the IC</w:t>
      </w:r>
      <w:r>
        <w:rPr>
          <w:vertAlign w:val="subscript"/>
        </w:rPr>
        <w:t>50</w:t>
      </w:r>
      <w:r>
        <w:rPr>
          <w:vertAlign w:val="baseline"/>
        </w:rPr>
        <w:t> was 38.5 µg/ml. The reducing power effect of methanolic extract of </w:t>
      </w:r>
      <w:r>
        <w:rPr>
          <w:i/>
          <w:vertAlign w:val="baseline"/>
        </w:rPr>
        <w:t>Mucuna pruriens </w:t>
      </w:r>
      <w:r>
        <w:rPr>
          <w:vertAlign w:val="baseline"/>
        </w:rPr>
        <w:t>was studied based on the reaction of ferric (Fe</w:t>
      </w:r>
      <w:r>
        <w:rPr>
          <w:vertAlign w:val="superscript"/>
        </w:rPr>
        <w:t>+3</w:t>
      </w:r>
      <w:r>
        <w:rPr>
          <w:vertAlign w:val="baseline"/>
        </w:rPr>
        <w:t>) to ferrous (Fe</w:t>
      </w:r>
      <w:r>
        <w:rPr>
          <w:vertAlign w:val="superscript"/>
        </w:rPr>
        <w:t>+2</w:t>
      </w:r>
      <w:r>
        <w:rPr>
          <w:vertAlign w:val="baseline"/>
        </w:rPr>
        <w:t>) revealed that the reducing power of the extract increases with the elevated concentration. Rajeshwar and coworkers (2005a) concluded that the methanol extract of seeds of </w:t>
      </w:r>
      <w:r>
        <w:rPr>
          <w:i/>
          <w:vertAlign w:val="baseline"/>
        </w:rPr>
        <w:t>Mucuna pruriens </w:t>
      </w:r>
      <w:r>
        <w:rPr>
          <w:vertAlign w:val="baseline"/>
        </w:rPr>
        <w:t>showed strong antioxidant activity by inhibiting DPPH and hydroxyl radical, nitric oxide and superoxide anion scavenging, hydrogen peroxide scavenging and reducing activities compared with different standards such as L-ascorbic acid, curcumin, quercetin and α- tocopherol.</w:t>
      </w:r>
    </w:p>
    <w:p>
      <w:pPr>
        <w:pStyle w:val="BodyText"/>
        <w:spacing w:before="11"/>
      </w:pPr>
    </w:p>
    <w:p>
      <w:pPr>
        <w:pStyle w:val="Heading2"/>
        <w:numPr>
          <w:ilvl w:val="3"/>
          <w:numId w:val="19"/>
        </w:numPr>
        <w:tabs>
          <w:tab w:pos="1398" w:val="left" w:leader="none"/>
        </w:tabs>
        <w:spacing w:line="240" w:lineRule="auto" w:before="0" w:after="0"/>
        <w:ind w:left="1398" w:right="0" w:hanging="720"/>
        <w:jc w:val="both"/>
      </w:pPr>
      <w:bookmarkStart w:name="_TOC_250098" w:id="35"/>
      <w:r>
        <w:rPr/>
        <w:t>Antitumor</w:t>
      </w:r>
      <w:bookmarkEnd w:id="35"/>
      <w:r>
        <w:rPr>
          <w:spacing w:val="-2"/>
        </w:rPr>
        <w:t> activity</w:t>
      </w:r>
    </w:p>
    <w:p>
      <w:pPr>
        <w:pStyle w:val="BodyText"/>
        <w:spacing w:line="360" w:lineRule="auto" w:before="132"/>
        <w:ind w:left="678" w:right="993" w:firstLine="720"/>
        <w:jc w:val="both"/>
      </w:pPr>
      <w:r>
        <w:rPr/>
        <w:t>Rajeshwar </w:t>
      </w:r>
      <w:r>
        <w:rPr>
          <w:i/>
        </w:rPr>
        <w:t>et al </w:t>
      </w:r>
      <w:r>
        <w:rPr/>
        <w:t>(2005b) also evaluated the antitumor activity of the methanol extract of </w:t>
      </w:r>
      <w:r>
        <w:rPr>
          <w:i/>
        </w:rPr>
        <w:t>M. pruriens </w:t>
      </w:r>
      <w:r>
        <w:rPr/>
        <w:t>seed in Ehrlich Ascites Carcinoma (EAC) tumor bearing mice. The animals treated 125 and 250 mg/kg of the methanol extract showed significant reduction</w:t>
      </w:r>
      <w:r>
        <w:rPr>
          <w:spacing w:val="40"/>
        </w:rPr>
        <w:t> </w:t>
      </w:r>
      <w:r>
        <w:rPr/>
        <w:t>of tumor volume, packed cell volume (PCV) and tumor (viable) cell count. The extract was also successful in restoring to near normal levels of hepatic lipid peroxidation, free radical scavenging enzyme (GSH) and antioxidant enzymes (SOD and CAT) in tumor- bearing mice.</w:t>
      </w:r>
    </w:p>
    <w:p>
      <w:pPr>
        <w:pStyle w:val="BodyText"/>
        <w:spacing w:before="143"/>
      </w:pPr>
    </w:p>
    <w:p>
      <w:pPr>
        <w:pStyle w:val="Heading2"/>
        <w:numPr>
          <w:ilvl w:val="3"/>
          <w:numId w:val="19"/>
        </w:numPr>
        <w:tabs>
          <w:tab w:pos="1398" w:val="left" w:leader="none"/>
        </w:tabs>
        <w:spacing w:line="240" w:lineRule="auto" w:before="1" w:after="0"/>
        <w:ind w:left="1398" w:right="0" w:hanging="720"/>
        <w:jc w:val="both"/>
      </w:pPr>
      <w:bookmarkStart w:name="_TOC_250097" w:id="36"/>
      <w:r>
        <w:rPr/>
        <w:t>Antibacterial</w:t>
      </w:r>
      <w:r>
        <w:rPr>
          <w:spacing w:val="-4"/>
        </w:rPr>
        <w:t> </w:t>
      </w:r>
      <w:bookmarkEnd w:id="36"/>
      <w:r>
        <w:rPr>
          <w:spacing w:val="-2"/>
        </w:rPr>
        <w:t>activity</w:t>
      </w:r>
    </w:p>
    <w:p>
      <w:pPr>
        <w:spacing w:line="360" w:lineRule="auto" w:before="134"/>
        <w:ind w:left="678" w:right="995" w:firstLine="720"/>
        <w:jc w:val="both"/>
        <w:rPr>
          <w:sz w:val="24"/>
        </w:rPr>
      </w:pPr>
      <w:r>
        <w:rPr>
          <w:sz w:val="24"/>
        </w:rPr>
        <w:t>The extracts of the leaf, stem, seed, fruit of Mucuna monosperma showed antibacterial activity against </w:t>
      </w:r>
      <w:r>
        <w:rPr>
          <w:i/>
          <w:sz w:val="24"/>
        </w:rPr>
        <w:t>Bacillus cereus, Escherichia coli, Proteus vulgaris </w:t>
      </w:r>
      <w:r>
        <w:rPr>
          <w:sz w:val="24"/>
        </w:rPr>
        <w:t>and </w:t>
      </w:r>
      <w:r>
        <w:rPr>
          <w:i/>
          <w:sz w:val="24"/>
        </w:rPr>
        <w:t>Staphylococcus </w:t>
      </w:r>
      <w:r>
        <w:rPr>
          <w:sz w:val="24"/>
        </w:rPr>
        <w:t>(Manjunatha </w:t>
      </w:r>
      <w:r>
        <w:rPr>
          <w:i/>
          <w:sz w:val="24"/>
        </w:rPr>
        <w:t>et al., </w:t>
      </w:r>
      <w:r>
        <w:rPr>
          <w:sz w:val="24"/>
        </w:rPr>
        <w:t>2006). The wound-healing potency of methanolic extracts</w:t>
      </w:r>
      <w:r>
        <w:rPr>
          <w:spacing w:val="9"/>
          <w:sz w:val="24"/>
        </w:rPr>
        <w:t> </w:t>
      </w:r>
      <w:r>
        <w:rPr>
          <w:sz w:val="24"/>
        </w:rPr>
        <w:t>of</w:t>
      </w:r>
      <w:r>
        <w:rPr>
          <w:spacing w:val="10"/>
          <w:sz w:val="24"/>
        </w:rPr>
        <w:t> </w:t>
      </w:r>
      <w:r>
        <w:rPr>
          <w:sz w:val="24"/>
        </w:rPr>
        <w:t>stem</w:t>
      </w:r>
      <w:r>
        <w:rPr>
          <w:spacing w:val="11"/>
          <w:sz w:val="24"/>
        </w:rPr>
        <w:t> </w:t>
      </w:r>
      <w:r>
        <w:rPr>
          <w:sz w:val="24"/>
        </w:rPr>
        <w:t>bark,</w:t>
      </w:r>
      <w:r>
        <w:rPr>
          <w:spacing w:val="10"/>
          <w:sz w:val="24"/>
        </w:rPr>
        <w:t> </w:t>
      </w:r>
      <w:r>
        <w:rPr>
          <w:sz w:val="24"/>
        </w:rPr>
        <w:t>seed</w:t>
      </w:r>
      <w:r>
        <w:rPr>
          <w:spacing w:val="10"/>
          <w:sz w:val="24"/>
        </w:rPr>
        <w:t> </w:t>
      </w:r>
      <w:r>
        <w:rPr>
          <w:sz w:val="24"/>
        </w:rPr>
        <w:t>kernel</w:t>
      </w:r>
      <w:r>
        <w:rPr>
          <w:spacing w:val="13"/>
          <w:sz w:val="24"/>
        </w:rPr>
        <w:t> </w:t>
      </w:r>
      <w:r>
        <w:rPr>
          <w:sz w:val="24"/>
        </w:rPr>
        <w:t>and</w:t>
      </w:r>
      <w:r>
        <w:rPr>
          <w:spacing w:val="11"/>
          <w:sz w:val="24"/>
        </w:rPr>
        <w:t> </w:t>
      </w:r>
      <w:r>
        <w:rPr>
          <w:sz w:val="24"/>
        </w:rPr>
        <w:t>leaves</w:t>
      </w:r>
      <w:r>
        <w:rPr>
          <w:spacing w:val="11"/>
          <w:sz w:val="24"/>
        </w:rPr>
        <w:t> </w:t>
      </w:r>
      <w:r>
        <w:rPr>
          <w:sz w:val="24"/>
        </w:rPr>
        <w:t>of</w:t>
      </w:r>
      <w:r>
        <w:rPr>
          <w:spacing w:val="16"/>
          <w:sz w:val="24"/>
        </w:rPr>
        <w:t> </w:t>
      </w:r>
      <w:r>
        <w:rPr>
          <w:i/>
          <w:sz w:val="24"/>
        </w:rPr>
        <w:t>Mucuna</w:t>
      </w:r>
      <w:r>
        <w:rPr>
          <w:i/>
          <w:spacing w:val="10"/>
          <w:sz w:val="24"/>
        </w:rPr>
        <w:t> </w:t>
      </w:r>
      <w:r>
        <w:rPr>
          <w:i/>
          <w:sz w:val="24"/>
        </w:rPr>
        <w:t>monosperma</w:t>
      </w:r>
      <w:r>
        <w:rPr>
          <w:i/>
          <w:spacing w:val="10"/>
          <w:sz w:val="24"/>
        </w:rPr>
        <w:t> </w:t>
      </w:r>
      <w:r>
        <w:rPr>
          <w:sz w:val="24"/>
        </w:rPr>
        <w:t>have</w:t>
      </w:r>
      <w:r>
        <w:rPr>
          <w:spacing w:val="11"/>
          <w:sz w:val="24"/>
        </w:rPr>
        <w:t> </w:t>
      </w:r>
      <w:r>
        <w:rPr>
          <w:sz w:val="24"/>
        </w:rPr>
        <w:t>been</w:t>
      </w:r>
      <w:r>
        <w:rPr>
          <w:spacing w:val="11"/>
          <w:sz w:val="24"/>
        </w:rPr>
        <w:t> </w:t>
      </w:r>
      <w:r>
        <w:rPr>
          <w:spacing w:val="-2"/>
          <w:sz w:val="24"/>
        </w:rPr>
        <w:t>reported</w:t>
      </w:r>
    </w:p>
    <w:p>
      <w:pPr>
        <w:spacing w:after="0" w:line="360" w:lineRule="auto"/>
        <w:jc w:val="both"/>
        <w:rPr>
          <w:sz w:val="24"/>
        </w:rPr>
        <w:sectPr>
          <w:pgSz w:w="12240" w:h="15840"/>
          <w:pgMar w:header="0" w:footer="1056" w:top="134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2930688">
                <wp:simplePos x="0" y="0"/>
                <wp:positionH relativeFrom="page">
                  <wp:posOffset>-1402226</wp:posOffset>
                </wp:positionH>
                <wp:positionV relativeFrom="page">
                  <wp:posOffset>4612234</wp:posOffset>
                </wp:positionV>
                <wp:extent cx="10685780" cy="914400"/>
                <wp:effectExtent l="0" t="0" r="0" b="0"/>
                <wp:wrapNone/>
                <wp:docPr id="64" name="Textbox 64"/>
                <wp:cNvGraphicFramePr>
                  <a:graphicFrameLocks/>
                </wp:cNvGraphicFramePr>
                <a:graphic>
                  <a:graphicData uri="http://schemas.microsoft.com/office/word/2010/wordprocessingShape">
                    <wps:wsp>
                      <wps:cNvPr id="64" name="Textbox 6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5792;rotation:306" type="#_x0000_t136" fillcolor="#ff5400" stroked="f">
                <o:extrusion v:ext="view" autorotationcenter="t"/>
                <v:textpath style="font-family:&quot;Arial MT&quot;;font-size:72pt;v-text-kern:t;mso-text-shadow:auto" string="UNIVERSITY OF IBADAN"/>
                <w10:wrap type="none"/>
              </v:shape>
            </w:pict>
          </mc:Fallback>
        </mc:AlternateContent>
      </w:r>
      <w:r>
        <w:rPr/>
        <w:t>by</w:t>
      </w:r>
      <w:r>
        <w:rPr>
          <w:spacing w:val="-7"/>
        </w:rPr>
        <w:t> </w:t>
      </w:r>
      <w:r>
        <w:rPr/>
        <w:t>Manjunatha</w:t>
      </w:r>
      <w:r>
        <w:rPr>
          <w:spacing w:val="-3"/>
        </w:rPr>
        <w:t> </w:t>
      </w:r>
      <w:r>
        <w:rPr>
          <w:i/>
        </w:rPr>
        <w:t>et</w:t>
      </w:r>
      <w:r>
        <w:rPr>
          <w:i/>
          <w:spacing w:val="-3"/>
        </w:rPr>
        <w:t> </w:t>
      </w:r>
      <w:r>
        <w:rPr>
          <w:i/>
        </w:rPr>
        <w:t>al.,</w:t>
      </w:r>
      <w:r>
        <w:rPr>
          <w:i/>
          <w:spacing w:val="-1"/>
        </w:rPr>
        <w:t> </w:t>
      </w:r>
      <w:r>
        <w:rPr/>
        <w:t>(2005).</w:t>
      </w:r>
      <w:r>
        <w:rPr>
          <w:spacing w:val="-3"/>
        </w:rPr>
        <w:t> </w:t>
      </w:r>
      <w:r>
        <w:rPr/>
        <w:t>The</w:t>
      </w:r>
      <w:r>
        <w:rPr>
          <w:spacing w:val="-2"/>
        </w:rPr>
        <w:t> </w:t>
      </w:r>
      <w:r>
        <w:rPr/>
        <w:t>extract</w:t>
      </w:r>
      <w:r>
        <w:rPr>
          <w:spacing w:val="-3"/>
        </w:rPr>
        <w:t> </w:t>
      </w:r>
      <w:r>
        <w:rPr/>
        <w:t>of</w:t>
      </w:r>
      <w:r>
        <w:rPr>
          <w:spacing w:val="-3"/>
        </w:rPr>
        <w:t> </w:t>
      </w:r>
      <w:r>
        <w:rPr/>
        <w:t>the</w:t>
      </w:r>
      <w:r>
        <w:rPr>
          <w:spacing w:val="-3"/>
        </w:rPr>
        <w:t> </w:t>
      </w:r>
      <w:r>
        <w:rPr/>
        <w:t>stem</w:t>
      </w:r>
      <w:r>
        <w:rPr>
          <w:spacing w:val="-3"/>
        </w:rPr>
        <w:t> </w:t>
      </w:r>
      <w:r>
        <w:rPr/>
        <w:t>bark</w:t>
      </w:r>
      <w:r>
        <w:rPr>
          <w:spacing w:val="-1"/>
        </w:rPr>
        <w:t> </w:t>
      </w:r>
      <w:r>
        <w:rPr/>
        <w:t>and</w:t>
      </w:r>
      <w:r>
        <w:rPr>
          <w:spacing w:val="-3"/>
        </w:rPr>
        <w:t> </w:t>
      </w:r>
      <w:r>
        <w:rPr/>
        <w:t>seed</w:t>
      </w:r>
      <w:r>
        <w:rPr>
          <w:spacing w:val="-3"/>
        </w:rPr>
        <w:t> </w:t>
      </w:r>
      <w:r>
        <w:rPr/>
        <w:t>kernel</w:t>
      </w:r>
      <w:r>
        <w:rPr>
          <w:spacing w:val="-1"/>
        </w:rPr>
        <w:t> </w:t>
      </w:r>
      <w:r>
        <w:rPr/>
        <w:t>extracts</w:t>
      </w:r>
      <w:r>
        <w:rPr>
          <w:spacing w:val="-3"/>
        </w:rPr>
        <w:t> </w:t>
      </w:r>
      <w:r>
        <w:rPr/>
        <w:t>showed significant wound-healing potential in Swiss Wistar rats, which was evident by decrease</w:t>
      </w:r>
      <w:r>
        <w:rPr>
          <w:spacing w:val="80"/>
        </w:rPr>
        <w:t> </w:t>
      </w:r>
      <w:r>
        <w:rPr/>
        <w:t>in the epithelialisation, increase in wound-contraction, skin-breaking strength, dry weight of granulation tissue and the quantity of hydroxyproline. Wound-healing potential of Mucuna seeds has been attributed to the presence of several phytochemicals such as flavonoids, triterpenoids, tannins and sterols (Manjunatha </w:t>
      </w:r>
      <w:r>
        <w:rPr>
          <w:i/>
        </w:rPr>
        <w:t>et al., </w:t>
      </w:r>
      <w:r>
        <w:rPr/>
        <w:t>2005).</w:t>
      </w:r>
    </w:p>
    <w:p>
      <w:pPr>
        <w:pStyle w:val="BodyText"/>
        <w:spacing w:before="142"/>
      </w:pPr>
    </w:p>
    <w:p>
      <w:pPr>
        <w:pStyle w:val="ListParagraph"/>
        <w:numPr>
          <w:ilvl w:val="3"/>
          <w:numId w:val="19"/>
        </w:numPr>
        <w:tabs>
          <w:tab w:pos="1638" w:val="left" w:leader="none"/>
        </w:tabs>
        <w:spacing w:line="240" w:lineRule="auto" w:before="1" w:after="0"/>
        <w:ind w:left="1638" w:right="0" w:hanging="960"/>
        <w:jc w:val="both"/>
        <w:rPr>
          <w:b/>
          <w:sz w:val="24"/>
        </w:rPr>
      </w:pPr>
      <w:r>
        <w:rPr>
          <w:b/>
          <w:sz w:val="24"/>
        </w:rPr>
        <w:t>Use</w:t>
      </w:r>
      <w:r>
        <w:rPr>
          <w:b/>
          <w:spacing w:val="-4"/>
          <w:sz w:val="24"/>
        </w:rPr>
        <w:t> </w:t>
      </w:r>
      <w:r>
        <w:rPr>
          <w:b/>
          <w:sz w:val="24"/>
        </w:rPr>
        <w:t>of </w:t>
      </w:r>
      <w:r>
        <w:rPr>
          <w:b/>
          <w:i/>
          <w:sz w:val="24"/>
        </w:rPr>
        <w:t>Mucuna</w:t>
      </w:r>
      <w:r>
        <w:rPr>
          <w:b/>
          <w:i/>
          <w:spacing w:val="-1"/>
          <w:sz w:val="24"/>
        </w:rPr>
        <w:t> </w:t>
      </w:r>
      <w:r>
        <w:rPr>
          <w:b/>
          <w:i/>
          <w:sz w:val="24"/>
        </w:rPr>
        <w:t>pruriens </w:t>
      </w:r>
      <w:r>
        <w:rPr>
          <w:b/>
          <w:sz w:val="24"/>
        </w:rPr>
        <w:t>in</w:t>
      </w:r>
      <w:r>
        <w:rPr>
          <w:b/>
          <w:spacing w:val="-1"/>
          <w:sz w:val="24"/>
        </w:rPr>
        <w:t> </w:t>
      </w:r>
      <w:r>
        <w:rPr>
          <w:b/>
          <w:sz w:val="24"/>
        </w:rPr>
        <w:t>Parkinson's</w:t>
      </w:r>
      <w:r>
        <w:rPr>
          <w:b/>
          <w:spacing w:val="-1"/>
          <w:sz w:val="24"/>
        </w:rPr>
        <w:t> </w:t>
      </w:r>
      <w:r>
        <w:rPr>
          <w:b/>
          <w:spacing w:val="-2"/>
          <w:sz w:val="24"/>
        </w:rPr>
        <w:t>disease</w:t>
      </w:r>
    </w:p>
    <w:p>
      <w:pPr>
        <w:pStyle w:val="BodyText"/>
        <w:spacing w:line="360" w:lineRule="auto" w:before="134"/>
        <w:ind w:left="678" w:right="994" w:firstLine="720"/>
        <w:jc w:val="both"/>
      </w:pPr>
      <w:r>
        <w:rPr/>
        <w:t>Traditionally, mucuna bean has been used as nerve tonic for nervous system disorder. Due to the high concentration of L-dopa in the seeds, it has been studied for possible use in Parkinson's disease (Vaidya </w:t>
      </w:r>
      <w:r>
        <w:rPr>
          <w:i/>
        </w:rPr>
        <w:t>et al</w:t>
      </w:r>
      <w:r>
        <w:rPr/>
        <w:t>., 1978). Parkinson's disease is a common age - related neuro-degeneration disorder affecting more than a million people worldwide. It is associated with progressive</w:t>
      </w:r>
      <w:r>
        <w:rPr>
          <w:spacing w:val="-1"/>
        </w:rPr>
        <w:t> </w:t>
      </w:r>
      <w:r>
        <w:rPr/>
        <w:t>degeneration of</w:t>
      </w:r>
      <w:r>
        <w:rPr>
          <w:spacing w:val="-1"/>
        </w:rPr>
        <w:t> </w:t>
      </w:r>
      <w:r>
        <w:rPr/>
        <w:t>dopaminergic neurons in specific</w:t>
      </w:r>
      <w:r>
        <w:rPr>
          <w:spacing w:val="-1"/>
        </w:rPr>
        <w:t> </w:t>
      </w:r>
      <w:r>
        <w:rPr/>
        <w:t>areas in the brain. Dopamine does not cross the blood-brain barrier and therefore cannot be used directly as a treatment. However, L-dopa (levodopa) gains access to the brain where it is converted to dopamine. Mucuna bean is now being considered as an alternative to pharmaceutical medication. It was found to slow the progression of Parkinson's symptoms (such as tremors, rigidity, slurring, drooling) and to have none of the side effects of L- dopa. Numerous </w:t>
      </w:r>
      <w:r>
        <w:rPr>
          <w:i/>
        </w:rPr>
        <w:t>in vivo </w:t>
      </w:r>
      <w:r>
        <w:rPr/>
        <w:t>studies have also been conducted in rats and in humans. In one human study, the bean powder was given to 60 patients (26 previously treated with L- dopa and 34 had never taken L-dopa). There were statistically significant reductions of Parkinson's symptoms in all the subjects (Katzenschlager </w:t>
      </w:r>
      <w:r>
        <w:rPr>
          <w:i/>
        </w:rPr>
        <w:t>et al., </w:t>
      </w:r>
      <w:r>
        <w:rPr/>
        <w:t>2004). Its clinical use for several free radical diseases, especially the age related male infertility has been reported (Tripathi and Upadyhay, 2002).</w:t>
      </w:r>
    </w:p>
    <w:p>
      <w:pPr>
        <w:pStyle w:val="BodyText"/>
        <w:spacing w:before="143"/>
      </w:pPr>
    </w:p>
    <w:p>
      <w:pPr>
        <w:pStyle w:val="Heading2"/>
        <w:numPr>
          <w:ilvl w:val="3"/>
          <w:numId w:val="19"/>
        </w:numPr>
        <w:tabs>
          <w:tab w:pos="1400" w:val="left" w:leader="none"/>
        </w:tabs>
        <w:spacing w:line="240" w:lineRule="auto" w:before="0" w:after="0"/>
        <w:ind w:left="1400" w:right="0" w:hanging="722"/>
        <w:jc w:val="both"/>
      </w:pPr>
      <w:r>
        <w:rPr/>
        <w:t>Antispasmodic,</w:t>
      </w:r>
      <w:r>
        <w:rPr>
          <w:spacing w:val="-1"/>
        </w:rPr>
        <w:t> </w:t>
      </w:r>
      <w:r>
        <w:rPr/>
        <w:t>anti-inflammatory, fever</w:t>
      </w:r>
      <w:r>
        <w:rPr>
          <w:spacing w:val="-1"/>
        </w:rPr>
        <w:t> </w:t>
      </w:r>
      <w:r>
        <w:rPr/>
        <w:t>reducing and antivenin</w:t>
      </w:r>
      <w:r>
        <w:rPr>
          <w:spacing w:val="1"/>
        </w:rPr>
        <w:t> </w:t>
      </w:r>
      <w:r>
        <w:rPr/>
        <w:t>properties</w:t>
      </w:r>
      <w:r>
        <w:rPr>
          <w:spacing w:val="6"/>
        </w:rPr>
        <w:t> </w:t>
      </w:r>
      <w:r>
        <w:rPr>
          <w:spacing w:val="-5"/>
        </w:rPr>
        <w:t>of</w:t>
      </w:r>
    </w:p>
    <w:p>
      <w:pPr>
        <w:pStyle w:val="Heading3"/>
        <w:spacing w:before="138"/>
        <w:ind w:left="1386" w:firstLine="0"/>
      </w:pPr>
      <w:r>
        <w:rPr/>
        <w:t>Mucuna</w:t>
      </w:r>
      <w:r>
        <w:rPr>
          <w:spacing w:val="-1"/>
        </w:rPr>
        <w:t> </w:t>
      </w:r>
      <w:r>
        <w:rPr>
          <w:spacing w:val="-2"/>
        </w:rPr>
        <w:t>pruriens</w:t>
      </w:r>
    </w:p>
    <w:p>
      <w:pPr>
        <w:pStyle w:val="BodyText"/>
        <w:spacing w:line="360" w:lineRule="auto" w:before="134"/>
        <w:ind w:left="678" w:right="1284" w:firstLine="708"/>
        <w:jc w:val="both"/>
      </w:pPr>
      <w:r>
        <w:rPr/>
        <w:t>The</w:t>
      </w:r>
      <w:r>
        <w:rPr>
          <w:spacing w:val="-2"/>
        </w:rPr>
        <w:t> </w:t>
      </w:r>
      <w:r>
        <w:rPr/>
        <w:t>root, fruit, leaf, and seed have</w:t>
      </w:r>
      <w:r>
        <w:rPr>
          <w:spacing w:val="-1"/>
        </w:rPr>
        <w:t> </w:t>
      </w:r>
      <w:r>
        <w:rPr/>
        <w:t>shown significant </w:t>
      </w:r>
      <w:r>
        <w:rPr>
          <w:i/>
        </w:rPr>
        <w:t>in vivo </w:t>
      </w:r>
      <w:r>
        <w:rPr/>
        <w:t>antispasmodic, anti inflammatory,</w:t>
      </w:r>
      <w:r>
        <w:rPr>
          <w:spacing w:val="-4"/>
        </w:rPr>
        <w:t> </w:t>
      </w:r>
      <w:r>
        <w:rPr/>
        <w:t>pain</w:t>
      </w:r>
      <w:r>
        <w:rPr>
          <w:spacing w:val="-4"/>
        </w:rPr>
        <w:t> </w:t>
      </w:r>
      <w:r>
        <w:rPr/>
        <w:t>relieving,</w:t>
      </w:r>
      <w:r>
        <w:rPr>
          <w:spacing w:val="-4"/>
        </w:rPr>
        <w:t> </w:t>
      </w:r>
      <w:r>
        <w:rPr/>
        <w:t>and</w:t>
      </w:r>
      <w:r>
        <w:rPr>
          <w:spacing w:val="-4"/>
        </w:rPr>
        <w:t> </w:t>
      </w:r>
      <w:r>
        <w:rPr/>
        <w:t>fever</w:t>
      </w:r>
      <w:r>
        <w:rPr>
          <w:spacing w:val="-4"/>
        </w:rPr>
        <w:t> </w:t>
      </w:r>
      <w:r>
        <w:rPr/>
        <w:t>reducing</w:t>
      </w:r>
      <w:r>
        <w:rPr>
          <w:spacing w:val="-4"/>
        </w:rPr>
        <w:t> </w:t>
      </w:r>
      <w:r>
        <w:rPr/>
        <w:t>activities</w:t>
      </w:r>
      <w:r>
        <w:rPr>
          <w:spacing w:val="-4"/>
        </w:rPr>
        <w:t> </w:t>
      </w:r>
      <w:r>
        <w:rPr/>
        <w:t>in</w:t>
      </w:r>
      <w:r>
        <w:rPr>
          <w:spacing w:val="-4"/>
        </w:rPr>
        <w:t> </w:t>
      </w:r>
      <w:r>
        <w:rPr/>
        <w:t>various</w:t>
      </w:r>
      <w:r>
        <w:rPr>
          <w:spacing w:val="-4"/>
        </w:rPr>
        <w:t> </w:t>
      </w:r>
      <w:r>
        <w:rPr/>
        <w:t>clinical</w:t>
      </w:r>
      <w:r>
        <w:rPr>
          <w:spacing w:val="-4"/>
        </w:rPr>
        <w:t> </w:t>
      </w:r>
      <w:r>
        <w:rPr/>
        <w:t>researches with animals (Vermal </w:t>
      </w:r>
      <w:r>
        <w:rPr>
          <w:i/>
        </w:rPr>
        <w:t>et al</w:t>
      </w:r>
      <w:r>
        <w:rPr/>
        <w:t>., 1993). Traditionally, the seed has been used by</w:t>
      </w:r>
      <w:r>
        <w:rPr>
          <w:spacing w:val="-3"/>
        </w:rPr>
        <w:t> </w:t>
      </w:r>
      <w:r>
        <w:rPr/>
        <w:t>indigenous peoples throughout the world for snake bite and several </w:t>
      </w:r>
      <w:r>
        <w:rPr>
          <w:i/>
        </w:rPr>
        <w:t>in vivo </w:t>
      </w:r>
      <w:r>
        <w:rPr/>
        <w:t>studies validate this</w:t>
      </w:r>
    </w:p>
    <w:p>
      <w:pPr>
        <w:spacing w:after="0" w:line="360" w:lineRule="auto"/>
        <w:jc w:val="both"/>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31200">
                <wp:simplePos x="0" y="0"/>
                <wp:positionH relativeFrom="page">
                  <wp:posOffset>-1402226</wp:posOffset>
                </wp:positionH>
                <wp:positionV relativeFrom="page">
                  <wp:posOffset>4612234</wp:posOffset>
                </wp:positionV>
                <wp:extent cx="10685780" cy="914400"/>
                <wp:effectExtent l="0" t="0" r="0" b="0"/>
                <wp:wrapNone/>
                <wp:docPr id="65" name="Textbox 65"/>
                <wp:cNvGraphicFramePr>
                  <a:graphicFrameLocks/>
                </wp:cNvGraphicFramePr>
                <a:graphic>
                  <a:graphicData uri="http://schemas.microsoft.com/office/word/2010/wordprocessingShape">
                    <wps:wsp>
                      <wps:cNvPr id="65" name="Textbox 6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5280;rotation:306" type="#_x0000_t136" fillcolor="#ff5400" stroked="f">
                <o:extrusion v:ext="view" autorotationcenter="t"/>
                <v:textpath style="font-family:&quot;Arial MT&quot;;font-size:72pt;v-text-kern:t;mso-text-shadow:auto" string="UNIVERSITY OF IBADAN"/>
                <w10:wrap type="none"/>
              </v:shape>
            </w:pict>
          </mc:Fallback>
        </mc:AlternateContent>
      </w:r>
      <w:r>
        <w:rPr/>
        <w:t>traditional use. In rats, a water extract of the seed inhibited venom-induced blood and coagulation alterations, and reduced lethality of the venom. The antivenin effect of mucuna</w:t>
      </w:r>
      <w:r>
        <w:rPr>
          <w:spacing w:val="-5"/>
        </w:rPr>
        <w:t> </w:t>
      </w:r>
      <w:r>
        <w:rPr/>
        <w:t>bean</w:t>
      </w:r>
      <w:r>
        <w:rPr>
          <w:spacing w:val="-3"/>
        </w:rPr>
        <w:t> </w:t>
      </w:r>
      <w:r>
        <w:rPr/>
        <w:t>is</w:t>
      </w:r>
      <w:r>
        <w:rPr>
          <w:spacing w:val="-3"/>
        </w:rPr>
        <w:t> </w:t>
      </w:r>
      <w:r>
        <w:rPr/>
        <w:t>thought</w:t>
      </w:r>
      <w:r>
        <w:rPr>
          <w:spacing w:val="-3"/>
        </w:rPr>
        <w:t> </w:t>
      </w:r>
      <w:r>
        <w:rPr/>
        <w:t>to</w:t>
      </w:r>
      <w:r>
        <w:rPr>
          <w:spacing w:val="-3"/>
        </w:rPr>
        <w:t> </w:t>
      </w:r>
      <w:r>
        <w:rPr/>
        <w:t>be</w:t>
      </w:r>
      <w:r>
        <w:rPr>
          <w:spacing w:val="-4"/>
        </w:rPr>
        <w:t> </w:t>
      </w:r>
      <w:r>
        <w:rPr/>
        <w:t>due</w:t>
      </w:r>
      <w:r>
        <w:rPr>
          <w:spacing w:val="-4"/>
        </w:rPr>
        <w:t> </w:t>
      </w:r>
      <w:r>
        <w:rPr/>
        <w:t>to</w:t>
      </w:r>
      <w:r>
        <w:rPr>
          <w:spacing w:val="-3"/>
        </w:rPr>
        <w:t> </w:t>
      </w:r>
      <w:r>
        <w:rPr/>
        <w:t>an</w:t>
      </w:r>
      <w:r>
        <w:rPr>
          <w:spacing w:val="-3"/>
        </w:rPr>
        <w:t> </w:t>
      </w:r>
      <w:r>
        <w:rPr/>
        <w:t>immune</w:t>
      </w:r>
      <w:r>
        <w:rPr>
          <w:spacing w:val="-4"/>
        </w:rPr>
        <w:t> </w:t>
      </w:r>
      <w:r>
        <w:rPr/>
        <w:t>mechanism,</w:t>
      </w:r>
      <w:r>
        <w:rPr>
          <w:spacing w:val="-3"/>
        </w:rPr>
        <w:t> </w:t>
      </w:r>
      <w:r>
        <w:rPr/>
        <w:t>as</w:t>
      </w:r>
      <w:r>
        <w:rPr>
          <w:spacing w:val="-3"/>
        </w:rPr>
        <w:t> </w:t>
      </w:r>
      <w:r>
        <w:rPr/>
        <w:t>proteins</w:t>
      </w:r>
      <w:r>
        <w:rPr>
          <w:spacing w:val="-3"/>
        </w:rPr>
        <w:t> </w:t>
      </w:r>
      <w:r>
        <w:rPr/>
        <w:t>in</w:t>
      </w:r>
      <w:r>
        <w:rPr>
          <w:spacing w:val="-3"/>
        </w:rPr>
        <w:t> </w:t>
      </w:r>
      <w:r>
        <w:rPr/>
        <w:t>the</w:t>
      </w:r>
      <w:r>
        <w:rPr>
          <w:spacing w:val="-4"/>
        </w:rPr>
        <w:t> </w:t>
      </w:r>
      <w:r>
        <w:rPr/>
        <w:t>seed were documented to raise antibodies against the venom (Verma </w:t>
      </w:r>
      <w:r>
        <w:rPr>
          <w:i/>
        </w:rPr>
        <w:t>et al., </w:t>
      </w:r>
      <w:r>
        <w:rPr/>
        <w:t>1993).</w:t>
      </w:r>
    </w:p>
    <w:p>
      <w:pPr>
        <w:pStyle w:val="BodyText"/>
        <w:spacing w:before="8"/>
      </w:pPr>
    </w:p>
    <w:p>
      <w:pPr>
        <w:pStyle w:val="ListParagraph"/>
        <w:numPr>
          <w:ilvl w:val="3"/>
          <w:numId w:val="19"/>
        </w:numPr>
        <w:tabs>
          <w:tab w:pos="1398" w:val="left" w:leader="none"/>
        </w:tabs>
        <w:spacing w:line="240" w:lineRule="auto" w:before="0" w:after="0"/>
        <w:ind w:left="1398" w:right="0" w:hanging="720"/>
        <w:jc w:val="left"/>
        <w:rPr>
          <w:b/>
          <w:sz w:val="24"/>
        </w:rPr>
      </w:pPr>
      <w:r>
        <w:rPr>
          <w:b/>
          <w:sz w:val="24"/>
        </w:rPr>
        <w:t>Use</w:t>
      </w:r>
      <w:r>
        <w:rPr>
          <w:b/>
          <w:spacing w:val="-3"/>
          <w:sz w:val="24"/>
        </w:rPr>
        <w:t> </w:t>
      </w:r>
      <w:r>
        <w:rPr>
          <w:b/>
          <w:sz w:val="24"/>
        </w:rPr>
        <w:t>of </w:t>
      </w:r>
      <w:r>
        <w:rPr>
          <w:b/>
          <w:i/>
          <w:sz w:val="24"/>
        </w:rPr>
        <w:t>Mucuna</w:t>
      </w:r>
      <w:r>
        <w:rPr>
          <w:b/>
          <w:i/>
          <w:spacing w:val="-1"/>
          <w:sz w:val="24"/>
        </w:rPr>
        <w:t> </w:t>
      </w:r>
      <w:r>
        <w:rPr>
          <w:b/>
          <w:i/>
          <w:sz w:val="24"/>
        </w:rPr>
        <w:t>pruriens</w:t>
      </w:r>
      <w:r>
        <w:rPr>
          <w:b/>
          <w:i/>
          <w:spacing w:val="1"/>
          <w:sz w:val="24"/>
        </w:rPr>
        <w:t> </w:t>
      </w:r>
      <w:r>
        <w:rPr>
          <w:b/>
          <w:sz w:val="24"/>
        </w:rPr>
        <w:t>as </w:t>
      </w:r>
      <w:r>
        <w:rPr>
          <w:b/>
          <w:spacing w:val="-2"/>
          <w:sz w:val="24"/>
        </w:rPr>
        <w:t>aphrodisiac</w:t>
      </w:r>
    </w:p>
    <w:p>
      <w:pPr>
        <w:pStyle w:val="BodyText"/>
        <w:spacing w:line="360" w:lineRule="auto" w:before="135"/>
        <w:ind w:left="678" w:right="1041" w:firstLine="720"/>
      </w:pPr>
      <w:r>
        <w:rPr/>
        <w:t>Mucuna has a long history of traditional use in Brazil and India as an aphrodisiac. Clinical</w:t>
      </w:r>
      <w:r>
        <w:rPr>
          <w:spacing w:val="40"/>
        </w:rPr>
        <w:t> </w:t>
      </w:r>
      <w:r>
        <w:rPr/>
        <w:t>studies</w:t>
      </w:r>
      <w:r>
        <w:rPr>
          <w:spacing w:val="40"/>
        </w:rPr>
        <w:t> </w:t>
      </w:r>
      <w:r>
        <w:rPr/>
        <w:t>in</w:t>
      </w:r>
      <w:r>
        <w:rPr>
          <w:spacing w:val="40"/>
        </w:rPr>
        <w:t> </w:t>
      </w:r>
      <w:r>
        <w:rPr/>
        <w:t>India</w:t>
      </w:r>
      <w:r>
        <w:rPr>
          <w:spacing w:val="40"/>
        </w:rPr>
        <w:t> </w:t>
      </w:r>
      <w:r>
        <w:rPr/>
        <w:t>have</w:t>
      </w:r>
      <w:r>
        <w:rPr>
          <w:spacing w:val="40"/>
        </w:rPr>
        <w:t> </w:t>
      </w:r>
      <w:r>
        <w:rPr/>
        <w:t>validated</w:t>
      </w:r>
      <w:r>
        <w:rPr>
          <w:spacing w:val="40"/>
        </w:rPr>
        <w:t> </w:t>
      </w:r>
      <w:r>
        <w:rPr/>
        <w:t>that</w:t>
      </w:r>
      <w:r>
        <w:rPr>
          <w:spacing w:val="40"/>
        </w:rPr>
        <w:t> </w:t>
      </w:r>
      <w:r>
        <w:rPr/>
        <w:t>the</w:t>
      </w:r>
      <w:r>
        <w:rPr>
          <w:spacing w:val="40"/>
        </w:rPr>
        <w:t> </w:t>
      </w:r>
      <w:r>
        <w:rPr/>
        <w:t>plant</w:t>
      </w:r>
      <w:r>
        <w:rPr>
          <w:spacing w:val="40"/>
        </w:rPr>
        <w:t> </w:t>
      </w:r>
      <w:r>
        <w:rPr/>
        <w:t>does</w:t>
      </w:r>
      <w:r>
        <w:rPr>
          <w:spacing w:val="40"/>
        </w:rPr>
        <w:t> </w:t>
      </w:r>
      <w:r>
        <w:rPr/>
        <w:t>indeed</w:t>
      </w:r>
      <w:r>
        <w:rPr>
          <w:spacing w:val="66"/>
        </w:rPr>
        <w:t> </w:t>
      </w:r>
      <w:r>
        <w:rPr/>
        <w:t>have</w:t>
      </w:r>
      <w:r>
        <w:rPr>
          <w:spacing w:val="40"/>
        </w:rPr>
        <w:t> </w:t>
      </w:r>
      <w:r>
        <w:rPr/>
        <w:t>aphrodisiac</w:t>
      </w:r>
      <w:r>
        <w:rPr>
          <w:spacing w:val="40"/>
        </w:rPr>
        <w:t> </w:t>
      </w:r>
      <w:r>
        <w:rPr/>
        <w:t>activity (Rastogi and Mehrotra, 1979).</w:t>
      </w:r>
    </w:p>
    <w:p>
      <w:pPr>
        <w:pStyle w:val="BodyText"/>
        <w:spacing w:before="4"/>
      </w:pPr>
    </w:p>
    <w:p>
      <w:pPr>
        <w:pStyle w:val="ListParagraph"/>
        <w:numPr>
          <w:ilvl w:val="3"/>
          <w:numId w:val="19"/>
        </w:numPr>
        <w:tabs>
          <w:tab w:pos="1398" w:val="left" w:leader="none"/>
        </w:tabs>
        <w:spacing w:line="240" w:lineRule="auto" w:before="0" w:after="0"/>
        <w:ind w:left="1398" w:right="0" w:hanging="720"/>
        <w:jc w:val="both"/>
        <w:rPr>
          <w:b/>
          <w:sz w:val="24"/>
        </w:rPr>
      </w:pPr>
      <w:r>
        <w:rPr>
          <w:b/>
          <w:sz w:val="24"/>
        </w:rPr>
        <w:t>Use</w:t>
      </w:r>
      <w:r>
        <w:rPr>
          <w:b/>
          <w:spacing w:val="-3"/>
          <w:sz w:val="24"/>
        </w:rPr>
        <w:t> </w:t>
      </w:r>
      <w:r>
        <w:rPr>
          <w:b/>
          <w:sz w:val="24"/>
        </w:rPr>
        <w:t>of </w:t>
      </w:r>
      <w:r>
        <w:rPr>
          <w:b/>
          <w:i/>
          <w:sz w:val="24"/>
        </w:rPr>
        <w:t>Mucuna</w:t>
      </w:r>
      <w:r>
        <w:rPr>
          <w:b/>
          <w:i/>
          <w:spacing w:val="-1"/>
          <w:sz w:val="24"/>
        </w:rPr>
        <w:t> </w:t>
      </w:r>
      <w:r>
        <w:rPr>
          <w:b/>
          <w:i/>
          <w:sz w:val="24"/>
        </w:rPr>
        <w:t>pruriens </w:t>
      </w:r>
      <w:r>
        <w:rPr>
          <w:b/>
          <w:sz w:val="24"/>
        </w:rPr>
        <w:t>as</w:t>
      </w:r>
      <w:r>
        <w:rPr>
          <w:b/>
          <w:spacing w:val="-1"/>
          <w:sz w:val="24"/>
        </w:rPr>
        <w:t> </w:t>
      </w:r>
      <w:r>
        <w:rPr>
          <w:b/>
          <w:sz w:val="24"/>
        </w:rPr>
        <w:t>anabolic</w:t>
      </w:r>
      <w:r>
        <w:rPr>
          <w:b/>
          <w:spacing w:val="-2"/>
          <w:sz w:val="24"/>
        </w:rPr>
        <w:t> </w:t>
      </w:r>
      <w:r>
        <w:rPr>
          <w:b/>
          <w:sz w:val="24"/>
        </w:rPr>
        <w:t>and</w:t>
      </w:r>
      <w:r>
        <w:rPr>
          <w:b/>
          <w:spacing w:val="-2"/>
          <w:sz w:val="24"/>
        </w:rPr>
        <w:t> </w:t>
      </w:r>
      <w:r>
        <w:rPr>
          <w:b/>
          <w:sz w:val="24"/>
        </w:rPr>
        <w:t>fertility</w:t>
      </w:r>
      <w:r>
        <w:rPr>
          <w:b/>
          <w:spacing w:val="-1"/>
          <w:sz w:val="24"/>
        </w:rPr>
        <w:t> </w:t>
      </w:r>
      <w:r>
        <w:rPr>
          <w:b/>
          <w:spacing w:val="-2"/>
          <w:sz w:val="24"/>
        </w:rPr>
        <w:t>agent</w:t>
      </w:r>
    </w:p>
    <w:p>
      <w:pPr>
        <w:pStyle w:val="BodyText"/>
        <w:spacing w:line="360" w:lineRule="auto" w:before="134"/>
        <w:ind w:left="678" w:right="995" w:firstLine="720"/>
        <w:jc w:val="both"/>
      </w:pPr>
      <w:r>
        <w:rPr/>
        <w:t>The anabolic effect of the seed is due to its ability to increase testosterone (Katzenschlager, 2004). In 2002, a U.S. patent was filed on the use of mucuna bean to stimulate the release of growth hormone in humans. Research cited in the patent indicated that the high levels of L-dopa in mucuna seed were converted to dopamine, which stimulated the release of growth hormone, by the pituitary gland. L-dopa and dopamine</w:t>
      </w:r>
      <w:r>
        <w:rPr>
          <w:spacing w:val="40"/>
        </w:rPr>
        <w:t> </w:t>
      </w:r>
      <w:r>
        <w:rPr/>
        <w:t>are also effective inhibitors of prolactin. Prolactin is a hormone released by the pituitary gland. Increased levels of prolactin are considered to cause erection failure in males. In one study, oral intake of the seeds in 56 human males was able to improve erection, improve</w:t>
      </w:r>
      <w:r>
        <w:rPr>
          <w:spacing w:val="-3"/>
        </w:rPr>
        <w:t> </w:t>
      </w:r>
      <w:r>
        <w:rPr/>
        <w:t>sperm</w:t>
      </w:r>
      <w:r>
        <w:rPr>
          <w:spacing w:val="-2"/>
        </w:rPr>
        <w:t> </w:t>
      </w:r>
      <w:r>
        <w:rPr/>
        <w:t>count</w:t>
      </w:r>
      <w:r>
        <w:rPr>
          <w:spacing w:val="-2"/>
        </w:rPr>
        <w:t> </w:t>
      </w:r>
      <w:r>
        <w:rPr/>
        <w:t>and motility</w:t>
      </w:r>
      <w:r>
        <w:rPr>
          <w:spacing w:val="-4"/>
        </w:rPr>
        <w:t> </w:t>
      </w:r>
      <w:r>
        <w:rPr/>
        <w:t>(Katzenschlager,</w:t>
      </w:r>
      <w:r>
        <w:rPr>
          <w:spacing w:val="-2"/>
        </w:rPr>
        <w:t> </w:t>
      </w:r>
      <w:r>
        <w:rPr/>
        <w:t>2004).</w:t>
      </w:r>
      <w:r>
        <w:rPr>
          <w:spacing w:val="-2"/>
        </w:rPr>
        <w:t> </w:t>
      </w:r>
      <w:r>
        <w:rPr/>
        <w:t>Mucuna</w:t>
      </w:r>
      <w:r>
        <w:rPr>
          <w:spacing w:val="-4"/>
        </w:rPr>
        <w:t> </w:t>
      </w:r>
      <w:r>
        <w:rPr/>
        <w:t>has</w:t>
      </w:r>
      <w:r>
        <w:rPr>
          <w:spacing w:val="-2"/>
        </w:rPr>
        <w:t> </w:t>
      </w:r>
      <w:r>
        <w:rPr/>
        <w:t>demonstrated</w:t>
      </w:r>
      <w:r>
        <w:rPr>
          <w:spacing w:val="-3"/>
        </w:rPr>
        <w:t> </w:t>
      </w:r>
      <w:r>
        <w:rPr/>
        <w:t>little toxicity; however it has been documented in animal studies to cause birth defects and should not be used during pregnancy (Oudhia, 2001). This could suggest its use as an abortificant by some people in South-Western part of Nigeria.</w:t>
      </w:r>
    </w:p>
    <w:p>
      <w:pPr>
        <w:pStyle w:val="BodyText"/>
        <w:spacing w:before="6"/>
      </w:pPr>
    </w:p>
    <w:p>
      <w:pPr>
        <w:pStyle w:val="Heading2"/>
        <w:numPr>
          <w:ilvl w:val="1"/>
          <w:numId w:val="19"/>
        </w:numPr>
        <w:tabs>
          <w:tab w:pos="1038" w:val="left" w:leader="none"/>
        </w:tabs>
        <w:spacing w:line="240" w:lineRule="auto" w:before="0" w:after="0"/>
        <w:ind w:left="1038" w:right="0" w:hanging="360"/>
        <w:jc w:val="both"/>
      </w:pPr>
      <w:bookmarkStart w:name="_TOC_250096" w:id="37"/>
      <w:r>
        <w:rPr/>
        <w:t>Antidiabetic</w:t>
      </w:r>
      <w:r>
        <w:rPr>
          <w:spacing w:val="-3"/>
        </w:rPr>
        <w:t> </w:t>
      </w:r>
      <w:r>
        <w:rPr/>
        <w:t>screening</w:t>
      </w:r>
      <w:r>
        <w:rPr>
          <w:spacing w:val="-1"/>
        </w:rPr>
        <w:t> </w:t>
      </w:r>
      <w:bookmarkEnd w:id="37"/>
      <w:r>
        <w:rPr>
          <w:spacing w:val="-2"/>
        </w:rPr>
        <w:t>methods</w:t>
      </w:r>
    </w:p>
    <w:p>
      <w:pPr>
        <w:pStyle w:val="BodyText"/>
        <w:spacing w:line="360" w:lineRule="auto" w:before="132"/>
        <w:ind w:left="678" w:right="996" w:firstLine="720"/>
        <w:jc w:val="both"/>
      </w:pPr>
      <w:r>
        <w:rPr/>
        <w:t>Appropriate experimental models are essential tools for understanding the pathogenesis, complications, and genetic or environmental influences that increase the risks of type 2 diabetes and testing of various therapeutic agents. The animal models of type 2 diabetes can be obtained either spontaneously</w:t>
      </w:r>
      <w:r>
        <w:rPr>
          <w:spacing w:val="-4"/>
        </w:rPr>
        <w:t> </w:t>
      </w:r>
      <w:r>
        <w:rPr/>
        <w:t>or induced by</w:t>
      </w:r>
      <w:r>
        <w:rPr>
          <w:spacing w:val="-4"/>
        </w:rPr>
        <w:t> </w:t>
      </w:r>
      <w:r>
        <w:rPr/>
        <w:t>chemicals or dietary</w:t>
      </w:r>
      <w:r>
        <w:rPr>
          <w:spacing w:val="-4"/>
        </w:rPr>
        <w:t> </w:t>
      </w:r>
      <w:r>
        <w:rPr/>
        <w:t>or surgical manipulations and/or by combination thereof (Pederson, 1999).</w:t>
      </w:r>
    </w:p>
    <w:p>
      <w:pPr>
        <w:spacing w:after="0" w:line="360" w:lineRule="auto"/>
        <w:jc w:val="both"/>
        <w:sectPr>
          <w:pgSz w:w="12240" w:h="15840"/>
          <w:pgMar w:header="0" w:footer="1056" w:top="1340" w:bottom="1240" w:left="1420" w:right="420"/>
        </w:sectPr>
      </w:pPr>
    </w:p>
    <w:p>
      <w:pPr>
        <w:pStyle w:val="Heading2"/>
        <w:numPr>
          <w:ilvl w:val="2"/>
          <w:numId w:val="19"/>
        </w:numPr>
        <w:tabs>
          <w:tab w:pos="1218" w:val="left" w:leader="none"/>
        </w:tabs>
        <w:spacing w:line="240" w:lineRule="auto" w:before="77" w:after="0"/>
        <w:ind w:left="1218" w:right="0" w:hanging="540"/>
        <w:jc w:val="both"/>
      </w:pPr>
      <w:r>
        <w:rPr/>
        <mc:AlternateContent>
          <mc:Choice Requires="wps">
            <w:drawing>
              <wp:anchor distT="0" distB="0" distL="0" distR="0" allowOverlap="1" layoutInCell="1" locked="0" behindDoc="1" simplePos="0" relativeHeight="482931712">
                <wp:simplePos x="0" y="0"/>
                <wp:positionH relativeFrom="page">
                  <wp:posOffset>-1402226</wp:posOffset>
                </wp:positionH>
                <wp:positionV relativeFrom="page">
                  <wp:posOffset>4612234</wp:posOffset>
                </wp:positionV>
                <wp:extent cx="10685780" cy="914400"/>
                <wp:effectExtent l="0" t="0" r="0" b="0"/>
                <wp:wrapNone/>
                <wp:docPr id="66" name="Textbox 66"/>
                <wp:cNvGraphicFramePr>
                  <a:graphicFrameLocks/>
                </wp:cNvGraphicFramePr>
                <a:graphic>
                  <a:graphicData uri="http://schemas.microsoft.com/office/word/2010/wordprocessingShape">
                    <wps:wsp>
                      <wps:cNvPr id="66" name="Textbox 6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476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95" w:id="38"/>
      <w:r>
        <w:rPr/>
        <w:t>Animals</w:t>
      </w:r>
      <w:r>
        <w:rPr>
          <w:spacing w:val="-2"/>
        </w:rPr>
        <w:t> </w:t>
      </w:r>
      <w:r>
        <w:rPr/>
        <w:t>used</w:t>
      </w:r>
      <w:r>
        <w:rPr>
          <w:spacing w:val="-1"/>
        </w:rPr>
        <w:t> </w:t>
      </w:r>
      <w:r>
        <w:rPr/>
        <w:t>for</w:t>
      </w:r>
      <w:r>
        <w:rPr>
          <w:spacing w:val="-2"/>
        </w:rPr>
        <w:t> </w:t>
      </w:r>
      <w:r>
        <w:rPr/>
        <w:t>screening</w:t>
      </w:r>
      <w:r>
        <w:rPr>
          <w:spacing w:val="-2"/>
        </w:rPr>
        <w:t> </w:t>
      </w:r>
      <w:r>
        <w:rPr/>
        <w:t>of anti-diabetic</w:t>
      </w:r>
      <w:r>
        <w:rPr>
          <w:spacing w:val="-2"/>
        </w:rPr>
        <w:t> </w:t>
      </w:r>
      <w:bookmarkEnd w:id="38"/>
      <w:r>
        <w:rPr>
          <w:spacing w:val="-4"/>
        </w:rPr>
        <w:t>drugs</w:t>
      </w:r>
    </w:p>
    <w:p>
      <w:pPr>
        <w:pStyle w:val="BodyText"/>
        <w:spacing w:line="360" w:lineRule="auto" w:before="133"/>
        <w:ind w:left="678" w:right="994" w:firstLine="720"/>
        <w:jc w:val="both"/>
      </w:pPr>
      <w:r>
        <w:rPr/>
        <w:t>Various animals are used for screening of anti – diabetic drug or plant. These include: Obese mouse, Diabetic mouse, Sand mouse (</w:t>
      </w:r>
      <w:r>
        <w:rPr>
          <w:i/>
        </w:rPr>
        <w:t>Psammomys obesus</w:t>
      </w:r>
      <w:r>
        <w:rPr/>
        <w:t>), Spiny mouse (</w:t>
      </w:r>
      <w:r>
        <w:rPr>
          <w:i/>
        </w:rPr>
        <w:t>Acomys cahirinus</w:t>
      </w:r>
      <w:r>
        <w:rPr/>
        <w:t>) Bio breeding (BB rats),</w:t>
      </w:r>
      <w:r>
        <w:rPr>
          <w:spacing w:val="40"/>
        </w:rPr>
        <w:t> </w:t>
      </w:r>
      <w:r>
        <w:rPr/>
        <w:t>KK mouse ,Yellow mouse, Yellow KK mouse, New Zealand obese mouse, Tuco-tuco (</w:t>
      </w:r>
      <w:r>
        <w:rPr>
          <w:i/>
        </w:rPr>
        <w:t>Clenomys talarum</w:t>
      </w:r>
      <w:r>
        <w:rPr/>
        <w:t>)- these are burrowing rodents from Argentina. Chinese hamster (Cricetulus griseus), Non obese diabetic (NOD) mouse.</w:t>
      </w:r>
      <w:r>
        <w:rPr>
          <w:spacing w:val="40"/>
        </w:rPr>
        <w:t> </w:t>
      </w:r>
      <w:r>
        <w:rPr/>
        <w:t>Japanese wistar rat (Goto rat) etc. (Kumar, 1997; Shafrir, 1992 and Pederson, </w:t>
      </w:r>
      <w:r>
        <w:rPr>
          <w:spacing w:val="-2"/>
        </w:rPr>
        <w:t>1999).</w:t>
      </w:r>
    </w:p>
    <w:p>
      <w:pPr>
        <w:pStyle w:val="BodyText"/>
        <w:spacing w:before="143"/>
      </w:pPr>
    </w:p>
    <w:p>
      <w:pPr>
        <w:pStyle w:val="Heading2"/>
        <w:numPr>
          <w:ilvl w:val="2"/>
          <w:numId w:val="19"/>
        </w:numPr>
        <w:tabs>
          <w:tab w:pos="1218" w:val="left" w:leader="none"/>
        </w:tabs>
        <w:spacing w:line="240" w:lineRule="auto" w:before="0" w:after="0"/>
        <w:ind w:left="1218" w:right="0" w:hanging="540"/>
        <w:jc w:val="both"/>
      </w:pPr>
      <w:r>
        <w:rPr/>
        <w:t>Chemical</w:t>
      </w:r>
      <w:r>
        <w:rPr>
          <w:spacing w:val="-2"/>
        </w:rPr>
        <w:t> </w:t>
      </w:r>
      <w:r>
        <w:rPr/>
        <w:t>agents</w:t>
      </w:r>
      <w:r>
        <w:rPr>
          <w:spacing w:val="-2"/>
        </w:rPr>
        <w:t> </w:t>
      </w:r>
      <w:r>
        <w:rPr/>
        <w:t>capable</w:t>
      </w:r>
      <w:r>
        <w:rPr>
          <w:spacing w:val="-1"/>
        </w:rPr>
        <w:t> </w:t>
      </w:r>
      <w:r>
        <w:rPr/>
        <w:t>of</w:t>
      </w:r>
      <w:r>
        <w:rPr>
          <w:spacing w:val="-2"/>
        </w:rPr>
        <w:t> </w:t>
      </w:r>
      <w:r>
        <w:rPr/>
        <w:t>inducing</w:t>
      </w:r>
      <w:r>
        <w:rPr>
          <w:spacing w:val="-1"/>
        </w:rPr>
        <w:t> </w:t>
      </w:r>
      <w:r>
        <w:rPr>
          <w:spacing w:val="-2"/>
        </w:rPr>
        <w:t>diabetes</w:t>
      </w:r>
    </w:p>
    <w:p>
      <w:pPr>
        <w:pStyle w:val="BodyText"/>
        <w:spacing w:line="360" w:lineRule="auto" w:before="135"/>
        <w:ind w:left="678" w:right="992" w:firstLine="720"/>
        <w:jc w:val="both"/>
      </w:pPr>
      <w:r>
        <w:rPr/>
        <w:t>Different chemicals are used to induce diabetes in an animal model and these include (i) irreversible beta cytotoxic agents, examples of which are alloxan, streptozocin, diphenyl thiocarbazine, Onine – 9 – hydroxyquinolone and vacor (ii) reversible beta cytotoxic agents such as, 6 – aminonicotinamide, l – asparginase, azide, cyanide, cyproheptadine, phenytoin, Thiazides, Malonates (iii) other agents such as insulin antibodies, somatostatins, catecholamines, glucocorticoids and glucagon (Parmar, 2006; Shafrir, 1992; Pederson, 1999).</w:t>
      </w:r>
    </w:p>
    <w:p>
      <w:pPr>
        <w:pStyle w:val="BodyText"/>
        <w:spacing w:before="9"/>
      </w:pPr>
    </w:p>
    <w:p>
      <w:pPr>
        <w:pStyle w:val="Heading2"/>
        <w:numPr>
          <w:ilvl w:val="2"/>
          <w:numId w:val="19"/>
        </w:numPr>
        <w:tabs>
          <w:tab w:pos="1218" w:val="left" w:leader="none"/>
        </w:tabs>
        <w:spacing w:line="240" w:lineRule="auto" w:before="0" w:after="0"/>
        <w:ind w:left="1218" w:right="0" w:hanging="540"/>
        <w:jc w:val="left"/>
      </w:pPr>
      <w:r>
        <w:rPr/>
        <w:t>Models</w:t>
      </w:r>
      <w:r>
        <w:rPr>
          <w:spacing w:val="-2"/>
        </w:rPr>
        <w:t> </w:t>
      </w:r>
      <w:r>
        <w:rPr/>
        <w:t>for</w:t>
      </w:r>
      <w:r>
        <w:rPr>
          <w:spacing w:val="-2"/>
        </w:rPr>
        <w:t> </w:t>
      </w:r>
      <w:r>
        <w:rPr/>
        <w:t>insulin</w:t>
      </w:r>
      <w:r>
        <w:rPr>
          <w:spacing w:val="-2"/>
        </w:rPr>
        <w:t> </w:t>
      </w:r>
      <w:r>
        <w:rPr/>
        <w:t>dependent</w:t>
      </w:r>
      <w:r>
        <w:rPr>
          <w:spacing w:val="-2"/>
        </w:rPr>
        <w:t> </w:t>
      </w:r>
      <w:r>
        <w:rPr/>
        <w:t>diabetes</w:t>
      </w:r>
      <w:r>
        <w:rPr>
          <w:spacing w:val="-1"/>
        </w:rPr>
        <w:t> </w:t>
      </w:r>
      <w:r>
        <w:rPr/>
        <w:t>mellitus</w:t>
      </w:r>
      <w:r>
        <w:rPr>
          <w:spacing w:val="-1"/>
        </w:rPr>
        <w:t> </w:t>
      </w:r>
      <w:r>
        <w:rPr>
          <w:spacing w:val="-2"/>
        </w:rPr>
        <w:t>(IDDM)</w:t>
      </w:r>
    </w:p>
    <w:p>
      <w:pPr>
        <w:pStyle w:val="Heading2"/>
        <w:numPr>
          <w:ilvl w:val="3"/>
          <w:numId w:val="19"/>
        </w:numPr>
        <w:tabs>
          <w:tab w:pos="1398" w:val="left" w:leader="none"/>
        </w:tabs>
        <w:spacing w:line="240" w:lineRule="auto" w:before="137" w:after="0"/>
        <w:ind w:left="1398" w:right="0" w:hanging="720"/>
        <w:jc w:val="left"/>
      </w:pPr>
      <w:bookmarkStart w:name="_TOC_250094" w:id="39"/>
      <w:r>
        <w:rPr/>
        <w:t>Alloxan</w:t>
      </w:r>
      <w:r>
        <w:rPr>
          <w:spacing w:val="-1"/>
        </w:rPr>
        <w:t> </w:t>
      </w:r>
      <w:r>
        <w:rPr/>
        <w:t>induced</w:t>
      </w:r>
      <w:bookmarkEnd w:id="39"/>
      <w:r>
        <w:rPr>
          <w:spacing w:val="-2"/>
        </w:rPr>
        <w:t> diabetes</w:t>
      </w:r>
    </w:p>
    <w:p>
      <w:pPr>
        <w:pStyle w:val="BodyText"/>
        <w:spacing w:before="136"/>
        <w:rPr>
          <w:b/>
        </w:rPr>
      </w:pPr>
    </w:p>
    <w:p>
      <w:pPr>
        <w:pStyle w:val="BodyText"/>
        <w:spacing w:line="360" w:lineRule="auto"/>
        <w:ind w:left="678" w:right="991" w:firstLine="720"/>
        <w:jc w:val="both"/>
      </w:pPr>
      <w:r>
        <w:rPr/>
        <w:t>Alloxan is a cyclic urea compound, which induces permanent diabetes. It is a highly reactive molecule, which produces free radical damage to beta islet cells &amp; causes cell death (Barker, C. F., 1982). When islets are exposed </w:t>
      </w:r>
      <w:r>
        <w:rPr>
          <w:i/>
        </w:rPr>
        <w:t>in vitro </w:t>
      </w:r>
      <w:r>
        <w:rPr/>
        <w:t>to alloxan, it exhibits exceptional beta cell specificity, the other islets cells remaining largely</w:t>
      </w:r>
      <w:r>
        <w:rPr>
          <w:spacing w:val="-3"/>
        </w:rPr>
        <w:t> </w:t>
      </w:r>
      <w:r>
        <w:rPr/>
        <w:t>unaffected by</w:t>
      </w:r>
      <w:r>
        <w:rPr>
          <w:spacing w:val="-3"/>
        </w:rPr>
        <w:t> </w:t>
      </w:r>
      <w:r>
        <w:rPr/>
        <w:t>both its</w:t>
      </w:r>
      <w:r>
        <w:rPr>
          <w:spacing w:val="-3"/>
        </w:rPr>
        <w:t> </w:t>
      </w:r>
      <w:r>
        <w:rPr/>
        <w:t>inhibitory</w:t>
      </w:r>
      <w:r>
        <w:rPr>
          <w:spacing w:val="-9"/>
        </w:rPr>
        <w:t> </w:t>
      </w:r>
      <w:r>
        <w:rPr/>
        <w:t>and</w:t>
      </w:r>
      <w:r>
        <w:rPr>
          <w:spacing w:val="-3"/>
        </w:rPr>
        <w:t> </w:t>
      </w:r>
      <w:r>
        <w:rPr/>
        <w:t>cytotoxic</w:t>
      </w:r>
      <w:r>
        <w:rPr>
          <w:spacing w:val="-3"/>
        </w:rPr>
        <w:t> </w:t>
      </w:r>
      <w:r>
        <w:rPr/>
        <w:t>effects (Turner,</w:t>
      </w:r>
      <w:r>
        <w:rPr>
          <w:spacing w:val="-2"/>
        </w:rPr>
        <w:t> </w:t>
      </w:r>
      <w:r>
        <w:rPr/>
        <w:t>1965). Several</w:t>
      </w:r>
      <w:r>
        <w:rPr>
          <w:spacing w:val="-3"/>
        </w:rPr>
        <w:t> </w:t>
      </w:r>
      <w:r>
        <w:rPr/>
        <w:t>studies</w:t>
      </w:r>
      <w:r>
        <w:rPr>
          <w:spacing w:val="-3"/>
        </w:rPr>
        <w:t> </w:t>
      </w:r>
      <w:r>
        <w:rPr/>
        <w:t>have</w:t>
      </w:r>
      <w:r>
        <w:rPr>
          <w:spacing w:val="-4"/>
        </w:rPr>
        <w:t> </w:t>
      </w:r>
      <w:r>
        <w:rPr/>
        <w:t>shown</w:t>
      </w:r>
      <w:r>
        <w:rPr>
          <w:spacing w:val="-3"/>
        </w:rPr>
        <w:t> </w:t>
      </w:r>
      <w:r>
        <w:rPr/>
        <w:t>that</w:t>
      </w:r>
      <w:r>
        <w:rPr>
          <w:spacing w:val="-3"/>
        </w:rPr>
        <w:t> </w:t>
      </w:r>
      <w:r>
        <w:rPr/>
        <w:t>alloxan alters the properties of beta cell plasma membrane. In rodents islets treated </w:t>
      </w:r>
      <w:r>
        <w:rPr>
          <w:i/>
        </w:rPr>
        <w:t>in vitro </w:t>
      </w:r>
      <w:r>
        <w:rPr/>
        <w:t>with alloxan displays abnormal membrane morphology &amp; altered the ion flux, both effects being prevented by high glucose concentrations. Although alloxan has an effect at plasma membrane, these changes may be secondary to actions of drugs on the cellular and molecular components of the beta cells (Winzell, 2004; Yoshikawa, 1997; Gelati, 1979). Following</w:t>
      </w:r>
      <w:r>
        <w:rPr>
          <w:spacing w:val="-1"/>
        </w:rPr>
        <w:t> </w:t>
      </w:r>
      <w:r>
        <w:rPr/>
        <w:t>its</w:t>
      </w:r>
      <w:r>
        <w:rPr>
          <w:spacing w:val="4"/>
        </w:rPr>
        <w:t> </w:t>
      </w:r>
      <w:r>
        <w:rPr/>
        <w:t>uptake</w:t>
      </w:r>
      <w:r>
        <w:rPr>
          <w:spacing w:val="3"/>
        </w:rPr>
        <w:t> </w:t>
      </w:r>
      <w:r>
        <w:rPr/>
        <w:t>by</w:t>
      </w:r>
      <w:r>
        <w:rPr>
          <w:spacing w:val="-1"/>
        </w:rPr>
        <w:t> </w:t>
      </w:r>
      <w:r>
        <w:rPr/>
        <w:t>the</w:t>
      </w:r>
      <w:r>
        <w:rPr>
          <w:spacing w:val="4"/>
        </w:rPr>
        <w:t> </w:t>
      </w:r>
      <w:r>
        <w:rPr/>
        <w:t>beta</w:t>
      </w:r>
      <w:r>
        <w:rPr>
          <w:spacing w:val="4"/>
        </w:rPr>
        <w:t> </w:t>
      </w:r>
      <w:r>
        <w:rPr/>
        <w:t>cells,</w:t>
      </w:r>
      <w:r>
        <w:rPr>
          <w:spacing w:val="3"/>
        </w:rPr>
        <w:t> </w:t>
      </w:r>
      <w:r>
        <w:rPr/>
        <w:t>alloxan</w:t>
      </w:r>
      <w:r>
        <w:rPr>
          <w:spacing w:val="4"/>
        </w:rPr>
        <w:t> </w:t>
      </w:r>
      <w:r>
        <w:rPr/>
        <w:t>interacts</w:t>
      </w:r>
      <w:r>
        <w:rPr>
          <w:spacing w:val="5"/>
        </w:rPr>
        <w:t> </w:t>
      </w:r>
      <w:r>
        <w:rPr/>
        <w:t>with</w:t>
      </w:r>
      <w:r>
        <w:rPr>
          <w:spacing w:val="5"/>
        </w:rPr>
        <w:t> </w:t>
      </w:r>
      <w:r>
        <w:rPr/>
        <w:t>sulphydrl-</w:t>
      </w:r>
      <w:r>
        <w:rPr>
          <w:spacing w:val="6"/>
        </w:rPr>
        <w:t> </w:t>
      </w:r>
      <w:r>
        <w:rPr/>
        <w:t>containing</w:t>
      </w:r>
      <w:r>
        <w:rPr>
          <w:spacing w:val="2"/>
        </w:rPr>
        <w:t> </w:t>
      </w:r>
      <w:r>
        <w:rPr>
          <w:spacing w:val="-2"/>
        </w:rPr>
        <w:t>cellular</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2932224">
                <wp:simplePos x="0" y="0"/>
                <wp:positionH relativeFrom="page">
                  <wp:posOffset>-1402226</wp:posOffset>
                </wp:positionH>
                <wp:positionV relativeFrom="page">
                  <wp:posOffset>4612234</wp:posOffset>
                </wp:positionV>
                <wp:extent cx="10685780" cy="914400"/>
                <wp:effectExtent l="0" t="0" r="0" b="0"/>
                <wp:wrapNone/>
                <wp:docPr id="67" name="Textbox 67"/>
                <wp:cNvGraphicFramePr>
                  <a:graphicFrameLocks/>
                </wp:cNvGraphicFramePr>
                <a:graphic>
                  <a:graphicData uri="http://schemas.microsoft.com/office/word/2010/wordprocessingShape">
                    <wps:wsp>
                      <wps:cNvPr id="67" name="Textbox 6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4256;rotation:306" type="#_x0000_t136" fillcolor="#ff5400" stroked="f">
                <o:extrusion v:ext="view" autorotationcenter="t"/>
                <v:textpath style="font-family:&quot;Arial MT&quot;;font-size:72pt;v-text-kern:t;mso-text-shadow:auto" string="UNIVERSITY OF IBADAN"/>
                <w10:wrap type="none"/>
              </v:shape>
            </w:pict>
          </mc:Fallback>
        </mc:AlternateContent>
      </w:r>
      <w:r>
        <w:rPr/>
        <w:t>components, particularly sulphydryl enzymes known to be essential for beta cell function. Glucokinase, an enzyme which has signal-recognition function in coupling the glucose concentration to insulin release is particularly sensitive to inhibition by alloxan. Findings have led to hypothesis that the sulphydryl groups of glucokinase may be primarily the intracellular</w:t>
      </w:r>
      <w:r>
        <w:rPr>
          <w:spacing w:val="-5"/>
        </w:rPr>
        <w:t> </w:t>
      </w:r>
      <w:r>
        <w:rPr/>
        <w:t>target</w:t>
      </w:r>
      <w:r>
        <w:rPr>
          <w:spacing w:val="-1"/>
        </w:rPr>
        <w:t> </w:t>
      </w:r>
      <w:r>
        <w:rPr/>
        <w:t>for</w:t>
      </w:r>
      <w:r>
        <w:rPr>
          <w:spacing w:val="-3"/>
        </w:rPr>
        <w:t> </w:t>
      </w:r>
      <w:r>
        <w:rPr/>
        <w:t>alloxan</w:t>
      </w:r>
      <w:r>
        <w:rPr>
          <w:spacing w:val="-3"/>
        </w:rPr>
        <w:t> </w:t>
      </w:r>
      <w:r>
        <w:rPr/>
        <w:t>and</w:t>
      </w:r>
      <w:r>
        <w:rPr>
          <w:spacing w:val="-3"/>
        </w:rPr>
        <w:t> </w:t>
      </w:r>
      <w:r>
        <w:rPr/>
        <w:t>responsible</w:t>
      </w:r>
      <w:r>
        <w:rPr>
          <w:spacing w:val="-3"/>
        </w:rPr>
        <w:t> </w:t>
      </w:r>
      <w:r>
        <w:rPr/>
        <w:t>ultimately</w:t>
      </w:r>
      <w:r>
        <w:rPr>
          <w:spacing w:val="-6"/>
        </w:rPr>
        <w:t> </w:t>
      </w:r>
      <w:r>
        <w:rPr/>
        <w:t>for</w:t>
      </w:r>
      <w:r>
        <w:rPr>
          <w:spacing w:val="-5"/>
        </w:rPr>
        <w:t> </w:t>
      </w:r>
      <w:r>
        <w:rPr/>
        <w:t>its</w:t>
      </w:r>
      <w:r>
        <w:rPr>
          <w:spacing w:val="-3"/>
        </w:rPr>
        <w:t> </w:t>
      </w:r>
      <w:r>
        <w:rPr/>
        <w:t>cytotoxicity.</w:t>
      </w:r>
      <w:r>
        <w:rPr>
          <w:spacing w:val="-1"/>
        </w:rPr>
        <w:t> </w:t>
      </w:r>
      <w:r>
        <w:rPr/>
        <w:t>Enzymes</w:t>
      </w:r>
      <w:r>
        <w:rPr>
          <w:spacing w:val="-3"/>
        </w:rPr>
        <w:t> </w:t>
      </w:r>
      <w:r>
        <w:rPr/>
        <w:t>like hexokinase, protein kinase are also inhibited by alloxan at higher concentrations (Reed, 1999). Other proposed mechanism for alloxan cytotoxicity include direct induction of mitochondrial abnormalities, extreme sensitivity of beta cells to the cytotoxic effects of free radicals (generated during the reduction/ re-oxidation cycle of alloxan) &amp; damage to DNA within the beta cell nucleus. Alloxan induces fragmentation of DNA both </w:t>
      </w:r>
      <w:r>
        <w:rPr>
          <w:i/>
        </w:rPr>
        <w:t>in-vivo </w:t>
      </w:r>
      <w:r>
        <w:rPr/>
        <w:t>&amp; </w:t>
      </w:r>
      <w:r>
        <w:rPr>
          <w:i/>
        </w:rPr>
        <w:t>in-vitro</w:t>
      </w:r>
      <w:r>
        <w:rPr/>
        <w:t>,</w:t>
      </w:r>
      <w:r>
        <w:rPr>
          <w:spacing w:val="-2"/>
        </w:rPr>
        <w:t> </w:t>
      </w:r>
      <w:r>
        <w:rPr/>
        <w:t>which</w:t>
      </w:r>
      <w:r>
        <w:rPr>
          <w:spacing w:val="-2"/>
        </w:rPr>
        <w:t> </w:t>
      </w:r>
      <w:r>
        <w:rPr/>
        <w:t>stimulates</w:t>
      </w:r>
      <w:r>
        <w:rPr>
          <w:spacing w:val="-2"/>
        </w:rPr>
        <w:t> </w:t>
      </w:r>
      <w:r>
        <w:rPr/>
        <w:t>DNA</w:t>
      </w:r>
      <w:r>
        <w:rPr>
          <w:spacing w:val="-1"/>
        </w:rPr>
        <w:t> </w:t>
      </w:r>
      <w:r>
        <w:rPr/>
        <w:t>repair</w:t>
      </w:r>
      <w:r>
        <w:rPr>
          <w:spacing w:val="-2"/>
        </w:rPr>
        <w:t> </w:t>
      </w:r>
      <w:r>
        <w:rPr/>
        <w:t>by</w:t>
      </w:r>
      <w:r>
        <w:rPr>
          <w:spacing w:val="-5"/>
        </w:rPr>
        <w:t> </w:t>
      </w:r>
      <w:r>
        <w:rPr/>
        <w:t>nuclear</w:t>
      </w:r>
      <w:r>
        <w:rPr>
          <w:spacing w:val="-1"/>
        </w:rPr>
        <w:t> </w:t>
      </w:r>
      <w:r>
        <w:rPr/>
        <w:t>poly</w:t>
      </w:r>
      <w:r>
        <w:rPr>
          <w:spacing w:val="-5"/>
        </w:rPr>
        <w:t> </w:t>
      </w:r>
      <w:r>
        <w:rPr/>
        <w:t>(ADP-ribose)</w:t>
      </w:r>
      <w:r>
        <w:rPr>
          <w:spacing w:val="-2"/>
        </w:rPr>
        <w:t> </w:t>
      </w:r>
      <w:r>
        <w:rPr/>
        <w:t>synthetase,</w:t>
      </w:r>
      <w:r>
        <w:rPr>
          <w:spacing w:val="-2"/>
        </w:rPr>
        <w:t> </w:t>
      </w:r>
      <w:r>
        <w:rPr/>
        <w:t>leading</w:t>
      </w:r>
      <w:r>
        <w:rPr>
          <w:spacing w:val="-5"/>
        </w:rPr>
        <w:t> </w:t>
      </w:r>
      <w:r>
        <w:rPr/>
        <w:t>to delpletion</w:t>
      </w:r>
      <w:r>
        <w:rPr>
          <w:spacing w:val="-3"/>
        </w:rPr>
        <w:t> </w:t>
      </w:r>
      <w:r>
        <w:rPr/>
        <w:t>of</w:t>
      </w:r>
      <w:r>
        <w:rPr>
          <w:spacing w:val="-4"/>
        </w:rPr>
        <w:t> </w:t>
      </w:r>
      <w:r>
        <w:rPr/>
        <w:t>cellular</w:t>
      </w:r>
      <w:r>
        <w:rPr>
          <w:spacing w:val="-3"/>
        </w:rPr>
        <w:t> </w:t>
      </w:r>
      <w:r>
        <w:rPr/>
        <w:t>NAD</w:t>
      </w:r>
      <w:r>
        <w:rPr>
          <w:spacing w:val="-3"/>
        </w:rPr>
        <w:t> </w:t>
      </w:r>
      <w:r>
        <w:rPr/>
        <w:t>and</w:t>
      </w:r>
      <w:r>
        <w:rPr>
          <w:spacing w:val="-3"/>
        </w:rPr>
        <w:t> </w:t>
      </w:r>
      <w:r>
        <w:rPr/>
        <w:t>impaired</w:t>
      </w:r>
      <w:r>
        <w:rPr>
          <w:spacing w:val="-1"/>
        </w:rPr>
        <w:t> </w:t>
      </w:r>
      <w:r>
        <w:rPr/>
        <w:t>beta</w:t>
      </w:r>
      <w:r>
        <w:rPr>
          <w:spacing w:val="-2"/>
        </w:rPr>
        <w:t> </w:t>
      </w:r>
      <w:r>
        <w:rPr/>
        <w:t>cell</w:t>
      </w:r>
      <w:r>
        <w:rPr>
          <w:spacing w:val="-1"/>
        </w:rPr>
        <w:t> </w:t>
      </w:r>
      <w:r>
        <w:rPr/>
        <w:t>function.</w:t>
      </w:r>
      <w:r>
        <w:rPr>
          <w:spacing w:val="40"/>
        </w:rPr>
        <w:t> </w:t>
      </w:r>
      <w:r>
        <w:rPr/>
        <w:t>Alloxan</w:t>
      </w:r>
      <w:r>
        <w:rPr>
          <w:spacing w:val="-3"/>
        </w:rPr>
        <w:t> </w:t>
      </w:r>
      <w:r>
        <w:rPr/>
        <w:t>may</w:t>
      </w:r>
      <w:r>
        <w:rPr>
          <w:spacing w:val="-6"/>
        </w:rPr>
        <w:t> </w:t>
      </w:r>
      <w:r>
        <w:rPr/>
        <w:t>exert</w:t>
      </w:r>
      <w:r>
        <w:rPr>
          <w:spacing w:val="-3"/>
        </w:rPr>
        <w:t> </w:t>
      </w:r>
      <w:r>
        <w:rPr/>
        <w:t>its</w:t>
      </w:r>
      <w:r>
        <w:rPr>
          <w:spacing w:val="-3"/>
        </w:rPr>
        <w:t> </w:t>
      </w:r>
      <w:r>
        <w:rPr/>
        <w:t>effect</w:t>
      </w:r>
      <w:r>
        <w:rPr>
          <w:spacing w:val="-1"/>
        </w:rPr>
        <w:t> </w:t>
      </w:r>
      <w:r>
        <w:rPr/>
        <w:t>at several</w:t>
      </w:r>
      <w:r>
        <w:rPr>
          <w:spacing w:val="-2"/>
        </w:rPr>
        <w:t> </w:t>
      </w:r>
      <w:r>
        <w:rPr/>
        <w:t>sites</w:t>
      </w:r>
      <w:r>
        <w:rPr>
          <w:spacing w:val="-2"/>
        </w:rPr>
        <w:t> </w:t>
      </w:r>
      <w:r>
        <w:rPr/>
        <w:t>including</w:t>
      </w:r>
      <w:r>
        <w:rPr>
          <w:spacing w:val="-3"/>
        </w:rPr>
        <w:t> </w:t>
      </w:r>
      <w:r>
        <w:rPr/>
        <w:t>the</w:t>
      </w:r>
      <w:r>
        <w:rPr>
          <w:spacing w:val="-2"/>
        </w:rPr>
        <w:t> </w:t>
      </w:r>
      <w:r>
        <w:rPr/>
        <w:t>plasma</w:t>
      </w:r>
      <w:r>
        <w:rPr>
          <w:spacing w:val="-2"/>
        </w:rPr>
        <w:t> </w:t>
      </w:r>
      <w:r>
        <w:rPr/>
        <w:t>membrane,</w:t>
      </w:r>
      <w:r>
        <w:rPr>
          <w:spacing w:val="-2"/>
        </w:rPr>
        <w:t> </w:t>
      </w:r>
      <w:r>
        <w:rPr/>
        <w:t>mitochondria</w:t>
      </w:r>
      <w:r>
        <w:rPr>
          <w:spacing w:val="-2"/>
        </w:rPr>
        <w:t> </w:t>
      </w:r>
      <w:r>
        <w:rPr/>
        <w:t>and</w:t>
      </w:r>
      <w:r>
        <w:rPr>
          <w:spacing w:val="-2"/>
        </w:rPr>
        <w:t> </w:t>
      </w:r>
      <w:r>
        <w:rPr/>
        <w:t>nucleus</w:t>
      </w:r>
      <w:r>
        <w:rPr>
          <w:spacing w:val="-2"/>
        </w:rPr>
        <w:t> </w:t>
      </w:r>
      <w:r>
        <w:rPr/>
        <w:t>of</w:t>
      </w:r>
      <w:r>
        <w:rPr>
          <w:spacing w:val="-1"/>
        </w:rPr>
        <w:t> </w:t>
      </w:r>
      <w:r>
        <w:rPr/>
        <w:t>the</w:t>
      </w:r>
      <w:r>
        <w:rPr>
          <w:spacing w:val="-2"/>
        </w:rPr>
        <w:t> </w:t>
      </w:r>
      <w:r>
        <w:rPr/>
        <w:t>beta</w:t>
      </w:r>
      <w:r>
        <w:rPr>
          <w:spacing w:val="-2"/>
        </w:rPr>
        <w:t> </w:t>
      </w:r>
      <w:r>
        <w:rPr/>
        <w:t>cell. In rats, alloxan at dose of 120 mg/kg produces diabetes. In rabbits, dose of 150 mg/kg</w:t>
      </w:r>
      <w:r>
        <w:rPr>
          <w:spacing w:val="40"/>
        </w:rPr>
        <w:t> </w:t>
      </w:r>
      <w:r>
        <w:rPr/>
        <w:t>infused through marginal ear vein produces diabetes in 70% of the animals (Bell, 1983; Gupta, 2006).</w:t>
      </w:r>
    </w:p>
    <w:p>
      <w:pPr>
        <w:pStyle w:val="BodyText"/>
        <w:spacing w:before="4"/>
      </w:pPr>
    </w:p>
    <w:p>
      <w:pPr>
        <w:pStyle w:val="BodyText"/>
        <w:spacing w:line="360" w:lineRule="auto"/>
        <w:ind w:left="678" w:right="993" w:firstLine="720"/>
        <w:jc w:val="both"/>
      </w:pPr>
      <w:r>
        <w:rPr/>
        <w:t>Albino rats of either sex (150 - 200 g) are injected with a single dose of alloxan monohydrate (120 mg/kg body weight) dissolved in normal saline by i.p. route. Animals are kept for 48 hours during which food and water is allowed </w:t>
      </w:r>
      <w:r>
        <w:rPr>
          <w:i/>
        </w:rPr>
        <w:t>ad libitum</w:t>
      </w:r>
      <w:r>
        <w:rPr/>
        <w:t>. Blood glucose levels show triphasic response with hyperglycemia for one hour followed by</w:t>
      </w:r>
      <w:r>
        <w:rPr>
          <w:spacing w:val="40"/>
        </w:rPr>
        <w:t> </w:t>
      </w:r>
      <w:r>
        <w:rPr/>
        <w:t>hypoglycemia that lasts for six hours &amp; stable hyperglycemia after 48 hours. Animals showing fasting blood glucose level above 140 mg/dl after 48 hour of alloxan administration are considered diabetic (ADA, 1985). For a period of six weeks, drug samples to be screened are administered orally. After six weeks of treatment, blood samples are collected from 8 hour fasting animals through a caudal vein. Serum is separated by centrifuge (3000 rpm) under cooling (2-4 °C) for ten minutes. The serum glucose level is estimated by glucose oxidase-peroxidase method [GOD-POD kit] using </w:t>
      </w:r>
      <w:r>
        <w:rPr>
          <w:spacing w:val="-2"/>
        </w:rPr>
        <w:t>autoanalyser.</w:t>
      </w:r>
    </w:p>
    <w:p>
      <w:pPr>
        <w:spacing w:after="0" w:line="360" w:lineRule="auto"/>
        <w:jc w:val="both"/>
        <w:sectPr>
          <w:pgSz w:w="12240" w:h="15840"/>
          <w:pgMar w:header="0" w:footer="1056" w:top="1340" w:bottom="1240" w:left="1420" w:right="420"/>
        </w:sectPr>
      </w:pPr>
    </w:p>
    <w:p>
      <w:pPr>
        <w:pStyle w:val="Heading2"/>
        <w:numPr>
          <w:ilvl w:val="4"/>
          <w:numId w:val="19"/>
        </w:numPr>
        <w:tabs>
          <w:tab w:pos="1578" w:val="left" w:leader="none"/>
        </w:tabs>
        <w:spacing w:line="240" w:lineRule="auto" w:before="77" w:after="0"/>
        <w:ind w:left="1578" w:right="0" w:hanging="900"/>
        <w:jc w:val="both"/>
      </w:pPr>
      <w:r>
        <w:rPr/>
        <mc:AlternateContent>
          <mc:Choice Requires="wps">
            <w:drawing>
              <wp:anchor distT="0" distB="0" distL="0" distR="0" allowOverlap="1" layoutInCell="1" locked="0" behindDoc="1" simplePos="0" relativeHeight="482932736">
                <wp:simplePos x="0" y="0"/>
                <wp:positionH relativeFrom="page">
                  <wp:posOffset>-1402226</wp:posOffset>
                </wp:positionH>
                <wp:positionV relativeFrom="page">
                  <wp:posOffset>4612234</wp:posOffset>
                </wp:positionV>
                <wp:extent cx="10685780" cy="914400"/>
                <wp:effectExtent l="0" t="0" r="0" b="0"/>
                <wp:wrapNone/>
                <wp:docPr id="68" name="Textbox 68"/>
                <wp:cNvGraphicFramePr>
                  <a:graphicFrameLocks/>
                </wp:cNvGraphicFramePr>
                <a:graphic>
                  <a:graphicData uri="http://schemas.microsoft.com/office/word/2010/wordprocessingShape">
                    <wps:wsp>
                      <wps:cNvPr id="68" name="Textbox 6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3744;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93" w:id="40"/>
      <w:r>
        <w:rPr/>
        <w:t>Mechanism</w:t>
      </w:r>
      <w:r>
        <w:rPr>
          <w:spacing w:val="-4"/>
        </w:rPr>
        <w:t> </w:t>
      </w:r>
      <w:r>
        <w:rPr/>
        <w:t>of</w:t>
      </w:r>
      <w:r>
        <w:rPr>
          <w:spacing w:val="2"/>
        </w:rPr>
        <w:t> </w:t>
      </w:r>
      <w:r>
        <w:rPr/>
        <w:t>alloxan</w:t>
      </w:r>
      <w:r>
        <w:rPr>
          <w:spacing w:val="-1"/>
        </w:rPr>
        <w:t> </w:t>
      </w:r>
      <w:bookmarkEnd w:id="40"/>
      <w:r>
        <w:rPr>
          <w:spacing w:val="-2"/>
        </w:rPr>
        <w:t>action</w:t>
      </w:r>
    </w:p>
    <w:p>
      <w:pPr>
        <w:pStyle w:val="BodyText"/>
        <w:spacing w:line="360" w:lineRule="auto" w:before="133"/>
        <w:ind w:left="678" w:right="993" w:firstLine="720"/>
        <w:jc w:val="both"/>
      </w:pPr>
      <w:r>
        <w:rPr/>
        <w:t>Alloxan (2,4,5,6-tetraoxypyrimidine; 5,6-dioxyuracil) was first described by Brugnatelli in 1818. Wöhler and Liebig used the name ―alloxan‖ and described its synthesis by uric acid oxidation (Lenzen and Panten, 1988). Alloxan exerts its diabetogenic action when it is administered parenterally: intravenously, intraperitoneally or subcutaneously. The dose of alloxan required for inducing diabetes depends on the animal species, route of administration and nutritional status (Szkudelski, 2001). Human islets are considerably</w:t>
      </w:r>
      <w:r>
        <w:rPr>
          <w:spacing w:val="-3"/>
        </w:rPr>
        <w:t> </w:t>
      </w:r>
      <w:r>
        <w:rPr/>
        <w:t>more resistant to alloxan than those of the rat and mouse (Eizirik </w:t>
      </w:r>
      <w:r>
        <w:rPr>
          <w:i/>
        </w:rPr>
        <w:t>et al</w:t>
      </w:r>
      <w:r>
        <w:rPr/>
        <w:t>., 1994). The most frequently used intravenous dose of this drug to induce diabetes in rats is 65 mg/kg b.w. (Gruppuso </w:t>
      </w:r>
      <w:r>
        <w:rPr>
          <w:i/>
        </w:rPr>
        <w:t>et al</w:t>
      </w:r>
      <w:r>
        <w:rPr/>
        <w:t>., 1990, Boylan </w:t>
      </w:r>
      <w:r>
        <w:rPr>
          <w:i/>
        </w:rPr>
        <w:t>et al</w:t>
      </w:r>
      <w:r>
        <w:rPr/>
        <w:t>., 1992). When alloxan is given intraperitonealy or subcutaneously its effective dose must be 2-3 times higher. Fasted animals are more susceptible to alloxan (Katsumata </w:t>
      </w:r>
      <w:r>
        <w:rPr>
          <w:i/>
        </w:rPr>
        <w:t>et al., </w:t>
      </w:r>
      <w:r>
        <w:rPr/>
        <w:t>1992, Szkudelski </w:t>
      </w:r>
      <w:r>
        <w:rPr>
          <w:i/>
        </w:rPr>
        <w:t>et al., </w:t>
      </w:r>
      <w:r>
        <w:rPr/>
        <w:t>1998), whereas increased blood glucose provides partial protection (Bansal </w:t>
      </w:r>
      <w:r>
        <w:rPr>
          <w:i/>
        </w:rPr>
        <w:t>et al</w:t>
      </w:r>
      <w:r>
        <w:rPr/>
        <w:t>., 1980, Szkudelski </w:t>
      </w:r>
      <w:r>
        <w:rPr>
          <w:i/>
        </w:rPr>
        <w:t>et al</w:t>
      </w:r>
      <w:r>
        <w:rPr/>
        <w:t>., 1998).</w:t>
      </w:r>
    </w:p>
    <w:p>
      <w:pPr>
        <w:pStyle w:val="BodyText"/>
        <w:spacing w:line="360" w:lineRule="auto" w:before="2"/>
        <w:ind w:left="678" w:right="991" w:firstLine="720"/>
        <w:jc w:val="both"/>
      </w:pPr>
      <w:r>
        <w:rPr/>
        <w:t>The mechanism of alloxan action has been intensively studied, predominantly </w:t>
      </w:r>
      <w:r>
        <w:rPr>
          <w:i/>
        </w:rPr>
        <w:t>in vitro</w:t>
      </w:r>
      <w:r>
        <w:rPr/>
        <w:t>, and has been well characterized. Two separate experiments by</w:t>
      </w:r>
      <w:r>
        <w:rPr>
          <w:spacing w:val="-4"/>
        </w:rPr>
        <w:t> </w:t>
      </w:r>
      <w:r>
        <w:rPr/>
        <w:t>Weaver </w:t>
      </w:r>
      <w:r>
        <w:rPr>
          <w:i/>
        </w:rPr>
        <w:t>et al</w:t>
      </w:r>
      <w:r>
        <w:rPr/>
        <w:t>., (1978) and Kliber </w:t>
      </w:r>
      <w:r>
        <w:rPr>
          <w:i/>
        </w:rPr>
        <w:t>et al</w:t>
      </w:r>
      <w:r>
        <w:rPr/>
        <w:t>., (1996) using isolated islets and perfused rat pancreas respectively, demonstrated that alloxan caused a sudden rise in insulin secretion in the presence or absence of glucose. Weaver </w:t>
      </w:r>
      <w:r>
        <w:rPr>
          <w:i/>
        </w:rPr>
        <w:t>et al. </w:t>
      </w:r>
      <w:r>
        <w:rPr/>
        <w:t>(1978) discovered that the sudden rise in insulin secretion appeared just after alloxan treatment and was not observed after repetitive exposure of islets to alloxan. Szkudelski </w:t>
      </w:r>
      <w:r>
        <w:rPr>
          <w:i/>
        </w:rPr>
        <w:t>et al</w:t>
      </w:r>
      <w:r>
        <w:rPr/>
        <w:t>., (1998) also observed </w:t>
      </w:r>
      <w:r>
        <w:rPr>
          <w:i/>
        </w:rPr>
        <w:t>in vivo </w:t>
      </w:r>
      <w:r>
        <w:rPr/>
        <w:t>the sudden</w:t>
      </w:r>
      <w:r>
        <w:rPr>
          <w:spacing w:val="40"/>
        </w:rPr>
        <w:t> </w:t>
      </w:r>
      <w:r>
        <w:rPr/>
        <w:t>rise in blood insulin concentration just after alloxan injection to rats. This alloxan-induced insulin released is of short duration. This, however, is followed by complete suppression</w:t>
      </w:r>
      <w:r>
        <w:rPr>
          <w:spacing w:val="40"/>
        </w:rPr>
        <w:t> </w:t>
      </w:r>
      <w:r>
        <w:rPr/>
        <w:t>of the islet even when high concentrations of glucose were used (Kliber </w:t>
      </w:r>
      <w:r>
        <w:rPr>
          <w:i/>
        </w:rPr>
        <w:t>et al</w:t>
      </w:r>
      <w:r>
        <w:rPr/>
        <w:t>., 1996). The diabetogenicity</w:t>
      </w:r>
      <w:r>
        <w:rPr>
          <w:spacing w:val="-2"/>
        </w:rPr>
        <w:t> </w:t>
      </w:r>
      <w:r>
        <w:rPr/>
        <w:t>of alloxan in the pancreas is as a result of a rapid uptake of alloxan by</w:t>
      </w:r>
      <w:r>
        <w:rPr>
          <w:spacing w:val="-2"/>
        </w:rPr>
        <w:t> </w:t>
      </w:r>
      <w:r>
        <w:rPr/>
        <w:t>the B cells (Weaver </w:t>
      </w:r>
      <w:r>
        <w:rPr>
          <w:i/>
        </w:rPr>
        <w:t>et al</w:t>
      </w:r>
      <w:r>
        <w:rPr/>
        <w:t>., 1978, Boquist </w:t>
      </w:r>
      <w:r>
        <w:rPr>
          <w:i/>
        </w:rPr>
        <w:t>et al</w:t>
      </w:r>
      <w:r>
        <w:rPr/>
        <w:t>., 1983). Another factor is the formation of reactive oxygen species (Heikkila </w:t>
      </w:r>
      <w:r>
        <w:rPr>
          <w:i/>
        </w:rPr>
        <w:t>et al</w:t>
      </w:r>
      <w:r>
        <w:rPr/>
        <w:t>., 1976).</w:t>
      </w:r>
      <w:r>
        <w:rPr>
          <w:spacing w:val="40"/>
        </w:rPr>
        <w:t> </w:t>
      </w:r>
      <w:r>
        <w:rPr/>
        <w:t>Even though another uptake of alloxan takes place in the liver, the liver and other tissues are more resistant to reactive oxygen species in comparison to pancreatic B cells and this resistance protects them against alloxan toxicity (Malaisse </w:t>
      </w:r>
      <w:r>
        <w:rPr>
          <w:i/>
        </w:rPr>
        <w:t>et al</w:t>
      </w:r>
      <w:r>
        <w:rPr/>
        <w:t>., 1982, Tiedge </w:t>
      </w:r>
      <w:r>
        <w:rPr>
          <w:i/>
        </w:rPr>
        <w:t>et al</w:t>
      </w:r>
      <w:r>
        <w:rPr/>
        <w:t>., 1997). Different reducing agents account</w:t>
      </w:r>
      <w:r>
        <w:rPr>
          <w:spacing w:val="65"/>
        </w:rPr>
        <w:t> </w:t>
      </w:r>
      <w:r>
        <w:rPr/>
        <w:t>for</w:t>
      </w:r>
      <w:r>
        <w:rPr>
          <w:spacing w:val="63"/>
        </w:rPr>
        <w:t> </w:t>
      </w:r>
      <w:r>
        <w:rPr/>
        <w:t>the</w:t>
      </w:r>
      <w:r>
        <w:rPr>
          <w:spacing w:val="66"/>
        </w:rPr>
        <w:t> </w:t>
      </w:r>
      <w:r>
        <w:rPr/>
        <w:t>reduction</w:t>
      </w:r>
      <w:r>
        <w:rPr>
          <w:spacing w:val="64"/>
        </w:rPr>
        <w:t> </w:t>
      </w:r>
      <w:r>
        <w:rPr/>
        <w:t>of</w:t>
      </w:r>
      <w:r>
        <w:rPr>
          <w:spacing w:val="63"/>
        </w:rPr>
        <w:t> </w:t>
      </w:r>
      <w:r>
        <w:rPr/>
        <w:t>B</w:t>
      </w:r>
      <w:r>
        <w:rPr>
          <w:spacing w:val="62"/>
        </w:rPr>
        <w:t> </w:t>
      </w:r>
      <w:r>
        <w:rPr/>
        <w:t>cells</w:t>
      </w:r>
      <w:r>
        <w:rPr>
          <w:spacing w:val="64"/>
        </w:rPr>
        <w:t> </w:t>
      </w:r>
      <w:r>
        <w:rPr/>
        <w:t>of</w:t>
      </w:r>
      <w:r>
        <w:rPr>
          <w:spacing w:val="63"/>
        </w:rPr>
        <w:t> </w:t>
      </w:r>
      <w:r>
        <w:rPr/>
        <w:t>the</w:t>
      </w:r>
      <w:r>
        <w:rPr>
          <w:spacing w:val="64"/>
        </w:rPr>
        <w:t> </w:t>
      </w:r>
      <w:r>
        <w:rPr/>
        <w:t>pancrease.</w:t>
      </w:r>
      <w:r>
        <w:rPr>
          <w:spacing w:val="64"/>
        </w:rPr>
        <w:t> </w:t>
      </w:r>
      <w:r>
        <w:rPr/>
        <w:t>Those</w:t>
      </w:r>
      <w:r>
        <w:rPr>
          <w:spacing w:val="63"/>
        </w:rPr>
        <w:t> </w:t>
      </w:r>
      <w:r>
        <w:rPr/>
        <w:t>SH-containing</w:t>
      </w:r>
      <w:r>
        <w:rPr>
          <w:spacing w:val="62"/>
        </w:rPr>
        <w:t> </w:t>
      </w:r>
      <w:r>
        <w:rPr>
          <w:spacing w:val="-2"/>
        </w:rPr>
        <w:t>cellular</w:t>
      </w:r>
    </w:p>
    <w:p>
      <w:pPr>
        <w:spacing w:after="0" w:line="360" w:lineRule="auto"/>
        <w:jc w:val="both"/>
        <w:sectPr>
          <w:pgSz w:w="12240" w:h="15840"/>
          <w:pgMar w:header="0" w:footer="1056" w:top="1340" w:bottom="1240" w:left="1420" w:right="420"/>
        </w:sectPr>
      </w:pPr>
    </w:p>
    <w:p>
      <w:pPr>
        <w:pStyle w:val="BodyText"/>
        <w:spacing w:line="360" w:lineRule="auto" w:before="72"/>
        <w:ind w:left="678" w:right="995"/>
        <w:jc w:val="both"/>
      </w:pPr>
      <w:r>
        <w:rPr/>
        <mc:AlternateContent>
          <mc:Choice Requires="wps">
            <w:drawing>
              <wp:anchor distT="0" distB="0" distL="0" distR="0" allowOverlap="1" layoutInCell="1" locked="0" behindDoc="1" simplePos="0" relativeHeight="482933248">
                <wp:simplePos x="0" y="0"/>
                <wp:positionH relativeFrom="page">
                  <wp:posOffset>-1402226</wp:posOffset>
                </wp:positionH>
                <wp:positionV relativeFrom="page">
                  <wp:posOffset>4612234</wp:posOffset>
                </wp:positionV>
                <wp:extent cx="10685780" cy="914400"/>
                <wp:effectExtent l="0" t="0" r="0" b="0"/>
                <wp:wrapNone/>
                <wp:docPr id="69" name="Textbox 69"/>
                <wp:cNvGraphicFramePr>
                  <a:graphicFrameLocks/>
                </wp:cNvGraphicFramePr>
                <a:graphic>
                  <a:graphicData uri="http://schemas.microsoft.com/office/word/2010/wordprocessingShape">
                    <wps:wsp>
                      <wps:cNvPr id="69" name="Textbox 6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83232;rotation:306" type="#_x0000_t136" fillcolor="#ff5400" stroked="f">
                <o:extrusion v:ext="view" autorotationcenter="t"/>
                <v:textpath style="font-family:&quot;Arial MT&quot;;font-size:72pt;v-text-kern:t;mso-text-shadow:auto" string="UNIVERSITY OF IBADAN"/>
                <w10:wrap type="none"/>
              </v:shape>
            </w:pict>
          </mc:Fallback>
        </mc:AlternateContent>
      </w:r>
      <w:r>
        <w:rPr/>
        <w:t>compounds that have high affinity</w:t>
      </w:r>
      <w:r>
        <w:rPr>
          <w:spacing w:val="-1"/>
        </w:rPr>
        <w:t> </w:t>
      </w:r>
      <w:r>
        <w:rPr/>
        <w:t>to alloxan such as reduced glutathione (GSH), cysteine and protein-bound sulfhydryl groups (including SH-containing enzymes) are susceptible</w:t>
      </w:r>
      <w:r>
        <w:rPr>
          <w:spacing w:val="40"/>
        </w:rPr>
        <w:t> </w:t>
      </w:r>
      <w:r>
        <w:rPr/>
        <w:t>to alloxan action (Lenzen and Munday, 1991). Lenzen </w:t>
      </w:r>
      <w:r>
        <w:rPr>
          <w:i/>
        </w:rPr>
        <w:t>et al., </w:t>
      </w:r>
      <w:r>
        <w:rPr/>
        <w:t>(1987) proposed that one of the SH-containing compounds essential for proper glucose-induced insulin secretion is glucokinase, being very vulnerable to alloxan. Alloxan reacts with two -SH groups in the sugar-binding site of glucokinase resulting in the formation of the disulfide bond and inactivation of the enzyme.</w:t>
      </w:r>
    </w:p>
    <w:p>
      <w:pPr>
        <w:pStyle w:val="BodyText"/>
        <w:spacing w:line="360" w:lineRule="auto"/>
        <w:ind w:left="678" w:right="992" w:firstLine="720"/>
        <w:jc w:val="both"/>
      </w:pPr>
      <w:r>
        <w:rPr/>
        <w:t>Glucose can protect glucokinase against the inactivation hindering the access of alloxan to the -SH groups of the enzyme (Lenzen </w:t>
      </w:r>
      <w:r>
        <w:rPr>
          <w:i/>
        </w:rPr>
        <w:t>et al</w:t>
      </w:r>
      <w:r>
        <w:rPr/>
        <w:t>., 1987, 1988, Lenzen and Mirzaie- Petri, 1991). Dialuric acid is formed as a result of alloxan reduction. It is then re-oxidized back to alloxan establishing a redox cycle for the generation of superoxide radicals (Munday, 1988). The reaction between alloxan and dialuric acid is a process in which intermediate alloxan radicals (HAO) and an unidentified "compound 305" (maximum absorption at 305 nm) is formed. The latter appears when alloxan is reduced by GSH (Sakurai and Ogiso, 1991). Superoxide</w:t>
      </w:r>
      <w:r>
        <w:rPr>
          <w:spacing w:val="-1"/>
        </w:rPr>
        <w:t> </w:t>
      </w:r>
      <w:r>
        <w:rPr/>
        <w:t>radicals are</w:t>
      </w:r>
      <w:r>
        <w:rPr>
          <w:spacing w:val="-2"/>
        </w:rPr>
        <w:t> </w:t>
      </w:r>
      <w:r>
        <w:rPr/>
        <w:t>able</w:t>
      </w:r>
      <w:r>
        <w:rPr>
          <w:spacing w:val="-1"/>
        </w:rPr>
        <w:t> </w:t>
      </w:r>
      <w:r>
        <w:rPr/>
        <w:t>to liberate</w:t>
      </w:r>
      <w:r>
        <w:rPr>
          <w:spacing w:val="-1"/>
        </w:rPr>
        <w:t> </w:t>
      </w:r>
      <w:r>
        <w:rPr/>
        <w:t>ferric</w:t>
      </w:r>
      <w:r>
        <w:rPr>
          <w:spacing w:val="-1"/>
        </w:rPr>
        <w:t> </w:t>
      </w:r>
      <w:r>
        <w:rPr/>
        <w:t>ions from ferritin and reduce them to ferrous ions. Fe</w:t>
      </w:r>
      <w:r>
        <w:rPr>
          <w:vertAlign w:val="superscript"/>
        </w:rPr>
        <w:t>3+</w:t>
      </w:r>
      <w:r>
        <w:rPr>
          <w:vertAlign w:val="baseline"/>
        </w:rPr>
        <w:t> can also be</w:t>
      </w:r>
      <w:r>
        <w:rPr>
          <w:spacing w:val="-1"/>
          <w:vertAlign w:val="baseline"/>
        </w:rPr>
        <w:t> </w:t>
      </w:r>
      <w:r>
        <w:rPr>
          <w:vertAlign w:val="baseline"/>
        </w:rPr>
        <w:t>reduced by</w:t>
      </w:r>
      <w:r>
        <w:rPr>
          <w:spacing w:val="-3"/>
          <w:vertAlign w:val="baseline"/>
        </w:rPr>
        <w:t> </w:t>
      </w:r>
      <w:r>
        <w:rPr>
          <w:vertAlign w:val="baseline"/>
        </w:rPr>
        <w:t>alloxan radicals (Sakurai and Ogiso,</w:t>
      </w:r>
      <w:r>
        <w:rPr>
          <w:spacing w:val="-3"/>
          <w:vertAlign w:val="baseline"/>
        </w:rPr>
        <w:t> </w:t>
      </w:r>
      <w:r>
        <w:rPr>
          <w:vertAlign w:val="baseline"/>
        </w:rPr>
        <w:t>1995).</w:t>
      </w:r>
      <w:r>
        <w:rPr>
          <w:spacing w:val="-3"/>
          <w:vertAlign w:val="baseline"/>
        </w:rPr>
        <w:t> </w:t>
      </w:r>
      <w:r>
        <w:rPr>
          <w:vertAlign w:val="baseline"/>
        </w:rPr>
        <w:t>Moreover,</w:t>
      </w:r>
      <w:r>
        <w:rPr>
          <w:spacing w:val="-4"/>
          <w:vertAlign w:val="baseline"/>
        </w:rPr>
        <w:t> </w:t>
      </w:r>
      <w:r>
        <w:rPr>
          <w:vertAlign w:val="baseline"/>
        </w:rPr>
        <w:t>superoxide</w:t>
      </w:r>
      <w:r>
        <w:rPr>
          <w:spacing w:val="-4"/>
          <w:vertAlign w:val="baseline"/>
        </w:rPr>
        <w:t> </w:t>
      </w:r>
      <w:r>
        <w:rPr>
          <w:vertAlign w:val="baseline"/>
        </w:rPr>
        <w:t>radicals</w:t>
      </w:r>
      <w:r>
        <w:rPr>
          <w:spacing w:val="-3"/>
          <w:vertAlign w:val="baseline"/>
        </w:rPr>
        <w:t> </w:t>
      </w:r>
      <w:r>
        <w:rPr>
          <w:vertAlign w:val="baseline"/>
        </w:rPr>
        <w:t>undergo</w:t>
      </w:r>
      <w:r>
        <w:rPr>
          <w:spacing w:val="-3"/>
          <w:vertAlign w:val="baseline"/>
        </w:rPr>
        <w:t> </w:t>
      </w:r>
      <w:r>
        <w:rPr>
          <w:vertAlign w:val="baseline"/>
        </w:rPr>
        <w:t>dismutation to</w:t>
      </w:r>
      <w:r>
        <w:rPr>
          <w:spacing w:val="-3"/>
          <w:vertAlign w:val="baseline"/>
        </w:rPr>
        <w:t> </w:t>
      </w:r>
      <w:r>
        <w:rPr>
          <w:vertAlign w:val="baseline"/>
        </w:rPr>
        <w:t>hydrogen</w:t>
      </w:r>
      <w:r>
        <w:rPr>
          <w:spacing w:val="-3"/>
          <w:vertAlign w:val="baseline"/>
        </w:rPr>
        <w:t> </w:t>
      </w:r>
      <w:r>
        <w:rPr>
          <w:vertAlign w:val="baseline"/>
        </w:rPr>
        <w:t>peroxide</w:t>
      </w:r>
      <w:r>
        <w:rPr>
          <w:spacing w:val="-4"/>
          <w:vertAlign w:val="baseline"/>
        </w:rPr>
        <w:t> </w:t>
      </w:r>
      <w:r>
        <w:rPr>
          <w:vertAlign w:val="baseline"/>
        </w:rPr>
        <w:t>as shown in equation (1):</w:t>
      </w:r>
    </w:p>
    <w:p>
      <w:pPr>
        <w:pStyle w:val="BodyText"/>
        <w:spacing w:before="137"/>
      </w:pPr>
    </w:p>
    <w:p>
      <w:pPr>
        <w:pStyle w:val="BodyText"/>
        <w:tabs>
          <w:tab w:pos="8937" w:val="left" w:leader="dot"/>
        </w:tabs>
        <w:ind w:left="678"/>
        <w:jc w:val="both"/>
      </w:pPr>
      <w:r>
        <w:rPr/>
        <w:t>O</w:t>
      </w:r>
      <w:r>
        <w:rPr>
          <w:vertAlign w:val="subscript"/>
        </w:rPr>
        <w:t>2</w:t>
      </w:r>
      <w:r>
        <w:rPr>
          <w:vertAlign w:val="baseline"/>
        </w:rPr>
        <w:t> +</w:t>
      </w:r>
      <w:r>
        <w:rPr>
          <w:spacing w:val="-1"/>
          <w:vertAlign w:val="baseline"/>
        </w:rPr>
        <w:t> </w:t>
      </w:r>
      <w:r>
        <w:rPr>
          <w:vertAlign w:val="baseline"/>
        </w:rPr>
        <w:t>O</w:t>
      </w:r>
      <w:r>
        <w:rPr>
          <w:vertAlign w:val="subscript"/>
        </w:rPr>
        <w:t>2</w:t>
      </w:r>
      <w:r>
        <w:rPr>
          <w:spacing w:val="-18"/>
          <w:vertAlign w:val="baseline"/>
        </w:rPr>
        <w:t> </w:t>
      </w:r>
      <w:r>
        <w:rPr>
          <w:vertAlign w:val="baseline"/>
        </w:rPr>
        <w:t>+2</w:t>
      </w:r>
      <w:r>
        <w:rPr>
          <w:spacing w:val="-1"/>
          <w:vertAlign w:val="baseline"/>
        </w:rPr>
        <w:t> </w:t>
      </w:r>
      <w:r>
        <w:rPr>
          <w:vertAlign w:val="baseline"/>
        </w:rPr>
        <w:t>H</w:t>
      </w:r>
      <w:r>
        <w:rPr>
          <w:vertAlign w:val="superscript"/>
        </w:rPr>
        <w:t>+</w:t>
      </w:r>
      <w:r>
        <w:rPr>
          <w:spacing w:val="-19"/>
          <w:vertAlign w:val="baseline"/>
        </w:rPr>
        <w:t> </w:t>
      </w:r>
      <w:r>
        <w:rPr>
          <w:vertAlign w:val="baseline"/>
        </w:rPr>
        <w:t>→ H</w:t>
      </w:r>
      <w:r>
        <w:rPr>
          <w:vertAlign w:val="subscript"/>
        </w:rPr>
        <w:t>2</w:t>
      </w:r>
      <w:r>
        <w:rPr>
          <w:vertAlign w:val="baseline"/>
        </w:rPr>
        <w:t>O</w:t>
      </w:r>
      <w:r>
        <w:rPr>
          <w:vertAlign w:val="subscript"/>
        </w:rPr>
        <w:t>2</w:t>
      </w:r>
      <w:r>
        <w:rPr>
          <w:spacing w:val="1"/>
          <w:vertAlign w:val="baseline"/>
        </w:rPr>
        <w:t> </w:t>
      </w:r>
      <w:r>
        <w:rPr>
          <w:vertAlign w:val="baseline"/>
        </w:rPr>
        <w:t>+</w:t>
      </w:r>
      <w:r>
        <w:rPr>
          <w:spacing w:val="-1"/>
          <w:vertAlign w:val="baseline"/>
        </w:rPr>
        <w:t> </w:t>
      </w:r>
      <w:r>
        <w:rPr>
          <w:spacing w:val="-5"/>
          <w:vertAlign w:val="baseline"/>
        </w:rPr>
        <w:t>O</w:t>
      </w:r>
      <w:r>
        <w:rPr>
          <w:spacing w:val="-5"/>
          <w:vertAlign w:val="subscript"/>
        </w:rPr>
        <w:t>2</w:t>
      </w:r>
      <w:r>
        <w:rPr>
          <w:position w:val="-2"/>
          <w:sz w:val="16"/>
          <w:vertAlign w:val="baseline"/>
        </w:rPr>
        <w:tab/>
      </w:r>
      <w:r>
        <w:rPr>
          <w:spacing w:val="-5"/>
          <w:vertAlign w:val="baseline"/>
        </w:rPr>
        <w:t>(1)</w:t>
      </w:r>
    </w:p>
    <w:p>
      <w:pPr>
        <w:pStyle w:val="BodyText"/>
      </w:pPr>
    </w:p>
    <w:p>
      <w:pPr>
        <w:pStyle w:val="BodyText"/>
        <w:spacing w:before="14"/>
      </w:pPr>
    </w:p>
    <w:p>
      <w:pPr>
        <w:pStyle w:val="BodyText"/>
        <w:spacing w:line="360" w:lineRule="auto"/>
        <w:ind w:left="678" w:right="1679" w:firstLine="720"/>
      </w:pPr>
      <w:r>
        <w:rPr/>
        <w:t>This</w:t>
      </w:r>
      <w:r>
        <w:rPr>
          <w:spacing w:val="-3"/>
        </w:rPr>
        <w:t> </w:t>
      </w:r>
      <w:r>
        <w:rPr/>
        <w:t>reaction</w:t>
      </w:r>
      <w:r>
        <w:rPr>
          <w:spacing w:val="-3"/>
        </w:rPr>
        <w:t> </w:t>
      </w:r>
      <w:r>
        <w:rPr/>
        <w:t>may</w:t>
      </w:r>
      <w:r>
        <w:rPr>
          <w:spacing w:val="-7"/>
        </w:rPr>
        <w:t> </w:t>
      </w:r>
      <w:r>
        <w:rPr/>
        <w:t>occur</w:t>
      </w:r>
      <w:r>
        <w:rPr>
          <w:spacing w:val="-2"/>
        </w:rPr>
        <w:t> </w:t>
      </w:r>
      <w:r>
        <w:rPr/>
        <w:t>spontaneously</w:t>
      </w:r>
      <w:r>
        <w:rPr>
          <w:spacing w:val="-7"/>
        </w:rPr>
        <w:t> </w:t>
      </w:r>
      <w:r>
        <w:rPr/>
        <w:t>or</w:t>
      </w:r>
      <w:r>
        <w:rPr>
          <w:spacing w:val="-3"/>
        </w:rPr>
        <w:t> </w:t>
      </w:r>
      <w:r>
        <w:rPr/>
        <w:t>may</w:t>
      </w:r>
      <w:r>
        <w:rPr>
          <w:spacing w:val="-7"/>
        </w:rPr>
        <w:t> </w:t>
      </w:r>
      <w:r>
        <w:rPr/>
        <w:t>be</w:t>
      </w:r>
      <w:r>
        <w:rPr>
          <w:spacing w:val="-2"/>
        </w:rPr>
        <w:t> </w:t>
      </w:r>
      <w:r>
        <w:rPr/>
        <w:t>catalyzed</w:t>
      </w:r>
      <w:r>
        <w:rPr>
          <w:spacing w:val="-3"/>
        </w:rPr>
        <w:t> </w:t>
      </w:r>
      <w:r>
        <w:rPr/>
        <w:t>by</w:t>
      </w:r>
      <w:r>
        <w:rPr>
          <w:spacing w:val="-7"/>
        </w:rPr>
        <w:t> </w:t>
      </w:r>
      <w:r>
        <w:rPr/>
        <w:t>superoxide dismutaseas shown in Fig. 1.3.</w:t>
      </w:r>
    </w:p>
    <w:p>
      <w:pPr>
        <w:spacing w:after="0" w:line="360" w:lineRule="auto"/>
        <w:sectPr>
          <w:pgSz w:w="12240" w:h="15840"/>
          <w:pgMar w:header="0" w:footer="1056" w:top="1340" w:bottom="1240" w:left="142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p>
    <w:p>
      <w:pPr>
        <w:spacing w:after="0"/>
        <w:rPr>
          <w:sz w:val="20"/>
        </w:rPr>
        <w:sectPr>
          <w:pgSz w:w="12240" w:h="15840"/>
          <w:pgMar w:header="0" w:footer="1056" w:top="1820" w:bottom="1240" w:left="1420" w:right="420"/>
        </w:sectPr>
      </w:pPr>
    </w:p>
    <w:p>
      <w:pPr>
        <w:pStyle w:val="BodyText"/>
        <w:spacing w:before="90"/>
        <w:jc w:val="right"/>
      </w:pPr>
      <w:r>
        <w:rPr/>
        <mc:AlternateContent>
          <mc:Choice Requires="wps">
            <w:drawing>
              <wp:anchor distT="0" distB="0" distL="0" distR="0" allowOverlap="1" layoutInCell="1" locked="0" behindDoc="1" simplePos="0" relativeHeight="482933760">
                <wp:simplePos x="0" y="0"/>
                <wp:positionH relativeFrom="page">
                  <wp:posOffset>2854960</wp:posOffset>
                </wp:positionH>
                <wp:positionV relativeFrom="paragraph">
                  <wp:posOffset>203346</wp:posOffset>
                </wp:positionV>
                <wp:extent cx="1828800" cy="77406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828800" cy="774065"/>
                          <a:chExt cx="1828800" cy="774065"/>
                        </a:xfrm>
                      </wpg:grpSpPr>
                      <wps:wsp>
                        <wps:cNvPr id="71" name="Graphic 71"/>
                        <wps:cNvSpPr/>
                        <wps:spPr>
                          <a:xfrm>
                            <a:off x="0" y="50842"/>
                            <a:ext cx="1828800" cy="723265"/>
                          </a:xfrm>
                          <a:custGeom>
                            <a:avLst/>
                            <a:gdLst/>
                            <a:ahLst/>
                            <a:cxnLst/>
                            <a:rect l="l" t="t" r="r" b="b"/>
                            <a:pathLst>
                              <a:path w="1828800" h="723265">
                                <a:moveTo>
                                  <a:pt x="1355979" y="10033"/>
                                </a:moveTo>
                                <a:lnTo>
                                  <a:pt x="1283335" y="54356"/>
                                </a:lnTo>
                                <a:lnTo>
                                  <a:pt x="1310436" y="71335"/>
                                </a:lnTo>
                                <a:lnTo>
                                  <a:pt x="1303655" y="82677"/>
                                </a:lnTo>
                                <a:lnTo>
                                  <a:pt x="1291971" y="103251"/>
                                </a:lnTo>
                                <a:lnTo>
                                  <a:pt x="1266952" y="148590"/>
                                </a:lnTo>
                                <a:lnTo>
                                  <a:pt x="1253490" y="172847"/>
                                </a:lnTo>
                                <a:lnTo>
                                  <a:pt x="1225169" y="223901"/>
                                </a:lnTo>
                                <a:lnTo>
                                  <a:pt x="1179449" y="304165"/>
                                </a:lnTo>
                                <a:lnTo>
                                  <a:pt x="1147191" y="358140"/>
                                </a:lnTo>
                                <a:lnTo>
                                  <a:pt x="1114044" y="410845"/>
                                </a:lnTo>
                                <a:lnTo>
                                  <a:pt x="1080262" y="460756"/>
                                </a:lnTo>
                                <a:lnTo>
                                  <a:pt x="1046099" y="506730"/>
                                </a:lnTo>
                                <a:lnTo>
                                  <a:pt x="1012063" y="547370"/>
                                </a:lnTo>
                                <a:lnTo>
                                  <a:pt x="978535" y="581025"/>
                                </a:lnTo>
                                <a:lnTo>
                                  <a:pt x="945769" y="606552"/>
                                </a:lnTo>
                                <a:lnTo>
                                  <a:pt x="907161" y="624967"/>
                                </a:lnTo>
                                <a:lnTo>
                                  <a:pt x="885571" y="628015"/>
                                </a:lnTo>
                                <a:lnTo>
                                  <a:pt x="870966" y="627126"/>
                                </a:lnTo>
                                <a:lnTo>
                                  <a:pt x="826262" y="614299"/>
                                </a:lnTo>
                                <a:lnTo>
                                  <a:pt x="780415" y="587248"/>
                                </a:lnTo>
                                <a:lnTo>
                                  <a:pt x="749427" y="561975"/>
                                </a:lnTo>
                                <a:lnTo>
                                  <a:pt x="718185" y="531241"/>
                                </a:lnTo>
                                <a:lnTo>
                                  <a:pt x="686562" y="495681"/>
                                </a:lnTo>
                                <a:lnTo>
                                  <a:pt x="654812" y="455930"/>
                                </a:lnTo>
                                <a:lnTo>
                                  <a:pt x="622935" y="411988"/>
                                </a:lnTo>
                                <a:lnTo>
                                  <a:pt x="590931" y="364617"/>
                                </a:lnTo>
                                <a:lnTo>
                                  <a:pt x="558927" y="314198"/>
                                </a:lnTo>
                                <a:lnTo>
                                  <a:pt x="526669" y="261366"/>
                                </a:lnTo>
                                <a:lnTo>
                                  <a:pt x="478155" y="178181"/>
                                </a:lnTo>
                                <a:lnTo>
                                  <a:pt x="445757" y="121031"/>
                                </a:lnTo>
                                <a:lnTo>
                                  <a:pt x="380873" y="4191"/>
                                </a:lnTo>
                                <a:lnTo>
                                  <a:pt x="379222" y="1016"/>
                                </a:lnTo>
                                <a:lnTo>
                                  <a:pt x="375285" y="0"/>
                                </a:lnTo>
                                <a:lnTo>
                                  <a:pt x="369189" y="3302"/>
                                </a:lnTo>
                                <a:lnTo>
                                  <a:pt x="368046" y="7239"/>
                                </a:lnTo>
                                <a:lnTo>
                                  <a:pt x="369824" y="10287"/>
                                </a:lnTo>
                                <a:lnTo>
                                  <a:pt x="434708" y="127127"/>
                                </a:lnTo>
                                <a:lnTo>
                                  <a:pt x="467093" y="184404"/>
                                </a:lnTo>
                                <a:lnTo>
                                  <a:pt x="499491" y="240411"/>
                                </a:lnTo>
                                <a:lnTo>
                                  <a:pt x="531876" y="294640"/>
                                </a:lnTo>
                                <a:lnTo>
                                  <a:pt x="564134" y="346583"/>
                                </a:lnTo>
                                <a:lnTo>
                                  <a:pt x="596519" y="395732"/>
                                </a:lnTo>
                                <a:lnTo>
                                  <a:pt x="628650" y="441706"/>
                                </a:lnTo>
                                <a:lnTo>
                                  <a:pt x="660781" y="484124"/>
                                </a:lnTo>
                                <a:lnTo>
                                  <a:pt x="692785" y="522351"/>
                                </a:lnTo>
                                <a:lnTo>
                                  <a:pt x="724789" y="556133"/>
                                </a:lnTo>
                                <a:lnTo>
                                  <a:pt x="756666" y="584962"/>
                                </a:lnTo>
                                <a:lnTo>
                                  <a:pt x="788543" y="608330"/>
                                </a:lnTo>
                                <a:lnTo>
                                  <a:pt x="836549" y="632079"/>
                                </a:lnTo>
                                <a:lnTo>
                                  <a:pt x="884682" y="640715"/>
                                </a:lnTo>
                                <a:lnTo>
                                  <a:pt x="893191" y="640334"/>
                                </a:lnTo>
                                <a:lnTo>
                                  <a:pt x="933754" y="628015"/>
                                </a:lnTo>
                                <a:lnTo>
                                  <a:pt x="935355" y="627253"/>
                                </a:lnTo>
                                <a:lnTo>
                                  <a:pt x="969645" y="605028"/>
                                </a:lnTo>
                                <a:lnTo>
                                  <a:pt x="1004062" y="574294"/>
                                </a:lnTo>
                                <a:lnTo>
                                  <a:pt x="1038733" y="536067"/>
                                </a:lnTo>
                                <a:lnTo>
                                  <a:pt x="1073277" y="492125"/>
                                </a:lnTo>
                                <a:lnTo>
                                  <a:pt x="1107694" y="443484"/>
                                </a:lnTo>
                                <a:lnTo>
                                  <a:pt x="1141476" y="391541"/>
                                </a:lnTo>
                                <a:lnTo>
                                  <a:pt x="1190371" y="310642"/>
                                </a:lnTo>
                                <a:lnTo>
                                  <a:pt x="1221359" y="256667"/>
                                </a:lnTo>
                                <a:lnTo>
                                  <a:pt x="1250696" y="204216"/>
                                </a:lnTo>
                                <a:lnTo>
                                  <a:pt x="1303147" y="109474"/>
                                </a:lnTo>
                                <a:lnTo>
                                  <a:pt x="1314704" y="88900"/>
                                </a:lnTo>
                                <a:lnTo>
                                  <a:pt x="1321193" y="78066"/>
                                </a:lnTo>
                                <a:lnTo>
                                  <a:pt x="1347851" y="94742"/>
                                </a:lnTo>
                                <a:lnTo>
                                  <a:pt x="1351508" y="56515"/>
                                </a:lnTo>
                                <a:lnTo>
                                  <a:pt x="1355979" y="10033"/>
                                </a:lnTo>
                                <a:close/>
                              </a:path>
                              <a:path w="1828800" h="723265">
                                <a:moveTo>
                                  <a:pt x="1828800" y="685038"/>
                                </a:moveTo>
                                <a:lnTo>
                                  <a:pt x="1809750" y="675513"/>
                                </a:lnTo>
                                <a:lnTo>
                                  <a:pt x="1752600" y="646938"/>
                                </a:lnTo>
                                <a:lnTo>
                                  <a:pt x="1752600" y="675513"/>
                                </a:lnTo>
                                <a:lnTo>
                                  <a:pt x="0" y="675513"/>
                                </a:lnTo>
                                <a:lnTo>
                                  <a:pt x="0" y="694563"/>
                                </a:lnTo>
                                <a:lnTo>
                                  <a:pt x="1752600" y="694563"/>
                                </a:lnTo>
                                <a:lnTo>
                                  <a:pt x="1752600" y="723138"/>
                                </a:lnTo>
                                <a:lnTo>
                                  <a:pt x="1809750" y="694563"/>
                                </a:lnTo>
                                <a:lnTo>
                                  <a:pt x="1828800" y="685038"/>
                                </a:lnTo>
                                <a:close/>
                              </a:path>
                            </a:pathLst>
                          </a:custGeom>
                          <a:solidFill>
                            <a:srgbClr val="000000"/>
                          </a:solidFill>
                        </wps:spPr>
                        <wps:bodyPr wrap="square" lIns="0" tIns="0" rIns="0" bIns="0" rtlCol="0">
                          <a:prstTxWarp prst="textNoShape">
                            <a:avLst/>
                          </a:prstTxWarp>
                          <a:noAutofit/>
                        </wps:bodyPr>
                      </wps:wsp>
                      <wps:wsp>
                        <wps:cNvPr id="72" name="Textbox 72"/>
                        <wps:cNvSpPr txBox="1"/>
                        <wps:spPr>
                          <a:xfrm>
                            <a:off x="130682" y="76200"/>
                            <a:ext cx="267335" cy="194310"/>
                          </a:xfrm>
                          <a:prstGeom prst="rect">
                            <a:avLst/>
                          </a:prstGeom>
                        </wps:spPr>
                        <wps:txbx>
                          <w:txbxContent>
                            <w:p>
                              <w:pPr>
                                <w:spacing w:before="10"/>
                                <w:ind w:left="20" w:right="0" w:firstLine="0"/>
                                <w:jc w:val="left"/>
                                <w:rPr>
                                  <w:i/>
                                  <w:sz w:val="24"/>
                                </w:rPr>
                              </w:pPr>
                              <w:r>
                                <w:rPr>
                                  <w:i/>
                                  <w:spacing w:val="-5"/>
                                  <w:sz w:val="24"/>
                                </w:rPr>
                                <w:t>GK</w:t>
                              </w:r>
                            </w:p>
                          </w:txbxContent>
                        </wps:txbx>
                        <wps:bodyPr wrap="square" lIns="0" tIns="0" rIns="0" bIns="0" rtlCol="0">
                          <a:noAutofit/>
                        </wps:bodyPr>
                      </wps:wsp>
                      <wps:wsp>
                        <wps:cNvPr id="73" name="Textbox 73"/>
                        <wps:cNvSpPr txBox="1"/>
                        <wps:spPr>
                          <a:xfrm>
                            <a:off x="1374521" y="0"/>
                            <a:ext cx="267335" cy="194310"/>
                          </a:xfrm>
                          <a:prstGeom prst="rect">
                            <a:avLst/>
                          </a:prstGeom>
                        </wps:spPr>
                        <wps:txbx>
                          <w:txbxContent>
                            <w:p>
                              <w:pPr>
                                <w:spacing w:before="10"/>
                                <w:ind w:left="20" w:right="0" w:firstLine="0"/>
                                <w:jc w:val="left"/>
                                <w:rPr>
                                  <w:i/>
                                  <w:sz w:val="24"/>
                                </w:rPr>
                              </w:pPr>
                              <w:r>
                                <w:rPr>
                                  <w:i/>
                                  <w:spacing w:val="-5"/>
                                  <w:sz w:val="24"/>
                                </w:rPr>
                                <w:t>GK</w:t>
                              </w:r>
                            </w:p>
                          </w:txbxContent>
                        </wps:txbx>
                        <wps:bodyPr wrap="square" lIns="0" tIns="0" rIns="0" bIns="0" rtlCol="0">
                          <a:noAutofit/>
                        </wps:bodyPr>
                      </wps:wsp>
                    </wpg:wgp>
                  </a:graphicData>
                </a:graphic>
              </wp:anchor>
            </w:drawing>
          </mc:Choice>
          <mc:Fallback>
            <w:pict>
              <v:group style="position:absolute;margin-left:224.800003pt;margin-top:16.011524pt;width:144pt;height:60.95pt;mso-position-horizontal-relative:page;mso-position-vertical-relative:paragraph;z-index:-20382720" id="docshapegroup11" coordorigin="4496,320" coordsize="2880,1219">
                <v:shape style="position:absolute;left:4496;top:400;width:2880;height:1139" id="docshape12" coordorigin="4496,400" coordsize="2880,1139" path="m6631,416l6517,486,6560,513,6549,530,6531,563,6491,634,6470,672,6448,712,6425,753,6402,794,6353,879,6303,964,6277,1006,6250,1047,6224,1087,6197,1126,6170,1163,6143,1198,6117,1231,6090,1262,6063,1290,6037,1315,6011,1337,5998,1347,5985,1355,5973,1363,5960,1370,5948,1376,5936,1380,5925,1384,5913,1387,5902,1389,5891,1389,5868,1388,5844,1384,5821,1377,5797,1368,5773,1356,5749,1342,5725,1325,5701,1306,5676,1285,5651,1262,5627,1237,5602,1210,5577,1181,5552,1150,5527,1118,5502,1084,5477,1049,5452,1012,5427,974,5401,935,5376,895,5351,854,5325,812,5300,769,5249,681,5198,591,5096,407,5093,402,5087,400,5077,405,5076,412,5078,416,5181,600,5232,691,5283,779,5308,822,5334,864,5359,905,5384,946,5410,985,5435,1023,5461,1060,5486,1096,5511,1130,5537,1163,5562,1194,5587,1223,5612,1250,5637,1276,5663,1300,5688,1321,5713,1341,5738,1358,5763,1373,5788,1386,5813,1396,5839,1403,5864,1407,5889,1409,5903,1409,5916,1407,5929,1404,5942,1400,5956,1394,5966,1389,5969,1388,5982,1381,5996,1372,6009,1363,6023,1353,6050,1330,6077,1305,6104,1276,6132,1244,6159,1211,6186,1175,6213,1138,6240,1099,6267,1058,6294,1017,6320,974,6371,889,6419,804,6466,722,6548,573,6566,540,6577,523,6619,549,6624,489,6631,416xm7376,1479l7346,1464,7256,1419,7256,1464,4496,1464,4496,1494,7256,1494,7256,1539,7346,1494,7376,1479xe" filled="true" fillcolor="#000000" stroked="false">
                  <v:path arrowok="t"/>
                  <v:fill type="solid"/>
                </v:shape>
                <v:shape style="position:absolute;left:4701;top:440;width:421;height:306" type="#_x0000_t202" id="docshape13" filled="false" stroked="false">
                  <v:textbox inset="0,0,0,0">
                    <w:txbxContent>
                      <w:p>
                        <w:pPr>
                          <w:spacing w:before="10"/>
                          <w:ind w:left="20" w:right="0" w:firstLine="0"/>
                          <w:jc w:val="left"/>
                          <w:rPr>
                            <w:i/>
                            <w:sz w:val="24"/>
                          </w:rPr>
                        </w:pPr>
                        <w:r>
                          <w:rPr>
                            <w:i/>
                            <w:spacing w:val="-5"/>
                            <w:sz w:val="24"/>
                          </w:rPr>
                          <w:t>GK</w:t>
                        </w:r>
                      </w:p>
                    </w:txbxContent>
                  </v:textbox>
                  <w10:wrap type="none"/>
                </v:shape>
                <v:shape style="position:absolute;left:6660;top:320;width:421;height:306" type="#_x0000_t202" id="docshape14" filled="false" stroked="false">
                  <v:textbox inset="0,0,0,0">
                    <w:txbxContent>
                      <w:p>
                        <w:pPr>
                          <w:spacing w:before="10"/>
                          <w:ind w:left="20" w:right="0" w:firstLine="0"/>
                          <w:jc w:val="left"/>
                          <w:rPr>
                            <w:i/>
                            <w:sz w:val="24"/>
                          </w:rPr>
                        </w:pPr>
                        <w:r>
                          <w:rPr>
                            <w:i/>
                            <w:spacing w:val="-5"/>
                            <w:sz w:val="24"/>
                          </w:rPr>
                          <w:t>GK</w:t>
                        </w:r>
                      </w:p>
                    </w:txbxContent>
                  </v:textbox>
                  <w10:wrap type="none"/>
                </v:shape>
                <w10:wrap type="none"/>
              </v:group>
            </w:pict>
          </mc:Fallback>
        </mc:AlternateContent>
      </w:r>
      <w:r>
        <w:rPr/>
        <w:t>-SH</w:t>
      </w:r>
      <w:r>
        <w:rPr>
          <w:spacing w:val="29"/>
        </w:rPr>
        <w:t>  </w:t>
      </w:r>
      <w:r>
        <w:rPr>
          <w:spacing w:val="-5"/>
        </w:rPr>
        <w:t>HS-</w:t>
      </w:r>
    </w:p>
    <w:p>
      <w:pPr>
        <w:pStyle w:val="BodyText"/>
        <w:spacing w:before="114"/>
        <w:ind w:left="866"/>
      </w:pPr>
      <w:r>
        <w:rPr/>
        <w:br w:type="column"/>
      </w:r>
      <w:r>
        <w:rPr>
          <w:spacing w:val="-2"/>
        </w:rPr>
        <w:t>-S-</w:t>
      </w:r>
      <w:r>
        <w:rPr>
          <w:spacing w:val="-10"/>
        </w:rPr>
        <w:t>S</w:t>
      </w:r>
    </w:p>
    <w:p>
      <w:pPr>
        <w:spacing w:after="0"/>
        <w:sectPr>
          <w:type w:val="continuous"/>
          <w:pgSz w:w="12240" w:h="15840"/>
          <w:pgMar w:header="0" w:footer="1056" w:top="1360" w:bottom="1260" w:left="1420" w:right="420"/>
          <w:cols w:num="2" w:equalWidth="0">
            <w:col w:w="3934" w:space="40"/>
            <w:col w:w="6426"/>
          </w:cols>
        </w:sectPr>
      </w:pPr>
    </w:p>
    <w:p>
      <w:pPr>
        <w:pStyle w:val="BodyText"/>
        <w:rPr>
          <w:sz w:val="20"/>
        </w:rPr>
      </w:pPr>
    </w:p>
    <w:p>
      <w:pPr>
        <w:pStyle w:val="BodyText"/>
        <w:rPr>
          <w:sz w:val="20"/>
        </w:rPr>
      </w:pPr>
    </w:p>
    <w:p>
      <w:pPr>
        <w:pStyle w:val="BodyText"/>
        <w:rPr>
          <w:sz w:val="20"/>
        </w:rPr>
      </w:pPr>
    </w:p>
    <w:p>
      <w:pPr>
        <w:pStyle w:val="BodyText"/>
        <w:spacing w:before="111"/>
        <w:rPr>
          <w:sz w:val="20"/>
        </w:rPr>
      </w:pPr>
    </w:p>
    <w:p>
      <w:pPr>
        <w:spacing w:after="0"/>
        <w:rPr>
          <w:sz w:val="20"/>
        </w:rPr>
        <w:sectPr>
          <w:type w:val="continuous"/>
          <w:pgSz w:w="12240" w:h="15840"/>
          <w:pgMar w:header="0" w:footer="1056" w:top="1360" w:bottom="1260" w:left="1420" w:right="420"/>
        </w:sectPr>
      </w:pPr>
    </w:p>
    <w:p>
      <w:pPr>
        <w:pStyle w:val="Heading3"/>
        <w:tabs>
          <w:tab w:pos="4220" w:val="left" w:leader="none"/>
        </w:tabs>
        <w:spacing w:before="93"/>
        <w:ind w:left="1419" w:firstLine="0"/>
        <w:jc w:val="left"/>
      </w:pPr>
      <w:r>
        <w:rPr/>
        <mc:AlternateContent>
          <mc:Choice Requires="wps">
            <w:drawing>
              <wp:anchor distT="0" distB="0" distL="0" distR="0" allowOverlap="1" layoutInCell="1" locked="0" behindDoc="1" simplePos="0" relativeHeight="482934272">
                <wp:simplePos x="0" y="0"/>
                <wp:positionH relativeFrom="page">
                  <wp:posOffset>2842260</wp:posOffset>
                </wp:positionH>
                <wp:positionV relativeFrom="paragraph">
                  <wp:posOffset>197294</wp:posOffset>
                </wp:positionV>
                <wp:extent cx="2002155" cy="149098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002155" cy="1490980"/>
                          <a:chExt cx="2002155" cy="1490980"/>
                        </a:xfrm>
                      </wpg:grpSpPr>
                      <wps:wsp>
                        <wps:cNvPr id="75" name="Graphic 75"/>
                        <wps:cNvSpPr/>
                        <wps:spPr>
                          <a:xfrm>
                            <a:off x="12700" y="55562"/>
                            <a:ext cx="1828800" cy="1435100"/>
                          </a:xfrm>
                          <a:custGeom>
                            <a:avLst/>
                            <a:gdLst/>
                            <a:ahLst/>
                            <a:cxnLst/>
                            <a:rect l="l" t="t" r="r" b="b"/>
                            <a:pathLst>
                              <a:path w="1828800" h="1435100">
                                <a:moveTo>
                                  <a:pt x="304800" y="1358900"/>
                                </a:moveTo>
                                <a:lnTo>
                                  <a:pt x="273050" y="1358900"/>
                                </a:lnTo>
                                <a:lnTo>
                                  <a:pt x="273050" y="860044"/>
                                </a:lnTo>
                                <a:lnTo>
                                  <a:pt x="270256" y="857250"/>
                                </a:lnTo>
                                <a:lnTo>
                                  <a:pt x="263144" y="857250"/>
                                </a:lnTo>
                                <a:lnTo>
                                  <a:pt x="260350" y="860044"/>
                                </a:lnTo>
                                <a:lnTo>
                                  <a:pt x="260350" y="1358900"/>
                                </a:lnTo>
                                <a:lnTo>
                                  <a:pt x="228600" y="1358900"/>
                                </a:lnTo>
                                <a:lnTo>
                                  <a:pt x="266700" y="1435100"/>
                                </a:lnTo>
                                <a:lnTo>
                                  <a:pt x="295275" y="1377950"/>
                                </a:lnTo>
                                <a:lnTo>
                                  <a:pt x="304800" y="1358900"/>
                                </a:lnTo>
                                <a:close/>
                              </a:path>
                              <a:path w="1828800" h="1435100">
                                <a:moveTo>
                                  <a:pt x="1327785" y="765175"/>
                                </a:moveTo>
                                <a:lnTo>
                                  <a:pt x="1326261" y="762000"/>
                                </a:lnTo>
                                <a:lnTo>
                                  <a:pt x="1297559" y="701294"/>
                                </a:lnTo>
                                <a:lnTo>
                                  <a:pt x="1268857" y="641096"/>
                                </a:lnTo>
                                <a:lnTo>
                                  <a:pt x="1240282" y="581914"/>
                                </a:lnTo>
                                <a:lnTo>
                                  <a:pt x="1211453" y="523875"/>
                                </a:lnTo>
                                <a:lnTo>
                                  <a:pt x="1182624" y="467741"/>
                                </a:lnTo>
                                <a:lnTo>
                                  <a:pt x="1153668" y="413905"/>
                                </a:lnTo>
                                <a:lnTo>
                                  <a:pt x="1124712" y="362839"/>
                                </a:lnTo>
                                <a:lnTo>
                                  <a:pt x="1095286" y="314706"/>
                                </a:lnTo>
                                <a:lnTo>
                                  <a:pt x="1066165" y="270510"/>
                                </a:lnTo>
                                <a:lnTo>
                                  <a:pt x="1036574" y="230251"/>
                                </a:lnTo>
                                <a:lnTo>
                                  <a:pt x="1006856" y="194437"/>
                                </a:lnTo>
                                <a:lnTo>
                                  <a:pt x="976757" y="163703"/>
                                </a:lnTo>
                                <a:lnTo>
                                  <a:pt x="946531" y="138303"/>
                                </a:lnTo>
                                <a:lnTo>
                                  <a:pt x="902042" y="112395"/>
                                </a:lnTo>
                                <a:lnTo>
                                  <a:pt x="900176" y="111506"/>
                                </a:lnTo>
                                <a:lnTo>
                                  <a:pt x="884428" y="105791"/>
                                </a:lnTo>
                                <a:lnTo>
                                  <a:pt x="868553" y="101981"/>
                                </a:lnTo>
                                <a:lnTo>
                                  <a:pt x="852551" y="99949"/>
                                </a:lnTo>
                                <a:lnTo>
                                  <a:pt x="844169" y="99822"/>
                                </a:lnTo>
                                <a:lnTo>
                                  <a:pt x="835787" y="100330"/>
                                </a:lnTo>
                                <a:lnTo>
                                  <a:pt x="792353" y="114173"/>
                                </a:lnTo>
                                <a:lnTo>
                                  <a:pt x="747649" y="143256"/>
                                </a:lnTo>
                                <a:lnTo>
                                  <a:pt x="710946" y="175641"/>
                                </a:lnTo>
                                <a:lnTo>
                                  <a:pt x="673735" y="214630"/>
                                </a:lnTo>
                                <a:lnTo>
                                  <a:pt x="636143" y="258826"/>
                                </a:lnTo>
                                <a:lnTo>
                                  <a:pt x="598932" y="306959"/>
                                </a:lnTo>
                                <a:lnTo>
                                  <a:pt x="562229" y="357632"/>
                                </a:lnTo>
                                <a:lnTo>
                                  <a:pt x="526415" y="409575"/>
                                </a:lnTo>
                                <a:lnTo>
                                  <a:pt x="491998" y="461518"/>
                                </a:lnTo>
                                <a:lnTo>
                                  <a:pt x="400812" y="602996"/>
                                </a:lnTo>
                                <a:lnTo>
                                  <a:pt x="387858" y="622681"/>
                                </a:lnTo>
                                <a:lnTo>
                                  <a:pt x="380619" y="633056"/>
                                </a:lnTo>
                                <a:lnTo>
                                  <a:pt x="355092" y="614553"/>
                                </a:lnTo>
                                <a:lnTo>
                                  <a:pt x="341249" y="698627"/>
                                </a:lnTo>
                                <a:lnTo>
                                  <a:pt x="416814" y="659257"/>
                                </a:lnTo>
                                <a:lnTo>
                                  <a:pt x="410146" y="654431"/>
                                </a:lnTo>
                                <a:lnTo>
                                  <a:pt x="390918" y="640511"/>
                                </a:lnTo>
                                <a:lnTo>
                                  <a:pt x="398526" y="629666"/>
                                </a:lnTo>
                                <a:lnTo>
                                  <a:pt x="411480" y="609854"/>
                                </a:lnTo>
                                <a:lnTo>
                                  <a:pt x="425056" y="588772"/>
                                </a:lnTo>
                                <a:lnTo>
                                  <a:pt x="439407" y="566293"/>
                                </a:lnTo>
                                <a:lnTo>
                                  <a:pt x="454393" y="543052"/>
                                </a:lnTo>
                                <a:lnTo>
                                  <a:pt x="502539" y="468503"/>
                                </a:lnTo>
                                <a:lnTo>
                                  <a:pt x="536829" y="416814"/>
                                </a:lnTo>
                                <a:lnTo>
                                  <a:pt x="572516" y="365125"/>
                                </a:lnTo>
                                <a:lnTo>
                                  <a:pt x="608965" y="314706"/>
                                </a:lnTo>
                                <a:lnTo>
                                  <a:pt x="646049" y="266954"/>
                                </a:lnTo>
                                <a:lnTo>
                                  <a:pt x="683006" y="223139"/>
                                </a:lnTo>
                                <a:lnTo>
                                  <a:pt x="719455" y="185039"/>
                                </a:lnTo>
                                <a:lnTo>
                                  <a:pt x="755142" y="153543"/>
                                </a:lnTo>
                                <a:lnTo>
                                  <a:pt x="789559" y="130048"/>
                                </a:lnTo>
                                <a:lnTo>
                                  <a:pt x="829310" y="114300"/>
                                </a:lnTo>
                                <a:lnTo>
                                  <a:pt x="844042" y="112395"/>
                                </a:lnTo>
                                <a:lnTo>
                                  <a:pt x="851027" y="112522"/>
                                </a:lnTo>
                                <a:lnTo>
                                  <a:pt x="894715" y="122936"/>
                                </a:lnTo>
                                <a:lnTo>
                                  <a:pt x="938657" y="148209"/>
                                </a:lnTo>
                                <a:lnTo>
                                  <a:pt x="967994" y="172720"/>
                                </a:lnTo>
                                <a:lnTo>
                                  <a:pt x="997204" y="202692"/>
                                </a:lnTo>
                                <a:lnTo>
                                  <a:pt x="1026414" y="237871"/>
                                </a:lnTo>
                                <a:lnTo>
                                  <a:pt x="1055624" y="277622"/>
                                </a:lnTo>
                                <a:lnTo>
                                  <a:pt x="1084580" y="321437"/>
                                </a:lnTo>
                                <a:lnTo>
                                  <a:pt x="1113663" y="369062"/>
                                </a:lnTo>
                                <a:lnTo>
                                  <a:pt x="1142492" y="419989"/>
                                </a:lnTo>
                                <a:lnTo>
                                  <a:pt x="1171321" y="473710"/>
                                </a:lnTo>
                                <a:lnTo>
                                  <a:pt x="1200023" y="529590"/>
                                </a:lnTo>
                                <a:lnTo>
                                  <a:pt x="1228725" y="587375"/>
                                </a:lnTo>
                                <a:lnTo>
                                  <a:pt x="1257427" y="646684"/>
                                </a:lnTo>
                                <a:lnTo>
                                  <a:pt x="1286129" y="706755"/>
                                </a:lnTo>
                                <a:lnTo>
                                  <a:pt x="1314831" y="767334"/>
                                </a:lnTo>
                                <a:lnTo>
                                  <a:pt x="1316228" y="770509"/>
                                </a:lnTo>
                                <a:lnTo>
                                  <a:pt x="1320038" y="771906"/>
                                </a:lnTo>
                                <a:lnTo>
                                  <a:pt x="1326388" y="768858"/>
                                </a:lnTo>
                                <a:lnTo>
                                  <a:pt x="1327785" y="765175"/>
                                </a:lnTo>
                                <a:close/>
                              </a:path>
                              <a:path w="1828800" h="1435100">
                                <a:moveTo>
                                  <a:pt x="1828800" y="28575"/>
                                </a:moveTo>
                                <a:lnTo>
                                  <a:pt x="76200" y="28575"/>
                                </a:lnTo>
                                <a:lnTo>
                                  <a:pt x="76200" y="0"/>
                                </a:lnTo>
                                <a:lnTo>
                                  <a:pt x="0" y="38100"/>
                                </a:lnTo>
                                <a:lnTo>
                                  <a:pt x="76200" y="76200"/>
                                </a:lnTo>
                                <a:lnTo>
                                  <a:pt x="76200" y="47625"/>
                                </a:lnTo>
                                <a:lnTo>
                                  <a:pt x="1828800" y="47625"/>
                                </a:lnTo>
                                <a:lnTo>
                                  <a:pt x="1828800" y="28575"/>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50800" y="4762"/>
                            <a:ext cx="571500" cy="698500"/>
                          </a:xfrm>
                          <a:custGeom>
                            <a:avLst/>
                            <a:gdLst/>
                            <a:ahLst/>
                            <a:cxnLst/>
                            <a:rect l="l" t="t" r="r" b="b"/>
                            <a:pathLst>
                              <a:path w="571500" h="698500">
                                <a:moveTo>
                                  <a:pt x="571500" y="0"/>
                                </a:moveTo>
                                <a:lnTo>
                                  <a:pt x="0" y="698500"/>
                                </a:lnTo>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0" y="684212"/>
                            <a:ext cx="76200" cy="806450"/>
                          </a:xfrm>
                          <a:custGeom>
                            <a:avLst/>
                            <a:gdLst/>
                            <a:ahLst/>
                            <a:cxnLst/>
                            <a:rect l="l" t="t" r="r" b="b"/>
                            <a:pathLst>
                              <a:path w="76200" h="806450">
                                <a:moveTo>
                                  <a:pt x="31750" y="730250"/>
                                </a:moveTo>
                                <a:lnTo>
                                  <a:pt x="0" y="730250"/>
                                </a:lnTo>
                                <a:lnTo>
                                  <a:pt x="38100" y="806450"/>
                                </a:lnTo>
                                <a:lnTo>
                                  <a:pt x="66675" y="749300"/>
                                </a:lnTo>
                                <a:lnTo>
                                  <a:pt x="34543" y="749300"/>
                                </a:lnTo>
                                <a:lnTo>
                                  <a:pt x="31750" y="746505"/>
                                </a:lnTo>
                                <a:lnTo>
                                  <a:pt x="31750" y="730250"/>
                                </a:lnTo>
                                <a:close/>
                              </a:path>
                              <a:path w="76200" h="806450">
                                <a:moveTo>
                                  <a:pt x="41656" y="0"/>
                                </a:moveTo>
                                <a:lnTo>
                                  <a:pt x="34543" y="0"/>
                                </a:lnTo>
                                <a:lnTo>
                                  <a:pt x="31750" y="2793"/>
                                </a:lnTo>
                                <a:lnTo>
                                  <a:pt x="31750" y="746505"/>
                                </a:lnTo>
                                <a:lnTo>
                                  <a:pt x="34543" y="749300"/>
                                </a:lnTo>
                                <a:lnTo>
                                  <a:pt x="41656" y="749300"/>
                                </a:lnTo>
                                <a:lnTo>
                                  <a:pt x="44450" y="746505"/>
                                </a:lnTo>
                                <a:lnTo>
                                  <a:pt x="44450" y="2793"/>
                                </a:lnTo>
                                <a:lnTo>
                                  <a:pt x="41656" y="0"/>
                                </a:lnTo>
                                <a:close/>
                              </a:path>
                              <a:path w="76200" h="806450">
                                <a:moveTo>
                                  <a:pt x="76200" y="730250"/>
                                </a:moveTo>
                                <a:lnTo>
                                  <a:pt x="44450" y="730250"/>
                                </a:lnTo>
                                <a:lnTo>
                                  <a:pt x="44450" y="746505"/>
                                </a:lnTo>
                                <a:lnTo>
                                  <a:pt x="41656" y="749300"/>
                                </a:lnTo>
                                <a:lnTo>
                                  <a:pt x="66675" y="749300"/>
                                </a:lnTo>
                                <a:lnTo>
                                  <a:pt x="76200" y="730250"/>
                                </a:lnTo>
                                <a:close/>
                              </a:path>
                            </a:pathLst>
                          </a:custGeom>
                          <a:solidFill>
                            <a:srgbClr val="000000"/>
                          </a:solidFill>
                        </wps:spPr>
                        <wps:bodyPr wrap="square" lIns="0" tIns="0" rIns="0" bIns="0" rtlCol="0">
                          <a:prstTxWarp prst="textNoShape">
                            <a:avLst/>
                          </a:prstTxWarp>
                          <a:noAutofit/>
                        </wps:bodyPr>
                      </wps:wsp>
                      <pic:pic>
                        <pic:nvPicPr>
                          <pic:cNvPr id="78" name="Image 78"/>
                          <pic:cNvPicPr/>
                        </pic:nvPicPr>
                        <pic:blipFill>
                          <a:blip r:embed="rId24" cstate="print"/>
                          <a:stretch>
                            <a:fillRect/>
                          </a:stretch>
                        </pic:blipFill>
                        <pic:spPr>
                          <a:xfrm>
                            <a:off x="273050" y="1147762"/>
                            <a:ext cx="234950" cy="76200"/>
                          </a:xfrm>
                          <a:prstGeom prst="rect">
                            <a:avLst/>
                          </a:prstGeom>
                        </pic:spPr>
                      </pic:pic>
                      <wps:wsp>
                        <wps:cNvPr id="79" name="Textbox 79"/>
                        <wps:cNvSpPr txBox="1"/>
                        <wps:spPr>
                          <a:xfrm>
                            <a:off x="218566" y="732302"/>
                            <a:ext cx="173990" cy="177800"/>
                          </a:xfrm>
                          <a:prstGeom prst="rect">
                            <a:avLst/>
                          </a:prstGeom>
                        </wps:spPr>
                        <wps:txbx>
                          <w:txbxContent>
                            <w:p>
                              <w:pPr>
                                <w:spacing w:line="266" w:lineRule="exact" w:before="0"/>
                                <w:ind w:left="0" w:right="0" w:firstLine="0"/>
                                <w:jc w:val="left"/>
                                <w:rPr>
                                  <w:sz w:val="24"/>
                                </w:rPr>
                              </w:pPr>
                              <w:r>
                                <w:rPr>
                                  <w:spacing w:val="-5"/>
                                  <w:sz w:val="24"/>
                                </w:rPr>
                                <w:t>O</w:t>
                              </w:r>
                              <w:r>
                                <w:rPr>
                                  <w:spacing w:val="-5"/>
                                  <w:sz w:val="24"/>
                                  <w:vertAlign w:val="subscript"/>
                                </w:rPr>
                                <w:t>2</w:t>
                              </w:r>
                            </w:p>
                          </w:txbxContent>
                        </wps:txbx>
                        <wps:bodyPr wrap="square" lIns="0" tIns="0" rIns="0" bIns="0" rtlCol="0">
                          <a:noAutofit/>
                        </wps:bodyPr>
                      </wps:wsp>
                      <wps:wsp>
                        <wps:cNvPr id="80" name="Textbox 80"/>
                        <wps:cNvSpPr txBox="1"/>
                        <wps:spPr>
                          <a:xfrm>
                            <a:off x="1337183" y="819170"/>
                            <a:ext cx="173990" cy="177800"/>
                          </a:xfrm>
                          <a:prstGeom prst="rect">
                            <a:avLst/>
                          </a:prstGeom>
                        </wps:spPr>
                        <wps:txbx>
                          <w:txbxContent>
                            <w:p>
                              <w:pPr>
                                <w:spacing w:line="266" w:lineRule="exact" w:before="0"/>
                                <w:ind w:left="0" w:right="0" w:firstLine="0"/>
                                <w:jc w:val="left"/>
                                <w:rPr>
                                  <w:sz w:val="24"/>
                                </w:rPr>
                              </w:pPr>
                              <w:r>
                                <w:rPr>
                                  <w:spacing w:val="-5"/>
                                  <w:sz w:val="24"/>
                                </w:rPr>
                                <w:t>O</w:t>
                              </w:r>
                              <w:r>
                                <w:rPr>
                                  <w:spacing w:val="-5"/>
                                  <w:sz w:val="24"/>
                                  <w:vertAlign w:val="subscript"/>
                                </w:rPr>
                                <w:t>2</w:t>
                              </w:r>
                            </w:p>
                          </w:txbxContent>
                        </wps:txbx>
                        <wps:bodyPr wrap="square" lIns="0" tIns="0" rIns="0" bIns="0" rtlCol="0">
                          <a:noAutofit/>
                        </wps:bodyPr>
                      </wps:wsp>
                      <wps:wsp>
                        <wps:cNvPr id="81" name="Textbox 81"/>
                        <wps:cNvSpPr txBox="1"/>
                        <wps:spPr>
                          <a:xfrm>
                            <a:off x="575183" y="1088014"/>
                            <a:ext cx="819785" cy="203200"/>
                          </a:xfrm>
                          <a:prstGeom prst="rect">
                            <a:avLst/>
                          </a:prstGeom>
                        </wps:spPr>
                        <wps:txbx>
                          <w:txbxContent>
                            <w:p>
                              <w:pPr>
                                <w:tabs>
                                  <w:tab w:pos="883" w:val="left" w:leader="none"/>
                                </w:tabs>
                                <w:spacing w:line="151" w:lineRule="auto" w:before="30"/>
                                <w:ind w:left="0" w:right="0" w:firstLine="0"/>
                                <w:jc w:val="left"/>
                                <w:rPr>
                                  <w:sz w:val="16"/>
                                </w:rPr>
                              </w:pPr>
                              <w:r>
                                <w:rPr>
                                  <w:spacing w:val="-2"/>
                                  <w:position w:val="-10"/>
                                  <w:sz w:val="24"/>
                                </w:rPr>
                                <w:t>O</w:t>
                              </w:r>
                              <w:r>
                                <w:rPr>
                                  <w:spacing w:val="-2"/>
                                  <w:position w:val="-13"/>
                                  <w:sz w:val="16"/>
                                </w:rPr>
                                <w:t>2</w:t>
                              </w:r>
                              <w:r>
                                <w:rPr>
                                  <w:spacing w:val="-2"/>
                                  <w:sz w:val="16"/>
                                </w:rPr>
                                <w:t>-</w:t>
                              </w:r>
                              <w:r>
                                <w:rPr>
                                  <w:spacing w:val="-12"/>
                                  <w:sz w:val="16"/>
                                </w:rPr>
                                <w:t>2</w:t>
                              </w:r>
                              <w:r>
                                <w:rPr>
                                  <w:sz w:val="16"/>
                                </w:rPr>
                                <w:tab/>
                              </w:r>
                              <w:r>
                                <w:rPr>
                                  <w:spacing w:val="-2"/>
                                  <w:position w:val="-10"/>
                                  <w:sz w:val="24"/>
                                </w:rPr>
                                <w:t>O</w:t>
                              </w:r>
                              <w:r>
                                <w:rPr>
                                  <w:spacing w:val="-2"/>
                                  <w:position w:val="-13"/>
                                  <w:sz w:val="16"/>
                                </w:rPr>
                                <w:t>2</w:t>
                              </w:r>
                              <w:r>
                                <w:rPr>
                                  <w:spacing w:val="-2"/>
                                  <w:sz w:val="16"/>
                                </w:rPr>
                                <w:t>-</w:t>
                              </w:r>
                              <w:r>
                                <w:rPr>
                                  <w:spacing w:val="-10"/>
                                  <w:sz w:val="16"/>
                                </w:rPr>
                                <w:t>2</w:t>
                              </w:r>
                            </w:p>
                          </w:txbxContent>
                        </wps:txbx>
                        <wps:bodyPr wrap="square" lIns="0" tIns="0" rIns="0" bIns="0" rtlCol="0">
                          <a:noAutofit/>
                        </wps:bodyPr>
                      </wps:wsp>
                      <wps:wsp>
                        <wps:cNvPr id="82" name="Textbox 82"/>
                        <wps:cNvSpPr txBox="1"/>
                        <wps:spPr>
                          <a:xfrm>
                            <a:off x="936371" y="1113302"/>
                            <a:ext cx="99060" cy="168910"/>
                          </a:xfrm>
                          <a:prstGeom prst="rect">
                            <a:avLst/>
                          </a:prstGeom>
                        </wps:spPr>
                        <wps:txbx>
                          <w:txbxContent>
                            <w:p>
                              <w:pPr>
                                <w:spacing w:line="266" w:lineRule="exact" w:before="0"/>
                                <w:ind w:left="0" w:right="0" w:firstLine="0"/>
                                <w:jc w:val="left"/>
                                <w:rPr>
                                  <w:sz w:val="24"/>
                                </w:rPr>
                              </w:pPr>
                              <w:r>
                                <w:rPr>
                                  <w:spacing w:val="-10"/>
                                  <w:sz w:val="24"/>
                                </w:rPr>
                                <w:t>+</w:t>
                              </w:r>
                            </w:p>
                          </w:txbxContent>
                        </wps:txbx>
                        <wps:bodyPr wrap="square" lIns="0" tIns="0" rIns="0" bIns="0" rtlCol="0">
                          <a:noAutofit/>
                        </wps:bodyPr>
                      </wps:wsp>
                      <wps:wsp>
                        <wps:cNvPr id="83" name="Textbox 83"/>
                        <wps:cNvSpPr txBox="1"/>
                        <wps:spPr>
                          <a:xfrm>
                            <a:off x="1535557" y="1113302"/>
                            <a:ext cx="466725" cy="168910"/>
                          </a:xfrm>
                          <a:prstGeom prst="rect">
                            <a:avLst/>
                          </a:prstGeom>
                        </wps:spPr>
                        <wps:txbx>
                          <w:txbxContent>
                            <w:p>
                              <w:pPr>
                                <w:spacing w:line="266" w:lineRule="exact" w:before="0"/>
                                <w:ind w:left="0" w:right="0" w:firstLine="0"/>
                                <w:jc w:val="left"/>
                                <w:rPr>
                                  <w:sz w:val="24"/>
                                </w:rPr>
                              </w:pPr>
                              <w:r>
                                <w:rPr>
                                  <w:sz w:val="24"/>
                                </w:rPr>
                                <w:t>+</w:t>
                              </w:r>
                              <w:r>
                                <w:rPr>
                                  <w:spacing w:val="29"/>
                                  <w:sz w:val="24"/>
                                </w:rPr>
                                <w:t>  </w:t>
                              </w:r>
                              <w:r>
                                <w:rPr>
                                  <w:spacing w:val="-5"/>
                                  <w:sz w:val="24"/>
                                </w:rPr>
                                <w:t>2Hc</w:t>
                              </w:r>
                            </w:p>
                          </w:txbxContent>
                        </wps:txbx>
                        <wps:bodyPr wrap="square" lIns="0" tIns="0" rIns="0" bIns="0" rtlCol="0">
                          <a:noAutofit/>
                        </wps:bodyPr>
                      </wps:wsp>
                    </wpg:wgp>
                  </a:graphicData>
                </a:graphic>
              </wp:anchor>
            </w:drawing>
          </mc:Choice>
          <mc:Fallback>
            <w:pict>
              <v:group style="position:absolute;margin-left:223.800003pt;margin-top:15.534961pt;width:157.65pt;height:117.4pt;mso-position-horizontal-relative:page;mso-position-vertical-relative:paragraph;z-index:-20382208" id="docshapegroup15" coordorigin="4476,311" coordsize="3153,2348">
                <v:shape style="position:absolute;left:4496;top:398;width:2880;height:2260" id="docshape16" coordorigin="4496,398" coordsize="2880,2260" path="m4976,2538l4926,2538,4926,1753,4922,1748,4910,1748,4906,1753,4906,2538,4856,2538,4916,2658,4961,2568,4976,2538xm6587,1603l6585,1598,6539,1503,6494,1408,6449,1315,6404,1223,6381,1179,6358,1135,6336,1092,6313,1050,6290,1009,6267,970,6244,931,6221,894,6198,858,6175,824,6152,792,6128,761,6105,732,6082,704,6058,679,6034,656,6011,635,5987,616,5962,599,5938,585,5917,575,5914,574,5889,565,5864,559,5839,556,5825,555,5812,556,5799,558,5785,562,5771,566,5758,571,5744,578,5730,585,5716,594,5702,603,5673,624,5645,648,5616,675,5586,704,5557,736,5527,770,5498,806,5469,843,5439,882,5410,921,5381,961,5325,1043,5271,1125,5245,1165,5127,1348,5107,1379,5095,1395,5055,1366,5033,1498,5152,1436,5142,1429,5112,1407,5124,1390,5144,1359,5165,1325,5188,1290,5212,1253,5236,1215,5287,1136,5341,1055,5398,973,5426,933,5455,894,5484,855,5513,819,5542,783,5572,750,5600,718,5629,690,5658,663,5685,640,5713,620,5726,611,5739,603,5752,596,5765,590,5778,585,5790,581,5802,578,5814,576,5825,575,5836,575,5859,578,5882,584,5905,592,5928,603,5951,616,5974,632,5997,650,6020,670,6043,693,6066,717,6089,744,6112,773,6135,803,6158,835,6181,869,6204,904,6227,941,6250,979,6273,1019,6295,1060,6318,1101,6341,1144,6363,1188,6386,1232,6431,1323,6476,1417,6521,1511,6567,1607,6569,1612,6575,1614,6585,1609,6587,1603xm7376,443l4616,443,4616,398,4496,458,4616,518,4616,473,7376,473,7376,443xe" filled="true" fillcolor="#000000" stroked="false">
                  <v:path arrowok="t"/>
                  <v:fill type="solid"/>
                </v:shape>
                <v:line style="position:absolute" from="5456,318" to="4556,1418" stroked="true" strokeweight=".75pt" strokecolor="#000000">
                  <v:stroke dashstyle="solid"/>
                </v:line>
                <v:shape style="position:absolute;left:4476;top:1388;width:120;height:1270" id="docshape17" coordorigin="4476,1388" coordsize="120,1270" path="m4526,2538l4476,2538,4536,2658,4581,2568,4530,2568,4526,2564,4526,2538xm4542,1388l4530,1388,4526,1393,4526,2564,4530,2568,4542,2568,4546,2564,4546,1393,4542,1388xm4596,2538l4546,2538,4546,2564,4542,2568,4581,2568,4596,2538xe" filled="true" fillcolor="#000000" stroked="false">
                  <v:path arrowok="t"/>
                  <v:fill type="solid"/>
                </v:shape>
                <v:shape style="position:absolute;left:4906;top:2118;width:370;height:120" type="#_x0000_t75" id="docshape18" stroked="false">
                  <v:imagedata r:id="rId24" o:title=""/>
                </v:shape>
                <v:shape style="position:absolute;left:4820;top:1463;width:274;height:280" type="#_x0000_t202" id="docshape19" filled="false" stroked="false">
                  <v:textbox inset="0,0,0,0">
                    <w:txbxContent>
                      <w:p>
                        <w:pPr>
                          <w:spacing w:line="266" w:lineRule="exact" w:before="0"/>
                          <w:ind w:left="0" w:right="0" w:firstLine="0"/>
                          <w:jc w:val="left"/>
                          <w:rPr>
                            <w:sz w:val="24"/>
                          </w:rPr>
                        </w:pPr>
                        <w:r>
                          <w:rPr>
                            <w:spacing w:val="-5"/>
                            <w:sz w:val="24"/>
                          </w:rPr>
                          <w:t>O</w:t>
                        </w:r>
                        <w:r>
                          <w:rPr>
                            <w:spacing w:val="-5"/>
                            <w:sz w:val="24"/>
                            <w:vertAlign w:val="subscript"/>
                          </w:rPr>
                          <w:t>2</w:t>
                        </w:r>
                      </w:p>
                    </w:txbxContent>
                  </v:textbox>
                  <w10:wrap type="none"/>
                </v:shape>
                <v:shape style="position:absolute;left:6581;top:1600;width:274;height:280" type="#_x0000_t202" id="docshape20" filled="false" stroked="false">
                  <v:textbox inset="0,0,0,0">
                    <w:txbxContent>
                      <w:p>
                        <w:pPr>
                          <w:spacing w:line="266" w:lineRule="exact" w:before="0"/>
                          <w:ind w:left="0" w:right="0" w:firstLine="0"/>
                          <w:jc w:val="left"/>
                          <w:rPr>
                            <w:sz w:val="24"/>
                          </w:rPr>
                        </w:pPr>
                        <w:r>
                          <w:rPr>
                            <w:spacing w:val="-5"/>
                            <w:sz w:val="24"/>
                          </w:rPr>
                          <w:t>O</w:t>
                        </w:r>
                        <w:r>
                          <w:rPr>
                            <w:spacing w:val="-5"/>
                            <w:sz w:val="24"/>
                            <w:vertAlign w:val="subscript"/>
                          </w:rPr>
                          <w:t>2</w:t>
                        </w:r>
                      </w:p>
                    </w:txbxContent>
                  </v:textbox>
                  <w10:wrap type="none"/>
                </v:shape>
                <v:shape style="position:absolute;left:5381;top:2024;width:1291;height:320" type="#_x0000_t202" id="docshape21" filled="false" stroked="false">
                  <v:textbox inset="0,0,0,0">
                    <w:txbxContent>
                      <w:p>
                        <w:pPr>
                          <w:tabs>
                            <w:tab w:pos="883" w:val="left" w:leader="none"/>
                          </w:tabs>
                          <w:spacing w:line="151" w:lineRule="auto" w:before="30"/>
                          <w:ind w:left="0" w:right="0" w:firstLine="0"/>
                          <w:jc w:val="left"/>
                          <w:rPr>
                            <w:sz w:val="16"/>
                          </w:rPr>
                        </w:pPr>
                        <w:r>
                          <w:rPr>
                            <w:spacing w:val="-2"/>
                            <w:position w:val="-10"/>
                            <w:sz w:val="24"/>
                          </w:rPr>
                          <w:t>O</w:t>
                        </w:r>
                        <w:r>
                          <w:rPr>
                            <w:spacing w:val="-2"/>
                            <w:position w:val="-13"/>
                            <w:sz w:val="16"/>
                          </w:rPr>
                          <w:t>2</w:t>
                        </w:r>
                        <w:r>
                          <w:rPr>
                            <w:spacing w:val="-2"/>
                            <w:sz w:val="16"/>
                          </w:rPr>
                          <w:t>-</w:t>
                        </w:r>
                        <w:r>
                          <w:rPr>
                            <w:spacing w:val="-12"/>
                            <w:sz w:val="16"/>
                          </w:rPr>
                          <w:t>2</w:t>
                        </w:r>
                        <w:r>
                          <w:rPr>
                            <w:sz w:val="16"/>
                          </w:rPr>
                          <w:tab/>
                        </w:r>
                        <w:r>
                          <w:rPr>
                            <w:spacing w:val="-2"/>
                            <w:position w:val="-10"/>
                            <w:sz w:val="24"/>
                          </w:rPr>
                          <w:t>O</w:t>
                        </w:r>
                        <w:r>
                          <w:rPr>
                            <w:spacing w:val="-2"/>
                            <w:position w:val="-13"/>
                            <w:sz w:val="16"/>
                          </w:rPr>
                          <w:t>2</w:t>
                        </w:r>
                        <w:r>
                          <w:rPr>
                            <w:spacing w:val="-2"/>
                            <w:sz w:val="16"/>
                          </w:rPr>
                          <w:t>-</w:t>
                        </w:r>
                        <w:r>
                          <w:rPr>
                            <w:spacing w:val="-10"/>
                            <w:sz w:val="16"/>
                          </w:rPr>
                          <w:t>2</w:t>
                        </w:r>
                      </w:p>
                    </w:txbxContent>
                  </v:textbox>
                  <w10:wrap type="none"/>
                </v:shape>
                <v:shape style="position:absolute;left:5950;top:2063;width:156;height:266" type="#_x0000_t202" id="docshape22" filled="false" stroked="false">
                  <v:textbox inset="0,0,0,0">
                    <w:txbxContent>
                      <w:p>
                        <w:pPr>
                          <w:spacing w:line="266" w:lineRule="exact" w:before="0"/>
                          <w:ind w:left="0" w:right="0" w:firstLine="0"/>
                          <w:jc w:val="left"/>
                          <w:rPr>
                            <w:sz w:val="24"/>
                          </w:rPr>
                        </w:pPr>
                        <w:r>
                          <w:rPr>
                            <w:spacing w:val="-10"/>
                            <w:sz w:val="24"/>
                          </w:rPr>
                          <w:t>+</w:t>
                        </w:r>
                      </w:p>
                    </w:txbxContent>
                  </v:textbox>
                  <w10:wrap type="none"/>
                </v:shape>
                <v:shape style="position:absolute;left:6894;top:2063;width:735;height:266" type="#_x0000_t202" id="docshape23" filled="false" stroked="false">
                  <v:textbox inset="0,0,0,0">
                    <w:txbxContent>
                      <w:p>
                        <w:pPr>
                          <w:spacing w:line="266" w:lineRule="exact" w:before="0"/>
                          <w:ind w:left="0" w:right="0" w:firstLine="0"/>
                          <w:jc w:val="left"/>
                          <w:rPr>
                            <w:sz w:val="24"/>
                          </w:rPr>
                        </w:pPr>
                        <w:r>
                          <w:rPr>
                            <w:sz w:val="24"/>
                          </w:rPr>
                          <w:t>+</w:t>
                        </w:r>
                        <w:r>
                          <w:rPr>
                            <w:spacing w:val="29"/>
                            <w:sz w:val="24"/>
                          </w:rPr>
                          <w:t>  </w:t>
                        </w:r>
                        <w:r>
                          <w:rPr>
                            <w:spacing w:val="-5"/>
                            <w:sz w:val="24"/>
                          </w:rPr>
                          <w:t>2Hc</w:t>
                        </w:r>
                      </w:p>
                    </w:txbxContent>
                  </v:textbox>
                  <w10:wrap type="none"/>
                </v:shape>
                <w10:wrap type="none"/>
              </v:group>
            </w:pict>
          </mc:Fallback>
        </mc:AlternateContent>
      </w:r>
      <w:r>
        <w:rPr>
          <w:spacing w:val="-2"/>
        </w:rPr>
        <w:t>Allaxan</w:t>
      </w:r>
      <w:r>
        <w:rPr/>
        <w:tab/>
      </w:r>
      <w:r>
        <w:rPr>
          <w:spacing w:val="-5"/>
          <w:position w:val="4"/>
        </w:rPr>
        <w:t>HA</w:t>
      </w:r>
    </w:p>
    <w:p>
      <w:pPr>
        <w:spacing w:before="133"/>
        <w:ind w:left="1419" w:right="0" w:firstLine="0"/>
        <w:jc w:val="left"/>
        <w:rPr>
          <w:b/>
          <w:i/>
          <w:sz w:val="24"/>
        </w:rPr>
      </w:pPr>
      <w:r>
        <w:rPr/>
        <w:br w:type="column"/>
      </w:r>
      <w:r>
        <w:rPr>
          <w:b/>
          <w:i/>
          <w:sz w:val="24"/>
        </w:rPr>
        <w:t>Dialuric</w:t>
      </w:r>
      <w:r>
        <w:rPr>
          <w:b/>
          <w:i/>
          <w:spacing w:val="-2"/>
          <w:sz w:val="24"/>
        </w:rPr>
        <w:t> </w:t>
      </w:r>
      <w:r>
        <w:rPr>
          <w:b/>
          <w:i/>
          <w:spacing w:val="-4"/>
          <w:sz w:val="24"/>
        </w:rPr>
        <w:t>acid</w:t>
      </w:r>
    </w:p>
    <w:p>
      <w:pPr>
        <w:spacing w:after="0"/>
        <w:jc w:val="left"/>
        <w:rPr>
          <w:sz w:val="24"/>
        </w:rPr>
        <w:sectPr>
          <w:type w:val="continuous"/>
          <w:pgSz w:w="12240" w:h="15840"/>
          <w:pgMar w:header="0" w:footer="1056" w:top="1360" w:bottom="1260" w:left="1420" w:right="420"/>
          <w:cols w:num="2" w:equalWidth="0">
            <w:col w:w="4609" w:space="357"/>
            <w:col w:w="5434"/>
          </w:cols>
        </w:sectPr>
      </w:pPr>
    </w:p>
    <w:p>
      <w:pPr>
        <w:pStyle w:val="BodyText"/>
        <w:rPr>
          <w:b/>
          <w:i/>
        </w:rPr>
      </w:pPr>
    </w:p>
    <w:p>
      <w:pPr>
        <w:pStyle w:val="BodyText"/>
        <w:rPr>
          <w:b/>
          <w:i/>
        </w:rPr>
      </w:pPr>
    </w:p>
    <w:p>
      <w:pPr>
        <w:pStyle w:val="BodyText"/>
        <w:rPr>
          <w:b/>
          <w:i/>
        </w:rPr>
      </w:pPr>
    </w:p>
    <w:p>
      <w:pPr>
        <w:pStyle w:val="BodyText"/>
        <w:rPr>
          <w:b/>
          <w:i/>
        </w:rPr>
      </w:pPr>
    </w:p>
    <w:p>
      <w:pPr>
        <w:pStyle w:val="BodyText"/>
        <w:spacing w:before="264"/>
        <w:rPr>
          <w:b/>
          <w:i/>
        </w:rPr>
      </w:pPr>
    </w:p>
    <w:p>
      <w:pPr>
        <w:pStyle w:val="BodyText"/>
        <w:spacing w:before="1"/>
        <w:ind w:left="577" w:right="1935"/>
        <w:jc w:val="right"/>
      </w:pPr>
      <w:r>
        <w:rPr/>
        <mc:AlternateContent>
          <mc:Choice Requires="wps">
            <w:drawing>
              <wp:anchor distT="0" distB="0" distL="0" distR="0" allowOverlap="1" layoutInCell="1" locked="0" behindDoc="0" simplePos="0" relativeHeight="15761408">
                <wp:simplePos x="0" y="0"/>
                <wp:positionH relativeFrom="page">
                  <wp:posOffset>4906009</wp:posOffset>
                </wp:positionH>
                <wp:positionV relativeFrom="paragraph">
                  <wp:posOffset>66890</wp:posOffset>
                </wp:positionV>
                <wp:extent cx="349250" cy="7620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349250" cy="76200"/>
                        </a:xfrm>
                        <a:custGeom>
                          <a:avLst/>
                          <a:gdLst/>
                          <a:ahLst/>
                          <a:cxnLst/>
                          <a:rect l="l" t="t" r="r" b="b"/>
                          <a:pathLst>
                            <a:path w="349250" h="76200">
                              <a:moveTo>
                                <a:pt x="273050" y="0"/>
                              </a:moveTo>
                              <a:lnTo>
                                <a:pt x="273050" y="76200"/>
                              </a:lnTo>
                              <a:lnTo>
                                <a:pt x="336550" y="44450"/>
                              </a:lnTo>
                              <a:lnTo>
                                <a:pt x="289305" y="44450"/>
                              </a:lnTo>
                              <a:lnTo>
                                <a:pt x="292100" y="41655"/>
                              </a:lnTo>
                              <a:lnTo>
                                <a:pt x="292100" y="34543"/>
                              </a:lnTo>
                              <a:lnTo>
                                <a:pt x="289305" y="31750"/>
                              </a:lnTo>
                              <a:lnTo>
                                <a:pt x="336550" y="31750"/>
                              </a:lnTo>
                              <a:lnTo>
                                <a:pt x="273050" y="0"/>
                              </a:lnTo>
                              <a:close/>
                            </a:path>
                            <a:path w="349250" h="76200">
                              <a:moveTo>
                                <a:pt x="273050" y="31750"/>
                              </a:moveTo>
                              <a:lnTo>
                                <a:pt x="2793" y="31750"/>
                              </a:lnTo>
                              <a:lnTo>
                                <a:pt x="0" y="34543"/>
                              </a:lnTo>
                              <a:lnTo>
                                <a:pt x="0" y="41655"/>
                              </a:lnTo>
                              <a:lnTo>
                                <a:pt x="2793" y="44450"/>
                              </a:lnTo>
                              <a:lnTo>
                                <a:pt x="273050" y="44450"/>
                              </a:lnTo>
                              <a:lnTo>
                                <a:pt x="273050" y="31750"/>
                              </a:lnTo>
                              <a:close/>
                            </a:path>
                            <a:path w="349250" h="76200">
                              <a:moveTo>
                                <a:pt x="336550" y="31750"/>
                              </a:moveTo>
                              <a:lnTo>
                                <a:pt x="289305" y="31750"/>
                              </a:lnTo>
                              <a:lnTo>
                                <a:pt x="292100" y="34543"/>
                              </a:lnTo>
                              <a:lnTo>
                                <a:pt x="292100" y="41655"/>
                              </a:lnTo>
                              <a:lnTo>
                                <a:pt x="289305" y="44450"/>
                              </a:lnTo>
                              <a:lnTo>
                                <a:pt x="336550" y="44450"/>
                              </a:lnTo>
                              <a:lnTo>
                                <a:pt x="349250" y="38100"/>
                              </a:lnTo>
                              <a:lnTo>
                                <a:pt x="336550"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6.299988pt;margin-top:5.266992pt;width:27.5pt;height:6pt;mso-position-horizontal-relative:page;mso-position-vertical-relative:paragraph;z-index:15761408" id="docshape24" coordorigin="7726,105" coordsize="550,120" path="m8156,105l8156,225,8256,175,8182,175,8186,171,8186,160,8182,155,8256,155,8156,105xm8156,155l7730,155,7726,160,7726,171,7730,175,8156,175,8156,155xm8256,155l8182,155,8186,160,8186,171,8182,175,8256,175,8276,165,8256,15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5636259</wp:posOffset>
                </wp:positionH>
                <wp:positionV relativeFrom="paragraph">
                  <wp:posOffset>212940</wp:posOffset>
                </wp:positionV>
                <wp:extent cx="76200" cy="69215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76200" cy="692150"/>
                        </a:xfrm>
                        <a:custGeom>
                          <a:avLst/>
                          <a:gdLst/>
                          <a:ahLst/>
                          <a:cxnLst/>
                          <a:rect l="l" t="t" r="r" b="b"/>
                          <a:pathLst>
                            <a:path w="76200" h="692150">
                              <a:moveTo>
                                <a:pt x="31750" y="615950"/>
                              </a:moveTo>
                              <a:lnTo>
                                <a:pt x="0" y="615950"/>
                              </a:lnTo>
                              <a:lnTo>
                                <a:pt x="38100" y="692150"/>
                              </a:lnTo>
                              <a:lnTo>
                                <a:pt x="66675" y="635000"/>
                              </a:lnTo>
                              <a:lnTo>
                                <a:pt x="34543" y="635000"/>
                              </a:lnTo>
                              <a:lnTo>
                                <a:pt x="31750" y="632205"/>
                              </a:lnTo>
                              <a:lnTo>
                                <a:pt x="31750" y="615950"/>
                              </a:lnTo>
                              <a:close/>
                            </a:path>
                            <a:path w="76200" h="692150">
                              <a:moveTo>
                                <a:pt x="41655" y="0"/>
                              </a:moveTo>
                              <a:lnTo>
                                <a:pt x="34543" y="0"/>
                              </a:lnTo>
                              <a:lnTo>
                                <a:pt x="31750" y="2793"/>
                              </a:lnTo>
                              <a:lnTo>
                                <a:pt x="31750" y="632205"/>
                              </a:lnTo>
                              <a:lnTo>
                                <a:pt x="34543" y="635000"/>
                              </a:lnTo>
                              <a:lnTo>
                                <a:pt x="41655" y="635000"/>
                              </a:lnTo>
                              <a:lnTo>
                                <a:pt x="44450" y="632205"/>
                              </a:lnTo>
                              <a:lnTo>
                                <a:pt x="44450" y="2793"/>
                              </a:lnTo>
                              <a:lnTo>
                                <a:pt x="41655" y="0"/>
                              </a:lnTo>
                              <a:close/>
                            </a:path>
                            <a:path w="76200" h="692150">
                              <a:moveTo>
                                <a:pt x="76200" y="615950"/>
                              </a:moveTo>
                              <a:lnTo>
                                <a:pt x="44450" y="615950"/>
                              </a:lnTo>
                              <a:lnTo>
                                <a:pt x="44450" y="632205"/>
                              </a:lnTo>
                              <a:lnTo>
                                <a:pt x="41655" y="635000"/>
                              </a:lnTo>
                              <a:lnTo>
                                <a:pt x="66675" y="635000"/>
                              </a:lnTo>
                              <a:lnTo>
                                <a:pt x="76200" y="6159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3.799988pt;margin-top:16.766993pt;width:6pt;height:54.5pt;mso-position-horizontal-relative:page;mso-position-vertical-relative:paragraph;z-index:15761920" id="docshape25" coordorigin="8876,335" coordsize="120,1090" path="m8926,1305l8876,1305,8936,1425,8981,1335,8930,1335,8926,1331,8926,1305xm8942,335l8930,335,8926,340,8926,1331,8930,1335,8942,1335,8946,1331,8946,340,8942,335xm8996,1305l8946,1305,8946,1331,8942,1335,8981,1335,8996,130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1819910</wp:posOffset>
                </wp:positionH>
                <wp:positionV relativeFrom="paragraph">
                  <wp:posOffset>-923709</wp:posOffset>
                </wp:positionV>
                <wp:extent cx="541020" cy="346710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541020" cy="3467100"/>
                          <a:chExt cx="541020" cy="3467100"/>
                        </a:xfrm>
                      </wpg:grpSpPr>
                      <wps:wsp>
                        <wps:cNvPr id="87" name="Graphic 87"/>
                        <wps:cNvSpPr/>
                        <wps:spPr>
                          <a:xfrm>
                            <a:off x="6350" y="0"/>
                            <a:ext cx="1270" cy="3429000"/>
                          </a:xfrm>
                          <a:custGeom>
                            <a:avLst/>
                            <a:gdLst/>
                            <a:ahLst/>
                            <a:cxnLst/>
                            <a:rect l="l" t="t" r="r" b="b"/>
                            <a:pathLst>
                              <a:path w="0" h="3429000">
                                <a:moveTo>
                                  <a:pt x="0" y="0"/>
                                </a:moveTo>
                                <a:lnTo>
                                  <a:pt x="0" y="3429000"/>
                                </a:lnTo>
                              </a:path>
                            </a:pathLst>
                          </a:custGeom>
                          <a:ln w="9525">
                            <a:solidFill>
                              <a:srgbClr val="000000"/>
                            </a:solidFill>
                            <a:prstDash val="solid"/>
                          </a:ln>
                        </wps:spPr>
                        <wps:bodyPr wrap="square" lIns="0" tIns="0" rIns="0" bIns="0" rtlCol="0">
                          <a:prstTxWarp prst="textNoShape">
                            <a:avLst/>
                          </a:prstTxWarp>
                          <a:noAutofit/>
                        </wps:bodyPr>
                      </wps:wsp>
                      <wps:wsp>
                        <wps:cNvPr id="88" name="Graphic 88"/>
                        <wps:cNvSpPr/>
                        <wps:spPr>
                          <a:xfrm>
                            <a:off x="0" y="2819399"/>
                            <a:ext cx="463550" cy="647700"/>
                          </a:xfrm>
                          <a:custGeom>
                            <a:avLst/>
                            <a:gdLst/>
                            <a:ahLst/>
                            <a:cxnLst/>
                            <a:rect l="l" t="t" r="r" b="b"/>
                            <a:pathLst>
                              <a:path w="463550" h="647700">
                                <a:moveTo>
                                  <a:pt x="463550" y="609600"/>
                                </a:moveTo>
                                <a:lnTo>
                                  <a:pt x="450850" y="603250"/>
                                </a:lnTo>
                                <a:lnTo>
                                  <a:pt x="387350" y="571500"/>
                                </a:lnTo>
                                <a:lnTo>
                                  <a:pt x="387350" y="603250"/>
                                </a:lnTo>
                                <a:lnTo>
                                  <a:pt x="2794" y="603250"/>
                                </a:lnTo>
                                <a:lnTo>
                                  <a:pt x="0" y="606044"/>
                                </a:lnTo>
                                <a:lnTo>
                                  <a:pt x="0" y="613156"/>
                                </a:lnTo>
                                <a:lnTo>
                                  <a:pt x="2794" y="615950"/>
                                </a:lnTo>
                                <a:lnTo>
                                  <a:pt x="387350" y="615950"/>
                                </a:lnTo>
                                <a:lnTo>
                                  <a:pt x="387350" y="647700"/>
                                </a:lnTo>
                                <a:lnTo>
                                  <a:pt x="450850" y="615950"/>
                                </a:lnTo>
                                <a:lnTo>
                                  <a:pt x="463550" y="609600"/>
                                </a:lnTo>
                                <a:close/>
                              </a:path>
                              <a:path w="463550" h="647700">
                                <a:moveTo>
                                  <a:pt x="463550" y="304800"/>
                                </a:moveTo>
                                <a:lnTo>
                                  <a:pt x="450850" y="298450"/>
                                </a:lnTo>
                                <a:lnTo>
                                  <a:pt x="387350" y="266700"/>
                                </a:lnTo>
                                <a:lnTo>
                                  <a:pt x="387350" y="298450"/>
                                </a:lnTo>
                                <a:lnTo>
                                  <a:pt x="2794" y="298450"/>
                                </a:lnTo>
                                <a:lnTo>
                                  <a:pt x="0" y="301244"/>
                                </a:lnTo>
                                <a:lnTo>
                                  <a:pt x="0" y="308356"/>
                                </a:lnTo>
                                <a:lnTo>
                                  <a:pt x="2794" y="311150"/>
                                </a:lnTo>
                                <a:lnTo>
                                  <a:pt x="387350" y="311150"/>
                                </a:lnTo>
                                <a:lnTo>
                                  <a:pt x="387350" y="342900"/>
                                </a:lnTo>
                                <a:lnTo>
                                  <a:pt x="450850" y="311150"/>
                                </a:lnTo>
                                <a:lnTo>
                                  <a:pt x="463550" y="304800"/>
                                </a:lnTo>
                                <a:close/>
                              </a:path>
                              <a:path w="463550" h="647700">
                                <a:moveTo>
                                  <a:pt x="463550" y="38100"/>
                                </a:moveTo>
                                <a:lnTo>
                                  <a:pt x="450850" y="31750"/>
                                </a:lnTo>
                                <a:lnTo>
                                  <a:pt x="387350" y="0"/>
                                </a:lnTo>
                                <a:lnTo>
                                  <a:pt x="387350" y="31750"/>
                                </a:lnTo>
                                <a:lnTo>
                                  <a:pt x="2794" y="31750"/>
                                </a:lnTo>
                                <a:lnTo>
                                  <a:pt x="0" y="34544"/>
                                </a:lnTo>
                                <a:lnTo>
                                  <a:pt x="0" y="41656"/>
                                </a:lnTo>
                                <a:lnTo>
                                  <a:pt x="2794" y="44450"/>
                                </a:lnTo>
                                <a:lnTo>
                                  <a:pt x="387350" y="44450"/>
                                </a:lnTo>
                                <a:lnTo>
                                  <a:pt x="387350" y="76200"/>
                                </a:lnTo>
                                <a:lnTo>
                                  <a:pt x="450850" y="44450"/>
                                </a:lnTo>
                                <a:lnTo>
                                  <a:pt x="463550" y="38100"/>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326136" y="1297120"/>
                            <a:ext cx="214629" cy="194310"/>
                          </a:xfrm>
                          <a:prstGeom prst="rect">
                            <a:avLst/>
                          </a:prstGeom>
                        </wps:spPr>
                        <wps:txbx>
                          <w:txbxContent>
                            <w:p>
                              <w:pPr>
                                <w:spacing w:before="29"/>
                                <w:ind w:left="0" w:right="0" w:firstLine="0"/>
                                <w:jc w:val="left"/>
                                <w:rPr>
                                  <w:sz w:val="24"/>
                                </w:rPr>
                              </w:pPr>
                              <w:r>
                                <w:rPr>
                                  <w:spacing w:val="-5"/>
                                  <w:sz w:val="24"/>
                                </w:rPr>
                                <w:t>Fe</w:t>
                              </w:r>
                              <w:r>
                                <w:rPr>
                                  <w:spacing w:val="-5"/>
                                  <w:sz w:val="24"/>
                                  <w:vertAlign w:val="superscript"/>
                                </w:rPr>
                                <w:t>2</w:t>
                              </w:r>
                            </w:p>
                          </w:txbxContent>
                        </wps:txbx>
                        <wps:bodyPr wrap="square" lIns="0" tIns="0" rIns="0" bIns="0" rtlCol="0">
                          <a:noAutofit/>
                        </wps:bodyPr>
                      </wps:wsp>
                    </wpg:wgp>
                  </a:graphicData>
                </a:graphic>
              </wp:anchor>
            </w:drawing>
          </mc:Choice>
          <mc:Fallback>
            <w:pict>
              <v:group style="position:absolute;margin-left:143.300003pt;margin-top:-72.733009pt;width:42.6pt;height:273pt;mso-position-horizontal-relative:page;mso-position-vertical-relative:paragraph;z-index:15762432" id="docshapegroup26" coordorigin="2866,-1455" coordsize="852,5460">
                <v:line style="position:absolute" from="2876,-1455" to="2876,3945" stroked="true" strokeweight=".75pt" strokecolor="#000000">
                  <v:stroke dashstyle="solid"/>
                </v:line>
                <v:shape style="position:absolute;left:2866;top:2985;width:730;height:1020" id="docshape27" coordorigin="2866,2985" coordsize="730,1020" path="m3596,3945l3576,3935,3476,3885,3476,3935,2870,3935,2866,3940,2866,3951,2870,3955,3476,3955,3476,4005,3576,3955,3596,3945xm3596,3465l3576,3455,3476,3405,3476,3455,2870,3455,2866,3460,2866,3471,2870,3475,3476,3475,3476,3525,3576,3475,3596,3465xm3596,3045l3576,3035,3476,2985,3476,3035,2870,3035,2866,3040,2866,3051,2870,3055,3476,3055,3476,3105,3576,3055,3596,3045xe" filled="true" fillcolor="#000000" stroked="false">
                  <v:path arrowok="t"/>
                  <v:fill type="solid"/>
                </v:shape>
                <v:shape style="position:absolute;left:3379;top:588;width:338;height:306" type="#_x0000_t202" id="docshape28" filled="false" stroked="false">
                  <v:textbox inset="0,0,0,0">
                    <w:txbxContent>
                      <w:p>
                        <w:pPr>
                          <w:spacing w:before="29"/>
                          <w:ind w:left="0" w:right="0" w:firstLine="0"/>
                          <w:jc w:val="left"/>
                          <w:rPr>
                            <w:sz w:val="24"/>
                          </w:rPr>
                        </w:pPr>
                        <w:r>
                          <w:rPr>
                            <w:spacing w:val="-5"/>
                            <w:sz w:val="24"/>
                          </w:rPr>
                          <w:t>Fe</w:t>
                        </w:r>
                        <w:r>
                          <w:rPr>
                            <w:spacing w:val="-5"/>
                            <w:sz w:val="24"/>
                            <w:vertAlign w:val="superscript"/>
                          </w:rPr>
                          <w:t>2</w:t>
                        </w:r>
                      </w:p>
                    </w:txbxContent>
                  </v:textbox>
                  <w10:wrap type="none"/>
                </v:shape>
                <w10:wrap type="none"/>
              </v:group>
            </w:pict>
          </mc:Fallback>
        </mc:AlternateContent>
      </w:r>
      <w:r>
        <w:rPr/>
        <w:t>H</w:t>
      </w:r>
      <w:r>
        <w:rPr>
          <w:vertAlign w:val="subscript"/>
        </w:rPr>
        <w:t>2</w:t>
      </w:r>
      <w:r>
        <w:rPr>
          <w:vertAlign w:val="baseline"/>
        </w:rPr>
        <w:t>O</w:t>
      </w:r>
      <w:r>
        <w:rPr>
          <w:vertAlign w:val="subscript"/>
        </w:rPr>
        <w:t>2</w:t>
      </w:r>
      <w:r>
        <w:rPr>
          <w:spacing w:val="61"/>
          <w:vertAlign w:val="baseline"/>
        </w:rPr>
        <w:t> </w:t>
      </w:r>
      <w:r>
        <w:rPr>
          <w:vertAlign w:val="baseline"/>
        </w:rPr>
        <w:t>+</w:t>
      </w:r>
      <w:r>
        <w:rPr>
          <w:spacing w:val="59"/>
          <w:vertAlign w:val="baseline"/>
        </w:rPr>
        <w:t> </w:t>
      </w:r>
      <w:r>
        <w:rPr>
          <w:spacing w:val="-5"/>
          <w:vertAlign w:val="baseline"/>
        </w:rPr>
        <w:t>O</w:t>
      </w:r>
      <w:r>
        <w:rPr>
          <w:spacing w:val="-5"/>
          <w:vertAlign w:val="subscript"/>
        </w:rPr>
        <w:t>2</w:t>
      </w:r>
    </w:p>
    <w:p>
      <w:pPr>
        <w:pStyle w:val="BodyText"/>
        <w:spacing w:before="64"/>
      </w:pPr>
    </w:p>
    <w:p>
      <w:pPr>
        <w:pStyle w:val="BodyText"/>
        <w:ind w:left="4581"/>
      </w:pPr>
      <w:r>
        <w:rPr/>
        <mc:AlternateContent>
          <mc:Choice Requires="wps">
            <w:drawing>
              <wp:anchor distT="0" distB="0" distL="0" distR="0" allowOverlap="1" layoutInCell="1" locked="0" behindDoc="1" simplePos="0" relativeHeight="482934784">
                <wp:simplePos x="0" y="0"/>
                <wp:positionH relativeFrom="page">
                  <wp:posOffset>2391410</wp:posOffset>
                </wp:positionH>
                <wp:positionV relativeFrom="paragraph">
                  <wp:posOffset>81525</wp:posOffset>
                </wp:positionV>
                <wp:extent cx="1263650" cy="7620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1263650" cy="76200"/>
                        </a:xfrm>
                        <a:custGeom>
                          <a:avLst/>
                          <a:gdLst/>
                          <a:ahLst/>
                          <a:cxnLst/>
                          <a:rect l="l" t="t" r="r" b="b"/>
                          <a:pathLst>
                            <a:path w="1263650" h="76200">
                              <a:moveTo>
                                <a:pt x="1187450" y="0"/>
                              </a:moveTo>
                              <a:lnTo>
                                <a:pt x="1187450" y="76200"/>
                              </a:lnTo>
                              <a:lnTo>
                                <a:pt x="1250950" y="44450"/>
                              </a:lnTo>
                              <a:lnTo>
                                <a:pt x="1203705" y="44450"/>
                              </a:lnTo>
                              <a:lnTo>
                                <a:pt x="1206500" y="41655"/>
                              </a:lnTo>
                              <a:lnTo>
                                <a:pt x="1206500" y="34543"/>
                              </a:lnTo>
                              <a:lnTo>
                                <a:pt x="1203705" y="31750"/>
                              </a:lnTo>
                              <a:lnTo>
                                <a:pt x="1250950" y="31750"/>
                              </a:lnTo>
                              <a:lnTo>
                                <a:pt x="1187450" y="0"/>
                              </a:lnTo>
                              <a:close/>
                            </a:path>
                            <a:path w="1263650" h="76200">
                              <a:moveTo>
                                <a:pt x="1187450" y="31750"/>
                              </a:moveTo>
                              <a:lnTo>
                                <a:pt x="2793" y="31750"/>
                              </a:lnTo>
                              <a:lnTo>
                                <a:pt x="0" y="34543"/>
                              </a:lnTo>
                              <a:lnTo>
                                <a:pt x="0" y="41655"/>
                              </a:lnTo>
                              <a:lnTo>
                                <a:pt x="2793" y="44450"/>
                              </a:lnTo>
                              <a:lnTo>
                                <a:pt x="1187450" y="44450"/>
                              </a:lnTo>
                              <a:lnTo>
                                <a:pt x="1187450" y="31750"/>
                              </a:lnTo>
                              <a:close/>
                            </a:path>
                            <a:path w="1263650" h="76200">
                              <a:moveTo>
                                <a:pt x="1250950" y="31750"/>
                              </a:moveTo>
                              <a:lnTo>
                                <a:pt x="1203705" y="31750"/>
                              </a:lnTo>
                              <a:lnTo>
                                <a:pt x="1206500" y="34543"/>
                              </a:lnTo>
                              <a:lnTo>
                                <a:pt x="1206500" y="41655"/>
                              </a:lnTo>
                              <a:lnTo>
                                <a:pt x="1203705" y="44450"/>
                              </a:lnTo>
                              <a:lnTo>
                                <a:pt x="1250950" y="44450"/>
                              </a:lnTo>
                              <a:lnTo>
                                <a:pt x="1263650" y="38100"/>
                              </a:lnTo>
                              <a:lnTo>
                                <a:pt x="1250950"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300003pt;margin-top:6.419336pt;width:99.5pt;height:6pt;mso-position-horizontal-relative:page;mso-position-vertical-relative:paragraph;z-index:-20381696" id="docshape29" coordorigin="3766,128" coordsize="1990,120" path="m5636,128l5636,248,5736,198,5662,198,5666,194,5666,183,5662,178,5736,178,5636,128xm5636,178l3770,178,3766,183,3766,194,3770,198,5636,198,5636,178xm5736,178l5662,178,5666,183,5666,194,5662,198,5736,198,5756,188,5736,178xe" filled="true" fillcolor="#000000" stroked="false">
                <v:path arrowok="t"/>
                <v:fill type="solid"/>
                <w10:wrap type="none"/>
              </v:shape>
            </w:pict>
          </mc:Fallback>
        </mc:AlternateContent>
      </w:r>
      <w:r>
        <w:rPr/>
        <w:t>Fe</w:t>
      </w:r>
      <w:r>
        <w:rPr>
          <w:vertAlign w:val="superscript"/>
        </w:rPr>
        <w:t>2</w:t>
      </w:r>
      <w:r>
        <w:rPr>
          <w:spacing w:val="40"/>
          <w:vertAlign w:val="baseline"/>
        </w:rPr>
        <w:t> </w:t>
      </w:r>
      <w:r>
        <w:rPr>
          <w:spacing w:val="27"/>
          <w:position w:val="-1"/>
          <w:vertAlign w:val="baseline"/>
        </w:rPr>
        <w:drawing>
          <wp:inline distT="0" distB="0" distL="0" distR="0">
            <wp:extent cx="1263650" cy="7620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25" cstate="print"/>
                    <a:stretch>
                      <a:fillRect/>
                    </a:stretch>
                  </pic:blipFill>
                  <pic:spPr>
                    <a:xfrm>
                      <a:off x="0" y="0"/>
                      <a:ext cx="1263650" cy="76200"/>
                    </a:xfrm>
                    <a:prstGeom prst="rect">
                      <a:avLst/>
                    </a:prstGeom>
                  </pic:spPr>
                </pic:pic>
              </a:graphicData>
            </a:graphic>
          </wp:inline>
        </w:drawing>
      </w:r>
      <w:r>
        <w:rPr>
          <w:spacing w:val="27"/>
          <w:position w:val="-1"/>
          <w:vertAlign w:val="baseline"/>
        </w:rPr>
      </w:r>
    </w:p>
    <w:p>
      <w:pPr>
        <w:pStyle w:val="BodyText"/>
        <w:spacing w:before="247"/>
      </w:pPr>
    </w:p>
    <w:p>
      <w:pPr>
        <w:pStyle w:val="BodyText"/>
        <w:spacing w:before="1"/>
        <w:ind w:left="577" w:right="2631"/>
        <w:jc w:val="right"/>
      </w:pPr>
      <w:r>
        <w:rPr>
          <w:spacing w:val="-5"/>
        </w:rPr>
        <w:t>OH</w:t>
      </w:r>
    </w:p>
    <w:p>
      <w:pPr>
        <w:pStyle w:val="BodyText"/>
        <w:rPr>
          <w:sz w:val="20"/>
        </w:rPr>
      </w:pPr>
    </w:p>
    <w:p>
      <w:pPr>
        <w:pStyle w:val="BodyText"/>
        <w:rPr>
          <w:sz w:val="20"/>
        </w:rPr>
      </w:pPr>
    </w:p>
    <w:p>
      <w:pPr>
        <w:pStyle w:val="BodyText"/>
        <w:rPr>
          <w:sz w:val="20"/>
        </w:rPr>
      </w:pPr>
    </w:p>
    <w:p>
      <w:pPr>
        <w:pStyle w:val="BodyText"/>
        <w:spacing w:before="148"/>
        <w:rPr>
          <w:sz w:val="20"/>
        </w:rPr>
      </w:pPr>
    </w:p>
    <w:p>
      <w:pPr>
        <w:spacing w:after="0"/>
        <w:rPr>
          <w:sz w:val="20"/>
        </w:rPr>
        <w:sectPr>
          <w:type w:val="continuous"/>
          <w:pgSz w:w="12240" w:h="15840"/>
          <w:pgMar w:header="0" w:footer="1056" w:top="1360" w:bottom="1260" w:left="1420" w:right="420"/>
        </w:sectPr>
      </w:pPr>
    </w:p>
    <w:p>
      <w:pPr>
        <w:spacing w:line="415" w:lineRule="auto" w:before="120"/>
        <w:ind w:left="2300" w:right="0" w:firstLine="0"/>
        <w:jc w:val="left"/>
        <w:rPr>
          <w:sz w:val="22"/>
        </w:rPr>
      </w:pPr>
      <w:r>
        <w:rPr>
          <w:sz w:val="22"/>
        </w:rPr>
        <w:t>augmented Ca</w:t>
      </w:r>
      <w:r>
        <w:rPr>
          <w:sz w:val="22"/>
          <w:vertAlign w:val="superscript"/>
        </w:rPr>
        <w:t>2</w:t>
      </w:r>
      <w:r>
        <w:rPr>
          <w:sz w:val="22"/>
          <w:vertAlign w:val="baseline"/>
        </w:rPr>
        <w:t> influx from extracellular fluid augmented</w:t>
      </w:r>
      <w:r>
        <w:rPr>
          <w:spacing w:val="-7"/>
          <w:sz w:val="22"/>
          <w:vertAlign w:val="baseline"/>
        </w:rPr>
        <w:t> </w:t>
      </w:r>
      <w:r>
        <w:rPr>
          <w:sz w:val="22"/>
          <w:vertAlign w:val="baseline"/>
        </w:rPr>
        <w:t>Ca</w:t>
      </w:r>
      <w:r>
        <w:rPr>
          <w:sz w:val="22"/>
          <w:vertAlign w:val="superscript"/>
        </w:rPr>
        <w:t>2</w:t>
      </w:r>
      <w:r>
        <w:rPr>
          <w:spacing w:val="-7"/>
          <w:sz w:val="22"/>
          <w:vertAlign w:val="baseline"/>
        </w:rPr>
        <w:t> </w:t>
      </w:r>
      <w:r>
        <w:rPr>
          <w:sz w:val="22"/>
          <w:vertAlign w:val="baseline"/>
        </w:rPr>
        <w:t>mobilisation</w:t>
      </w:r>
      <w:r>
        <w:rPr>
          <w:spacing w:val="-7"/>
          <w:sz w:val="22"/>
          <w:vertAlign w:val="baseline"/>
        </w:rPr>
        <w:t> </w:t>
      </w:r>
      <w:r>
        <w:rPr>
          <w:sz w:val="22"/>
          <w:vertAlign w:val="baseline"/>
        </w:rPr>
        <w:t>from</w:t>
      </w:r>
      <w:r>
        <w:rPr>
          <w:spacing w:val="-10"/>
          <w:sz w:val="22"/>
          <w:vertAlign w:val="baseline"/>
        </w:rPr>
        <w:t> </w:t>
      </w:r>
      <w:r>
        <w:rPr>
          <w:sz w:val="22"/>
          <w:vertAlign w:val="baseline"/>
        </w:rPr>
        <w:t>intracellular</w:t>
      </w:r>
      <w:r>
        <w:rPr>
          <w:spacing w:val="-9"/>
          <w:sz w:val="22"/>
          <w:vertAlign w:val="baseline"/>
        </w:rPr>
        <w:t> </w:t>
      </w:r>
      <w:r>
        <w:rPr>
          <w:sz w:val="22"/>
          <w:vertAlign w:val="baseline"/>
        </w:rPr>
        <w:t>stores limited Ca</w:t>
      </w:r>
      <w:r>
        <w:rPr>
          <w:sz w:val="22"/>
          <w:vertAlign w:val="superscript"/>
        </w:rPr>
        <w:t>2</w:t>
      </w:r>
      <w:r>
        <w:rPr>
          <w:sz w:val="22"/>
          <w:vertAlign w:val="baseline"/>
        </w:rPr>
        <w:t> climination from the cyroplasm</w:t>
      </w:r>
    </w:p>
    <w:p>
      <w:pPr>
        <w:spacing w:line="240" w:lineRule="auto" w:before="264"/>
        <w:rPr>
          <w:sz w:val="24"/>
        </w:rPr>
      </w:pPr>
      <w:r>
        <w:rPr/>
        <w:br w:type="column"/>
      </w:r>
      <w:r>
        <w:rPr>
          <w:sz w:val="24"/>
        </w:rPr>
      </w:r>
    </w:p>
    <w:p>
      <w:pPr>
        <w:pStyle w:val="BodyText"/>
        <w:ind w:left="660"/>
      </w:pPr>
      <w:r>
        <w:rPr/>
        <mc:AlternateContent>
          <mc:Choice Requires="wps">
            <w:drawing>
              <wp:anchor distT="0" distB="0" distL="0" distR="0" allowOverlap="1" layoutInCell="1" locked="0" behindDoc="0" simplePos="0" relativeHeight="15762944">
                <wp:simplePos x="0" y="0"/>
                <wp:positionH relativeFrom="page">
                  <wp:posOffset>5407659</wp:posOffset>
                </wp:positionH>
                <wp:positionV relativeFrom="paragraph">
                  <wp:posOffset>-390805</wp:posOffset>
                </wp:positionV>
                <wp:extent cx="114300" cy="102870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14300" cy="1028700"/>
                        </a:xfrm>
                        <a:custGeom>
                          <a:avLst/>
                          <a:gdLst/>
                          <a:ahLst/>
                          <a:cxnLst/>
                          <a:rect l="l" t="t" r="r" b="b"/>
                          <a:pathLst>
                            <a:path w="114300" h="1028700">
                              <a:moveTo>
                                <a:pt x="0" y="0"/>
                              </a:moveTo>
                              <a:lnTo>
                                <a:pt x="22270" y="6732"/>
                              </a:lnTo>
                              <a:lnTo>
                                <a:pt x="40433" y="25098"/>
                              </a:lnTo>
                              <a:lnTo>
                                <a:pt x="52667" y="52345"/>
                              </a:lnTo>
                              <a:lnTo>
                                <a:pt x="57150" y="85725"/>
                              </a:lnTo>
                              <a:lnTo>
                                <a:pt x="57150" y="428625"/>
                              </a:lnTo>
                              <a:lnTo>
                                <a:pt x="61632" y="462004"/>
                              </a:lnTo>
                              <a:lnTo>
                                <a:pt x="73866" y="489251"/>
                              </a:lnTo>
                              <a:lnTo>
                                <a:pt x="92029" y="507617"/>
                              </a:lnTo>
                              <a:lnTo>
                                <a:pt x="114300" y="514350"/>
                              </a:lnTo>
                              <a:lnTo>
                                <a:pt x="92029" y="521082"/>
                              </a:lnTo>
                              <a:lnTo>
                                <a:pt x="73866" y="539448"/>
                              </a:lnTo>
                              <a:lnTo>
                                <a:pt x="61632" y="566695"/>
                              </a:lnTo>
                              <a:lnTo>
                                <a:pt x="57150" y="600075"/>
                              </a:lnTo>
                              <a:lnTo>
                                <a:pt x="57150" y="942975"/>
                              </a:lnTo>
                              <a:lnTo>
                                <a:pt x="52667" y="976354"/>
                              </a:lnTo>
                              <a:lnTo>
                                <a:pt x="40433" y="1003601"/>
                              </a:lnTo>
                              <a:lnTo>
                                <a:pt x="22270" y="1021967"/>
                              </a:lnTo>
                              <a:lnTo>
                                <a:pt x="0" y="102869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799988pt;margin-top:-30.77207pt;width:9pt;height:81pt;mso-position-horizontal-relative:page;mso-position-vertical-relative:paragraph;z-index:15762944" id="docshape30" coordorigin="8516,-615" coordsize="180,1620" path="m8516,-615l8551,-605,8580,-576,8599,-533,8606,-480,8606,60,8613,112,8632,155,8661,184,8696,195,8661,205,8632,234,8613,277,8606,330,8606,870,8599,922,8580,965,8551,994,8516,1005e" filled="false" stroked="true" strokeweight=".75pt" strokecolor="#000000">
                <v:path arrowok="t"/>
                <v:stroke dashstyle="solid"/>
                <w10:wrap type="none"/>
              </v:shape>
            </w:pict>
          </mc:Fallback>
        </mc:AlternateContent>
      </w:r>
      <w:r>
        <w:rPr/>
        <w:drawing>
          <wp:anchor distT="0" distB="0" distL="0" distR="0" allowOverlap="1" layoutInCell="1" locked="0" behindDoc="0" simplePos="0" relativeHeight="15763456">
            <wp:simplePos x="0" y="0"/>
            <wp:positionH relativeFrom="page">
              <wp:posOffset>6190297</wp:posOffset>
            </wp:positionH>
            <wp:positionV relativeFrom="paragraph">
              <wp:posOffset>-14567</wp:posOffset>
            </wp:positionV>
            <wp:extent cx="123825" cy="23812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6" cstate="print"/>
                    <a:stretch>
                      <a:fillRect/>
                    </a:stretch>
                  </pic:blipFill>
                  <pic:spPr>
                    <a:xfrm>
                      <a:off x="0" y="0"/>
                      <a:ext cx="123825" cy="238125"/>
                    </a:xfrm>
                    <a:prstGeom prst="rect">
                      <a:avLst/>
                    </a:prstGeom>
                  </pic:spPr>
                </pic:pic>
              </a:graphicData>
            </a:graphic>
          </wp:anchor>
        </w:drawing>
      </w:r>
      <w:r>
        <w:rPr>
          <w:spacing w:val="-2"/>
        </w:rPr>
        <w:t>[Ca</w:t>
      </w:r>
      <w:r>
        <w:rPr>
          <w:spacing w:val="-2"/>
          <w:vertAlign w:val="superscript"/>
        </w:rPr>
        <w:t>2+</w:t>
      </w:r>
      <w:r>
        <w:rPr>
          <w:spacing w:val="-2"/>
          <w:vertAlign w:val="baseline"/>
        </w:rPr>
        <w:t>],</w:t>
      </w:r>
    </w:p>
    <w:p>
      <w:pPr>
        <w:spacing w:after="0"/>
        <w:sectPr>
          <w:type w:val="continuous"/>
          <w:pgSz w:w="12240" w:h="15840"/>
          <w:pgMar w:header="0" w:footer="1056" w:top="1360" w:bottom="1260" w:left="1420" w:right="420"/>
          <w:cols w:num="2" w:equalWidth="0">
            <w:col w:w="6961" w:space="40"/>
            <w:col w:w="3399"/>
          </w:cols>
        </w:sectPr>
      </w:pPr>
    </w:p>
    <w:p>
      <w:pPr>
        <w:pStyle w:val="BodyText"/>
      </w:pPr>
      <w:r>
        <w:rPr/>
        <mc:AlternateContent>
          <mc:Choice Requires="wps">
            <w:drawing>
              <wp:anchor distT="0" distB="0" distL="0" distR="0" allowOverlap="1" layoutInCell="1" locked="0" behindDoc="1" simplePos="0" relativeHeight="482937856">
                <wp:simplePos x="0" y="0"/>
                <wp:positionH relativeFrom="page">
                  <wp:posOffset>-1402226</wp:posOffset>
                </wp:positionH>
                <wp:positionV relativeFrom="page">
                  <wp:posOffset>4612234</wp:posOffset>
                </wp:positionV>
                <wp:extent cx="10685780" cy="914400"/>
                <wp:effectExtent l="0" t="0" r="0" b="0"/>
                <wp:wrapNone/>
                <wp:docPr id="94" name="Textbox 94"/>
                <wp:cNvGraphicFramePr>
                  <a:graphicFrameLocks/>
                </wp:cNvGraphicFramePr>
                <a:graphic>
                  <a:graphicData uri="http://schemas.microsoft.com/office/word/2010/wordprocessingShape">
                    <wps:wsp>
                      <wps:cNvPr id="94" name="Textbox 9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8624;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pPr>
    </w:p>
    <w:p>
      <w:pPr>
        <w:pStyle w:val="BodyText"/>
        <w:spacing w:before="204"/>
      </w:pPr>
    </w:p>
    <w:p>
      <w:pPr>
        <w:pStyle w:val="Heading2"/>
        <w:jc w:val="left"/>
      </w:pPr>
      <w:r>
        <w:rPr/>
        <w:t>Fig.</w:t>
      </w:r>
      <w:r>
        <w:rPr>
          <w:spacing w:val="-1"/>
        </w:rPr>
        <w:t> </w:t>
      </w:r>
      <w:r>
        <w:rPr/>
        <w:t>1.3:</w:t>
      </w:r>
      <w:r>
        <w:rPr>
          <w:spacing w:val="-1"/>
        </w:rPr>
        <w:t> </w:t>
      </w:r>
      <w:r>
        <w:rPr/>
        <w:t>Schematic</w:t>
      </w:r>
      <w:r>
        <w:rPr>
          <w:spacing w:val="-1"/>
        </w:rPr>
        <w:t> </w:t>
      </w:r>
      <w:r>
        <w:rPr/>
        <w:t>diagram</w:t>
      </w:r>
      <w:r>
        <w:rPr>
          <w:spacing w:val="-4"/>
        </w:rPr>
        <w:t> </w:t>
      </w:r>
      <w:r>
        <w:rPr/>
        <w:t>of the</w:t>
      </w:r>
      <w:r>
        <w:rPr>
          <w:spacing w:val="-1"/>
        </w:rPr>
        <w:t> </w:t>
      </w:r>
      <w:r>
        <w:rPr/>
        <w:t>oxidative</w:t>
      </w:r>
      <w:r>
        <w:rPr>
          <w:spacing w:val="-1"/>
        </w:rPr>
        <w:t> </w:t>
      </w:r>
      <w:r>
        <w:rPr/>
        <w:t>reactions</w:t>
      </w:r>
      <w:r>
        <w:rPr>
          <w:spacing w:val="-1"/>
        </w:rPr>
        <w:t> </w:t>
      </w:r>
      <w:r>
        <w:rPr/>
        <w:t>of</w:t>
      </w:r>
      <w:r>
        <w:rPr>
          <w:spacing w:val="1"/>
        </w:rPr>
        <w:t> </w:t>
      </w:r>
      <w:r>
        <w:rPr>
          <w:spacing w:val="-2"/>
        </w:rPr>
        <w:t>alloxan</w:t>
      </w:r>
    </w:p>
    <w:p>
      <w:pPr>
        <w:spacing w:after="0"/>
        <w:jc w:val="left"/>
        <w:sectPr>
          <w:type w:val="continuous"/>
          <w:pgSz w:w="12240" w:h="15840"/>
          <w:pgMar w:header="0" w:footer="1056" w:top="1360" w:bottom="1260" w:left="1420" w:right="420"/>
        </w:sectPr>
      </w:pPr>
    </w:p>
    <w:p>
      <w:pPr>
        <w:pStyle w:val="Heading2"/>
        <w:numPr>
          <w:ilvl w:val="3"/>
          <w:numId w:val="19"/>
        </w:numPr>
        <w:tabs>
          <w:tab w:pos="1398" w:val="left" w:leader="none"/>
        </w:tabs>
        <w:spacing w:line="240" w:lineRule="auto" w:before="77" w:after="0"/>
        <w:ind w:left="1398" w:right="0" w:hanging="720"/>
        <w:jc w:val="both"/>
      </w:pPr>
      <w:r>
        <w:rPr/>
        <mc:AlternateContent>
          <mc:Choice Requires="wps">
            <w:drawing>
              <wp:anchor distT="0" distB="0" distL="0" distR="0" allowOverlap="1" layoutInCell="1" locked="0" behindDoc="1" simplePos="0" relativeHeight="482938368">
                <wp:simplePos x="0" y="0"/>
                <wp:positionH relativeFrom="page">
                  <wp:posOffset>-1402226</wp:posOffset>
                </wp:positionH>
                <wp:positionV relativeFrom="page">
                  <wp:posOffset>4612234</wp:posOffset>
                </wp:positionV>
                <wp:extent cx="10685780" cy="914400"/>
                <wp:effectExtent l="0" t="0" r="0" b="0"/>
                <wp:wrapNone/>
                <wp:docPr id="95" name="Textbox 95"/>
                <wp:cNvGraphicFramePr>
                  <a:graphicFrameLocks/>
                </wp:cNvGraphicFramePr>
                <a:graphic>
                  <a:graphicData uri="http://schemas.microsoft.com/office/word/2010/wordprocessingShape">
                    <wps:wsp>
                      <wps:cNvPr id="95" name="Textbox 9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811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92" w:id="41"/>
      <w:r>
        <w:rPr/>
        <w:t>Streptozotocin</w:t>
      </w:r>
      <w:r>
        <w:rPr>
          <w:spacing w:val="-3"/>
        </w:rPr>
        <w:t> </w:t>
      </w:r>
      <w:r>
        <w:rPr/>
        <w:t>induced</w:t>
      </w:r>
      <w:bookmarkEnd w:id="41"/>
      <w:r>
        <w:rPr>
          <w:spacing w:val="-2"/>
        </w:rPr>
        <w:t> diabetes</w:t>
      </w:r>
    </w:p>
    <w:p>
      <w:pPr>
        <w:pStyle w:val="BodyText"/>
        <w:spacing w:line="360" w:lineRule="auto" w:before="133"/>
        <w:ind w:left="678" w:right="999" w:firstLine="720"/>
        <w:jc w:val="both"/>
      </w:pPr>
      <w:r>
        <w:rPr/>
        <w:t>Streptozotocin is a broad-spectrum antibiotic, which causes beta islet cell damage by free radical generation. It induces diabetes in almost all species of animals excluding rabbits and guinea pigs. Diabetes can be induced by streptozotocin when it is given either as single large (as with alloxan) or as multiple sub diabetogenic injections.</w:t>
      </w:r>
    </w:p>
    <w:p>
      <w:pPr>
        <w:pStyle w:val="BodyText"/>
        <w:spacing w:before="144"/>
      </w:pPr>
    </w:p>
    <w:p>
      <w:pPr>
        <w:pStyle w:val="Heading2"/>
        <w:numPr>
          <w:ilvl w:val="4"/>
          <w:numId w:val="19"/>
        </w:numPr>
        <w:tabs>
          <w:tab w:pos="1578" w:val="left" w:leader="none"/>
        </w:tabs>
        <w:spacing w:line="240" w:lineRule="auto" w:before="0" w:after="0"/>
        <w:ind w:left="1578" w:right="0" w:hanging="900"/>
        <w:jc w:val="both"/>
      </w:pPr>
      <w:bookmarkStart w:name="_TOC_250091" w:id="42"/>
      <w:r>
        <w:rPr/>
        <w:t>Single</w:t>
      </w:r>
      <w:r>
        <w:rPr>
          <w:spacing w:val="-2"/>
        </w:rPr>
        <w:t> </w:t>
      </w:r>
      <w:r>
        <w:rPr/>
        <w:t>dose</w:t>
      </w:r>
      <w:r>
        <w:rPr>
          <w:spacing w:val="-3"/>
        </w:rPr>
        <w:t> </w:t>
      </w:r>
      <w:r>
        <w:rPr/>
        <w:t>streptozotocin</w:t>
      </w:r>
      <w:r>
        <w:rPr>
          <w:spacing w:val="-1"/>
        </w:rPr>
        <w:t> </w:t>
      </w:r>
      <w:bookmarkEnd w:id="42"/>
      <w:r>
        <w:rPr>
          <w:spacing w:val="-2"/>
        </w:rPr>
        <w:t>diabetes</w:t>
      </w:r>
    </w:p>
    <w:p>
      <w:pPr>
        <w:pStyle w:val="BodyText"/>
        <w:spacing w:line="360" w:lineRule="auto" w:before="132"/>
        <w:ind w:left="678" w:right="996" w:firstLine="720"/>
        <w:jc w:val="both"/>
      </w:pPr>
      <w:r>
        <w:rPr/>
        <w:t>Streptozocin may share several common beta cytotoxic mechanisms with alloxan and damage the beta cell membrane, producing changes similar to those induced by the alloxan (Barker, 1982). It is also thought to act intracellularly, where it may deplete the islet content of NAD. Streptozotocin shares with alloxan the ability to induce strand</w:t>
      </w:r>
      <w:r>
        <w:rPr>
          <w:spacing w:val="40"/>
        </w:rPr>
        <w:t> </w:t>
      </w:r>
      <w:r>
        <w:rPr/>
        <w:t>breaks in beta cell DNA. Moreover the induction of these lesions by streptozotocin is followed by a cascade of intracellular events similar to those provoked by exposure to alloxan i.e. stimulation of DNA repair (via poly- ADP- ribose synthetase), reduction of islet NAD content and subsequent inhibition of the islet functions. Despite some evidence that streptozotocin and alloxan exert their beta cytotoxic effects via a common</w:t>
      </w:r>
      <w:r>
        <w:rPr>
          <w:spacing w:val="40"/>
        </w:rPr>
        <w:t> </w:t>
      </w:r>
      <w:r>
        <w:rPr/>
        <w:t>mechanism, other work (Barker, 1982) suggests that this may not be the case.</w:t>
      </w:r>
    </w:p>
    <w:p>
      <w:pPr>
        <w:pStyle w:val="BodyText"/>
        <w:spacing w:before="145"/>
      </w:pPr>
    </w:p>
    <w:p>
      <w:pPr>
        <w:pStyle w:val="Heading2"/>
        <w:numPr>
          <w:ilvl w:val="4"/>
          <w:numId w:val="19"/>
        </w:numPr>
        <w:tabs>
          <w:tab w:pos="1578" w:val="left" w:leader="none"/>
        </w:tabs>
        <w:spacing w:line="240" w:lineRule="auto" w:before="0" w:after="0"/>
        <w:ind w:left="1578" w:right="0" w:hanging="900"/>
        <w:jc w:val="both"/>
      </w:pPr>
      <w:bookmarkStart w:name="_TOC_250090" w:id="43"/>
      <w:r>
        <w:rPr/>
        <w:t>Multiple</w:t>
      </w:r>
      <w:r>
        <w:rPr>
          <w:spacing w:val="-3"/>
        </w:rPr>
        <w:t> </w:t>
      </w:r>
      <w:r>
        <w:rPr/>
        <w:t>low</w:t>
      </w:r>
      <w:r>
        <w:rPr>
          <w:spacing w:val="-3"/>
        </w:rPr>
        <w:t> </w:t>
      </w:r>
      <w:r>
        <w:rPr/>
        <w:t>dose</w:t>
      </w:r>
      <w:r>
        <w:rPr>
          <w:spacing w:val="-2"/>
        </w:rPr>
        <w:t> </w:t>
      </w:r>
      <w:r>
        <w:rPr/>
        <w:t>streptozotocin</w:t>
      </w:r>
      <w:r>
        <w:rPr>
          <w:spacing w:val="-1"/>
        </w:rPr>
        <w:t> </w:t>
      </w:r>
      <w:bookmarkEnd w:id="43"/>
      <w:r>
        <w:rPr>
          <w:spacing w:val="-2"/>
        </w:rPr>
        <w:t>diabetes</w:t>
      </w:r>
    </w:p>
    <w:p>
      <w:pPr>
        <w:pStyle w:val="BodyText"/>
        <w:spacing w:line="360" w:lineRule="auto" w:before="132"/>
        <w:ind w:left="678" w:right="994" w:firstLine="720"/>
        <w:jc w:val="both"/>
      </w:pPr>
      <w:r>
        <w:rPr/>
        <w:t>Diabetes can be induced in mice by repeated injections of sub diabetogenic doses of streptozotocin and was associated with marked pancreatic insulitis, which suggested pathogenic involvement of cell mediated immunity and similarity to human IDDM.</w:t>
      </w:r>
      <w:r>
        <w:rPr>
          <w:spacing w:val="40"/>
        </w:rPr>
        <w:t> </w:t>
      </w:r>
      <w:r>
        <w:rPr/>
        <w:t>A further similarity of this model to human IDDM is that the susceptibility to develop diabetes is influenced by genetic factors, as the disease occurs only in certain inbred</w:t>
      </w:r>
      <w:r>
        <w:rPr>
          <w:spacing w:val="40"/>
        </w:rPr>
        <w:t> </w:t>
      </w:r>
      <w:r>
        <w:rPr/>
        <w:t>strains of</w:t>
      </w:r>
      <w:r>
        <w:rPr>
          <w:spacing w:val="-1"/>
        </w:rPr>
        <w:t> </w:t>
      </w:r>
      <w:r>
        <w:rPr/>
        <w:t>mice</w:t>
      </w:r>
      <w:r>
        <w:rPr>
          <w:spacing w:val="-1"/>
        </w:rPr>
        <w:t> </w:t>
      </w:r>
      <w:r>
        <w:rPr/>
        <w:t>(Gupta, 2006). Low</w:t>
      </w:r>
      <w:r>
        <w:rPr>
          <w:spacing w:val="-1"/>
        </w:rPr>
        <w:t> </w:t>
      </w:r>
      <w:r>
        <w:rPr/>
        <w:t>dose</w:t>
      </w:r>
      <w:r>
        <w:rPr>
          <w:spacing w:val="-1"/>
        </w:rPr>
        <w:t> </w:t>
      </w:r>
      <w:r>
        <w:rPr/>
        <w:t>streptozotocin induced diabetes</w:t>
      </w:r>
      <w:r>
        <w:rPr>
          <w:spacing w:val="-1"/>
        </w:rPr>
        <w:t> </w:t>
      </w:r>
      <w:r>
        <w:rPr/>
        <w:t>is a</w:t>
      </w:r>
      <w:r>
        <w:rPr>
          <w:spacing w:val="-1"/>
        </w:rPr>
        <w:t> </w:t>
      </w:r>
      <w:r>
        <w:rPr/>
        <w:t>useful tool to study the ways in which the immune processes may augment the effects of beta cytotoxic agent but not the spontaneous development of IDDM. The dose for diabetogenic dose in mice is 200 mg/kg i.p. For Beagle dogs the dose is 15 mg/kg i.v. for three days.</w:t>
      </w:r>
    </w:p>
    <w:p>
      <w:pPr>
        <w:spacing w:after="0" w:line="360" w:lineRule="auto"/>
        <w:jc w:val="both"/>
        <w:sectPr>
          <w:pgSz w:w="12240" w:h="15840"/>
          <w:pgMar w:header="0" w:footer="1056" w:top="1340" w:bottom="1240" w:left="1420" w:right="420"/>
        </w:sectPr>
      </w:pPr>
    </w:p>
    <w:p>
      <w:pPr>
        <w:pStyle w:val="Heading2"/>
        <w:numPr>
          <w:ilvl w:val="4"/>
          <w:numId w:val="19"/>
        </w:numPr>
        <w:tabs>
          <w:tab w:pos="1578" w:val="left" w:leader="none"/>
        </w:tabs>
        <w:spacing w:line="240" w:lineRule="auto" w:before="77" w:after="0"/>
        <w:ind w:left="1578" w:right="0" w:hanging="900"/>
        <w:jc w:val="both"/>
      </w:pPr>
      <w:r>
        <w:rPr/>
        <mc:AlternateContent>
          <mc:Choice Requires="wps">
            <w:drawing>
              <wp:anchor distT="0" distB="0" distL="0" distR="0" allowOverlap="1" layoutInCell="1" locked="0" behindDoc="1" simplePos="0" relativeHeight="482938880">
                <wp:simplePos x="0" y="0"/>
                <wp:positionH relativeFrom="page">
                  <wp:posOffset>-1402226</wp:posOffset>
                </wp:positionH>
                <wp:positionV relativeFrom="page">
                  <wp:posOffset>4612234</wp:posOffset>
                </wp:positionV>
                <wp:extent cx="10685780" cy="914400"/>
                <wp:effectExtent l="0" t="0" r="0" b="0"/>
                <wp:wrapNone/>
                <wp:docPr id="96" name="Textbox 96"/>
                <wp:cNvGraphicFramePr>
                  <a:graphicFrameLocks/>
                </wp:cNvGraphicFramePr>
                <a:graphic>
                  <a:graphicData uri="http://schemas.microsoft.com/office/word/2010/wordprocessingShape">
                    <wps:wsp>
                      <wps:cNvPr id="96" name="Textbox 9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7600;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89" w:id="44"/>
      <w:r>
        <w:rPr/>
        <w:t>Procedure</w:t>
      </w:r>
      <w:r>
        <w:rPr>
          <w:spacing w:val="-3"/>
        </w:rPr>
        <w:t> </w:t>
      </w:r>
      <w:r>
        <w:rPr/>
        <w:t>for</w:t>
      </w:r>
      <w:r>
        <w:rPr>
          <w:spacing w:val="-1"/>
        </w:rPr>
        <w:t> </w:t>
      </w:r>
      <w:r>
        <w:rPr/>
        <w:t>injecting</w:t>
      </w:r>
      <w:bookmarkEnd w:id="44"/>
      <w:r>
        <w:rPr>
          <w:spacing w:val="-2"/>
        </w:rPr>
        <w:t> streptozotocin</w:t>
      </w:r>
    </w:p>
    <w:p>
      <w:pPr>
        <w:pStyle w:val="BodyText"/>
        <w:spacing w:line="360" w:lineRule="auto" w:before="133"/>
        <w:ind w:left="678" w:right="993" w:firstLine="780"/>
        <w:jc w:val="both"/>
      </w:pPr>
      <w:r>
        <w:rPr/>
        <w:t>Streptozotocin (60 mg/kg body weight) is prepared in citrated buffer (pH 4.5). Albino rats of either sex weighing 150-200 g are</w:t>
      </w:r>
      <w:r>
        <w:rPr>
          <w:spacing w:val="-1"/>
        </w:rPr>
        <w:t> </w:t>
      </w:r>
      <w:r>
        <w:rPr/>
        <w:t>injected</w:t>
      </w:r>
      <w:r>
        <w:rPr>
          <w:spacing w:val="-1"/>
        </w:rPr>
        <w:t> </w:t>
      </w:r>
      <w:r>
        <w:rPr/>
        <w:t>i.p with above solution. Animals showing fasting blood glucose levels &gt; 140 mg/dl after 48 hours of streptozotocin administration are considered diabetic. After six weeks of treatment blood samples are collected from 6 hr fasted animals through caudal vein. Serum is separated by centrifuge (3000 rpm) under cooling (2-4 °C) for ten minutes. Serum glucose level is estimated by glucose- peroxidase method (GOD-POD kit) using autoanalyser.</w:t>
      </w:r>
    </w:p>
    <w:p>
      <w:pPr>
        <w:pStyle w:val="BodyText"/>
        <w:spacing w:before="143"/>
      </w:pPr>
    </w:p>
    <w:p>
      <w:pPr>
        <w:pStyle w:val="Heading2"/>
        <w:numPr>
          <w:ilvl w:val="3"/>
          <w:numId w:val="19"/>
        </w:numPr>
        <w:tabs>
          <w:tab w:pos="1398" w:val="left" w:leader="none"/>
        </w:tabs>
        <w:spacing w:line="240" w:lineRule="auto" w:before="0" w:after="0"/>
        <w:ind w:left="1398" w:right="0" w:hanging="720"/>
        <w:jc w:val="both"/>
      </w:pPr>
      <w:bookmarkStart w:name="_TOC_250088" w:id="45"/>
      <w:r>
        <w:rPr/>
        <w:t>Virus</w:t>
      </w:r>
      <w:r>
        <w:rPr>
          <w:spacing w:val="-1"/>
        </w:rPr>
        <w:t> </w:t>
      </w:r>
      <w:r>
        <w:rPr/>
        <w:t>induced</w:t>
      </w:r>
      <w:r>
        <w:rPr>
          <w:spacing w:val="-1"/>
        </w:rPr>
        <w:t> </w:t>
      </w:r>
      <w:bookmarkEnd w:id="45"/>
      <w:r>
        <w:rPr>
          <w:spacing w:val="-2"/>
        </w:rPr>
        <w:t>diabetes</w:t>
      </w:r>
    </w:p>
    <w:p>
      <w:pPr>
        <w:pStyle w:val="BodyText"/>
        <w:spacing w:line="360" w:lineRule="auto" w:before="135"/>
        <w:ind w:left="678" w:right="991" w:firstLine="720"/>
        <w:jc w:val="both"/>
      </w:pPr>
      <w:r>
        <w:rPr/>
        <w:t>Viruses are one of the etiological agents for IDDM. They produce diabetes</w:t>
      </w:r>
      <w:r>
        <w:rPr>
          <w:spacing w:val="40"/>
        </w:rPr>
        <w:t> </w:t>
      </w:r>
      <w:r>
        <w:rPr/>
        <w:t>mellitus by infecting and destroying beta cells of pancreas. Various human viruses used</w:t>
      </w:r>
      <w:r>
        <w:rPr>
          <w:spacing w:val="40"/>
        </w:rPr>
        <w:t> </w:t>
      </w:r>
      <w:r>
        <w:rPr/>
        <w:t>for inducing diabetes include RNA picornovirus, encephalomyocarditis (EMC-D), coxsackie B4 (CB-4).</w:t>
      </w:r>
      <w:r>
        <w:rPr>
          <w:spacing w:val="40"/>
        </w:rPr>
        <w:t> </w:t>
      </w:r>
      <w:r>
        <w:rPr/>
        <w:t>6-8 week old mice are inoculated by 0.1 ml of 1:50 dilutions of D- variant encephalomyocarditis (EMC) through i.p. 0.1 ml of above dilution contains 50 PFU (plaque forming units) of EMC virus.(mortality due to this concentration of virus is approximately 10-20%).</w:t>
      </w:r>
      <w:r>
        <w:rPr>
          <w:spacing w:val="40"/>
        </w:rPr>
        <w:t> </w:t>
      </w:r>
      <w:r>
        <w:rPr/>
        <w:t>A less infecting variant produces a comparable damage by eliciting autoimmune reactivity to the beta cells.</w:t>
      </w:r>
      <w:r>
        <w:rPr>
          <w:spacing w:val="40"/>
        </w:rPr>
        <w:t> </w:t>
      </w:r>
      <w:r>
        <w:rPr/>
        <w:t>Infected animals are considered hyperglycemic if there non fasting levels exceed by 250 mg/dl the levels of uninfected animals of the same strain. Drug samples to be screened are administered orally for a period of 6 weeks. After 6 weeks of drug treatment, blood glucose estimation is done to determine the anti diabetic activity.</w:t>
      </w:r>
    </w:p>
    <w:p>
      <w:pPr>
        <w:pStyle w:val="BodyText"/>
        <w:spacing w:before="142"/>
      </w:pPr>
    </w:p>
    <w:p>
      <w:pPr>
        <w:pStyle w:val="Heading2"/>
        <w:numPr>
          <w:ilvl w:val="3"/>
          <w:numId w:val="19"/>
        </w:numPr>
        <w:tabs>
          <w:tab w:pos="1458" w:val="left" w:leader="none"/>
        </w:tabs>
        <w:spacing w:line="240" w:lineRule="auto" w:before="0" w:after="0"/>
        <w:ind w:left="1458" w:right="0" w:hanging="720"/>
        <w:jc w:val="both"/>
      </w:pPr>
      <w:bookmarkStart w:name="_TOC_250087" w:id="46"/>
      <w:r>
        <w:rPr/>
        <w:t>Insulin</w:t>
      </w:r>
      <w:r>
        <w:rPr>
          <w:spacing w:val="-3"/>
        </w:rPr>
        <w:t> </w:t>
      </w:r>
      <w:r>
        <w:rPr/>
        <w:t>antibodies</w:t>
      </w:r>
      <w:r>
        <w:rPr>
          <w:spacing w:val="-3"/>
        </w:rPr>
        <w:t> </w:t>
      </w:r>
      <w:r>
        <w:rPr/>
        <w:t>induced</w:t>
      </w:r>
      <w:bookmarkEnd w:id="46"/>
      <w:r>
        <w:rPr>
          <w:spacing w:val="-2"/>
        </w:rPr>
        <w:t> diabetes</w:t>
      </w:r>
    </w:p>
    <w:p>
      <w:pPr>
        <w:pStyle w:val="BodyText"/>
        <w:spacing w:line="360" w:lineRule="auto" w:before="132"/>
        <w:ind w:left="678" w:right="994" w:firstLine="720"/>
        <w:jc w:val="both"/>
      </w:pPr>
      <w:r>
        <w:rPr/>
        <w:t>A transient diabetic syndrome can be induced by injecting guinea pigs with anti insulin serum. Diabetes persists as long as antibodies are capable of reacting with insulin remaining in the circulation. Bovine insulin, dissolved in acidified water (pH 3.0) at a</w:t>
      </w:r>
      <w:r>
        <w:rPr>
          <w:spacing w:val="80"/>
        </w:rPr>
        <w:t> </w:t>
      </w:r>
      <w:r>
        <w:rPr/>
        <w:t>dose of 1mg</w:t>
      </w:r>
      <w:r>
        <w:rPr>
          <w:spacing w:val="-1"/>
        </w:rPr>
        <w:t> </w:t>
      </w:r>
      <w:r>
        <w:rPr/>
        <w:t>is injected to guinea pigs weighing</w:t>
      </w:r>
      <w:r>
        <w:rPr>
          <w:spacing w:val="-1"/>
        </w:rPr>
        <w:t> </w:t>
      </w:r>
      <w:r>
        <w:rPr/>
        <w:t>300-400 gm. Anti insulin</w:t>
      </w:r>
      <w:r>
        <w:rPr>
          <w:spacing w:val="-1"/>
        </w:rPr>
        <w:t> </w:t>
      </w:r>
      <w:r>
        <w:rPr/>
        <w:t>sera</w:t>
      </w:r>
      <w:r>
        <w:rPr>
          <w:spacing w:val="-1"/>
        </w:rPr>
        <w:t> </w:t>
      </w:r>
      <w:r>
        <w:rPr/>
        <w:t>is collected after two weeks of antigenic challenge. Adult albino rats are injected with 0.25-1.0 ml of guinea</w:t>
      </w:r>
      <w:r>
        <w:rPr>
          <w:spacing w:val="38"/>
        </w:rPr>
        <w:t> </w:t>
      </w:r>
      <w:r>
        <w:rPr/>
        <w:t>pig</w:t>
      </w:r>
      <w:r>
        <w:rPr>
          <w:spacing w:val="40"/>
        </w:rPr>
        <w:t> </w:t>
      </w:r>
      <w:r>
        <w:rPr/>
        <w:t>anti-</w:t>
      </w:r>
      <w:r>
        <w:rPr>
          <w:spacing w:val="41"/>
        </w:rPr>
        <w:t> </w:t>
      </w:r>
      <w:r>
        <w:rPr/>
        <w:t>insulin</w:t>
      </w:r>
      <w:r>
        <w:rPr>
          <w:spacing w:val="39"/>
        </w:rPr>
        <w:t> </w:t>
      </w:r>
      <w:r>
        <w:rPr/>
        <w:t>serum.</w:t>
      </w:r>
      <w:r>
        <w:rPr>
          <w:spacing w:val="44"/>
        </w:rPr>
        <w:t> </w:t>
      </w:r>
      <w:r>
        <w:rPr/>
        <w:t>Insulin</w:t>
      </w:r>
      <w:r>
        <w:rPr>
          <w:spacing w:val="42"/>
        </w:rPr>
        <w:t> </w:t>
      </w:r>
      <w:r>
        <w:rPr/>
        <w:t>antibodies</w:t>
      </w:r>
      <w:r>
        <w:rPr>
          <w:spacing w:val="41"/>
        </w:rPr>
        <w:t> </w:t>
      </w:r>
      <w:r>
        <w:rPr/>
        <w:t>induce</w:t>
      </w:r>
      <w:r>
        <w:rPr>
          <w:spacing w:val="40"/>
        </w:rPr>
        <w:t> </w:t>
      </w:r>
      <w:r>
        <w:rPr/>
        <w:t>a</w:t>
      </w:r>
      <w:r>
        <w:rPr>
          <w:spacing w:val="41"/>
        </w:rPr>
        <w:t> </w:t>
      </w:r>
      <w:r>
        <w:rPr/>
        <w:t>dose</w:t>
      </w:r>
      <w:r>
        <w:rPr>
          <w:spacing w:val="40"/>
        </w:rPr>
        <w:t> </w:t>
      </w:r>
      <w:r>
        <w:rPr/>
        <w:t>dependent</w:t>
      </w:r>
      <w:r>
        <w:rPr>
          <w:spacing w:val="42"/>
        </w:rPr>
        <w:t> </w:t>
      </w:r>
      <w:r>
        <w:rPr/>
        <w:t>increase</w:t>
      </w:r>
      <w:r>
        <w:rPr>
          <w:spacing w:val="41"/>
        </w:rPr>
        <w:t> </w:t>
      </w:r>
      <w:r>
        <w:rPr>
          <w:spacing w:val="-5"/>
        </w:rPr>
        <w:t>of</w:t>
      </w:r>
    </w:p>
    <w:p>
      <w:pPr>
        <w:spacing w:after="0" w:line="360" w:lineRule="auto"/>
        <w:jc w:val="both"/>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39392">
                <wp:simplePos x="0" y="0"/>
                <wp:positionH relativeFrom="page">
                  <wp:posOffset>-1402226</wp:posOffset>
                </wp:positionH>
                <wp:positionV relativeFrom="page">
                  <wp:posOffset>4612234</wp:posOffset>
                </wp:positionV>
                <wp:extent cx="10685780" cy="914400"/>
                <wp:effectExtent l="0" t="0" r="0" b="0"/>
                <wp:wrapNone/>
                <wp:docPr id="97" name="Textbox 97"/>
                <wp:cNvGraphicFramePr>
                  <a:graphicFrameLocks/>
                </wp:cNvGraphicFramePr>
                <a:graphic>
                  <a:graphicData uri="http://schemas.microsoft.com/office/word/2010/wordprocessingShape">
                    <wps:wsp>
                      <wps:cNvPr id="97" name="Textbox 9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7088;rotation:306" type="#_x0000_t136" fillcolor="#ff5400" stroked="f">
                <o:extrusion v:ext="view" autorotationcenter="t"/>
                <v:textpath style="font-family:&quot;Arial MT&quot;;font-size:72pt;v-text-kern:t;mso-text-shadow:auto" string="UNIVERSITY OF IBADAN"/>
                <w10:wrap type="none"/>
              </v:shape>
            </w:pict>
          </mc:Fallback>
        </mc:AlternateContent>
      </w:r>
      <w:r>
        <w:rPr/>
        <w:t>blood glucose level up to 300 mg/ dl.</w:t>
      </w:r>
      <w:r>
        <w:rPr>
          <w:spacing w:val="76"/>
        </w:rPr>
        <w:t> </w:t>
      </w:r>
      <w:r>
        <w:rPr/>
        <w:t>The drug sample to be screened is administered by</w:t>
      </w:r>
      <w:r>
        <w:rPr>
          <w:spacing w:val="40"/>
        </w:rPr>
        <w:t> </w:t>
      </w:r>
      <w:r>
        <w:rPr/>
        <w:t>a suitable root and blood glucose level is analysed to determine the activity.</w:t>
      </w:r>
    </w:p>
    <w:p>
      <w:pPr>
        <w:pStyle w:val="BodyText"/>
        <w:spacing w:before="142"/>
      </w:pPr>
    </w:p>
    <w:p>
      <w:pPr>
        <w:pStyle w:val="Heading2"/>
        <w:numPr>
          <w:ilvl w:val="3"/>
          <w:numId w:val="19"/>
        </w:numPr>
        <w:tabs>
          <w:tab w:pos="1398" w:val="left" w:leader="none"/>
        </w:tabs>
        <w:spacing w:line="240" w:lineRule="auto" w:before="1" w:after="0"/>
        <w:ind w:left="1398" w:right="0" w:hanging="720"/>
        <w:jc w:val="both"/>
      </w:pPr>
      <w:bookmarkStart w:name="_TOC_250086" w:id="47"/>
      <w:r>
        <w:rPr/>
        <w:t>Hormone</w:t>
      </w:r>
      <w:r>
        <w:rPr>
          <w:spacing w:val="-3"/>
        </w:rPr>
        <w:t> </w:t>
      </w:r>
      <w:r>
        <w:rPr/>
        <w:t>induced</w:t>
      </w:r>
      <w:bookmarkEnd w:id="47"/>
      <w:r>
        <w:rPr>
          <w:spacing w:val="-2"/>
        </w:rPr>
        <w:t> diabetes</w:t>
      </w:r>
    </w:p>
    <w:p>
      <w:pPr>
        <w:pStyle w:val="BodyText"/>
        <w:spacing w:line="360" w:lineRule="auto" w:before="134"/>
        <w:ind w:left="678" w:right="994" w:firstLine="720"/>
        <w:jc w:val="both"/>
      </w:pPr>
      <w:r>
        <w:rPr/>
        <w:t>Dexamethasone is a steroid possessing immunesuppresion action, which causes an autoimmune reaction in the islets and produces type 1 diabetes.</w:t>
      </w:r>
      <w:r>
        <w:rPr>
          <w:spacing w:val="40"/>
        </w:rPr>
        <w:t> </w:t>
      </w:r>
      <w:r>
        <w:rPr/>
        <w:t>Adult rats weighing 150- 200 gm are injected with dexamethasone at a dose level of 2-5 mg/kg body weight i.p. twice</w:t>
      </w:r>
      <w:r>
        <w:rPr>
          <w:spacing w:val="-4"/>
        </w:rPr>
        <w:t> </w:t>
      </w:r>
      <w:r>
        <w:rPr/>
        <w:t>a</w:t>
      </w:r>
      <w:r>
        <w:rPr>
          <w:spacing w:val="-3"/>
        </w:rPr>
        <w:t> </w:t>
      </w:r>
      <w:r>
        <w:rPr/>
        <w:t>day.</w:t>
      </w:r>
      <w:r>
        <w:rPr>
          <w:spacing w:val="-2"/>
        </w:rPr>
        <w:t> </w:t>
      </w:r>
      <w:r>
        <w:rPr/>
        <w:t>Repeated</w:t>
      </w:r>
      <w:r>
        <w:rPr>
          <w:spacing w:val="-2"/>
        </w:rPr>
        <w:t> </w:t>
      </w:r>
      <w:r>
        <w:rPr/>
        <w:t>injection</w:t>
      </w:r>
      <w:r>
        <w:rPr>
          <w:spacing w:val="-2"/>
        </w:rPr>
        <w:t> </w:t>
      </w:r>
      <w:r>
        <w:rPr/>
        <w:t>of</w:t>
      </w:r>
      <w:r>
        <w:rPr>
          <w:spacing w:val="-3"/>
        </w:rPr>
        <w:t> </w:t>
      </w:r>
      <w:r>
        <w:rPr/>
        <w:t>same</w:t>
      </w:r>
      <w:r>
        <w:rPr>
          <w:spacing w:val="-3"/>
        </w:rPr>
        <w:t> </w:t>
      </w:r>
      <w:r>
        <w:rPr/>
        <w:t>dose</w:t>
      </w:r>
      <w:r>
        <w:rPr>
          <w:spacing w:val="-3"/>
        </w:rPr>
        <w:t> </w:t>
      </w:r>
      <w:r>
        <w:rPr/>
        <w:t>level is</w:t>
      </w:r>
      <w:r>
        <w:rPr>
          <w:spacing w:val="-2"/>
        </w:rPr>
        <w:t> </w:t>
      </w:r>
      <w:r>
        <w:rPr/>
        <w:t>carried</w:t>
      </w:r>
      <w:r>
        <w:rPr>
          <w:spacing w:val="-2"/>
        </w:rPr>
        <w:t> </w:t>
      </w:r>
      <w:r>
        <w:rPr/>
        <w:t>out</w:t>
      </w:r>
      <w:r>
        <w:rPr>
          <w:spacing w:val="-2"/>
        </w:rPr>
        <w:t> </w:t>
      </w:r>
      <w:r>
        <w:rPr/>
        <w:t>for</w:t>
      </w:r>
      <w:r>
        <w:rPr>
          <w:spacing w:val="-1"/>
        </w:rPr>
        <w:t> </w:t>
      </w:r>
      <w:r>
        <w:rPr/>
        <w:t>a</w:t>
      </w:r>
      <w:r>
        <w:rPr>
          <w:spacing w:val="-3"/>
        </w:rPr>
        <w:t> </w:t>
      </w:r>
      <w:r>
        <w:rPr/>
        <w:t>period</w:t>
      </w:r>
      <w:r>
        <w:rPr>
          <w:spacing w:val="-2"/>
        </w:rPr>
        <w:t> </w:t>
      </w:r>
      <w:r>
        <w:rPr/>
        <w:t>of</w:t>
      </w:r>
      <w:r>
        <w:rPr>
          <w:spacing w:val="-2"/>
        </w:rPr>
        <w:t> </w:t>
      </w:r>
      <w:r>
        <w:rPr/>
        <w:t>20-30</w:t>
      </w:r>
      <w:r>
        <w:rPr>
          <w:spacing w:val="-2"/>
        </w:rPr>
        <w:t> </w:t>
      </w:r>
      <w:r>
        <w:rPr/>
        <w:t>days resulting in IDDM. The sample to be screened is administered through a suitable root. Blood glucose is analyzed to determine the activity.</w:t>
      </w:r>
    </w:p>
    <w:p>
      <w:pPr>
        <w:pStyle w:val="BodyText"/>
        <w:spacing w:before="142"/>
      </w:pPr>
    </w:p>
    <w:p>
      <w:pPr>
        <w:pStyle w:val="Heading2"/>
        <w:numPr>
          <w:ilvl w:val="3"/>
          <w:numId w:val="19"/>
        </w:numPr>
        <w:tabs>
          <w:tab w:pos="1398" w:val="left" w:leader="none"/>
        </w:tabs>
        <w:spacing w:line="240" w:lineRule="auto" w:before="0" w:after="0"/>
        <w:ind w:left="1398" w:right="0" w:hanging="720"/>
        <w:jc w:val="both"/>
      </w:pPr>
      <w:bookmarkStart w:name="_TOC_250085" w:id="48"/>
      <w:r>
        <w:rPr/>
        <w:t>Genetic</w:t>
      </w:r>
      <w:bookmarkEnd w:id="48"/>
      <w:r>
        <w:rPr>
          <w:spacing w:val="-2"/>
        </w:rPr>
        <w:t> models</w:t>
      </w:r>
    </w:p>
    <w:p>
      <w:pPr>
        <w:pStyle w:val="Heading2"/>
        <w:numPr>
          <w:ilvl w:val="4"/>
          <w:numId w:val="19"/>
        </w:numPr>
        <w:tabs>
          <w:tab w:pos="1578" w:val="left" w:leader="none"/>
        </w:tabs>
        <w:spacing w:line="240" w:lineRule="auto" w:before="140" w:after="0"/>
        <w:ind w:left="1578" w:right="0" w:hanging="900"/>
        <w:jc w:val="both"/>
      </w:pPr>
      <w:bookmarkStart w:name="_TOC_250084" w:id="49"/>
      <w:r>
        <w:rPr/>
        <w:t>Non</w:t>
      </w:r>
      <w:r>
        <w:rPr>
          <w:spacing w:val="-1"/>
        </w:rPr>
        <w:t> </w:t>
      </w:r>
      <w:r>
        <w:rPr/>
        <w:t>obese</w:t>
      </w:r>
      <w:r>
        <w:rPr>
          <w:spacing w:val="-2"/>
        </w:rPr>
        <w:t> </w:t>
      </w:r>
      <w:r>
        <w:rPr/>
        <w:t>diabetic mouse</w:t>
      </w:r>
      <w:r>
        <w:rPr>
          <w:spacing w:val="-2"/>
        </w:rPr>
        <w:t> </w:t>
      </w:r>
      <w:r>
        <w:rPr/>
        <w:t>(NOD</w:t>
      </w:r>
      <w:r>
        <w:rPr>
          <w:spacing w:val="1"/>
        </w:rPr>
        <w:t> </w:t>
      </w:r>
      <w:bookmarkEnd w:id="49"/>
      <w:r>
        <w:rPr>
          <w:spacing w:val="-2"/>
        </w:rPr>
        <w:t>mouse)</w:t>
      </w:r>
    </w:p>
    <w:p>
      <w:pPr>
        <w:pStyle w:val="BodyText"/>
        <w:spacing w:line="360" w:lineRule="auto" w:before="132"/>
        <w:ind w:left="678" w:right="991" w:firstLine="720"/>
        <w:jc w:val="both"/>
      </w:pPr>
      <w:r>
        <w:rPr/>
        <w:t>This is a model for IDDM. Hypoinsulinemia is developed which is caused by autoimmune destruction of pancreatic beta cells in association with autoantibody production.</w:t>
      </w:r>
      <w:r>
        <w:rPr>
          <w:spacing w:val="40"/>
        </w:rPr>
        <w:t> </w:t>
      </w:r>
      <w:r>
        <w:rPr/>
        <w:t>Mice are bred at laboratory by sib mating over 20 generations. After 20 generations of sib mating, spontaneous development of IDDM in mice is obtained. Diabetes develops abruptly between 100-200 days of age. Characterized by weight loss, poly urea, severe glucosurea). Animals are treated with the drug sample to be screened. Blood sample is analysed for glucose level to determine activity.</w:t>
      </w:r>
    </w:p>
    <w:p>
      <w:pPr>
        <w:pStyle w:val="BodyText"/>
        <w:spacing w:before="143"/>
      </w:pPr>
    </w:p>
    <w:p>
      <w:pPr>
        <w:pStyle w:val="Heading2"/>
        <w:numPr>
          <w:ilvl w:val="4"/>
          <w:numId w:val="19"/>
        </w:numPr>
        <w:tabs>
          <w:tab w:pos="1578" w:val="left" w:leader="none"/>
        </w:tabs>
        <w:spacing w:line="240" w:lineRule="auto" w:before="0" w:after="0"/>
        <w:ind w:left="1578" w:right="0" w:hanging="900"/>
        <w:jc w:val="both"/>
      </w:pPr>
      <w:r>
        <w:rPr/>
        <w:t>Bio</w:t>
      </w:r>
      <w:r>
        <w:rPr>
          <w:spacing w:val="-1"/>
        </w:rPr>
        <w:t> </w:t>
      </w:r>
      <w:r>
        <w:rPr/>
        <w:t>breeding</w:t>
      </w:r>
      <w:r>
        <w:rPr>
          <w:spacing w:val="-1"/>
        </w:rPr>
        <w:t> </w:t>
      </w:r>
      <w:r>
        <w:rPr/>
        <w:t>rats</w:t>
      </w:r>
      <w:r>
        <w:rPr>
          <w:spacing w:val="-1"/>
        </w:rPr>
        <w:t> </w:t>
      </w:r>
      <w:r>
        <w:rPr/>
        <w:t>(BB)</w:t>
      </w:r>
      <w:r>
        <w:rPr>
          <w:spacing w:val="1"/>
        </w:rPr>
        <w:t> </w:t>
      </w:r>
      <w:r>
        <w:rPr>
          <w:spacing w:val="-4"/>
        </w:rPr>
        <w:t>rats</w:t>
      </w:r>
    </w:p>
    <w:p>
      <w:pPr>
        <w:pStyle w:val="BodyText"/>
        <w:spacing w:line="360" w:lineRule="auto" w:before="135"/>
        <w:ind w:left="678" w:right="993" w:firstLine="720"/>
        <w:jc w:val="both"/>
      </w:pPr>
      <w:r>
        <w:rPr/>
        <w:t>The BB rats were discovered in 1974 by Drs Reignald and Clifford Chappel in a commercial rodent breeding company (Biobreeding laboratories Ltd.) in Ottawa. The diabetogenic syndromes of BB rat shares many characteristics with human IDDM. There</w:t>
      </w:r>
      <w:r>
        <w:rPr>
          <w:spacing w:val="40"/>
        </w:rPr>
        <w:t> </w:t>
      </w:r>
      <w:r>
        <w:rPr/>
        <w:t>is genetic predisposition to develop the disease and long prediabetic period followed by abrupt onset of symptoms at around three months of age. Rats are bred at the laboratory</w:t>
      </w:r>
      <w:r>
        <w:rPr>
          <w:spacing w:val="80"/>
        </w:rPr>
        <w:t> </w:t>
      </w:r>
      <w:r>
        <w:rPr/>
        <w:t>by sib mating over 20 generations. After 20 generations of sib mating spontaneous development of IDDM in rats is obtained. The onset of clinical diabetes is sudden and occurs at 60- 120 days of age. (Clinical presentation is similar to that of humans with marked hyperglycemia,</w:t>
      </w:r>
      <w:r>
        <w:rPr>
          <w:spacing w:val="2"/>
        </w:rPr>
        <w:t> </w:t>
      </w:r>
      <w:r>
        <w:rPr/>
        <w:t>glycosurea</w:t>
      </w:r>
      <w:r>
        <w:rPr>
          <w:spacing w:val="1"/>
        </w:rPr>
        <w:t> </w:t>
      </w:r>
      <w:r>
        <w:rPr/>
        <w:t>and</w:t>
      </w:r>
      <w:r>
        <w:rPr>
          <w:spacing w:val="2"/>
        </w:rPr>
        <w:t> </w:t>
      </w:r>
      <w:r>
        <w:rPr/>
        <w:t>weight</w:t>
      </w:r>
      <w:r>
        <w:rPr>
          <w:spacing w:val="3"/>
        </w:rPr>
        <w:t> </w:t>
      </w:r>
      <w:r>
        <w:rPr/>
        <w:t>loss</w:t>
      </w:r>
      <w:r>
        <w:rPr>
          <w:spacing w:val="3"/>
        </w:rPr>
        <w:t> </w:t>
      </w:r>
      <w:r>
        <w:rPr/>
        <w:t>and</w:t>
      </w:r>
      <w:r>
        <w:rPr>
          <w:spacing w:val="8"/>
        </w:rPr>
        <w:t> </w:t>
      </w:r>
      <w:r>
        <w:rPr/>
        <w:t>decrease</w:t>
      </w:r>
      <w:r>
        <w:rPr>
          <w:spacing w:val="1"/>
        </w:rPr>
        <w:t> </w:t>
      </w:r>
      <w:r>
        <w:rPr/>
        <w:t>plasma</w:t>
      </w:r>
      <w:r>
        <w:rPr>
          <w:spacing w:val="1"/>
        </w:rPr>
        <w:t> </w:t>
      </w:r>
      <w:r>
        <w:rPr/>
        <w:t>insulin,</w:t>
      </w:r>
      <w:r>
        <w:rPr>
          <w:spacing w:val="3"/>
        </w:rPr>
        <w:t> </w:t>
      </w:r>
      <w:r>
        <w:rPr/>
        <w:t>and</w:t>
      </w:r>
      <w:r>
        <w:rPr>
          <w:spacing w:val="3"/>
        </w:rPr>
        <w:t> </w:t>
      </w:r>
      <w:r>
        <w:rPr>
          <w:spacing w:val="-2"/>
        </w:rPr>
        <w:t>these</w:t>
      </w:r>
    </w:p>
    <w:p>
      <w:pPr>
        <w:spacing w:after="0" w:line="360" w:lineRule="auto"/>
        <w:jc w:val="both"/>
        <w:sectPr>
          <w:pgSz w:w="12240" w:h="15840"/>
          <w:pgMar w:header="0" w:footer="1056" w:top="1340" w:bottom="1240" w:left="1420" w:right="420"/>
        </w:sectPr>
      </w:pPr>
    </w:p>
    <w:p>
      <w:pPr>
        <w:pStyle w:val="BodyText"/>
        <w:spacing w:line="360" w:lineRule="auto" w:before="72"/>
        <w:ind w:left="678" w:right="1001"/>
        <w:jc w:val="both"/>
      </w:pPr>
      <w:r>
        <w:rPr/>
        <mc:AlternateContent>
          <mc:Choice Requires="wps">
            <w:drawing>
              <wp:anchor distT="0" distB="0" distL="0" distR="0" allowOverlap="1" layoutInCell="1" locked="0" behindDoc="1" simplePos="0" relativeHeight="482939904">
                <wp:simplePos x="0" y="0"/>
                <wp:positionH relativeFrom="page">
                  <wp:posOffset>-1402226</wp:posOffset>
                </wp:positionH>
                <wp:positionV relativeFrom="page">
                  <wp:posOffset>4612234</wp:posOffset>
                </wp:positionV>
                <wp:extent cx="10685780" cy="914400"/>
                <wp:effectExtent l="0" t="0" r="0" b="0"/>
                <wp:wrapNone/>
                <wp:docPr id="98" name="Textbox 98"/>
                <wp:cNvGraphicFramePr>
                  <a:graphicFrameLocks/>
                </wp:cNvGraphicFramePr>
                <a:graphic>
                  <a:graphicData uri="http://schemas.microsoft.com/office/word/2010/wordprocessingShape">
                    <wps:wsp>
                      <wps:cNvPr id="98" name="Textbox 9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6576;rotation:306" type="#_x0000_t136" fillcolor="#ff5400" stroked="f">
                <o:extrusion v:ext="view" autorotationcenter="t"/>
                <v:textpath style="font-family:&quot;Arial MT&quot;;font-size:72pt;v-text-kern:t;mso-text-shadow:auto" string="UNIVERSITY OF IBADAN"/>
                <w10:wrap type="none"/>
              </v:shape>
            </w:pict>
          </mc:Fallback>
        </mc:AlternateContent>
      </w:r>
      <w:r>
        <w:rPr/>
        <w:t>results in ketoacidosis if untreated). Animals are treated with drug samples to be screened for a required period of time. Blood sample is determined for glucose level to determine </w:t>
      </w:r>
      <w:r>
        <w:rPr>
          <w:spacing w:val="-2"/>
        </w:rPr>
        <w:t>activity.</w:t>
      </w:r>
    </w:p>
    <w:p>
      <w:pPr>
        <w:pStyle w:val="BodyText"/>
        <w:spacing w:before="144"/>
      </w:pPr>
    </w:p>
    <w:p>
      <w:pPr>
        <w:pStyle w:val="Heading2"/>
        <w:numPr>
          <w:ilvl w:val="4"/>
          <w:numId w:val="19"/>
        </w:numPr>
        <w:tabs>
          <w:tab w:pos="1578" w:val="left" w:leader="none"/>
        </w:tabs>
        <w:spacing w:line="240" w:lineRule="auto" w:before="0" w:after="0"/>
        <w:ind w:left="1578" w:right="0" w:hanging="900"/>
        <w:jc w:val="both"/>
      </w:pPr>
      <w:bookmarkStart w:name="_TOC_250083" w:id="50"/>
      <w:r>
        <w:rPr/>
        <w:t>Adrenaline</w:t>
      </w:r>
      <w:r>
        <w:rPr>
          <w:spacing w:val="-3"/>
        </w:rPr>
        <w:t> </w:t>
      </w:r>
      <w:r>
        <w:rPr/>
        <w:t>induced</w:t>
      </w:r>
      <w:r>
        <w:rPr>
          <w:spacing w:val="-2"/>
        </w:rPr>
        <w:t> </w:t>
      </w:r>
      <w:r>
        <w:rPr/>
        <w:t>acute</w:t>
      </w:r>
      <w:r>
        <w:rPr>
          <w:spacing w:val="-3"/>
        </w:rPr>
        <w:t> </w:t>
      </w:r>
      <w:bookmarkEnd w:id="50"/>
      <w:r>
        <w:rPr>
          <w:spacing w:val="-2"/>
        </w:rPr>
        <w:t>hyperglycemia</w:t>
      </w:r>
    </w:p>
    <w:p>
      <w:pPr>
        <w:pStyle w:val="BodyText"/>
        <w:spacing w:line="360" w:lineRule="auto" w:before="132"/>
        <w:ind w:left="678" w:right="994" w:firstLine="720"/>
        <w:jc w:val="both"/>
      </w:pPr>
      <w:r>
        <w:rPr/>
        <w:t>Adrenaline is a counter regulatory hormone to insulin. It increases the rate of glyconeolysis</w:t>
      </w:r>
      <w:r>
        <w:rPr>
          <w:spacing w:val="-1"/>
        </w:rPr>
        <w:t> </w:t>
      </w:r>
      <w:r>
        <w:rPr/>
        <w:t>and</w:t>
      </w:r>
      <w:r>
        <w:rPr>
          <w:spacing w:val="-3"/>
        </w:rPr>
        <w:t> </w:t>
      </w:r>
      <w:r>
        <w:rPr/>
        <w:t>the glucose</w:t>
      </w:r>
      <w:r>
        <w:rPr>
          <w:spacing w:val="-3"/>
        </w:rPr>
        <w:t> </w:t>
      </w:r>
      <w:r>
        <w:rPr/>
        <w:t>levels</w:t>
      </w:r>
      <w:r>
        <w:rPr>
          <w:spacing w:val="-3"/>
        </w:rPr>
        <w:t> </w:t>
      </w:r>
      <w:r>
        <w:rPr/>
        <w:t>in</w:t>
      </w:r>
      <w:r>
        <w:rPr>
          <w:spacing w:val="-3"/>
        </w:rPr>
        <w:t> </w:t>
      </w:r>
      <w:r>
        <w:rPr/>
        <w:t>blood</w:t>
      </w:r>
      <w:r>
        <w:rPr>
          <w:spacing w:val="-1"/>
        </w:rPr>
        <w:t> </w:t>
      </w:r>
      <w:r>
        <w:rPr/>
        <w:t>causing</w:t>
      </w:r>
      <w:r>
        <w:rPr>
          <w:spacing w:val="-5"/>
        </w:rPr>
        <w:t> </w:t>
      </w:r>
      <w:r>
        <w:rPr/>
        <w:t>hyperglycemia.</w:t>
      </w:r>
      <w:r>
        <w:rPr>
          <w:spacing w:val="-3"/>
        </w:rPr>
        <w:t> </w:t>
      </w:r>
      <w:r>
        <w:rPr/>
        <w:t>Adult</w:t>
      </w:r>
      <w:r>
        <w:rPr>
          <w:spacing w:val="-3"/>
        </w:rPr>
        <w:t> </w:t>
      </w:r>
      <w:r>
        <w:rPr/>
        <w:t>albino</w:t>
      </w:r>
      <w:r>
        <w:rPr>
          <w:spacing w:val="-3"/>
        </w:rPr>
        <w:t> </w:t>
      </w:r>
      <w:r>
        <w:rPr/>
        <w:t>rats</w:t>
      </w:r>
      <w:r>
        <w:rPr>
          <w:spacing w:val="-1"/>
        </w:rPr>
        <w:t> </w:t>
      </w:r>
      <w:r>
        <w:rPr/>
        <w:t>are injected at a dose level of 0.1 mg / kg through subcutaneous (s.c.) route. The dose produces peak hyperglycemic effect after one hour and lasts up to four hours. The drug sample to be analyzed is administered through a suitable route. Blood glucose is determined. (The oral hypoglycemic agents can be screened by this method).</w:t>
      </w:r>
    </w:p>
    <w:p>
      <w:pPr>
        <w:pStyle w:val="BodyText"/>
        <w:spacing w:before="144"/>
      </w:pPr>
    </w:p>
    <w:p>
      <w:pPr>
        <w:pStyle w:val="Heading2"/>
        <w:numPr>
          <w:ilvl w:val="4"/>
          <w:numId w:val="19"/>
        </w:numPr>
        <w:tabs>
          <w:tab w:pos="1578" w:val="left" w:leader="none"/>
        </w:tabs>
        <w:spacing w:line="240" w:lineRule="auto" w:before="1" w:after="0"/>
        <w:ind w:left="1578" w:right="0" w:hanging="900"/>
        <w:jc w:val="both"/>
      </w:pPr>
      <w:bookmarkStart w:name="_TOC_250082" w:id="51"/>
      <w:r>
        <w:rPr/>
        <w:t>Dithizone</w:t>
      </w:r>
      <w:r>
        <w:rPr>
          <w:spacing w:val="-3"/>
        </w:rPr>
        <w:t> </w:t>
      </w:r>
      <w:r>
        <w:rPr/>
        <w:t>induced</w:t>
      </w:r>
      <w:bookmarkEnd w:id="51"/>
      <w:r>
        <w:rPr>
          <w:spacing w:val="-2"/>
        </w:rPr>
        <w:t> diabetes</w:t>
      </w:r>
    </w:p>
    <w:p>
      <w:pPr>
        <w:pStyle w:val="BodyText"/>
        <w:spacing w:line="360" w:lineRule="auto" w:before="132"/>
        <w:ind w:left="678" w:right="995" w:firstLine="720"/>
        <w:jc w:val="both"/>
      </w:pPr>
      <w:r>
        <w:rPr/>
        <w:t>Organic agents react with zinc in islets of langerhans causing destruction of islet cells and producing diabetes. Compounds such as dithizone, EDTA, 8-hydroxy quinoline are used to induce spontaneous type 2 diabetes in experimental animals. Dithizone at dose levels of 40-100 mg/ kg (i.v) produces type two diabetes in mice, cats, rabbits and golden hamsters.</w:t>
      </w:r>
      <w:r>
        <w:rPr>
          <w:spacing w:val="-3"/>
        </w:rPr>
        <w:t> </w:t>
      </w:r>
      <w:r>
        <w:rPr/>
        <w:t>Adult</w:t>
      </w:r>
      <w:r>
        <w:rPr>
          <w:spacing w:val="-3"/>
        </w:rPr>
        <w:t> </w:t>
      </w:r>
      <w:r>
        <w:rPr/>
        <w:t>rabbits</w:t>
      </w:r>
      <w:r>
        <w:rPr>
          <w:spacing w:val="-1"/>
        </w:rPr>
        <w:t> </w:t>
      </w:r>
      <w:r>
        <w:rPr/>
        <w:t>weighing</w:t>
      </w:r>
      <w:r>
        <w:rPr>
          <w:spacing w:val="-3"/>
        </w:rPr>
        <w:t> </w:t>
      </w:r>
      <w:r>
        <w:rPr/>
        <w:t>1.8-2</w:t>
      </w:r>
      <w:r>
        <w:rPr>
          <w:spacing w:val="-3"/>
        </w:rPr>
        <w:t> </w:t>
      </w:r>
      <w:r>
        <w:rPr/>
        <w:t>kg</w:t>
      </w:r>
      <w:r>
        <w:rPr>
          <w:spacing w:val="-3"/>
        </w:rPr>
        <w:t> </w:t>
      </w:r>
      <w:r>
        <w:rPr/>
        <w:t>are</w:t>
      </w:r>
      <w:r>
        <w:rPr>
          <w:spacing w:val="-4"/>
        </w:rPr>
        <w:t> </w:t>
      </w:r>
      <w:r>
        <w:rPr/>
        <w:t>divided</w:t>
      </w:r>
      <w:r>
        <w:rPr>
          <w:spacing w:val="-3"/>
        </w:rPr>
        <w:t> </w:t>
      </w:r>
      <w:r>
        <w:rPr/>
        <w:t>into</w:t>
      </w:r>
      <w:r>
        <w:rPr>
          <w:spacing w:val="-3"/>
        </w:rPr>
        <w:t> </w:t>
      </w:r>
      <w:r>
        <w:rPr/>
        <w:t>two</w:t>
      </w:r>
      <w:r>
        <w:rPr>
          <w:spacing w:val="-2"/>
        </w:rPr>
        <w:t> </w:t>
      </w:r>
      <w:r>
        <w:rPr/>
        <w:t>groups</w:t>
      </w:r>
      <w:r>
        <w:rPr>
          <w:spacing w:val="-3"/>
        </w:rPr>
        <w:t> </w:t>
      </w:r>
      <w:r>
        <w:rPr/>
        <w:t>of</w:t>
      </w:r>
      <w:r>
        <w:rPr>
          <w:spacing w:val="-2"/>
        </w:rPr>
        <w:t> </w:t>
      </w:r>
      <w:r>
        <w:rPr/>
        <w:t>six</w:t>
      </w:r>
      <w:r>
        <w:rPr>
          <w:spacing w:val="-1"/>
        </w:rPr>
        <w:t> </w:t>
      </w:r>
      <w:r>
        <w:rPr/>
        <w:t>animals</w:t>
      </w:r>
      <w:r>
        <w:rPr>
          <w:spacing w:val="-3"/>
        </w:rPr>
        <w:t> </w:t>
      </w:r>
      <w:r>
        <w:rPr/>
        <w:t>each. An exactly weighed amount of Dithizone is dissolved in dilute ammonia solution (0.2- 0.5%). The solution is warmed to 60-70 </w:t>
      </w:r>
      <w:r>
        <w:rPr>
          <w:vertAlign w:val="superscript"/>
        </w:rPr>
        <w:t>o</w:t>
      </w:r>
      <w:r>
        <w:rPr>
          <w:vertAlign w:val="baseline"/>
        </w:rPr>
        <w:t>C for 10 minutes to aid solubility of dithizone. Dithizone injection at a dose level of 50-200 mg/ kg will produce triphasic glycemic reaction. Initial hyperglycemia will be observed after 2 h &amp; normoglycemia after 8 h, which persist for up to 24 h. permanent hyperglycemia, is observed after 24-72 h. The</w:t>
      </w:r>
      <w:r>
        <w:rPr>
          <w:spacing w:val="40"/>
          <w:vertAlign w:val="baseline"/>
        </w:rPr>
        <w:t> </w:t>
      </w:r>
      <w:r>
        <w:rPr>
          <w:vertAlign w:val="baseline"/>
        </w:rPr>
        <w:t>drug sample to be analysed is administered through a suitable route and blood glucose </w:t>
      </w:r>
      <w:r>
        <w:rPr>
          <w:spacing w:val="-2"/>
          <w:vertAlign w:val="baseline"/>
        </w:rPr>
        <w:t>determined.</w:t>
      </w:r>
    </w:p>
    <w:p>
      <w:pPr>
        <w:pStyle w:val="BodyText"/>
        <w:spacing w:before="143"/>
      </w:pPr>
    </w:p>
    <w:p>
      <w:pPr>
        <w:pStyle w:val="Heading2"/>
        <w:numPr>
          <w:ilvl w:val="1"/>
          <w:numId w:val="19"/>
        </w:numPr>
        <w:tabs>
          <w:tab w:pos="1278" w:val="left" w:leader="none"/>
        </w:tabs>
        <w:spacing w:line="240" w:lineRule="auto" w:before="0" w:after="0"/>
        <w:ind w:left="1278" w:right="0" w:hanging="600"/>
        <w:jc w:val="both"/>
      </w:pPr>
      <w:bookmarkStart w:name="_TOC_250081" w:id="52"/>
      <w:bookmarkEnd w:id="52"/>
      <w:r>
        <w:rPr>
          <w:spacing w:val="-2"/>
        </w:rPr>
        <w:t>Tablets</w:t>
      </w:r>
    </w:p>
    <w:p>
      <w:pPr>
        <w:pStyle w:val="BodyText"/>
        <w:spacing w:line="360" w:lineRule="auto" w:before="134"/>
        <w:ind w:left="678" w:right="990" w:firstLine="780"/>
        <w:jc w:val="both"/>
      </w:pPr>
      <w:r>
        <w:rPr/>
        <w:t>Tablets are solid pharmaceutical dosage forms containing drug substance with suitable diluents and prepared either by compression or molding methods (King, 1980). The drug with or without excipients is first converted into free flowing granules by dry moist</w:t>
      </w:r>
      <w:r>
        <w:rPr>
          <w:spacing w:val="50"/>
        </w:rPr>
        <w:t> </w:t>
      </w:r>
      <w:r>
        <w:rPr/>
        <w:t>granulation</w:t>
      </w:r>
      <w:r>
        <w:rPr>
          <w:spacing w:val="52"/>
        </w:rPr>
        <w:t> </w:t>
      </w:r>
      <w:r>
        <w:rPr/>
        <w:t>or</w:t>
      </w:r>
      <w:r>
        <w:rPr>
          <w:spacing w:val="50"/>
        </w:rPr>
        <w:t> </w:t>
      </w:r>
      <w:r>
        <w:rPr/>
        <w:t>by</w:t>
      </w:r>
      <w:r>
        <w:rPr>
          <w:spacing w:val="50"/>
        </w:rPr>
        <w:t> </w:t>
      </w:r>
      <w:r>
        <w:rPr/>
        <w:t>preliminary</w:t>
      </w:r>
      <w:r>
        <w:rPr>
          <w:spacing w:val="49"/>
        </w:rPr>
        <w:t> </w:t>
      </w:r>
      <w:r>
        <w:rPr/>
        <w:t>compression</w:t>
      </w:r>
      <w:r>
        <w:rPr>
          <w:spacing w:val="51"/>
        </w:rPr>
        <w:t> </w:t>
      </w:r>
      <w:r>
        <w:rPr/>
        <w:t>into</w:t>
      </w:r>
      <w:r>
        <w:rPr>
          <w:spacing w:val="51"/>
        </w:rPr>
        <w:t> </w:t>
      </w:r>
      <w:r>
        <w:rPr/>
        <w:t>large</w:t>
      </w:r>
      <w:r>
        <w:rPr>
          <w:spacing w:val="51"/>
        </w:rPr>
        <w:t> </w:t>
      </w:r>
      <w:r>
        <w:rPr/>
        <w:t>tablets,</w:t>
      </w:r>
      <w:r>
        <w:rPr>
          <w:spacing w:val="52"/>
        </w:rPr>
        <w:t> </w:t>
      </w:r>
      <w:r>
        <w:rPr/>
        <w:t>which</w:t>
      </w:r>
      <w:r>
        <w:rPr>
          <w:spacing w:val="51"/>
        </w:rPr>
        <w:t> </w:t>
      </w:r>
      <w:r>
        <w:rPr/>
        <w:t>are</w:t>
      </w:r>
      <w:r>
        <w:rPr>
          <w:spacing w:val="50"/>
        </w:rPr>
        <w:t> </w:t>
      </w:r>
      <w:r>
        <w:rPr>
          <w:spacing w:val="-2"/>
        </w:rPr>
        <w:t>broken</w:t>
      </w:r>
    </w:p>
    <w:p>
      <w:pPr>
        <w:spacing w:after="0" w:line="360" w:lineRule="auto"/>
        <w:jc w:val="both"/>
        <w:sectPr>
          <w:pgSz w:w="12240" w:h="15840"/>
          <w:pgMar w:header="0" w:footer="1056" w:top="1340" w:bottom="1240" w:left="1420" w:right="420"/>
        </w:sectPr>
      </w:pPr>
    </w:p>
    <w:p>
      <w:pPr>
        <w:pStyle w:val="BodyText"/>
        <w:spacing w:line="360" w:lineRule="auto" w:before="72"/>
        <w:ind w:left="678" w:right="1003"/>
        <w:jc w:val="both"/>
      </w:pPr>
      <w:r>
        <w:rPr/>
        <mc:AlternateContent>
          <mc:Choice Requires="wps">
            <w:drawing>
              <wp:anchor distT="0" distB="0" distL="0" distR="0" allowOverlap="1" layoutInCell="1" locked="0" behindDoc="1" simplePos="0" relativeHeight="482940416">
                <wp:simplePos x="0" y="0"/>
                <wp:positionH relativeFrom="page">
                  <wp:posOffset>-1402226</wp:posOffset>
                </wp:positionH>
                <wp:positionV relativeFrom="page">
                  <wp:posOffset>4612234</wp:posOffset>
                </wp:positionV>
                <wp:extent cx="10685780" cy="914400"/>
                <wp:effectExtent l="0" t="0" r="0" b="0"/>
                <wp:wrapNone/>
                <wp:docPr id="99" name="Textbox 99"/>
                <wp:cNvGraphicFramePr>
                  <a:graphicFrameLocks/>
                </wp:cNvGraphicFramePr>
                <a:graphic>
                  <a:graphicData uri="http://schemas.microsoft.com/office/word/2010/wordprocessingShape">
                    <wps:wsp>
                      <wps:cNvPr id="99" name="Textbox 9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6064;rotation:306" type="#_x0000_t136" fillcolor="#ff5400" stroked="f">
                <o:extrusion v:ext="view" autorotationcenter="t"/>
                <v:textpath style="font-family:&quot;Arial MT&quot;;font-size:72pt;v-text-kern:t;mso-text-shadow:auto" string="UNIVERSITY OF IBADAN"/>
                <w10:wrap type="none"/>
              </v:shape>
            </w:pict>
          </mc:Fallback>
        </mc:AlternateContent>
      </w:r>
      <w:r>
        <w:rPr/>
        <w:t>down into granules. These granules are then compressed in suitable dies by means of </w:t>
      </w:r>
      <w:r>
        <w:rPr>
          <w:spacing w:val="-2"/>
        </w:rPr>
        <w:t>punches.</w:t>
      </w:r>
    </w:p>
    <w:p>
      <w:pPr>
        <w:pStyle w:val="BodyText"/>
        <w:spacing w:line="360" w:lineRule="auto" w:before="1"/>
        <w:ind w:left="678" w:right="996" w:firstLine="840"/>
        <w:jc w:val="both"/>
      </w:pPr>
      <w:r>
        <w:rPr/>
        <w:t>Excipients used in tablet formulations include diluents (give the powder bulk), binders (impart cohesion), disintegrating agents (cause tablet to disintegrate), glidants (to enhance flow of granules), lubricants (to facilitate the release of tablets from the dies), colours (improve aesthetic value), and flavours and sweetening agents (mask offensive taste of components). Substances may also be added to modify the release and absorption of the drug.</w:t>
      </w:r>
    </w:p>
    <w:p>
      <w:pPr>
        <w:pStyle w:val="BodyText"/>
        <w:spacing w:line="360" w:lineRule="auto"/>
        <w:ind w:left="678" w:right="994" w:firstLine="840"/>
        <w:jc w:val="both"/>
      </w:pPr>
      <w:r>
        <w:rPr/>
        <w:t>The main features that have led to their dominant position as a dosage form in therapeutics are their convenience and ease of administration, the precision with which their drug content can be controlled, their durability and biological degradation and their smaller bulk. Advances in the field of tableting technology have led to these various types of tablets: chewable, sublingual, effervescent, coated, soluble, molded and sustained– release, each of which was developed to deal with a particular biopharmaceutical</w:t>
      </w:r>
      <w:r>
        <w:rPr>
          <w:spacing w:val="40"/>
        </w:rPr>
        <w:t> </w:t>
      </w:r>
      <w:r>
        <w:rPr>
          <w:spacing w:val="-2"/>
        </w:rPr>
        <w:t>necessity.</w:t>
      </w:r>
    </w:p>
    <w:p>
      <w:pPr>
        <w:pStyle w:val="BodyText"/>
        <w:spacing w:before="144"/>
      </w:pPr>
    </w:p>
    <w:p>
      <w:pPr>
        <w:pStyle w:val="Heading2"/>
        <w:numPr>
          <w:ilvl w:val="2"/>
          <w:numId w:val="19"/>
        </w:numPr>
        <w:tabs>
          <w:tab w:pos="1338" w:val="left" w:leader="none"/>
        </w:tabs>
        <w:spacing w:line="240" w:lineRule="auto" w:before="0" w:after="0"/>
        <w:ind w:left="1338" w:right="0" w:hanging="660"/>
        <w:jc w:val="both"/>
      </w:pPr>
      <w:bookmarkStart w:name="_TOC_250080" w:id="53"/>
      <w:r>
        <w:rPr/>
        <w:t>Advantages</w:t>
      </w:r>
      <w:r>
        <w:rPr>
          <w:spacing w:val="-1"/>
        </w:rPr>
        <w:t> </w:t>
      </w:r>
      <w:r>
        <w:rPr/>
        <w:t>of</w:t>
      </w:r>
      <w:r>
        <w:rPr>
          <w:spacing w:val="1"/>
        </w:rPr>
        <w:t> </w:t>
      </w:r>
      <w:r>
        <w:rPr/>
        <w:t>tablet</w:t>
      </w:r>
      <w:r>
        <w:rPr>
          <w:spacing w:val="-2"/>
        </w:rPr>
        <w:t> </w:t>
      </w:r>
      <w:r>
        <w:rPr/>
        <w:t>as</w:t>
      </w:r>
      <w:r>
        <w:rPr>
          <w:spacing w:val="-1"/>
        </w:rPr>
        <w:t> </w:t>
      </w:r>
      <w:r>
        <w:rPr/>
        <w:t>a dosage</w:t>
      </w:r>
      <w:r>
        <w:rPr>
          <w:spacing w:val="-1"/>
        </w:rPr>
        <w:t> </w:t>
      </w:r>
      <w:bookmarkEnd w:id="53"/>
      <w:r>
        <w:rPr>
          <w:spacing w:val="-4"/>
        </w:rPr>
        <w:t>form</w:t>
      </w:r>
    </w:p>
    <w:p>
      <w:pPr>
        <w:pStyle w:val="ListParagraph"/>
        <w:numPr>
          <w:ilvl w:val="0"/>
          <w:numId w:val="24"/>
        </w:numPr>
        <w:tabs>
          <w:tab w:pos="1397" w:val="left" w:leader="none"/>
        </w:tabs>
        <w:spacing w:line="240" w:lineRule="auto" w:before="132" w:after="0"/>
        <w:ind w:left="1397" w:right="0" w:hanging="359"/>
        <w:jc w:val="left"/>
        <w:rPr>
          <w:sz w:val="24"/>
        </w:rPr>
      </w:pPr>
      <w:r>
        <w:rPr>
          <w:sz w:val="24"/>
        </w:rPr>
        <w:t>They</w:t>
      </w:r>
      <w:r>
        <w:rPr>
          <w:spacing w:val="-8"/>
          <w:sz w:val="24"/>
        </w:rPr>
        <w:t> </w:t>
      </w:r>
      <w:r>
        <w:rPr>
          <w:sz w:val="24"/>
        </w:rPr>
        <w:t>make</w:t>
      </w:r>
      <w:r>
        <w:rPr>
          <w:spacing w:val="-1"/>
          <w:sz w:val="24"/>
        </w:rPr>
        <w:t> </w:t>
      </w:r>
      <w:r>
        <w:rPr>
          <w:sz w:val="24"/>
        </w:rPr>
        <w:t>it possible to administer an accurate</w:t>
      </w:r>
      <w:r>
        <w:rPr>
          <w:spacing w:val="-1"/>
          <w:sz w:val="24"/>
        </w:rPr>
        <w:t> </w:t>
      </w:r>
      <w:r>
        <w:rPr>
          <w:sz w:val="24"/>
        </w:rPr>
        <w:t>dose of medicament </w:t>
      </w:r>
      <w:r>
        <w:rPr>
          <w:spacing w:val="-2"/>
          <w:sz w:val="24"/>
        </w:rPr>
        <w:t>safely.</w:t>
      </w:r>
    </w:p>
    <w:p>
      <w:pPr>
        <w:pStyle w:val="ListParagraph"/>
        <w:numPr>
          <w:ilvl w:val="0"/>
          <w:numId w:val="24"/>
        </w:numPr>
        <w:tabs>
          <w:tab w:pos="1397" w:val="left" w:leader="none"/>
        </w:tabs>
        <w:spacing w:line="240" w:lineRule="auto" w:before="139" w:after="0"/>
        <w:ind w:left="1397" w:right="0" w:hanging="359"/>
        <w:jc w:val="left"/>
        <w:rPr>
          <w:sz w:val="24"/>
        </w:rPr>
      </w:pPr>
      <w:r>
        <w:rPr>
          <w:sz w:val="24"/>
        </w:rPr>
        <w:t>Their</w:t>
      </w:r>
      <w:r>
        <w:rPr>
          <w:spacing w:val="-1"/>
          <w:sz w:val="24"/>
        </w:rPr>
        <w:t> </w:t>
      </w:r>
      <w:r>
        <w:rPr>
          <w:sz w:val="24"/>
        </w:rPr>
        <w:t>transportation</w:t>
      </w:r>
      <w:r>
        <w:rPr>
          <w:spacing w:val="-1"/>
          <w:sz w:val="24"/>
        </w:rPr>
        <w:t> </w:t>
      </w:r>
      <w:r>
        <w:rPr>
          <w:sz w:val="24"/>
        </w:rPr>
        <w:t>in</w:t>
      </w:r>
      <w:r>
        <w:rPr>
          <w:spacing w:val="-1"/>
          <w:sz w:val="24"/>
        </w:rPr>
        <w:t> </w:t>
      </w:r>
      <w:r>
        <w:rPr>
          <w:sz w:val="24"/>
        </w:rPr>
        <w:t>bulk</w:t>
      </w:r>
      <w:r>
        <w:rPr>
          <w:spacing w:val="-1"/>
          <w:sz w:val="24"/>
        </w:rPr>
        <w:t> </w:t>
      </w:r>
      <w:r>
        <w:rPr>
          <w:sz w:val="24"/>
        </w:rPr>
        <w:t>is</w:t>
      </w:r>
      <w:r>
        <w:rPr>
          <w:spacing w:val="-1"/>
          <w:sz w:val="24"/>
        </w:rPr>
        <w:t> </w:t>
      </w:r>
      <w:r>
        <w:rPr>
          <w:sz w:val="24"/>
        </w:rPr>
        <w:t>easier</w:t>
      </w:r>
      <w:r>
        <w:rPr>
          <w:spacing w:val="-2"/>
          <w:sz w:val="24"/>
        </w:rPr>
        <w:t> </w:t>
      </w:r>
      <w:r>
        <w:rPr>
          <w:sz w:val="24"/>
        </w:rPr>
        <w:t>and </w:t>
      </w:r>
      <w:r>
        <w:rPr>
          <w:spacing w:val="-2"/>
          <w:sz w:val="24"/>
        </w:rPr>
        <w:t>cheap.</w:t>
      </w:r>
    </w:p>
    <w:p>
      <w:pPr>
        <w:pStyle w:val="ListParagraph"/>
        <w:numPr>
          <w:ilvl w:val="0"/>
          <w:numId w:val="24"/>
        </w:numPr>
        <w:tabs>
          <w:tab w:pos="1397" w:val="left" w:leader="none"/>
        </w:tabs>
        <w:spacing w:line="240" w:lineRule="auto" w:before="137" w:after="0"/>
        <w:ind w:left="1397" w:right="0" w:hanging="359"/>
        <w:jc w:val="left"/>
        <w:rPr>
          <w:sz w:val="24"/>
        </w:rPr>
      </w:pPr>
      <w:r>
        <w:rPr>
          <w:sz w:val="24"/>
        </w:rPr>
        <w:t>They</w:t>
      </w:r>
      <w:r>
        <w:rPr>
          <w:spacing w:val="-4"/>
          <w:sz w:val="24"/>
        </w:rPr>
        <w:t> </w:t>
      </w:r>
      <w:r>
        <w:rPr>
          <w:sz w:val="24"/>
        </w:rPr>
        <w:t>are</w:t>
      </w:r>
      <w:r>
        <w:rPr>
          <w:spacing w:val="-1"/>
          <w:sz w:val="24"/>
        </w:rPr>
        <w:t> </w:t>
      </w:r>
      <w:r>
        <w:rPr>
          <w:sz w:val="24"/>
        </w:rPr>
        <w:t>light and compact thus</w:t>
      </w:r>
      <w:r>
        <w:rPr>
          <w:spacing w:val="-1"/>
          <w:sz w:val="24"/>
        </w:rPr>
        <w:t> </w:t>
      </w:r>
      <w:r>
        <w:rPr>
          <w:sz w:val="24"/>
        </w:rPr>
        <w:t>making</w:t>
      </w:r>
      <w:r>
        <w:rPr>
          <w:spacing w:val="-2"/>
          <w:sz w:val="24"/>
        </w:rPr>
        <w:t> </w:t>
      </w:r>
      <w:r>
        <w:rPr>
          <w:sz w:val="24"/>
        </w:rPr>
        <w:t>them convenient</w:t>
      </w:r>
      <w:r>
        <w:rPr>
          <w:spacing w:val="-1"/>
          <w:sz w:val="24"/>
        </w:rPr>
        <w:t> </w:t>
      </w:r>
      <w:r>
        <w:rPr>
          <w:sz w:val="24"/>
        </w:rPr>
        <w:t>to carry</w:t>
      </w:r>
      <w:r>
        <w:rPr>
          <w:spacing w:val="-5"/>
          <w:sz w:val="24"/>
        </w:rPr>
        <w:t> </w:t>
      </w:r>
      <w:r>
        <w:rPr>
          <w:sz w:val="24"/>
        </w:rPr>
        <w:t>and </w:t>
      </w:r>
      <w:r>
        <w:rPr>
          <w:spacing w:val="-4"/>
          <w:sz w:val="24"/>
        </w:rPr>
        <w:t>use.</w:t>
      </w:r>
    </w:p>
    <w:p>
      <w:pPr>
        <w:pStyle w:val="ListParagraph"/>
        <w:numPr>
          <w:ilvl w:val="0"/>
          <w:numId w:val="24"/>
        </w:numPr>
        <w:tabs>
          <w:tab w:pos="1397" w:val="left" w:leader="none"/>
        </w:tabs>
        <w:spacing w:line="240" w:lineRule="auto" w:before="139" w:after="0"/>
        <w:ind w:left="1397" w:right="0" w:hanging="359"/>
        <w:jc w:val="left"/>
        <w:rPr>
          <w:sz w:val="24"/>
        </w:rPr>
      </w:pPr>
      <w:r>
        <w:rPr>
          <w:sz w:val="24"/>
        </w:rPr>
        <w:t>They</w:t>
      </w:r>
      <w:r>
        <w:rPr>
          <w:spacing w:val="-4"/>
          <w:sz w:val="24"/>
        </w:rPr>
        <w:t> </w:t>
      </w:r>
      <w:r>
        <w:rPr>
          <w:sz w:val="24"/>
        </w:rPr>
        <w:t>are</w:t>
      </w:r>
      <w:r>
        <w:rPr>
          <w:spacing w:val="-2"/>
          <w:sz w:val="24"/>
        </w:rPr>
        <w:t> </w:t>
      </w:r>
      <w:r>
        <w:rPr>
          <w:sz w:val="24"/>
        </w:rPr>
        <w:t>the most</w:t>
      </w:r>
      <w:r>
        <w:rPr>
          <w:spacing w:val="-1"/>
          <w:sz w:val="24"/>
        </w:rPr>
        <w:t> </w:t>
      </w:r>
      <w:r>
        <w:rPr>
          <w:sz w:val="24"/>
        </w:rPr>
        <w:t>stable</w:t>
      </w:r>
      <w:r>
        <w:rPr>
          <w:spacing w:val="1"/>
          <w:sz w:val="24"/>
        </w:rPr>
        <w:t> </w:t>
      </w:r>
      <w:r>
        <w:rPr>
          <w:sz w:val="24"/>
        </w:rPr>
        <w:t>of</w:t>
      </w:r>
      <w:r>
        <w:rPr>
          <w:spacing w:val="-2"/>
          <w:sz w:val="24"/>
        </w:rPr>
        <w:t> </w:t>
      </w:r>
      <w:r>
        <w:rPr>
          <w:sz w:val="24"/>
        </w:rPr>
        <w:t>all oral</w:t>
      </w:r>
      <w:r>
        <w:rPr>
          <w:spacing w:val="-1"/>
          <w:sz w:val="24"/>
        </w:rPr>
        <w:t> </w:t>
      </w:r>
      <w:r>
        <w:rPr>
          <w:sz w:val="24"/>
        </w:rPr>
        <w:t>dosage</w:t>
      </w:r>
      <w:r>
        <w:rPr>
          <w:spacing w:val="1"/>
          <w:sz w:val="24"/>
        </w:rPr>
        <w:t> </w:t>
      </w:r>
      <w:r>
        <w:rPr>
          <w:spacing w:val="-2"/>
          <w:sz w:val="24"/>
        </w:rPr>
        <w:t>forms.</w:t>
      </w:r>
    </w:p>
    <w:p>
      <w:pPr>
        <w:pStyle w:val="ListParagraph"/>
        <w:numPr>
          <w:ilvl w:val="0"/>
          <w:numId w:val="24"/>
        </w:numPr>
        <w:tabs>
          <w:tab w:pos="1397" w:val="left" w:leader="none"/>
        </w:tabs>
        <w:spacing w:line="240" w:lineRule="auto" w:before="137" w:after="0"/>
        <w:ind w:left="1397" w:right="0" w:hanging="359"/>
        <w:jc w:val="left"/>
        <w:rPr>
          <w:sz w:val="24"/>
        </w:rPr>
      </w:pPr>
      <w:r>
        <w:rPr>
          <w:sz w:val="24"/>
        </w:rPr>
        <w:t>Their</w:t>
      </w:r>
      <w:r>
        <w:rPr>
          <w:spacing w:val="-4"/>
          <w:sz w:val="24"/>
        </w:rPr>
        <w:t> </w:t>
      </w:r>
      <w:r>
        <w:rPr>
          <w:sz w:val="24"/>
        </w:rPr>
        <w:t>drug</w:t>
      </w:r>
      <w:r>
        <w:rPr>
          <w:spacing w:val="-4"/>
          <w:sz w:val="24"/>
        </w:rPr>
        <w:t> </w:t>
      </w:r>
      <w:r>
        <w:rPr>
          <w:sz w:val="24"/>
        </w:rPr>
        <w:t>release can</w:t>
      </w:r>
      <w:r>
        <w:rPr>
          <w:spacing w:val="-1"/>
          <w:sz w:val="24"/>
        </w:rPr>
        <w:t> </w:t>
      </w:r>
      <w:r>
        <w:rPr>
          <w:sz w:val="24"/>
        </w:rPr>
        <w:t>be controlled</w:t>
      </w:r>
      <w:r>
        <w:rPr>
          <w:spacing w:val="-2"/>
          <w:sz w:val="24"/>
        </w:rPr>
        <w:t> </w:t>
      </w:r>
      <w:r>
        <w:rPr>
          <w:sz w:val="24"/>
        </w:rPr>
        <w:t>to</w:t>
      </w:r>
      <w:r>
        <w:rPr>
          <w:spacing w:val="-1"/>
          <w:sz w:val="24"/>
        </w:rPr>
        <w:t> </w:t>
      </w:r>
      <w:r>
        <w:rPr>
          <w:sz w:val="24"/>
        </w:rPr>
        <w:t>the</w:t>
      </w:r>
      <w:r>
        <w:rPr>
          <w:spacing w:val="-2"/>
          <w:sz w:val="24"/>
        </w:rPr>
        <w:t> </w:t>
      </w:r>
      <w:r>
        <w:rPr>
          <w:sz w:val="24"/>
        </w:rPr>
        <w:t>desired</w:t>
      </w:r>
      <w:r>
        <w:rPr>
          <w:spacing w:val="1"/>
          <w:sz w:val="24"/>
        </w:rPr>
        <w:t> </w:t>
      </w:r>
      <w:r>
        <w:rPr>
          <w:sz w:val="24"/>
        </w:rPr>
        <w:t>pharmacological</w:t>
      </w:r>
      <w:r>
        <w:rPr>
          <w:spacing w:val="-1"/>
          <w:sz w:val="24"/>
        </w:rPr>
        <w:t> </w:t>
      </w:r>
      <w:r>
        <w:rPr>
          <w:spacing w:val="-2"/>
          <w:sz w:val="24"/>
        </w:rPr>
        <w:t>effect.</w:t>
      </w:r>
    </w:p>
    <w:p>
      <w:pPr>
        <w:pStyle w:val="ListParagraph"/>
        <w:numPr>
          <w:ilvl w:val="0"/>
          <w:numId w:val="24"/>
        </w:numPr>
        <w:tabs>
          <w:tab w:pos="1396" w:val="left" w:leader="none"/>
        </w:tabs>
        <w:spacing w:line="240" w:lineRule="auto" w:before="140" w:after="0"/>
        <w:ind w:left="1396" w:right="0" w:hanging="358"/>
        <w:jc w:val="left"/>
        <w:rPr>
          <w:sz w:val="24"/>
        </w:rPr>
      </w:pPr>
      <w:r>
        <w:rPr>
          <w:sz w:val="24"/>
        </w:rPr>
        <w:t>Their</w:t>
      </w:r>
      <w:r>
        <w:rPr>
          <w:spacing w:val="-1"/>
          <w:sz w:val="24"/>
        </w:rPr>
        <w:t> </w:t>
      </w:r>
      <w:r>
        <w:rPr>
          <w:sz w:val="24"/>
        </w:rPr>
        <w:t>production</w:t>
      </w:r>
      <w:r>
        <w:rPr>
          <w:spacing w:val="-1"/>
          <w:sz w:val="24"/>
        </w:rPr>
        <w:t> </w:t>
      </w:r>
      <w:r>
        <w:rPr>
          <w:sz w:val="24"/>
        </w:rPr>
        <w:t>on large</w:t>
      </w:r>
      <w:r>
        <w:rPr>
          <w:spacing w:val="-2"/>
          <w:sz w:val="24"/>
        </w:rPr>
        <w:t> </w:t>
      </w:r>
      <w:r>
        <w:rPr>
          <w:sz w:val="24"/>
        </w:rPr>
        <w:t>scale</w:t>
      </w:r>
      <w:r>
        <w:rPr>
          <w:spacing w:val="-1"/>
          <w:sz w:val="24"/>
        </w:rPr>
        <w:t> </w:t>
      </w:r>
      <w:r>
        <w:rPr>
          <w:sz w:val="24"/>
        </w:rPr>
        <w:t>is quite</w:t>
      </w:r>
      <w:r>
        <w:rPr>
          <w:spacing w:val="-1"/>
          <w:sz w:val="24"/>
        </w:rPr>
        <w:t> </w:t>
      </w:r>
      <w:r>
        <w:rPr>
          <w:sz w:val="24"/>
        </w:rPr>
        <w:t>simple</w:t>
      </w:r>
      <w:r>
        <w:rPr>
          <w:spacing w:val="-1"/>
          <w:sz w:val="24"/>
        </w:rPr>
        <w:t> </w:t>
      </w:r>
      <w:r>
        <w:rPr>
          <w:sz w:val="24"/>
        </w:rPr>
        <w:t>and </w:t>
      </w:r>
      <w:r>
        <w:rPr>
          <w:spacing w:val="-2"/>
          <w:sz w:val="24"/>
        </w:rPr>
        <w:t>quick.</w:t>
      </w:r>
    </w:p>
    <w:p>
      <w:pPr>
        <w:pStyle w:val="ListParagraph"/>
        <w:numPr>
          <w:ilvl w:val="0"/>
          <w:numId w:val="24"/>
        </w:numPr>
        <w:tabs>
          <w:tab w:pos="1397" w:val="left" w:leader="none"/>
        </w:tabs>
        <w:spacing w:line="240" w:lineRule="auto" w:before="136" w:after="0"/>
        <w:ind w:left="1397" w:right="0" w:hanging="359"/>
        <w:jc w:val="left"/>
        <w:rPr>
          <w:sz w:val="24"/>
        </w:rPr>
      </w:pPr>
      <w:r>
        <w:rPr>
          <w:sz w:val="24"/>
        </w:rPr>
        <w:t>They</w:t>
      </w:r>
      <w:r>
        <w:rPr>
          <w:spacing w:val="-4"/>
          <w:sz w:val="24"/>
        </w:rPr>
        <w:t> </w:t>
      </w:r>
      <w:r>
        <w:rPr>
          <w:sz w:val="24"/>
        </w:rPr>
        <w:t>are</w:t>
      </w:r>
      <w:r>
        <w:rPr>
          <w:spacing w:val="1"/>
          <w:sz w:val="24"/>
        </w:rPr>
        <w:t> </w:t>
      </w:r>
      <w:r>
        <w:rPr>
          <w:sz w:val="24"/>
        </w:rPr>
        <w:t>generally</w:t>
      </w:r>
      <w:r>
        <w:rPr>
          <w:spacing w:val="-5"/>
          <w:sz w:val="24"/>
        </w:rPr>
        <w:t> </w:t>
      </w:r>
      <w:r>
        <w:rPr>
          <w:sz w:val="24"/>
        </w:rPr>
        <w:t>cheaper</w:t>
      </w:r>
      <w:r>
        <w:rPr>
          <w:spacing w:val="-1"/>
          <w:sz w:val="24"/>
        </w:rPr>
        <w:t> </w:t>
      </w:r>
      <w:r>
        <w:rPr>
          <w:sz w:val="24"/>
        </w:rPr>
        <w:t>than other</w:t>
      </w:r>
      <w:r>
        <w:rPr>
          <w:spacing w:val="-2"/>
          <w:sz w:val="24"/>
        </w:rPr>
        <w:t> </w:t>
      </w:r>
      <w:r>
        <w:rPr>
          <w:sz w:val="24"/>
        </w:rPr>
        <w:t>dosage</w:t>
      </w:r>
      <w:r>
        <w:rPr>
          <w:spacing w:val="-1"/>
          <w:sz w:val="24"/>
        </w:rPr>
        <w:t> </w:t>
      </w:r>
      <w:r>
        <w:rPr>
          <w:spacing w:val="-2"/>
          <w:sz w:val="24"/>
        </w:rPr>
        <w:t>forms.</w:t>
      </w:r>
    </w:p>
    <w:p>
      <w:pPr>
        <w:pStyle w:val="BodyText"/>
      </w:pPr>
    </w:p>
    <w:p>
      <w:pPr>
        <w:pStyle w:val="BodyText"/>
        <w:spacing w:before="5"/>
      </w:pPr>
    </w:p>
    <w:p>
      <w:pPr>
        <w:pStyle w:val="Heading2"/>
        <w:numPr>
          <w:ilvl w:val="2"/>
          <w:numId w:val="19"/>
        </w:numPr>
        <w:tabs>
          <w:tab w:pos="1458" w:val="left" w:leader="none"/>
        </w:tabs>
        <w:spacing w:line="240" w:lineRule="auto" w:before="0" w:after="0"/>
        <w:ind w:left="1458" w:right="0" w:hanging="780"/>
        <w:jc w:val="both"/>
      </w:pPr>
      <w:bookmarkStart w:name="_TOC_250079" w:id="54"/>
      <w:r>
        <w:rPr/>
        <w:t>Disadvantages</w:t>
      </w:r>
      <w:r>
        <w:rPr>
          <w:spacing w:val="-1"/>
        </w:rPr>
        <w:t> </w:t>
      </w:r>
      <w:r>
        <w:rPr/>
        <w:t>of tablet</w:t>
      </w:r>
      <w:r>
        <w:rPr>
          <w:spacing w:val="-2"/>
        </w:rPr>
        <w:t> </w:t>
      </w:r>
      <w:r>
        <w:rPr/>
        <w:t>as a</w:t>
      </w:r>
      <w:r>
        <w:rPr>
          <w:spacing w:val="-1"/>
        </w:rPr>
        <w:t> </w:t>
      </w:r>
      <w:r>
        <w:rPr/>
        <w:t>dosage</w:t>
      </w:r>
      <w:r>
        <w:rPr>
          <w:spacing w:val="-1"/>
        </w:rPr>
        <w:t> </w:t>
      </w:r>
      <w:bookmarkEnd w:id="54"/>
      <w:r>
        <w:rPr>
          <w:spacing w:val="-4"/>
        </w:rPr>
        <w:t>form</w:t>
      </w:r>
    </w:p>
    <w:p>
      <w:pPr>
        <w:pStyle w:val="ListParagraph"/>
        <w:numPr>
          <w:ilvl w:val="0"/>
          <w:numId w:val="25"/>
        </w:numPr>
        <w:tabs>
          <w:tab w:pos="1179" w:val="left" w:leader="none"/>
        </w:tabs>
        <w:spacing w:line="360" w:lineRule="auto" w:before="133" w:after="0"/>
        <w:ind w:left="1179" w:right="997" w:hanging="360"/>
        <w:jc w:val="both"/>
        <w:rPr>
          <w:sz w:val="24"/>
        </w:rPr>
      </w:pPr>
      <w:r>
        <w:rPr>
          <w:sz w:val="24"/>
        </w:rPr>
        <w:t>They are most often given in repeated daily doses to maintain therapeutic plasma drug concentration. This, however, makes patient compliance difficult. Though, in the alternative, sustained release tablets make daily dose possible.</w:t>
      </w:r>
    </w:p>
    <w:p>
      <w:pPr>
        <w:spacing w:after="0" w:line="360" w:lineRule="auto"/>
        <w:jc w:val="both"/>
        <w:rPr>
          <w:sz w:val="24"/>
        </w:rPr>
        <w:sectPr>
          <w:pgSz w:w="12240" w:h="15840"/>
          <w:pgMar w:header="0" w:footer="1056" w:top="1340" w:bottom="1240" w:left="1420" w:right="420"/>
        </w:sectPr>
      </w:pPr>
    </w:p>
    <w:p>
      <w:pPr>
        <w:pStyle w:val="ListParagraph"/>
        <w:numPr>
          <w:ilvl w:val="0"/>
          <w:numId w:val="25"/>
        </w:numPr>
        <w:tabs>
          <w:tab w:pos="1179" w:val="left" w:leader="none"/>
        </w:tabs>
        <w:spacing w:line="360" w:lineRule="auto" w:before="72" w:after="0"/>
        <w:ind w:left="1179" w:right="1000" w:hanging="360"/>
        <w:jc w:val="both"/>
        <w:rPr>
          <w:sz w:val="24"/>
        </w:rPr>
      </w:pPr>
      <w:r>
        <w:rPr/>
        <mc:AlternateContent>
          <mc:Choice Requires="wps">
            <w:drawing>
              <wp:anchor distT="0" distB="0" distL="0" distR="0" allowOverlap="1" layoutInCell="1" locked="0" behindDoc="1" simplePos="0" relativeHeight="482940928">
                <wp:simplePos x="0" y="0"/>
                <wp:positionH relativeFrom="page">
                  <wp:posOffset>-1402226</wp:posOffset>
                </wp:positionH>
                <wp:positionV relativeFrom="page">
                  <wp:posOffset>4612234</wp:posOffset>
                </wp:positionV>
                <wp:extent cx="10685780" cy="9144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5552;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Not all of them can be swallowed and still give the desired therapeutic effect e.g. nitroglycerin is placed under the tongue and allowed to slowly dissolve to yield its </w:t>
      </w:r>
      <w:r>
        <w:rPr>
          <w:spacing w:val="-2"/>
          <w:sz w:val="24"/>
        </w:rPr>
        <w:t>effect.</w:t>
      </w:r>
    </w:p>
    <w:p>
      <w:pPr>
        <w:pStyle w:val="ListParagraph"/>
        <w:numPr>
          <w:ilvl w:val="0"/>
          <w:numId w:val="25"/>
        </w:numPr>
        <w:tabs>
          <w:tab w:pos="1178" w:val="left" w:leader="none"/>
        </w:tabs>
        <w:spacing w:line="275" w:lineRule="exact" w:before="0" w:after="0"/>
        <w:ind w:left="1178" w:right="0" w:hanging="359"/>
        <w:jc w:val="both"/>
        <w:rPr>
          <w:sz w:val="24"/>
        </w:rPr>
      </w:pPr>
      <w:r>
        <w:rPr>
          <w:sz w:val="24"/>
        </w:rPr>
        <w:t>When</w:t>
      </w:r>
      <w:r>
        <w:rPr>
          <w:spacing w:val="-3"/>
          <w:sz w:val="24"/>
        </w:rPr>
        <w:t> </w:t>
      </w:r>
      <w:r>
        <w:rPr>
          <w:sz w:val="24"/>
        </w:rPr>
        <w:t>a</w:t>
      </w:r>
      <w:r>
        <w:rPr>
          <w:spacing w:val="-1"/>
          <w:sz w:val="24"/>
        </w:rPr>
        <w:t> </w:t>
      </w:r>
      <w:r>
        <w:rPr>
          <w:sz w:val="24"/>
        </w:rPr>
        <w:t>rapid onset</w:t>
      </w:r>
      <w:r>
        <w:rPr>
          <w:spacing w:val="-1"/>
          <w:sz w:val="24"/>
        </w:rPr>
        <w:t> </w:t>
      </w:r>
      <w:r>
        <w:rPr>
          <w:sz w:val="24"/>
        </w:rPr>
        <w:t>of action is desired</w:t>
      </w:r>
      <w:r>
        <w:rPr>
          <w:spacing w:val="-1"/>
          <w:sz w:val="24"/>
        </w:rPr>
        <w:t> </w:t>
      </w:r>
      <w:r>
        <w:rPr>
          <w:sz w:val="24"/>
        </w:rPr>
        <w:t>they</w:t>
      </w:r>
      <w:r>
        <w:rPr>
          <w:spacing w:val="-3"/>
          <w:sz w:val="24"/>
        </w:rPr>
        <w:t> </w:t>
      </w:r>
      <w:r>
        <w:rPr>
          <w:sz w:val="24"/>
        </w:rPr>
        <w:t>are</w:t>
      </w:r>
      <w:r>
        <w:rPr>
          <w:spacing w:val="-2"/>
          <w:sz w:val="24"/>
        </w:rPr>
        <w:t> </w:t>
      </w:r>
      <w:r>
        <w:rPr>
          <w:sz w:val="24"/>
        </w:rPr>
        <w:t>not</w:t>
      </w:r>
      <w:r>
        <w:rPr>
          <w:spacing w:val="-1"/>
          <w:sz w:val="24"/>
        </w:rPr>
        <w:t> </w:t>
      </w:r>
      <w:r>
        <w:rPr>
          <w:sz w:val="24"/>
        </w:rPr>
        <w:t>a first line </w:t>
      </w:r>
      <w:r>
        <w:rPr>
          <w:spacing w:val="-2"/>
          <w:sz w:val="24"/>
        </w:rPr>
        <w:t>choice.</w:t>
      </w:r>
    </w:p>
    <w:p>
      <w:pPr>
        <w:pStyle w:val="ListParagraph"/>
        <w:numPr>
          <w:ilvl w:val="0"/>
          <w:numId w:val="25"/>
        </w:numPr>
        <w:tabs>
          <w:tab w:pos="1179" w:val="left" w:leader="none"/>
        </w:tabs>
        <w:spacing w:line="360" w:lineRule="auto" w:before="140" w:after="0"/>
        <w:ind w:left="1179" w:right="1003" w:hanging="360"/>
        <w:jc w:val="both"/>
        <w:rPr>
          <w:sz w:val="24"/>
        </w:rPr>
      </w:pPr>
      <w:r>
        <w:rPr>
          <w:sz w:val="24"/>
        </w:rPr>
        <w:t>Drugs requiring large dose to be given or requiring optimum absorption in the gastrointestinal tract may be difficult to tablet.</w:t>
      </w:r>
    </w:p>
    <w:p>
      <w:pPr>
        <w:pStyle w:val="BodyText"/>
        <w:spacing w:before="141"/>
      </w:pPr>
    </w:p>
    <w:p>
      <w:pPr>
        <w:pStyle w:val="Heading2"/>
        <w:numPr>
          <w:ilvl w:val="2"/>
          <w:numId w:val="19"/>
        </w:numPr>
        <w:tabs>
          <w:tab w:pos="1338" w:val="left" w:leader="none"/>
        </w:tabs>
        <w:spacing w:line="240" w:lineRule="auto" w:before="0" w:after="0"/>
        <w:ind w:left="1338" w:right="0" w:hanging="660"/>
        <w:jc w:val="both"/>
      </w:pPr>
      <w:bookmarkStart w:name="_TOC_250078" w:id="55"/>
      <w:r>
        <w:rPr/>
        <w:t>Tablet</w:t>
      </w:r>
      <w:bookmarkEnd w:id="55"/>
      <w:r>
        <w:rPr>
          <w:spacing w:val="-2"/>
        </w:rPr>
        <w:t> excipients</w:t>
      </w:r>
    </w:p>
    <w:p>
      <w:pPr>
        <w:pStyle w:val="BodyText"/>
        <w:spacing w:line="360" w:lineRule="auto" w:before="135"/>
        <w:ind w:left="678" w:right="995"/>
        <w:jc w:val="both"/>
      </w:pPr>
      <w:r>
        <w:rPr/>
        <w:t>Some excipients mentioned above can now be explained in details as shown in Table 1.1. The excipients help to impact satisfactory compression characteristics to the formulation, while</w:t>
      </w:r>
      <w:r>
        <w:rPr>
          <w:spacing w:val="5"/>
        </w:rPr>
        <w:t> </w:t>
      </w:r>
      <w:r>
        <w:rPr/>
        <w:t>others</w:t>
      </w:r>
      <w:r>
        <w:rPr>
          <w:spacing w:val="6"/>
        </w:rPr>
        <w:t> </w:t>
      </w:r>
      <w:r>
        <w:rPr/>
        <w:t>help</w:t>
      </w:r>
      <w:r>
        <w:rPr>
          <w:spacing w:val="6"/>
        </w:rPr>
        <w:t> </w:t>
      </w:r>
      <w:r>
        <w:rPr/>
        <w:t>to</w:t>
      </w:r>
      <w:r>
        <w:rPr>
          <w:spacing w:val="8"/>
        </w:rPr>
        <w:t> </w:t>
      </w:r>
      <w:r>
        <w:rPr/>
        <w:t>give</w:t>
      </w:r>
      <w:r>
        <w:rPr>
          <w:spacing w:val="7"/>
        </w:rPr>
        <w:t> </w:t>
      </w:r>
      <w:r>
        <w:rPr/>
        <w:t>additional</w:t>
      </w:r>
      <w:r>
        <w:rPr>
          <w:spacing w:val="6"/>
        </w:rPr>
        <w:t> </w:t>
      </w:r>
      <w:r>
        <w:rPr/>
        <w:t>desirable</w:t>
      </w:r>
      <w:r>
        <w:rPr>
          <w:spacing w:val="5"/>
        </w:rPr>
        <w:t> </w:t>
      </w:r>
      <w:r>
        <w:rPr/>
        <w:t>physical</w:t>
      </w:r>
      <w:r>
        <w:rPr>
          <w:spacing w:val="6"/>
        </w:rPr>
        <w:t> </w:t>
      </w:r>
      <w:r>
        <w:rPr/>
        <w:t>characteristics</w:t>
      </w:r>
      <w:r>
        <w:rPr>
          <w:spacing w:val="6"/>
        </w:rPr>
        <w:t> </w:t>
      </w:r>
      <w:r>
        <w:rPr/>
        <w:t>to</w:t>
      </w:r>
      <w:r>
        <w:rPr>
          <w:spacing w:val="6"/>
        </w:rPr>
        <w:t> </w:t>
      </w:r>
      <w:r>
        <w:rPr/>
        <w:t>the</w:t>
      </w:r>
      <w:r>
        <w:rPr>
          <w:spacing w:val="9"/>
        </w:rPr>
        <w:t> </w:t>
      </w:r>
      <w:r>
        <w:rPr/>
        <w:t>finished</w:t>
      </w:r>
      <w:r>
        <w:rPr>
          <w:spacing w:val="6"/>
        </w:rPr>
        <w:t> </w:t>
      </w:r>
      <w:r>
        <w:rPr>
          <w:spacing w:val="-2"/>
        </w:rPr>
        <w:t>tablet</w:t>
      </w:r>
    </w:p>
    <w:p>
      <w:pPr>
        <w:pStyle w:val="BodyText"/>
        <w:spacing w:line="360" w:lineRule="auto"/>
        <w:ind w:left="678" w:right="993"/>
        <w:jc w:val="both"/>
      </w:pPr>
      <w:r>
        <w:rPr/>
        <w:t>e.g. colour, flavour and sweeteners in chewable tablets (King and Osoe 1975).</w:t>
      </w:r>
      <w:r>
        <w:rPr>
          <w:spacing w:val="40"/>
        </w:rPr>
        <w:t> </w:t>
      </w:r>
      <w:r>
        <w:rPr/>
        <w:t>These excipients include:</w:t>
      </w:r>
    </w:p>
    <w:p>
      <w:pPr>
        <w:pStyle w:val="BodyText"/>
        <w:spacing w:before="143"/>
      </w:pPr>
    </w:p>
    <w:p>
      <w:pPr>
        <w:pStyle w:val="Heading2"/>
        <w:numPr>
          <w:ilvl w:val="3"/>
          <w:numId w:val="19"/>
        </w:numPr>
        <w:tabs>
          <w:tab w:pos="1518" w:val="left" w:leader="none"/>
        </w:tabs>
        <w:spacing w:line="240" w:lineRule="auto" w:before="0" w:after="0"/>
        <w:ind w:left="1518" w:right="0" w:hanging="840"/>
        <w:jc w:val="both"/>
      </w:pPr>
      <w:bookmarkStart w:name="_TOC_250077" w:id="56"/>
      <w:bookmarkEnd w:id="56"/>
      <w:r>
        <w:rPr>
          <w:spacing w:val="-2"/>
        </w:rPr>
        <w:t>Binders</w:t>
      </w:r>
    </w:p>
    <w:p>
      <w:pPr>
        <w:pStyle w:val="BodyText"/>
        <w:spacing w:line="360" w:lineRule="auto" w:before="132"/>
        <w:ind w:left="678" w:right="992" w:firstLine="720"/>
        <w:jc w:val="both"/>
      </w:pPr>
      <w:r>
        <w:rPr/>
        <w:t>Binders function primarily by imparting cohesion to the powder in the formulation during the granulation process and ultimately improve the strength of the granules and tablets formed during compression. Binders may be incorporated dry (as powder e.g. acacia and tragacanth) or wet (as mucilage or syrups) depending on the method of granulation. They have been found, however, to be more efficient when incorporated as liquid. Some of the properties desired of a good binder are, high cohesive tendency with low viscosity, inert physiologically and non-toxic, free of microbiological contamination and high solubility in cold solvent thus requiring minimal amount of solvent for dissolution. Other examples of binders are alginate, polyvinylpyrolidone (PVP), starch, sorbitol, gelatin, glucose.</w:t>
      </w:r>
    </w:p>
    <w:p>
      <w:pPr>
        <w:pStyle w:val="BodyText"/>
        <w:spacing w:before="143"/>
      </w:pPr>
    </w:p>
    <w:p>
      <w:pPr>
        <w:pStyle w:val="Heading2"/>
        <w:numPr>
          <w:ilvl w:val="3"/>
          <w:numId w:val="19"/>
        </w:numPr>
        <w:tabs>
          <w:tab w:pos="1698" w:val="left" w:leader="none"/>
        </w:tabs>
        <w:spacing w:line="240" w:lineRule="auto" w:before="0" w:after="0"/>
        <w:ind w:left="1698" w:right="0" w:hanging="1020"/>
        <w:jc w:val="both"/>
      </w:pPr>
      <w:bookmarkStart w:name="_TOC_250076" w:id="57"/>
      <w:bookmarkEnd w:id="57"/>
      <w:r>
        <w:rPr>
          <w:spacing w:val="-2"/>
        </w:rPr>
        <w:t>Diluents</w:t>
      </w:r>
    </w:p>
    <w:p>
      <w:pPr>
        <w:pStyle w:val="BodyText"/>
        <w:spacing w:line="360" w:lineRule="auto" w:before="135"/>
        <w:ind w:left="678" w:right="998" w:firstLine="720"/>
        <w:jc w:val="both"/>
      </w:pPr>
      <w:r>
        <w:rPr/>
        <w:t>Diluents are fillers used to give the powder bulk so that an acceptable size tablet is produced. Most commercial tablets weigh from 100 to 500 mg so it is obvious that for many potent drugs the diluent comprises a large portion of the tablet. Binding of drug to</w:t>
      </w:r>
    </w:p>
    <w:p>
      <w:pPr>
        <w:spacing w:after="0" w:line="360" w:lineRule="auto"/>
        <w:jc w:val="both"/>
        <w:sectPr>
          <w:pgSz w:w="12240" w:h="15840"/>
          <w:pgMar w:header="0" w:footer="1056" w:top="1340" w:bottom="1240" w:left="1420" w:right="420"/>
        </w:sectPr>
      </w:pPr>
    </w:p>
    <w:p>
      <w:pPr>
        <w:pStyle w:val="Heading2"/>
        <w:spacing w:before="77"/>
        <w:jc w:val="left"/>
      </w:pPr>
      <w:r>
        <w:rPr/>
        <mc:AlternateContent>
          <mc:Choice Requires="wps">
            <w:drawing>
              <wp:anchor distT="0" distB="0" distL="0" distR="0" allowOverlap="1" layoutInCell="1" locked="0" behindDoc="1" simplePos="0" relativeHeight="482943488">
                <wp:simplePos x="0" y="0"/>
                <wp:positionH relativeFrom="page">
                  <wp:posOffset>-1402226</wp:posOffset>
                </wp:positionH>
                <wp:positionV relativeFrom="page">
                  <wp:posOffset>4612234</wp:posOffset>
                </wp:positionV>
                <wp:extent cx="10685780" cy="9144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2992;rotation:306" type="#_x0000_t136" fillcolor="#ff5400" stroked="f">
                <o:extrusion v:ext="view" autorotationcenter="t"/>
                <v:textpath style="font-family:&quot;Arial MT&quot;;font-size:72pt;v-text-kern:t;mso-text-shadow:auto" string="UNIVERSITY OF IBADAN"/>
                <w10:wrap type="none"/>
              </v:shape>
            </w:pict>
          </mc:Fallback>
        </mc:AlternateContent>
      </w:r>
      <w:r>
        <w:rPr/>
        <w:t>Tables</w:t>
      </w:r>
      <w:r>
        <w:rPr>
          <w:spacing w:val="-1"/>
        </w:rPr>
        <w:t> </w:t>
      </w:r>
      <w:r>
        <w:rPr/>
        <w:t>1.1</w:t>
      </w:r>
      <w:r>
        <w:rPr>
          <w:spacing w:val="-1"/>
        </w:rPr>
        <w:t> </w:t>
      </w:r>
      <w:r>
        <w:rPr/>
        <w:t>Some</w:t>
      </w:r>
      <w:r>
        <w:rPr>
          <w:spacing w:val="-2"/>
        </w:rPr>
        <w:t> </w:t>
      </w:r>
      <w:r>
        <w:rPr/>
        <w:t>common</w:t>
      </w:r>
      <w:r>
        <w:rPr>
          <w:spacing w:val="-1"/>
        </w:rPr>
        <w:t> </w:t>
      </w:r>
      <w:r>
        <w:rPr/>
        <w:t>tablet</w:t>
      </w:r>
      <w:r>
        <w:rPr>
          <w:spacing w:val="-2"/>
        </w:rPr>
        <w:t> excipients</w:t>
      </w:r>
    </w:p>
    <w:p>
      <w:pPr>
        <w:tabs>
          <w:tab w:pos="4278" w:val="left" w:leader="none"/>
          <w:tab w:pos="9675" w:val="left" w:leader="none"/>
        </w:tabs>
        <w:spacing w:before="41"/>
        <w:ind w:left="325" w:right="0" w:firstLine="0"/>
        <w:jc w:val="left"/>
        <w:rPr>
          <w:b/>
          <w:sz w:val="24"/>
        </w:rPr>
      </w:pPr>
      <w:r>
        <w:rPr>
          <w:b/>
          <w:sz w:val="24"/>
          <w:u w:val="single"/>
        </w:rPr>
        <w:tab/>
      </w:r>
      <w:r>
        <w:rPr>
          <w:b/>
          <w:spacing w:val="-2"/>
          <w:sz w:val="24"/>
          <w:u w:val="single"/>
        </w:rPr>
        <w:t>Diluents</w:t>
      </w:r>
      <w:r>
        <w:rPr>
          <w:b/>
          <w:sz w:val="24"/>
          <w:u w:val="single"/>
        </w:rPr>
        <w:tab/>
      </w:r>
    </w:p>
    <w:p>
      <w:pPr>
        <w:pStyle w:val="BodyText"/>
        <w:tabs>
          <w:tab w:pos="6678" w:val="left" w:leader="none"/>
        </w:tabs>
        <w:spacing w:before="36"/>
        <w:ind w:left="678"/>
      </w:pPr>
      <w:r>
        <w:rPr/>
        <w:t>Lactose</w:t>
      </w:r>
      <w:r>
        <w:rPr>
          <w:spacing w:val="-5"/>
        </w:rPr>
        <w:t> USP</w:t>
      </w:r>
      <w:r>
        <w:rPr/>
        <w:tab/>
        <w:t>Mannitol</w:t>
      </w:r>
      <w:r>
        <w:rPr>
          <w:spacing w:val="-3"/>
        </w:rPr>
        <w:t> </w:t>
      </w:r>
      <w:r>
        <w:rPr>
          <w:spacing w:val="-5"/>
        </w:rPr>
        <w:t>USP</w:t>
      </w:r>
    </w:p>
    <w:p>
      <w:pPr>
        <w:pStyle w:val="BodyText"/>
        <w:tabs>
          <w:tab w:pos="6678" w:val="left" w:leader="none"/>
        </w:tabs>
        <w:spacing w:before="44"/>
        <w:ind w:left="678"/>
      </w:pPr>
      <w:r>
        <w:rPr/>
        <w:t>Lactose</w:t>
      </w:r>
      <w:r>
        <w:rPr>
          <w:spacing w:val="-1"/>
        </w:rPr>
        <w:t> </w:t>
      </w:r>
      <w:r>
        <w:rPr/>
        <w:t>USP,</w:t>
      </w:r>
      <w:r>
        <w:rPr>
          <w:spacing w:val="-1"/>
        </w:rPr>
        <w:t> </w:t>
      </w:r>
      <w:r>
        <w:rPr>
          <w:spacing w:val="-2"/>
        </w:rPr>
        <w:t>anhydrous</w:t>
      </w:r>
      <w:r>
        <w:rPr/>
        <w:tab/>
      </w:r>
      <w:r>
        <w:rPr>
          <w:spacing w:val="-2"/>
        </w:rPr>
        <w:t>Sorbitol</w:t>
      </w:r>
    </w:p>
    <w:p>
      <w:pPr>
        <w:pStyle w:val="BodyText"/>
        <w:tabs>
          <w:tab w:pos="6678" w:val="left" w:leader="none"/>
        </w:tabs>
        <w:spacing w:before="41"/>
        <w:ind w:left="678"/>
      </w:pPr>
      <w:r>
        <w:rPr/>
        <w:t>Lactose</w:t>
      </w:r>
      <w:r>
        <w:rPr>
          <w:spacing w:val="-3"/>
        </w:rPr>
        <w:t> </w:t>
      </w:r>
      <w:r>
        <w:rPr/>
        <w:t>USP,</w:t>
      </w:r>
      <w:r>
        <w:rPr>
          <w:spacing w:val="-3"/>
        </w:rPr>
        <w:t> </w:t>
      </w:r>
      <w:r>
        <w:rPr/>
        <w:t>spray-</w:t>
      </w:r>
      <w:r>
        <w:rPr>
          <w:spacing w:val="-2"/>
        </w:rPr>
        <w:t>dried</w:t>
      </w:r>
      <w:r>
        <w:rPr/>
        <w:tab/>
        <w:t>Sucrose</w:t>
      </w:r>
      <w:r>
        <w:rPr>
          <w:spacing w:val="-5"/>
        </w:rPr>
        <w:t> </w:t>
      </w:r>
      <w:r>
        <w:rPr/>
        <w:t>USP</w:t>
      </w:r>
      <w:r>
        <w:rPr>
          <w:spacing w:val="1"/>
        </w:rPr>
        <w:t> </w:t>
      </w:r>
      <w:r>
        <w:rPr>
          <w:spacing w:val="-2"/>
        </w:rPr>
        <w:t>powder</w:t>
      </w:r>
    </w:p>
    <w:p>
      <w:pPr>
        <w:pStyle w:val="BodyText"/>
        <w:tabs>
          <w:tab w:pos="6678" w:val="left" w:leader="none"/>
        </w:tabs>
        <w:spacing w:line="276" w:lineRule="auto" w:before="40"/>
        <w:ind w:left="6679" w:right="1394" w:hanging="6001"/>
      </w:pPr>
      <w:r>
        <w:rPr/>
        <mc:AlternateContent>
          <mc:Choice Requires="wps">
            <w:drawing>
              <wp:anchor distT="0" distB="0" distL="0" distR="0" allowOverlap="1" layoutInCell="1" locked="0" behindDoc="1" simplePos="0" relativeHeight="482942464">
                <wp:simplePos x="0" y="0"/>
                <wp:positionH relativeFrom="page">
                  <wp:posOffset>1094739</wp:posOffset>
                </wp:positionH>
                <wp:positionV relativeFrom="paragraph">
                  <wp:posOffset>402029</wp:posOffset>
                </wp:positionV>
                <wp:extent cx="5937250" cy="5715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5937250" cy="57150"/>
                        </a:xfrm>
                        <a:custGeom>
                          <a:avLst/>
                          <a:gdLst/>
                          <a:ahLst/>
                          <a:cxnLst/>
                          <a:rect l="l" t="t" r="r" b="b"/>
                          <a:pathLst>
                            <a:path w="5937250" h="57150">
                              <a:moveTo>
                                <a:pt x="0" y="0"/>
                              </a:moveTo>
                              <a:lnTo>
                                <a:pt x="5937250" y="571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74016" from="86.199997pt,31.655859pt" to="553.699997pt,36.155859pt" stroked="true" strokeweight=".75pt" strokecolor="#000000">
                <v:stroke dashstyle="solid"/>
                <w10:wrap type="none"/>
              </v:line>
            </w:pict>
          </mc:Fallback>
        </mc:AlternateContent>
      </w:r>
      <w:r>
        <w:rPr/>
        <w:t>Directly compressible starches</w:t>
        <w:tab/>
        <w:t>Sucrose-based</w:t>
      </w:r>
      <w:r>
        <w:rPr>
          <w:spacing w:val="-15"/>
        </w:rPr>
        <w:t> </w:t>
      </w:r>
      <w:r>
        <w:rPr/>
        <w:t>materials Calcium sulphate</w:t>
      </w:r>
    </w:p>
    <w:p>
      <w:pPr>
        <w:pStyle w:val="BodyText"/>
        <w:tabs>
          <w:tab w:pos="6678" w:val="left" w:leader="none"/>
        </w:tabs>
        <w:spacing w:before="2"/>
        <w:ind w:left="678"/>
      </w:pPr>
      <w:r>
        <w:rPr/>
        <w:t>Hydrolyzed</w:t>
      </w:r>
      <w:r>
        <w:rPr>
          <w:spacing w:val="-6"/>
        </w:rPr>
        <w:t> </w:t>
      </w:r>
      <w:r>
        <w:rPr>
          <w:spacing w:val="-2"/>
        </w:rPr>
        <w:t>starches</w:t>
      </w:r>
      <w:r>
        <w:rPr/>
        <w:tab/>
      </w:r>
      <w:r>
        <w:rPr>
          <w:spacing w:val="-2"/>
        </w:rPr>
        <w:t>Dextrose</w:t>
      </w:r>
    </w:p>
    <w:p>
      <w:pPr>
        <w:pStyle w:val="BodyText"/>
        <w:spacing w:line="276" w:lineRule="auto" w:before="40"/>
        <w:ind w:left="678" w:right="6842"/>
      </w:pPr>
      <w:r>
        <w:rPr/>
        <w:t>dehydrate NF Microcrystalline</w:t>
      </w:r>
      <w:r>
        <w:rPr>
          <w:spacing w:val="-15"/>
        </w:rPr>
        <w:t> </w:t>
      </w:r>
      <w:r>
        <w:rPr/>
        <w:t>cellulose</w:t>
      </w:r>
      <w:r>
        <w:rPr>
          <w:spacing w:val="-15"/>
        </w:rPr>
        <w:t> </w:t>
      </w:r>
      <w:r>
        <w:rPr/>
        <w:t>NF Other cellulose derivatives</w:t>
      </w:r>
    </w:p>
    <w:p>
      <w:pPr>
        <w:pStyle w:val="BodyText"/>
        <w:spacing w:line="274" w:lineRule="exact"/>
        <w:ind w:left="678"/>
      </w:pPr>
      <w:r>
        <w:rPr/>
        <mc:AlternateContent>
          <mc:Choice Requires="wps">
            <w:drawing>
              <wp:anchor distT="0" distB="0" distL="0" distR="0" allowOverlap="1" layoutInCell="1" locked="0" behindDoc="1" simplePos="0" relativeHeight="487626752">
                <wp:simplePos x="0" y="0"/>
                <wp:positionH relativeFrom="page">
                  <wp:posOffset>1308100</wp:posOffset>
                </wp:positionH>
                <wp:positionV relativeFrom="paragraph">
                  <wp:posOffset>198929</wp:posOffset>
                </wp:positionV>
                <wp:extent cx="593725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5937250" cy="1270"/>
                        </a:xfrm>
                        <a:custGeom>
                          <a:avLst/>
                          <a:gdLst/>
                          <a:ahLst/>
                          <a:cxnLst/>
                          <a:rect l="l" t="t" r="r" b="b"/>
                          <a:pathLst>
                            <a:path w="5937250" h="0">
                              <a:moveTo>
                                <a:pt x="0" y="0"/>
                              </a:moveTo>
                              <a:lnTo>
                                <a:pt x="5937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3pt;margin-top:15.66377pt;width:467.5pt;height:.1pt;mso-position-horizontal-relative:page;mso-position-vertical-relative:paragraph;z-index:-15689728;mso-wrap-distance-left:0;mso-wrap-distance-right:0" id="docshape31" coordorigin="2060,313" coordsize="9350,0" path="m2060,313l11410,313e" filled="false" stroked="true" strokeweight=".75pt" strokecolor="#000000">
                <v:path arrowok="t"/>
                <v:stroke dashstyle="solid"/>
                <w10:wrap type="topAndBottom"/>
              </v:shape>
            </w:pict>
          </mc:Fallback>
        </mc:AlternateContent>
      </w:r>
      <w:r>
        <w:rPr/>
        <w:t>Dibasic</w:t>
      </w:r>
      <w:r>
        <w:rPr>
          <w:spacing w:val="-2"/>
        </w:rPr>
        <w:t> </w:t>
      </w:r>
      <w:r>
        <w:rPr/>
        <w:t>calcium</w:t>
      </w:r>
      <w:r>
        <w:rPr>
          <w:spacing w:val="-2"/>
        </w:rPr>
        <w:t> </w:t>
      </w:r>
      <w:r>
        <w:rPr/>
        <w:t>phosphate</w:t>
      </w:r>
      <w:r>
        <w:rPr>
          <w:spacing w:val="-2"/>
        </w:rPr>
        <w:t> </w:t>
      </w:r>
      <w:r>
        <w:rPr/>
        <w:t>dehydrate</w:t>
      </w:r>
      <w:r>
        <w:rPr>
          <w:spacing w:val="-1"/>
        </w:rPr>
        <w:t> </w:t>
      </w:r>
      <w:r>
        <w:rPr>
          <w:spacing w:val="-5"/>
        </w:rPr>
        <w:t>NF</w:t>
      </w:r>
    </w:p>
    <w:p>
      <w:pPr>
        <w:pStyle w:val="Heading2"/>
        <w:spacing w:before="3" w:after="21"/>
        <w:ind w:left="4278"/>
        <w:jc w:val="left"/>
      </w:pPr>
      <w:r>
        <w:rPr/>
        <w:t>Binders</w:t>
      </w:r>
      <w:r>
        <w:rPr>
          <w:spacing w:val="-1"/>
        </w:rPr>
        <w:t> </w:t>
      </w:r>
      <w:r>
        <w:rPr/>
        <w:t>and</w:t>
      </w:r>
      <w:r>
        <w:rPr>
          <w:spacing w:val="2"/>
        </w:rPr>
        <w:t> </w:t>
      </w:r>
      <w:r>
        <w:rPr>
          <w:spacing w:val="-2"/>
        </w:rPr>
        <w:t>Adhesives</w:t>
      </w: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
        <w:gridCol w:w="3157"/>
        <w:gridCol w:w="2240"/>
        <w:gridCol w:w="3595"/>
        <w:gridCol w:w="357"/>
      </w:tblGrid>
      <w:tr>
        <w:trPr>
          <w:trHeight w:val="1918" w:hRule="atLeast"/>
        </w:trPr>
        <w:tc>
          <w:tcPr>
            <w:tcW w:w="369" w:type="dxa"/>
            <w:tcBorders>
              <w:bottom w:val="single" w:sz="6" w:space="0" w:color="000000"/>
            </w:tcBorders>
          </w:tcPr>
          <w:p>
            <w:pPr>
              <w:pStyle w:val="TableParagraph"/>
              <w:rPr>
                <w:sz w:val="24"/>
              </w:rPr>
            </w:pPr>
          </w:p>
        </w:tc>
        <w:tc>
          <w:tcPr>
            <w:tcW w:w="3157" w:type="dxa"/>
            <w:tcBorders>
              <w:top w:val="single" w:sz="6" w:space="0" w:color="000000"/>
              <w:bottom w:val="single" w:sz="6" w:space="0" w:color="000000"/>
            </w:tcBorders>
          </w:tcPr>
          <w:p>
            <w:pPr>
              <w:pStyle w:val="TableParagraph"/>
              <w:spacing w:before="8"/>
              <w:ind w:left="-1"/>
              <w:rPr>
                <w:sz w:val="24"/>
              </w:rPr>
            </w:pPr>
            <w:r>
              <w:rPr>
                <w:spacing w:val="-2"/>
                <w:sz w:val="24"/>
              </w:rPr>
              <w:t>Acacia</w:t>
            </w:r>
          </w:p>
          <w:p>
            <w:pPr>
              <w:pStyle w:val="TableParagraph"/>
              <w:spacing w:line="276" w:lineRule="auto" w:before="40"/>
              <w:ind w:left="-1" w:right="1133"/>
              <w:rPr>
                <w:sz w:val="24"/>
              </w:rPr>
            </w:pPr>
            <w:r>
              <w:rPr>
                <w:sz w:val="24"/>
              </w:rPr>
              <w:t>Cellulose</w:t>
            </w:r>
            <w:r>
              <w:rPr>
                <w:spacing w:val="-15"/>
                <w:sz w:val="24"/>
              </w:rPr>
              <w:t> </w:t>
            </w:r>
            <w:r>
              <w:rPr>
                <w:sz w:val="24"/>
              </w:rPr>
              <w:t>derivatives </w:t>
            </w:r>
            <w:r>
              <w:rPr>
                <w:spacing w:val="-2"/>
                <w:sz w:val="24"/>
              </w:rPr>
              <w:t>Gelatin</w:t>
            </w:r>
          </w:p>
          <w:p>
            <w:pPr>
              <w:pStyle w:val="TableParagraph"/>
              <w:spacing w:line="276" w:lineRule="auto" w:before="2"/>
              <w:ind w:left="-1" w:right="439"/>
              <w:rPr>
                <w:sz w:val="24"/>
              </w:rPr>
            </w:pPr>
            <w:r>
              <w:rPr>
                <w:spacing w:val="-2"/>
                <w:sz w:val="24"/>
              </w:rPr>
              <w:t>Glucose </w:t>
            </w:r>
            <w:r>
              <w:rPr>
                <w:sz w:val="24"/>
              </w:rPr>
              <w:t>Polyvinylpyrrolidone</w:t>
            </w:r>
            <w:r>
              <w:rPr>
                <w:spacing w:val="-15"/>
                <w:sz w:val="24"/>
              </w:rPr>
              <w:t> </w:t>
            </w:r>
            <w:r>
              <w:rPr>
                <w:sz w:val="24"/>
              </w:rPr>
              <w:t>(PVP)</w:t>
            </w:r>
          </w:p>
          <w:p>
            <w:pPr>
              <w:pStyle w:val="TableParagraph"/>
              <w:spacing w:line="275" w:lineRule="exact"/>
              <w:ind w:left="-1"/>
              <w:rPr>
                <w:sz w:val="24"/>
              </w:rPr>
            </w:pPr>
            <w:r>
              <w:rPr>
                <w:sz w:val="24"/>
              </w:rPr>
              <w:t>Starch,</w:t>
            </w:r>
            <w:r>
              <w:rPr>
                <w:spacing w:val="-5"/>
                <w:sz w:val="24"/>
              </w:rPr>
              <w:t> </w:t>
            </w:r>
            <w:r>
              <w:rPr>
                <w:spacing w:val="-2"/>
                <w:sz w:val="24"/>
              </w:rPr>
              <w:t>paste</w:t>
            </w:r>
          </w:p>
        </w:tc>
        <w:tc>
          <w:tcPr>
            <w:tcW w:w="2240" w:type="dxa"/>
            <w:tcBorders>
              <w:top w:val="single" w:sz="6" w:space="0" w:color="000000"/>
              <w:bottom w:val="single" w:sz="6" w:space="0" w:color="000000"/>
            </w:tcBorders>
          </w:tcPr>
          <w:p>
            <w:pPr>
              <w:pStyle w:val="TableParagraph"/>
              <w:rPr>
                <w:sz w:val="24"/>
              </w:rPr>
            </w:pPr>
          </w:p>
        </w:tc>
        <w:tc>
          <w:tcPr>
            <w:tcW w:w="3595" w:type="dxa"/>
            <w:tcBorders>
              <w:top w:val="single" w:sz="6" w:space="0" w:color="000000"/>
              <w:bottom w:val="single" w:sz="6" w:space="0" w:color="000000"/>
            </w:tcBorders>
          </w:tcPr>
          <w:p>
            <w:pPr>
              <w:pStyle w:val="TableParagraph"/>
              <w:spacing w:line="276" w:lineRule="auto" w:before="8"/>
              <w:ind w:left="423" w:right="272"/>
              <w:rPr>
                <w:sz w:val="24"/>
              </w:rPr>
            </w:pPr>
            <w:r>
              <w:rPr>
                <w:sz w:val="24"/>
              </w:rPr>
              <w:t>Starch,</w:t>
            </w:r>
            <w:r>
              <w:rPr>
                <w:spacing w:val="80"/>
                <w:sz w:val="24"/>
              </w:rPr>
              <w:t> </w:t>
            </w:r>
            <w:r>
              <w:rPr>
                <w:sz w:val="24"/>
              </w:rPr>
              <w:t>pregelatinized Sodium</w:t>
            </w:r>
            <w:r>
              <w:rPr>
                <w:spacing w:val="-14"/>
                <w:sz w:val="24"/>
              </w:rPr>
              <w:t> </w:t>
            </w:r>
            <w:r>
              <w:rPr>
                <w:sz w:val="24"/>
              </w:rPr>
              <w:t>alginate</w:t>
            </w:r>
            <w:r>
              <w:rPr>
                <w:spacing w:val="-13"/>
                <w:sz w:val="24"/>
              </w:rPr>
              <w:t> </w:t>
            </w:r>
            <w:r>
              <w:rPr>
                <w:sz w:val="24"/>
              </w:rPr>
              <w:t>and</w:t>
            </w:r>
            <w:r>
              <w:rPr>
                <w:spacing w:val="-14"/>
                <w:sz w:val="24"/>
              </w:rPr>
              <w:t> </w:t>
            </w:r>
            <w:r>
              <w:rPr>
                <w:sz w:val="24"/>
              </w:rPr>
              <w:t>alginate </w:t>
            </w:r>
            <w:r>
              <w:rPr>
                <w:spacing w:val="-2"/>
                <w:sz w:val="24"/>
              </w:rPr>
              <w:t>derivatives</w:t>
            </w:r>
          </w:p>
          <w:p>
            <w:pPr>
              <w:pStyle w:val="TableParagraph"/>
              <w:spacing w:line="276" w:lineRule="auto"/>
              <w:ind w:left="423" w:right="1375"/>
              <w:rPr>
                <w:sz w:val="24"/>
              </w:rPr>
            </w:pPr>
            <w:r>
              <w:rPr>
                <w:spacing w:val="-2"/>
                <w:sz w:val="24"/>
              </w:rPr>
              <w:t>Sorbitol Tragacanth</w:t>
            </w:r>
          </w:p>
        </w:tc>
        <w:tc>
          <w:tcPr>
            <w:tcW w:w="357" w:type="dxa"/>
            <w:vMerge w:val="restart"/>
            <w:tcBorders>
              <w:top w:val="single" w:sz="6" w:space="0" w:color="000000"/>
              <w:bottom w:val="single" w:sz="6" w:space="0" w:color="000000"/>
            </w:tcBorders>
          </w:tcPr>
          <w:p>
            <w:pPr>
              <w:pStyle w:val="TableParagraph"/>
              <w:rPr>
                <w:sz w:val="24"/>
              </w:rPr>
            </w:pPr>
          </w:p>
        </w:tc>
      </w:tr>
      <w:tr>
        <w:trPr>
          <w:trHeight w:val="299" w:hRule="atLeast"/>
        </w:trPr>
        <w:tc>
          <w:tcPr>
            <w:tcW w:w="369" w:type="dxa"/>
            <w:tcBorders>
              <w:top w:val="single" w:sz="6" w:space="0" w:color="000000"/>
              <w:bottom w:val="single" w:sz="6" w:space="0" w:color="000000"/>
            </w:tcBorders>
          </w:tcPr>
          <w:p>
            <w:pPr>
              <w:pStyle w:val="TableParagraph"/>
              <w:rPr>
                <w:sz w:val="20"/>
              </w:rPr>
            </w:pPr>
          </w:p>
        </w:tc>
        <w:tc>
          <w:tcPr>
            <w:tcW w:w="3157" w:type="dxa"/>
            <w:tcBorders>
              <w:top w:val="single" w:sz="6" w:space="0" w:color="000000"/>
              <w:bottom w:val="single" w:sz="6" w:space="0" w:color="000000"/>
            </w:tcBorders>
          </w:tcPr>
          <w:p>
            <w:pPr>
              <w:pStyle w:val="TableParagraph"/>
              <w:rPr>
                <w:sz w:val="20"/>
              </w:rPr>
            </w:pPr>
          </w:p>
        </w:tc>
        <w:tc>
          <w:tcPr>
            <w:tcW w:w="2240" w:type="dxa"/>
            <w:tcBorders>
              <w:top w:val="single" w:sz="6" w:space="0" w:color="000000"/>
              <w:bottom w:val="single" w:sz="6" w:space="0" w:color="000000"/>
            </w:tcBorders>
          </w:tcPr>
          <w:p>
            <w:pPr>
              <w:pStyle w:val="TableParagraph"/>
              <w:spacing w:line="249" w:lineRule="exact"/>
              <w:ind w:left="443"/>
              <w:rPr>
                <w:b/>
                <w:sz w:val="24"/>
              </w:rPr>
            </w:pPr>
            <w:r>
              <w:rPr>
                <w:b/>
                <w:spacing w:val="-2"/>
                <w:sz w:val="24"/>
              </w:rPr>
              <w:t>Disintegrants</w:t>
            </w:r>
          </w:p>
        </w:tc>
        <w:tc>
          <w:tcPr>
            <w:tcW w:w="3595" w:type="dxa"/>
            <w:tcBorders>
              <w:top w:val="single" w:sz="6" w:space="0" w:color="000000"/>
              <w:bottom w:val="single" w:sz="6" w:space="0" w:color="000000"/>
            </w:tcBorders>
          </w:tcPr>
          <w:p>
            <w:pPr>
              <w:pStyle w:val="TableParagraph"/>
              <w:rPr>
                <w:sz w:val="20"/>
              </w:rPr>
            </w:pPr>
          </w:p>
        </w:tc>
        <w:tc>
          <w:tcPr>
            <w:tcW w:w="357" w:type="dxa"/>
            <w:vMerge/>
            <w:tcBorders>
              <w:top w:val="nil"/>
              <w:bottom w:val="single" w:sz="6" w:space="0" w:color="000000"/>
            </w:tcBorders>
          </w:tcPr>
          <w:p>
            <w:pPr>
              <w:rPr>
                <w:sz w:val="2"/>
                <w:szCs w:val="2"/>
              </w:rPr>
            </w:pPr>
          </w:p>
        </w:tc>
      </w:tr>
      <w:tr>
        <w:trPr>
          <w:trHeight w:val="1224" w:hRule="atLeast"/>
        </w:trPr>
        <w:tc>
          <w:tcPr>
            <w:tcW w:w="369" w:type="dxa"/>
            <w:tcBorders>
              <w:top w:val="single" w:sz="6" w:space="0" w:color="000000"/>
            </w:tcBorders>
          </w:tcPr>
          <w:p>
            <w:pPr>
              <w:pStyle w:val="TableParagraph"/>
              <w:rPr>
                <w:sz w:val="24"/>
              </w:rPr>
            </w:pPr>
          </w:p>
        </w:tc>
        <w:tc>
          <w:tcPr>
            <w:tcW w:w="3157" w:type="dxa"/>
            <w:tcBorders>
              <w:top w:val="single" w:sz="6" w:space="0" w:color="000000"/>
              <w:bottom w:val="single" w:sz="6" w:space="0" w:color="000000"/>
            </w:tcBorders>
          </w:tcPr>
          <w:p>
            <w:pPr>
              <w:pStyle w:val="TableParagraph"/>
              <w:spacing w:line="258" w:lineRule="exact"/>
              <w:ind w:left="-1"/>
              <w:rPr>
                <w:sz w:val="24"/>
              </w:rPr>
            </w:pPr>
            <w:r>
              <w:rPr>
                <w:spacing w:val="-2"/>
                <w:sz w:val="24"/>
              </w:rPr>
              <w:t>Starch</w:t>
            </w:r>
          </w:p>
          <w:p>
            <w:pPr>
              <w:pStyle w:val="TableParagraph"/>
              <w:spacing w:line="276" w:lineRule="auto" w:before="41"/>
              <w:ind w:left="-1" w:right="1426"/>
              <w:rPr>
                <w:sz w:val="24"/>
              </w:rPr>
            </w:pPr>
            <w:r>
              <w:rPr>
                <w:sz w:val="24"/>
              </w:rPr>
              <w:t>Starch</w:t>
            </w:r>
            <w:r>
              <w:rPr>
                <w:spacing w:val="-15"/>
                <w:sz w:val="24"/>
              </w:rPr>
              <w:t> </w:t>
            </w:r>
            <w:r>
              <w:rPr>
                <w:sz w:val="24"/>
              </w:rPr>
              <w:t>derivatives </w:t>
            </w:r>
            <w:r>
              <w:rPr>
                <w:spacing w:val="-4"/>
                <w:sz w:val="24"/>
              </w:rPr>
              <w:t>Clays</w:t>
            </w:r>
          </w:p>
          <w:p>
            <w:pPr>
              <w:pStyle w:val="TableParagraph"/>
              <w:spacing w:line="270" w:lineRule="exact"/>
              <w:ind w:left="-1"/>
              <w:rPr>
                <w:sz w:val="24"/>
              </w:rPr>
            </w:pPr>
            <w:r>
              <w:rPr>
                <w:spacing w:val="-2"/>
                <w:sz w:val="24"/>
              </w:rPr>
              <w:t>Cellulose</w:t>
            </w:r>
          </w:p>
        </w:tc>
        <w:tc>
          <w:tcPr>
            <w:tcW w:w="2240" w:type="dxa"/>
            <w:tcBorders>
              <w:top w:val="single" w:sz="6" w:space="0" w:color="000000"/>
              <w:bottom w:val="single" w:sz="6" w:space="0" w:color="000000"/>
            </w:tcBorders>
          </w:tcPr>
          <w:p>
            <w:pPr>
              <w:pStyle w:val="TableParagraph"/>
              <w:rPr>
                <w:sz w:val="24"/>
              </w:rPr>
            </w:pPr>
          </w:p>
        </w:tc>
        <w:tc>
          <w:tcPr>
            <w:tcW w:w="3595" w:type="dxa"/>
            <w:tcBorders>
              <w:top w:val="single" w:sz="6" w:space="0" w:color="000000"/>
              <w:bottom w:val="single" w:sz="6" w:space="0" w:color="000000"/>
            </w:tcBorders>
          </w:tcPr>
          <w:p>
            <w:pPr>
              <w:pStyle w:val="TableParagraph"/>
              <w:spacing w:line="258" w:lineRule="exact"/>
              <w:ind w:left="423"/>
              <w:rPr>
                <w:sz w:val="24"/>
              </w:rPr>
            </w:pPr>
            <w:r>
              <w:rPr>
                <w:spacing w:val="-2"/>
                <w:sz w:val="24"/>
              </w:rPr>
              <w:t>Cellulose</w:t>
            </w:r>
          </w:p>
          <w:p>
            <w:pPr>
              <w:pStyle w:val="TableParagraph"/>
              <w:spacing w:before="41"/>
              <w:ind w:left="423"/>
              <w:rPr>
                <w:sz w:val="24"/>
              </w:rPr>
            </w:pPr>
            <w:r>
              <w:rPr>
                <w:spacing w:val="-2"/>
                <w:sz w:val="24"/>
              </w:rPr>
              <w:t>Alginates</w:t>
            </w:r>
          </w:p>
          <w:p>
            <w:pPr>
              <w:pStyle w:val="TableParagraph"/>
              <w:spacing w:before="40"/>
              <w:ind w:left="423"/>
              <w:rPr>
                <w:sz w:val="24"/>
              </w:rPr>
            </w:pPr>
            <w:r>
              <w:rPr>
                <w:sz w:val="24"/>
              </w:rPr>
              <w:t>PVP,</w:t>
            </w:r>
            <w:r>
              <w:rPr>
                <w:spacing w:val="-3"/>
                <w:sz w:val="24"/>
              </w:rPr>
              <w:t> </w:t>
            </w:r>
            <w:r>
              <w:rPr>
                <w:sz w:val="24"/>
              </w:rPr>
              <w:t>cross-</w:t>
            </w:r>
            <w:r>
              <w:rPr>
                <w:spacing w:val="-2"/>
                <w:sz w:val="24"/>
              </w:rPr>
              <w:t>linked</w:t>
            </w:r>
          </w:p>
        </w:tc>
        <w:tc>
          <w:tcPr>
            <w:tcW w:w="357" w:type="dxa"/>
            <w:vMerge/>
            <w:tcBorders>
              <w:top w:val="nil"/>
              <w:bottom w:val="single" w:sz="6" w:space="0" w:color="000000"/>
            </w:tcBorders>
          </w:tcPr>
          <w:p>
            <w:pPr>
              <w:rPr>
                <w:sz w:val="2"/>
                <w:szCs w:val="2"/>
              </w:rPr>
            </w:pPr>
          </w:p>
        </w:tc>
      </w:tr>
      <w:tr>
        <w:trPr>
          <w:trHeight w:val="315" w:hRule="atLeast"/>
        </w:trPr>
        <w:tc>
          <w:tcPr>
            <w:tcW w:w="369" w:type="dxa"/>
          </w:tcPr>
          <w:p>
            <w:pPr>
              <w:pStyle w:val="TableParagraph"/>
              <w:rPr>
                <w:sz w:val="22"/>
              </w:rPr>
            </w:pPr>
          </w:p>
        </w:tc>
        <w:tc>
          <w:tcPr>
            <w:tcW w:w="3157" w:type="dxa"/>
            <w:tcBorders>
              <w:top w:val="single" w:sz="6" w:space="0" w:color="000000"/>
              <w:bottom w:val="single" w:sz="6" w:space="0" w:color="000000"/>
            </w:tcBorders>
          </w:tcPr>
          <w:p>
            <w:pPr>
              <w:pStyle w:val="TableParagraph"/>
              <w:rPr>
                <w:sz w:val="22"/>
              </w:rPr>
            </w:pPr>
          </w:p>
        </w:tc>
        <w:tc>
          <w:tcPr>
            <w:tcW w:w="2240" w:type="dxa"/>
            <w:tcBorders>
              <w:top w:val="single" w:sz="6" w:space="0" w:color="000000"/>
              <w:bottom w:val="single" w:sz="6" w:space="0" w:color="000000"/>
            </w:tcBorders>
          </w:tcPr>
          <w:p>
            <w:pPr>
              <w:pStyle w:val="TableParagraph"/>
              <w:spacing w:before="18"/>
              <w:ind w:left="443"/>
              <w:rPr>
                <w:b/>
                <w:sz w:val="24"/>
              </w:rPr>
            </w:pPr>
            <w:r>
              <w:rPr>
                <w:b/>
                <w:spacing w:val="-2"/>
                <w:sz w:val="24"/>
              </w:rPr>
              <w:t>Lubricants</w:t>
            </w:r>
          </w:p>
        </w:tc>
        <w:tc>
          <w:tcPr>
            <w:tcW w:w="3595" w:type="dxa"/>
            <w:tcBorders>
              <w:top w:val="single" w:sz="6" w:space="0" w:color="000000"/>
              <w:bottom w:val="single" w:sz="6" w:space="0" w:color="000000"/>
            </w:tcBorders>
          </w:tcPr>
          <w:p>
            <w:pPr>
              <w:pStyle w:val="TableParagraph"/>
              <w:rPr>
                <w:sz w:val="22"/>
              </w:rPr>
            </w:pPr>
          </w:p>
        </w:tc>
        <w:tc>
          <w:tcPr>
            <w:tcW w:w="357" w:type="dxa"/>
            <w:tcBorders>
              <w:top w:val="single" w:sz="6" w:space="0" w:color="000000"/>
              <w:bottom w:val="single" w:sz="6" w:space="0" w:color="000000"/>
            </w:tcBorders>
          </w:tcPr>
          <w:p>
            <w:pPr>
              <w:pStyle w:val="TableParagraph"/>
              <w:rPr>
                <w:sz w:val="22"/>
              </w:rPr>
            </w:pPr>
          </w:p>
        </w:tc>
      </w:tr>
      <w:tr>
        <w:trPr>
          <w:trHeight w:val="940" w:hRule="atLeast"/>
        </w:trPr>
        <w:tc>
          <w:tcPr>
            <w:tcW w:w="369" w:type="dxa"/>
          </w:tcPr>
          <w:p>
            <w:pPr>
              <w:pStyle w:val="TableParagraph"/>
              <w:rPr>
                <w:sz w:val="24"/>
              </w:rPr>
            </w:pPr>
          </w:p>
        </w:tc>
        <w:tc>
          <w:tcPr>
            <w:tcW w:w="3157" w:type="dxa"/>
            <w:tcBorders>
              <w:top w:val="single" w:sz="6" w:space="0" w:color="000000"/>
              <w:bottom w:val="single" w:sz="6" w:space="0" w:color="000000"/>
            </w:tcBorders>
          </w:tcPr>
          <w:p>
            <w:pPr>
              <w:pStyle w:val="TableParagraph"/>
              <w:spacing w:line="276" w:lineRule="auto"/>
              <w:ind w:left="-1" w:right="1426"/>
              <w:rPr>
                <w:sz w:val="24"/>
              </w:rPr>
            </w:pPr>
            <w:r>
              <w:rPr>
                <w:sz w:val="24"/>
              </w:rPr>
              <w:t>Stearic acid Stearic</w:t>
            </w:r>
            <w:r>
              <w:rPr>
                <w:spacing w:val="-15"/>
                <w:sz w:val="24"/>
              </w:rPr>
              <w:t> </w:t>
            </w:r>
            <w:r>
              <w:rPr>
                <w:sz w:val="24"/>
              </w:rPr>
              <w:t>acid</w:t>
            </w:r>
            <w:r>
              <w:rPr>
                <w:spacing w:val="-15"/>
                <w:sz w:val="24"/>
              </w:rPr>
              <w:t> </w:t>
            </w:r>
            <w:r>
              <w:rPr>
                <w:sz w:val="24"/>
              </w:rPr>
              <w:t>salts</w:t>
            </w:r>
          </w:p>
          <w:p>
            <w:pPr>
              <w:pStyle w:val="TableParagraph"/>
              <w:spacing w:line="275" w:lineRule="exact"/>
              <w:ind w:left="-1"/>
              <w:rPr>
                <w:sz w:val="24"/>
              </w:rPr>
            </w:pPr>
            <w:r>
              <w:rPr>
                <w:sz w:val="24"/>
              </w:rPr>
              <w:t>Stearic</w:t>
            </w:r>
            <w:r>
              <w:rPr>
                <w:spacing w:val="-4"/>
                <w:sz w:val="24"/>
              </w:rPr>
              <w:t> </w:t>
            </w:r>
            <w:r>
              <w:rPr>
                <w:sz w:val="24"/>
              </w:rPr>
              <w:t>acid</w:t>
            </w:r>
            <w:r>
              <w:rPr>
                <w:spacing w:val="-2"/>
                <w:sz w:val="24"/>
              </w:rPr>
              <w:t> derivatives</w:t>
            </w:r>
          </w:p>
        </w:tc>
        <w:tc>
          <w:tcPr>
            <w:tcW w:w="2240" w:type="dxa"/>
            <w:tcBorders>
              <w:top w:val="single" w:sz="6" w:space="0" w:color="000000"/>
              <w:bottom w:val="single" w:sz="6" w:space="0" w:color="000000"/>
            </w:tcBorders>
          </w:tcPr>
          <w:p>
            <w:pPr>
              <w:pStyle w:val="TableParagraph"/>
              <w:rPr>
                <w:sz w:val="24"/>
              </w:rPr>
            </w:pPr>
          </w:p>
        </w:tc>
        <w:tc>
          <w:tcPr>
            <w:tcW w:w="3595" w:type="dxa"/>
            <w:tcBorders>
              <w:top w:val="single" w:sz="6" w:space="0" w:color="000000"/>
              <w:bottom w:val="single" w:sz="6" w:space="0" w:color="000000"/>
            </w:tcBorders>
          </w:tcPr>
          <w:p>
            <w:pPr>
              <w:pStyle w:val="TableParagraph"/>
              <w:spacing w:line="276" w:lineRule="auto"/>
              <w:ind w:left="423" w:right="1160"/>
              <w:rPr>
                <w:sz w:val="24"/>
              </w:rPr>
            </w:pPr>
            <w:r>
              <w:rPr>
                <w:sz w:val="24"/>
              </w:rPr>
              <w:t>Polyethylene</w:t>
            </w:r>
            <w:r>
              <w:rPr>
                <w:spacing w:val="-15"/>
                <w:sz w:val="24"/>
              </w:rPr>
              <w:t> </w:t>
            </w:r>
            <w:r>
              <w:rPr>
                <w:sz w:val="24"/>
              </w:rPr>
              <w:t>glycols </w:t>
            </w:r>
            <w:r>
              <w:rPr>
                <w:spacing w:val="-2"/>
                <w:sz w:val="24"/>
              </w:rPr>
              <w:t>Surfactants</w:t>
            </w:r>
          </w:p>
          <w:p>
            <w:pPr>
              <w:pStyle w:val="TableParagraph"/>
              <w:spacing w:line="275" w:lineRule="exact"/>
              <w:ind w:left="423"/>
              <w:rPr>
                <w:sz w:val="24"/>
              </w:rPr>
            </w:pPr>
            <w:r>
              <w:rPr>
                <w:spacing w:val="-2"/>
                <w:sz w:val="24"/>
              </w:rPr>
              <w:t>Waxes</w:t>
            </w:r>
          </w:p>
        </w:tc>
        <w:tc>
          <w:tcPr>
            <w:tcW w:w="357" w:type="dxa"/>
            <w:tcBorders>
              <w:top w:val="single" w:sz="6" w:space="0" w:color="000000"/>
              <w:bottom w:val="single" w:sz="6" w:space="0" w:color="000000"/>
            </w:tcBorders>
          </w:tcPr>
          <w:p>
            <w:pPr>
              <w:pStyle w:val="TableParagraph"/>
              <w:rPr>
                <w:sz w:val="24"/>
              </w:rPr>
            </w:pPr>
          </w:p>
        </w:tc>
      </w:tr>
    </w:tbl>
    <w:p>
      <w:pPr>
        <w:spacing w:before="0"/>
        <w:ind w:left="3678" w:right="0" w:firstLine="0"/>
        <w:jc w:val="left"/>
        <w:rPr>
          <w:b/>
          <w:sz w:val="24"/>
        </w:rPr>
      </w:pPr>
      <w:r>
        <w:rPr/>
        <mc:AlternateContent>
          <mc:Choice Requires="wps">
            <w:drawing>
              <wp:anchor distT="0" distB="0" distL="0" distR="0" allowOverlap="1" layoutInCell="1" locked="0" behindDoc="1" simplePos="0" relativeHeight="482942976">
                <wp:simplePos x="0" y="0"/>
                <wp:positionH relativeFrom="page">
                  <wp:posOffset>1332230</wp:posOffset>
                </wp:positionH>
                <wp:positionV relativeFrom="paragraph">
                  <wp:posOffset>160654</wp:posOffset>
                </wp:positionV>
                <wp:extent cx="5937250" cy="12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5937250" cy="1270"/>
                        </a:xfrm>
                        <a:custGeom>
                          <a:avLst/>
                          <a:gdLst/>
                          <a:ahLst/>
                          <a:cxnLst/>
                          <a:rect l="l" t="t" r="r" b="b"/>
                          <a:pathLst>
                            <a:path w="5937250" h="0">
                              <a:moveTo>
                                <a:pt x="0" y="0"/>
                              </a:moveTo>
                              <a:lnTo>
                                <a:pt x="5937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73504" from="104.900002pt,12.65pt" to="572.400002pt,12.65pt" stroked="true" strokeweight=".75pt" strokecolor="#000000">
                <v:stroke dashstyle="solid"/>
                <w10:wrap type="none"/>
              </v:line>
            </w:pict>
          </mc:Fallback>
        </mc:AlternateContent>
      </w:r>
      <w:r>
        <w:rPr>
          <w:b/>
          <w:sz w:val="24"/>
        </w:rPr>
        <w:t>Glidants</w:t>
      </w:r>
      <w:r>
        <w:rPr>
          <w:b/>
          <w:spacing w:val="-2"/>
          <w:sz w:val="24"/>
        </w:rPr>
        <w:t> </w:t>
      </w:r>
      <w:r>
        <w:rPr>
          <w:b/>
          <w:sz w:val="24"/>
        </w:rPr>
        <w:t>and</w:t>
      </w:r>
      <w:r>
        <w:rPr>
          <w:b/>
          <w:spacing w:val="-1"/>
          <w:sz w:val="24"/>
        </w:rPr>
        <w:t> </w:t>
      </w:r>
      <w:r>
        <w:rPr>
          <w:b/>
          <w:sz w:val="24"/>
        </w:rPr>
        <w:t>Flow</w:t>
      </w:r>
      <w:r>
        <w:rPr>
          <w:b/>
          <w:spacing w:val="1"/>
          <w:sz w:val="24"/>
        </w:rPr>
        <w:t> </w:t>
      </w:r>
      <w:r>
        <w:rPr>
          <w:b/>
          <w:spacing w:val="-2"/>
          <w:sz w:val="24"/>
        </w:rPr>
        <w:t>Promoters</w:t>
      </w:r>
    </w:p>
    <w:p>
      <w:pPr>
        <w:pStyle w:val="BodyText"/>
        <w:spacing w:line="276" w:lineRule="auto" w:before="32"/>
        <w:ind w:left="678" w:right="8057"/>
      </w:pPr>
      <w:r>
        <w:rPr/>
        <w:t>Silica</w:t>
      </w:r>
      <w:r>
        <w:rPr>
          <w:spacing w:val="-15"/>
        </w:rPr>
        <w:t> </w:t>
      </w:r>
      <w:r>
        <w:rPr/>
        <w:t>derivatives </w:t>
      </w:r>
      <w:r>
        <w:rPr>
          <w:spacing w:val="-4"/>
        </w:rPr>
        <w:t>Talc</w:t>
      </w:r>
    </w:p>
    <w:p>
      <w:pPr>
        <w:pStyle w:val="BodyText"/>
        <w:tabs>
          <w:tab w:pos="10041" w:val="left" w:leader="none"/>
        </w:tabs>
        <w:spacing w:line="275" w:lineRule="exact"/>
        <w:ind w:left="678"/>
      </w:pPr>
      <w:r>
        <w:rPr>
          <w:spacing w:val="-2"/>
          <w:u w:val="single"/>
        </w:rPr>
        <w:t>Cornstarch</w:t>
      </w:r>
      <w:r>
        <w:rPr>
          <w:u w:val="single"/>
        </w:rPr>
        <w:tab/>
      </w:r>
    </w:p>
    <w:p>
      <w:pPr>
        <w:pStyle w:val="Heading2"/>
        <w:spacing w:before="45"/>
        <w:ind w:left="3558"/>
        <w:jc w:val="left"/>
      </w:pPr>
      <w:r>
        <w:rPr/>
        <mc:AlternateContent>
          <mc:Choice Requires="wps">
            <w:drawing>
              <wp:anchor distT="0" distB="0" distL="0" distR="0" allowOverlap="1" layoutInCell="1" locked="0" behindDoc="1" simplePos="0" relativeHeight="487627264">
                <wp:simplePos x="0" y="0"/>
                <wp:positionH relativeFrom="page">
                  <wp:posOffset>1313180</wp:posOffset>
                </wp:positionH>
                <wp:positionV relativeFrom="paragraph">
                  <wp:posOffset>211001</wp:posOffset>
                </wp:positionV>
                <wp:extent cx="593725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5937250" cy="1270"/>
                        </a:xfrm>
                        <a:custGeom>
                          <a:avLst/>
                          <a:gdLst/>
                          <a:ahLst/>
                          <a:cxnLst/>
                          <a:rect l="l" t="t" r="r" b="b"/>
                          <a:pathLst>
                            <a:path w="5937250" h="0">
                              <a:moveTo>
                                <a:pt x="0" y="0"/>
                              </a:moveTo>
                              <a:lnTo>
                                <a:pt x="5937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3.400002pt;margin-top:16.614304pt;width:467.5pt;height:.1pt;mso-position-horizontal-relative:page;mso-position-vertical-relative:paragraph;z-index:-15689216;mso-wrap-distance-left:0;mso-wrap-distance-right:0" id="docshape32" coordorigin="2068,332" coordsize="9350,0" path="m2068,332l11418,332e" filled="false" stroked="true" strokeweight=".75pt" strokecolor="#000000">
                <v:path arrowok="t"/>
                <v:stroke dashstyle="solid"/>
                <w10:wrap type="topAndBottom"/>
              </v:shape>
            </w:pict>
          </mc:Fallback>
        </mc:AlternateContent>
      </w:r>
      <w:r>
        <w:rPr/>
        <w:t>Colors,</w:t>
      </w:r>
      <w:r>
        <w:rPr>
          <w:spacing w:val="-2"/>
        </w:rPr>
        <w:t> </w:t>
      </w:r>
      <w:r>
        <w:rPr/>
        <w:t>Flavours</w:t>
      </w:r>
      <w:r>
        <w:rPr>
          <w:spacing w:val="-1"/>
        </w:rPr>
        <w:t> </w:t>
      </w:r>
      <w:r>
        <w:rPr/>
        <w:t>and</w:t>
      </w:r>
      <w:r>
        <w:rPr>
          <w:spacing w:val="-1"/>
        </w:rPr>
        <w:t> </w:t>
      </w:r>
      <w:r>
        <w:rPr>
          <w:spacing w:val="-2"/>
        </w:rPr>
        <w:t>Sweeteners</w:t>
      </w:r>
    </w:p>
    <w:p>
      <w:pPr>
        <w:pStyle w:val="BodyText"/>
        <w:spacing w:line="276" w:lineRule="auto" w:before="20"/>
        <w:ind w:left="678" w:right="6382"/>
      </w:pPr>
      <w:r>
        <w:rPr/>
        <w:t>FD</w:t>
      </w:r>
      <w:r>
        <w:rPr>
          <w:spacing w:val="-4"/>
        </w:rPr>
        <w:t> </w:t>
      </w:r>
      <w:r>
        <w:rPr/>
        <w:t>&amp;</w:t>
      </w:r>
      <w:r>
        <w:rPr>
          <w:spacing w:val="-7"/>
        </w:rPr>
        <w:t> </w:t>
      </w:r>
      <w:r>
        <w:rPr/>
        <w:t>C</w:t>
      </w:r>
      <w:r>
        <w:rPr>
          <w:spacing w:val="-5"/>
        </w:rPr>
        <w:t> </w:t>
      </w:r>
      <w:r>
        <w:rPr/>
        <w:t>and</w:t>
      </w:r>
      <w:r>
        <w:rPr>
          <w:spacing w:val="-5"/>
        </w:rPr>
        <w:t> </w:t>
      </w:r>
      <w:r>
        <w:rPr/>
        <w:t>D</w:t>
      </w:r>
      <w:r>
        <w:rPr>
          <w:spacing w:val="-3"/>
        </w:rPr>
        <w:t> </w:t>
      </w:r>
      <w:r>
        <w:rPr/>
        <w:t>&amp;</w:t>
      </w:r>
      <w:r>
        <w:rPr>
          <w:spacing w:val="-7"/>
        </w:rPr>
        <w:t> </w:t>
      </w:r>
      <w:r>
        <w:rPr/>
        <w:t>C</w:t>
      </w:r>
      <w:r>
        <w:rPr>
          <w:spacing w:val="-5"/>
        </w:rPr>
        <w:t> </w:t>
      </w:r>
      <w:r>
        <w:rPr/>
        <w:t>dyes</w:t>
      </w:r>
      <w:r>
        <w:rPr>
          <w:spacing w:val="-3"/>
        </w:rPr>
        <w:t> </w:t>
      </w:r>
      <w:r>
        <w:rPr/>
        <w:t>and</w:t>
      </w:r>
      <w:r>
        <w:rPr>
          <w:spacing w:val="-5"/>
        </w:rPr>
        <w:t> </w:t>
      </w:r>
      <w:r>
        <w:rPr/>
        <w:t>lakes Spray-dried and other flavours Natural sweeteners</w:t>
      </w:r>
    </w:p>
    <w:p>
      <w:pPr>
        <w:pStyle w:val="BodyText"/>
        <w:spacing w:line="275" w:lineRule="exact"/>
        <w:ind w:left="678"/>
      </w:pPr>
      <w:r>
        <w:rPr/>
        <w:t>Artificial</w:t>
      </w:r>
      <w:r>
        <w:rPr>
          <w:spacing w:val="-4"/>
        </w:rPr>
        <w:t> </w:t>
      </w:r>
      <w:r>
        <w:rPr>
          <w:spacing w:val="-2"/>
        </w:rPr>
        <w:t>sweeteners</w:t>
      </w:r>
    </w:p>
    <w:p>
      <w:pPr>
        <w:spacing w:after="0" w:line="275" w:lineRule="exact"/>
        <w:sectPr>
          <w:pgSz w:w="12240" w:h="15840"/>
          <w:pgMar w:header="0" w:footer="1056" w:top="1340" w:bottom="1240" w:left="1420" w:right="420"/>
        </w:sectPr>
      </w:pPr>
    </w:p>
    <w:p>
      <w:pPr>
        <w:pStyle w:val="BodyText"/>
        <w:spacing w:line="360" w:lineRule="auto" w:before="72"/>
        <w:ind w:left="678" w:right="997"/>
      </w:pPr>
      <w:r>
        <w:rPr/>
        <mc:AlternateContent>
          <mc:Choice Requires="wps">
            <w:drawing>
              <wp:anchor distT="0" distB="0" distL="0" distR="0" allowOverlap="1" layoutInCell="1" locked="0" behindDoc="1" simplePos="0" relativeHeight="482944000">
                <wp:simplePos x="0" y="0"/>
                <wp:positionH relativeFrom="page">
                  <wp:posOffset>-1402226</wp:posOffset>
                </wp:positionH>
                <wp:positionV relativeFrom="page">
                  <wp:posOffset>4612234</wp:posOffset>
                </wp:positionV>
                <wp:extent cx="10685780" cy="9144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2480;rotation:306" type="#_x0000_t136" fillcolor="#ff5400" stroked="f">
                <o:extrusion v:ext="view" autorotationcenter="t"/>
                <v:textpath style="font-family:&quot;Arial MT&quot;;font-size:72pt;v-text-kern:t;mso-text-shadow:auto" string="UNIVERSITY OF IBADAN"/>
                <w10:wrap type="none"/>
              </v:shape>
            </w:pict>
          </mc:Fallback>
        </mc:AlternateContent>
      </w:r>
      <w:r>
        <w:rPr/>
        <w:t>the</w:t>
      </w:r>
      <w:r>
        <w:rPr>
          <w:spacing w:val="39"/>
        </w:rPr>
        <w:t> </w:t>
      </w:r>
      <w:r>
        <w:rPr/>
        <w:t>filler</w:t>
      </w:r>
      <w:r>
        <w:rPr>
          <w:spacing w:val="39"/>
        </w:rPr>
        <w:t> </w:t>
      </w:r>
      <w:r>
        <w:rPr/>
        <w:t>may</w:t>
      </w:r>
      <w:r>
        <w:rPr>
          <w:spacing w:val="35"/>
        </w:rPr>
        <w:t> </w:t>
      </w:r>
      <w:r>
        <w:rPr/>
        <w:t>occur</w:t>
      </w:r>
      <w:r>
        <w:rPr>
          <w:spacing w:val="40"/>
        </w:rPr>
        <w:t> </w:t>
      </w:r>
      <w:r>
        <w:rPr/>
        <w:t>and</w:t>
      </w:r>
      <w:r>
        <w:rPr>
          <w:spacing w:val="39"/>
        </w:rPr>
        <w:t> </w:t>
      </w:r>
      <w:r>
        <w:rPr/>
        <w:t>affect</w:t>
      </w:r>
      <w:r>
        <w:rPr>
          <w:spacing w:val="40"/>
        </w:rPr>
        <w:t> </w:t>
      </w:r>
      <w:r>
        <w:rPr/>
        <w:t>bioavailability.</w:t>
      </w:r>
      <w:r>
        <w:rPr>
          <w:spacing w:val="40"/>
        </w:rPr>
        <w:t> </w:t>
      </w:r>
      <w:r>
        <w:rPr/>
        <w:t>Examples</w:t>
      </w:r>
      <w:r>
        <w:rPr>
          <w:spacing w:val="40"/>
        </w:rPr>
        <w:t> </w:t>
      </w:r>
      <w:r>
        <w:rPr/>
        <w:t>are</w:t>
      </w:r>
      <w:r>
        <w:rPr>
          <w:spacing w:val="38"/>
        </w:rPr>
        <w:t> </w:t>
      </w:r>
      <w:r>
        <w:rPr/>
        <w:t>lactose,</w:t>
      </w:r>
      <w:r>
        <w:rPr>
          <w:spacing w:val="39"/>
        </w:rPr>
        <w:t> </w:t>
      </w:r>
      <w:r>
        <w:rPr/>
        <w:t>sucrose,</w:t>
      </w:r>
      <w:r>
        <w:rPr>
          <w:spacing w:val="39"/>
        </w:rPr>
        <w:t> </w:t>
      </w:r>
      <w:r>
        <w:rPr/>
        <w:t>sorbitol, calcium sulphate, dextrose, microcrystalline cellulose, etc.</w:t>
      </w:r>
    </w:p>
    <w:p>
      <w:pPr>
        <w:pStyle w:val="BodyText"/>
        <w:spacing w:before="142"/>
      </w:pPr>
    </w:p>
    <w:p>
      <w:pPr>
        <w:pStyle w:val="Heading2"/>
        <w:numPr>
          <w:ilvl w:val="3"/>
          <w:numId w:val="19"/>
        </w:numPr>
        <w:tabs>
          <w:tab w:pos="1518" w:val="left" w:leader="none"/>
        </w:tabs>
        <w:spacing w:line="240" w:lineRule="auto" w:before="1" w:after="0"/>
        <w:ind w:left="1518" w:right="0" w:hanging="840"/>
        <w:jc w:val="both"/>
      </w:pPr>
      <w:bookmarkStart w:name="_TOC_250075" w:id="58"/>
      <w:bookmarkEnd w:id="58"/>
      <w:r>
        <w:rPr>
          <w:spacing w:val="-2"/>
        </w:rPr>
        <w:t>Disintegrants</w:t>
      </w:r>
    </w:p>
    <w:p>
      <w:pPr>
        <w:pStyle w:val="BodyText"/>
        <w:spacing w:line="360" w:lineRule="auto" w:before="134"/>
        <w:ind w:left="678" w:right="996" w:firstLine="840"/>
        <w:jc w:val="both"/>
      </w:pPr>
      <w:r>
        <w:rPr/>
        <w:t>A disintegrant is used to cause the tablet to disintegrate when exposed to an aqueous environment. Too much will produce tablet which may disintegrate in the container due to atmospheric pressure. Too little may be insufficient for disintegration to occur and may thus alter the rate and extent of release of the drug from the dosage form. Examples of disintegrants are starch, PVP, cellulose, clays, etc.</w:t>
      </w:r>
    </w:p>
    <w:p>
      <w:pPr>
        <w:pStyle w:val="BodyText"/>
        <w:spacing w:before="143"/>
      </w:pPr>
    </w:p>
    <w:p>
      <w:pPr>
        <w:pStyle w:val="Heading2"/>
        <w:numPr>
          <w:ilvl w:val="3"/>
          <w:numId w:val="19"/>
        </w:numPr>
        <w:tabs>
          <w:tab w:pos="1518" w:val="left" w:leader="none"/>
        </w:tabs>
        <w:spacing w:line="240" w:lineRule="auto" w:before="1" w:after="0"/>
        <w:ind w:left="1518" w:right="0" w:hanging="840"/>
        <w:jc w:val="both"/>
      </w:pPr>
      <w:bookmarkStart w:name="_TOC_250074" w:id="59"/>
      <w:bookmarkEnd w:id="59"/>
      <w:r>
        <w:rPr>
          <w:spacing w:val="-2"/>
        </w:rPr>
        <w:t>Lubricants</w:t>
      </w:r>
    </w:p>
    <w:p>
      <w:pPr>
        <w:pStyle w:val="BodyText"/>
        <w:spacing w:line="360" w:lineRule="auto" w:before="132"/>
        <w:ind w:left="678" w:right="995" w:firstLine="902"/>
        <w:jc w:val="both"/>
      </w:pPr>
      <w:r>
        <w:rPr/>
        <w:t>Lubricants are used to enhance the flow of the powder to the tablet machine and to prevent sticking of the tablet in the die of the machine after the tablet is compressed. Lubricants are usually hydrophobic materials such as stearic acid or magnesium or</w:t>
      </w:r>
      <w:r>
        <w:rPr>
          <w:spacing w:val="40"/>
        </w:rPr>
        <w:t> </w:t>
      </w:r>
      <w:r>
        <w:rPr/>
        <w:t>calcium stearate. Too little lubricant will not permit satisfactory</w:t>
      </w:r>
      <w:r>
        <w:rPr>
          <w:spacing w:val="-1"/>
        </w:rPr>
        <w:t> </w:t>
      </w:r>
      <w:r>
        <w:rPr/>
        <w:t>tablet to be made and too much may produce a tablet with a water impervious hydrophobic coat. This impervious coat can inhibit disintegration of the tablet and dissolution of the drug. An ideal lubricant should be white or colourless, odourless, tasteless, soluble in water, non-toxic and</w:t>
      </w:r>
      <w:r>
        <w:rPr>
          <w:spacing w:val="40"/>
        </w:rPr>
        <w:t> </w:t>
      </w:r>
      <w:r>
        <w:rPr/>
        <w:t>efficient at low concentrations. Other examples of lubricants are polyethylene glycols, surfactants and waxes.</w:t>
      </w:r>
    </w:p>
    <w:p>
      <w:pPr>
        <w:pStyle w:val="BodyText"/>
        <w:spacing w:before="143"/>
      </w:pPr>
    </w:p>
    <w:p>
      <w:pPr>
        <w:pStyle w:val="Heading2"/>
        <w:numPr>
          <w:ilvl w:val="3"/>
          <w:numId w:val="19"/>
        </w:numPr>
        <w:tabs>
          <w:tab w:pos="1518" w:val="left" w:leader="none"/>
        </w:tabs>
        <w:spacing w:line="240" w:lineRule="auto" w:before="0" w:after="0"/>
        <w:ind w:left="1518" w:right="0" w:hanging="840"/>
        <w:jc w:val="both"/>
      </w:pPr>
      <w:bookmarkStart w:name="_TOC_250073" w:id="60"/>
      <w:r>
        <w:rPr/>
        <w:t>Glidants</w:t>
      </w:r>
      <w:r>
        <w:rPr>
          <w:spacing w:val="-1"/>
        </w:rPr>
        <w:t> </w:t>
      </w:r>
      <w:r>
        <w:rPr/>
        <w:t>or</w:t>
      </w:r>
      <w:r>
        <w:rPr>
          <w:spacing w:val="-3"/>
        </w:rPr>
        <w:t> </w:t>
      </w:r>
      <w:r>
        <w:rPr/>
        <w:t>flow </w:t>
      </w:r>
      <w:bookmarkEnd w:id="60"/>
      <w:r>
        <w:rPr>
          <w:spacing w:val="-2"/>
        </w:rPr>
        <w:t>promoters</w:t>
      </w:r>
    </w:p>
    <w:p>
      <w:pPr>
        <w:pStyle w:val="BodyText"/>
        <w:spacing w:line="360" w:lineRule="auto" w:before="135"/>
        <w:ind w:left="678" w:right="997" w:firstLine="840"/>
        <w:jc w:val="both"/>
      </w:pPr>
      <w:r>
        <w:rPr/>
        <w:t>A</w:t>
      </w:r>
      <w:r>
        <w:rPr>
          <w:spacing w:val="-3"/>
        </w:rPr>
        <w:t> </w:t>
      </w:r>
      <w:r>
        <w:rPr/>
        <w:t>glidant reduces</w:t>
      </w:r>
      <w:r>
        <w:rPr>
          <w:spacing w:val="-2"/>
        </w:rPr>
        <w:t> </w:t>
      </w:r>
      <w:r>
        <w:rPr/>
        <w:t>friction</w:t>
      </w:r>
      <w:r>
        <w:rPr>
          <w:spacing w:val="-2"/>
        </w:rPr>
        <w:t> </w:t>
      </w:r>
      <w:r>
        <w:rPr/>
        <w:t>between particles</w:t>
      </w:r>
      <w:r>
        <w:rPr>
          <w:spacing w:val="-2"/>
        </w:rPr>
        <w:t> </w:t>
      </w:r>
      <w:r>
        <w:rPr/>
        <w:t>thus enhancing</w:t>
      </w:r>
      <w:r>
        <w:rPr>
          <w:spacing w:val="-5"/>
        </w:rPr>
        <w:t> </w:t>
      </w:r>
      <w:r>
        <w:rPr/>
        <w:t>the</w:t>
      </w:r>
      <w:r>
        <w:rPr>
          <w:spacing w:val="-1"/>
        </w:rPr>
        <w:t> </w:t>
      </w:r>
      <w:r>
        <w:rPr/>
        <w:t>flow of</w:t>
      </w:r>
      <w:r>
        <w:rPr>
          <w:spacing w:val="-1"/>
        </w:rPr>
        <w:t> </w:t>
      </w:r>
      <w:r>
        <w:rPr/>
        <w:t>powder</w:t>
      </w:r>
      <w:r>
        <w:rPr>
          <w:spacing w:val="-3"/>
        </w:rPr>
        <w:t> </w:t>
      </w:r>
      <w:r>
        <w:rPr/>
        <w:t>or granules from the feed mill to the die leading to uniformity and consistency in the weight of tablets produced. Examples are talc and corn starch.</w:t>
      </w:r>
    </w:p>
    <w:p>
      <w:pPr>
        <w:pStyle w:val="BodyText"/>
        <w:spacing w:before="140"/>
      </w:pPr>
    </w:p>
    <w:p>
      <w:pPr>
        <w:pStyle w:val="Heading2"/>
        <w:numPr>
          <w:ilvl w:val="3"/>
          <w:numId w:val="19"/>
        </w:numPr>
        <w:tabs>
          <w:tab w:pos="1518" w:val="left" w:leader="none"/>
        </w:tabs>
        <w:spacing w:line="240" w:lineRule="auto" w:before="1" w:after="0"/>
        <w:ind w:left="1518" w:right="0" w:hanging="840"/>
        <w:jc w:val="both"/>
      </w:pPr>
      <w:bookmarkStart w:name="_TOC_250072" w:id="61"/>
      <w:r>
        <w:rPr/>
        <w:t>Colouring </w:t>
      </w:r>
      <w:bookmarkEnd w:id="61"/>
      <w:r>
        <w:rPr>
          <w:spacing w:val="-2"/>
        </w:rPr>
        <w:t>agents</w:t>
      </w:r>
    </w:p>
    <w:p>
      <w:pPr>
        <w:pStyle w:val="BodyText"/>
        <w:spacing w:line="360" w:lineRule="auto" w:before="134"/>
        <w:ind w:left="678" w:right="993" w:firstLine="780"/>
        <w:jc w:val="both"/>
      </w:pPr>
      <w:r>
        <w:rPr/>
        <w:t>A colouring agent improves the aesthetic value hence the appeal and acceptance</w:t>
      </w:r>
      <w:r>
        <w:rPr>
          <w:spacing w:val="40"/>
        </w:rPr>
        <w:t> </w:t>
      </w:r>
      <w:r>
        <w:rPr/>
        <w:t>of the product as well as making identification of the product and maintaining color uniformity</w:t>
      </w:r>
      <w:r>
        <w:rPr>
          <w:spacing w:val="-5"/>
        </w:rPr>
        <w:t> </w:t>
      </w:r>
      <w:r>
        <w:rPr/>
        <w:t>among batches possible. An ideal</w:t>
      </w:r>
      <w:r>
        <w:rPr>
          <w:spacing w:val="3"/>
        </w:rPr>
        <w:t> </w:t>
      </w:r>
      <w:r>
        <w:rPr/>
        <w:t>colorant should have</w:t>
      </w:r>
      <w:r>
        <w:rPr>
          <w:spacing w:val="-1"/>
        </w:rPr>
        <w:t> </w:t>
      </w:r>
      <w:r>
        <w:rPr/>
        <w:t>the</w:t>
      </w:r>
      <w:r>
        <w:rPr>
          <w:spacing w:val="1"/>
        </w:rPr>
        <w:t> </w:t>
      </w:r>
      <w:r>
        <w:rPr/>
        <w:t>following</w:t>
      </w:r>
      <w:r>
        <w:rPr>
          <w:spacing w:val="-2"/>
        </w:rPr>
        <w:t> qualities:,</w:t>
      </w:r>
    </w:p>
    <w:p>
      <w:pPr>
        <w:spacing w:after="0" w:line="360" w:lineRule="auto"/>
        <w:jc w:val="both"/>
        <w:sectPr>
          <w:pgSz w:w="12240" w:h="15840"/>
          <w:pgMar w:header="0" w:footer="1056" w:top="1340" w:bottom="1240" w:left="1420" w:right="420"/>
        </w:sectPr>
      </w:pPr>
    </w:p>
    <w:p>
      <w:pPr>
        <w:pStyle w:val="BodyText"/>
        <w:spacing w:line="360" w:lineRule="auto" w:before="72"/>
        <w:ind w:left="678" w:right="997"/>
      </w:pPr>
      <w:r>
        <w:rPr/>
        <mc:AlternateContent>
          <mc:Choice Requires="wps">
            <w:drawing>
              <wp:anchor distT="0" distB="0" distL="0" distR="0" allowOverlap="1" layoutInCell="1" locked="0" behindDoc="1" simplePos="0" relativeHeight="482944512">
                <wp:simplePos x="0" y="0"/>
                <wp:positionH relativeFrom="page">
                  <wp:posOffset>-1402226</wp:posOffset>
                </wp:positionH>
                <wp:positionV relativeFrom="page">
                  <wp:posOffset>4612234</wp:posOffset>
                </wp:positionV>
                <wp:extent cx="10685780" cy="9144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1968;rotation:306" type="#_x0000_t136" fillcolor="#ff5400" stroked="f">
                <o:extrusion v:ext="view" autorotationcenter="t"/>
                <v:textpath style="font-family:&quot;Arial MT&quot;;font-size:72pt;v-text-kern:t;mso-text-shadow:auto" string="UNIVERSITY OF IBADAN"/>
                <w10:wrap type="none"/>
              </v:shape>
            </w:pict>
          </mc:Fallback>
        </mc:AlternateContent>
      </w:r>
      <w:r>
        <w:rPr/>
        <w:t>stablility</w:t>
      </w:r>
      <w:r>
        <w:rPr>
          <w:spacing w:val="32"/>
        </w:rPr>
        <w:t> </w:t>
      </w:r>
      <w:r>
        <w:rPr/>
        <w:t>to</w:t>
      </w:r>
      <w:r>
        <w:rPr>
          <w:spacing w:val="38"/>
        </w:rPr>
        <w:t> </w:t>
      </w:r>
      <w:r>
        <w:rPr/>
        <w:t>light,</w:t>
      </w:r>
      <w:r>
        <w:rPr>
          <w:spacing w:val="39"/>
        </w:rPr>
        <w:t> </w:t>
      </w:r>
      <w:r>
        <w:rPr/>
        <w:t>heat</w:t>
      </w:r>
      <w:r>
        <w:rPr>
          <w:spacing w:val="39"/>
        </w:rPr>
        <w:t> </w:t>
      </w:r>
      <w:r>
        <w:rPr/>
        <w:t>and</w:t>
      </w:r>
      <w:r>
        <w:rPr>
          <w:spacing w:val="38"/>
        </w:rPr>
        <w:t> </w:t>
      </w:r>
      <w:r>
        <w:rPr/>
        <w:t>pH</w:t>
      </w:r>
      <w:r>
        <w:rPr>
          <w:spacing w:val="38"/>
        </w:rPr>
        <w:t> </w:t>
      </w:r>
      <w:r>
        <w:rPr/>
        <w:t>changes,</w:t>
      </w:r>
      <w:r>
        <w:rPr>
          <w:spacing w:val="40"/>
        </w:rPr>
        <w:t> </w:t>
      </w:r>
      <w:r>
        <w:rPr/>
        <w:t>resistance</w:t>
      </w:r>
      <w:r>
        <w:rPr>
          <w:spacing w:val="38"/>
        </w:rPr>
        <w:t> </w:t>
      </w:r>
      <w:r>
        <w:rPr/>
        <w:t>to</w:t>
      </w:r>
      <w:r>
        <w:rPr>
          <w:spacing w:val="39"/>
        </w:rPr>
        <w:t> </w:t>
      </w:r>
      <w:r>
        <w:rPr/>
        <w:t>action</w:t>
      </w:r>
      <w:r>
        <w:rPr>
          <w:spacing w:val="38"/>
        </w:rPr>
        <w:t> </w:t>
      </w:r>
      <w:r>
        <w:rPr/>
        <w:t>of</w:t>
      </w:r>
      <w:r>
        <w:rPr>
          <w:spacing w:val="37"/>
        </w:rPr>
        <w:t> </w:t>
      </w:r>
      <w:r>
        <w:rPr/>
        <w:t>oxidizing</w:t>
      </w:r>
      <w:r>
        <w:rPr>
          <w:spacing w:val="36"/>
        </w:rPr>
        <w:t> </w:t>
      </w:r>
      <w:r>
        <w:rPr/>
        <w:t>and</w:t>
      </w:r>
      <w:r>
        <w:rPr>
          <w:spacing w:val="40"/>
        </w:rPr>
        <w:t> </w:t>
      </w:r>
      <w:r>
        <w:rPr/>
        <w:t>reducing agents and should be non-toxic.</w:t>
      </w:r>
    </w:p>
    <w:p>
      <w:pPr>
        <w:pStyle w:val="BodyText"/>
        <w:spacing w:before="1"/>
        <w:ind w:left="678"/>
      </w:pPr>
      <w:r>
        <w:rPr/>
        <w:t>Examples</w:t>
      </w:r>
      <w:r>
        <w:rPr>
          <w:spacing w:val="-1"/>
        </w:rPr>
        <w:t> </w:t>
      </w:r>
      <w:r>
        <w:rPr/>
        <w:t>of</w:t>
      </w:r>
      <w:r>
        <w:rPr>
          <w:spacing w:val="-1"/>
        </w:rPr>
        <w:t> </w:t>
      </w:r>
      <w:r>
        <w:rPr/>
        <w:t>colouring</w:t>
      </w:r>
      <w:r>
        <w:rPr>
          <w:spacing w:val="-3"/>
        </w:rPr>
        <w:t> </w:t>
      </w:r>
      <w:r>
        <w:rPr/>
        <w:t>agents</w:t>
      </w:r>
      <w:r>
        <w:rPr>
          <w:spacing w:val="-1"/>
        </w:rPr>
        <w:t> </w:t>
      </w:r>
      <w:r>
        <w:rPr/>
        <w:t>are</w:t>
      </w:r>
      <w:r>
        <w:rPr>
          <w:spacing w:val="-1"/>
        </w:rPr>
        <w:t> </w:t>
      </w:r>
      <w:r>
        <w:rPr/>
        <w:t>FD</w:t>
      </w:r>
      <w:r>
        <w:rPr>
          <w:spacing w:val="1"/>
        </w:rPr>
        <w:t> </w:t>
      </w:r>
      <w:r>
        <w:rPr/>
        <w:t>&amp;</w:t>
      </w:r>
      <w:r>
        <w:rPr>
          <w:spacing w:val="-3"/>
        </w:rPr>
        <w:t> </w:t>
      </w:r>
      <w:r>
        <w:rPr/>
        <w:t>C,</w:t>
      </w:r>
      <w:r>
        <w:rPr>
          <w:spacing w:val="-1"/>
        </w:rPr>
        <w:t> </w:t>
      </w:r>
      <w:r>
        <w:rPr/>
        <w:t>D</w:t>
      </w:r>
      <w:r>
        <w:rPr>
          <w:spacing w:val="1"/>
        </w:rPr>
        <w:t> </w:t>
      </w:r>
      <w:r>
        <w:rPr/>
        <w:t>&amp;</w:t>
      </w:r>
      <w:r>
        <w:rPr>
          <w:spacing w:val="-3"/>
        </w:rPr>
        <w:t> </w:t>
      </w:r>
      <w:r>
        <w:rPr/>
        <w:t>C </w:t>
      </w:r>
      <w:r>
        <w:rPr>
          <w:spacing w:val="-2"/>
        </w:rPr>
        <w:t>dyes.</w:t>
      </w:r>
    </w:p>
    <w:p>
      <w:pPr>
        <w:pStyle w:val="BodyText"/>
      </w:pPr>
    </w:p>
    <w:p>
      <w:pPr>
        <w:pStyle w:val="BodyText"/>
        <w:spacing w:before="5"/>
      </w:pPr>
    </w:p>
    <w:p>
      <w:pPr>
        <w:pStyle w:val="Heading2"/>
        <w:numPr>
          <w:ilvl w:val="3"/>
          <w:numId w:val="19"/>
        </w:numPr>
        <w:tabs>
          <w:tab w:pos="1518" w:val="left" w:leader="none"/>
        </w:tabs>
        <w:spacing w:line="240" w:lineRule="auto" w:before="0" w:after="0"/>
        <w:ind w:left="1518" w:right="0" w:hanging="840"/>
        <w:jc w:val="both"/>
      </w:pPr>
      <w:bookmarkStart w:name="_TOC_250071" w:id="62"/>
      <w:r>
        <w:rPr/>
        <w:t>Flavours</w:t>
      </w:r>
      <w:r>
        <w:rPr>
          <w:spacing w:val="-2"/>
        </w:rPr>
        <w:t> </w:t>
      </w:r>
      <w:r>
        <w:rPr/>
        <w:t>and</w:t>
      </w:r>
      <w:r>
        <w:rPr>
          <w:spacing w:val="-1"/>
        </w:rPr>
        <w:t> </w:t>
      </w:r>
      <w:bookmarkEnd w:id="62"/>
      <w:r>
        <w:rPr>
          <w:spacing w:val="-2"/>
        </w:rPr>
        <w:t>sweeteners</w:t>
      </w:r>
    </w:p>
    <w:p>
      <w:pPr>
        <w:pStyle w:val="BodyText"/>
        <w:spacing w:line="360" w:lineRule="auto" w:before="132"/>
        <w:ind w:left="678" w:right="994" w:firstLine="720"/>
        <w:jc w:val="both"/>
      </w:pPr>
      <w:r>
        <w:rPr/>
        <w:t>Sweeteners are only of limited importance and their use is restricted to chewable tablets. Sweeteners are used to mask the taste of the components which are offensive and thereby improve compliance and acceptability. Examples are sucrose, dextran and mannitol. Natural sweeteners such as thaumatin and glycyrrhizin have now been introduced in pharmaceuticals.</w:t>
      </w:r>
    </w:p>
    <w:p>
      <w:pPr>
        <w:pStyle w:val="BodyText"/>
        <w:spacing w:before="143"/>
      </w:pPr>
    </w:p>
    <w:p>
      <w:pPr>
        <w:pStyle w:val="Heading2"/>
        <w:numPr>
          <w:ilvl w:val="2"/>
          <w:numId w:val="19"/>
        </w:numPr>
        <w:tabs>
          <w:tab w:pos="1338" w:val="left" w:leader="none"/>
        </w:tabs>
        <w:spacing w:line="240" w:lineRule="auto" w:before="0" w:after="0"/>
        <w:ind w:left="1338" w:right="0" w:hanging="660"/>
        <w:jc w:val="both"/>
      </w:pPr>
      <w:bookmarkStart w:name="_TOC_250070" w:id="63"/>
      <w:r>
        <w:rPr/>
        <w:t>Methods</w:t>
      </w:r>
      <w:r>
        <w:rPr>
          <w:spacing w:val="-1"/>
        </w:rPr>
        <w:t> </w:t>
      </w:r>
      <w:r>
        <w:rPr/>
        <w:t>of</w:t>
      </w:r>
      <w:r>
        <w:rPr>
          <w:spacing w:val="-1"/>
        </w:rPr>
        <w:t> </w:t>
      </w:r>
      <w:r>
        <w:rPr/>
        <w:t>tablet</w:t>
      </w:r>
      <w:bookmarkEnd w:id="63"/>
      <w:r>
        <w:rPr>
          <w:spacing w:val="-2"/>
        </w:rPr>
        <w:t> production</w:t>
      </w:r>
    </w:p>
    <w:p>
      <w:pPr>
        <w:pStyle w:val="BodyText"/>
        <w:spacing w:line="360" w:lineRule="auto" w:before="135"/>
        <w:ind w:left="678" w:right="996" w:firstLine="900"/>
        <w:jc w:val="both"/>
      </w:pPr>
      <w:r>
        <w:rPr/>
        <w:t>There are three main methods of tablet production; direct compression, compression granulation and wet granulation (Banker &amp; Anderson, 1986). The last one being spheronization.</w:t>
      </w:r>
    </w:p>
    <w:p>
      <w:pPr>
        <w:pStyle w:val="BodyText"/>
        <w:spacing w:before="143"/>
      </w:pPr>
    </w:p>
    <w:p>
      <w:pPr>
        <w:pStyle w:val="Heading2"/>
        <w:numPr>
          <w:ilvl w:val="3"/>
          <w:numId w:val="19"/>
        </w:numPr>
        <w:tabs>
          <w:tab w:pos="1518" w:val="left" w:leader="none"/>
        </w:tabs>
        <w:spacing w:line="240" w:lineRule="auto" w:before="0" w:after="0"/>
        <w:ind w:left="1518" w:right="0" w:hanging="840"/>
        <w:jc w:val="both"/>
      </w:pPr>
      <w:bookmarkStart w:name="_TOC_250069" w:id="64"/>
      <w:r>
        <w:rPr/>
        <w:t>Direct</w:t>
      </w:r>
      <w:r>
        <w:rPr>
          <w:spacing w:val="-1"/>
        </w:rPr>
        <w:t> </w:t>
      </w:r>
      <w:bookmarkEnd w:id="64"/>
      <w:r>
        <w:rPr>
          <w:spacing w:val="-2"/>
        </w:rPr>
        <w:t>compression</w:t>
      </w:r>
    </w:p>
    <w:p>
      <w:pPr>
        <w:pStyle w:val="BodyText"/>
        <w:spacing w:line="360" w:lineRule="auto" w:before="132"/>
        <w:ind w:left="678" w:right="996" w:firstLine="960"/>
        <w:jc w:val="both"/>
      </w:pPr>
      <w:r>
        <w:rPr/>
        <w:t>This is the simplest of the three preparative techniques. The material to be tableted is screened through a sieve, if necessary, mixed with additional adjuvant and is then ready for compression. Tablets made in this way are said to have been prepared by direct compression.</w:t>
      </w:r>
    </w:p>
    <w:p>
      <w:pPr>
        <w:pStyle w:val="BodyText"/>
        <w:spacing w:before="139"/>
      </w:pPr>
    </w:p>
    <w:p>
      <w:pPr>
        <w:pStyle w:val="BodyText"/>
        <w:spacing w:line="360" w:lineRule="auto" w:before="1"/>
        <w:ind w:left="678" w:right="993" w:firstLine="720"/>
        <w:jc w:val="both"/>
      </w:pPr>
      <w:r>
        <w:rPr/>
        <w:t>There are a few crystalline materials such as sodium and potassium chloride, potassium iodide, sodium bromide and ammonium chloride that may be compressed directly. However, the vast majority of medicinal agents are rarely so easy to tablet.</w:t>
      </w:r>
      <w:r>
        <w:rPr>
          <w:spacing w:val="40"/>
        </w:rPr>
        <w:t> </w:t>
      </w:r>
      <w:r>
        <w:rPr/>
        <w:t>In addition, the compression of a single substance may produce tablets that do not disintegrate. This will necessitate the inclusion in the tablet formulation of additives like disintegrants. This disintegrant may interfere with the compressibility of the active ingredients in the powder. In addition, most materials possess relatively weak molecular attraction or are covered with films of absorbed gases that tend to hinder compaction.</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firstLine="720"/>
        <w:jc w:val="both"/>
      </w:pPr>
      <w:r>
        <w:rPr/>
        <mc:AlternateContent>
          <mc:Choice Requires="wps">
            <w:drawing>
              <wp:anchor distT="0" distB="0" distL="0" distR="0" allowOverlap="1" layoutInCell="1" locked="0" behindDoc="1" simplePos="0" relativeHeight="482945024">
                <wp:simplePos x="0" y="0"/>
                <wp:positionH relativeFrom="page">
                  <wp:posOffset>-1402226</wp:posOffset>
                </wp:positionH>
                <wp:positionV relativeFrom="page">
                  <wp:posOffset>4612234</wp:posOffset>
                </wp:positionV>
                <wp:extent cx="10685780" cy="9144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1456;rotation:306" type="#_x0000_t136" fillcolor="#ff5400" stroked="f">
                <o:extrusion v:ext="view" autorotationcenter="t"/>
                <v:textpath style="font-family:&quot;Arial MT&quot;;font-size:72pt;v-text-kern:t;mso-text-shadow:auto" string="UNIVERSITY OF IBADAN"/>
                <w10:wrap type="none"/>
              </v:shape>
            </w:pict>
          </mc:Fallback>
        </mc:AlternateContent>
      </w:r>
      <w:r>
        <w:rPr/>
        <w:t>The use of directly compressible fillers and diluents with the drug may produce good quality tablets without prior manipulation. The direct compression diluents in addition to possessing good flow and compressibility, must be physiologically inert, tasteless, able to disintegrate and inexpensive.</w:t>
      </w:r>
    </w:p>
    <w:p>
      <w:pPr>
        <w:pStyle w:val="BodyText"/>
        <w:spacing w:line="360" w:lineRule="auto" w:before="1"/>
        <w:ind w:left="678" w:right="992" w:firstLine="720"/>
        <w:jc w:val="both"/>
      </w:pPr>
      <w:r>
        <w:rPr/>
        <w:t>The particle size should be such as to minimize segregation of the powder bed during compression. It should have a high bulk density and considerable capacity for dilution with drug substance. In event of defective tablets, the tablets being produced should be capable of being broken down and re-compressed. Examples of directly compressible diluents are microcrystalline cellulose (Avicel</w:t>
      </w:r>
      <w:r>
        <w:rPr>
          <w:vertAlign w:val="superscript"/>
        </w:rPr>
        <w:t>®</w:t>
      </w:r>
      <w:r>
        <w:rPr>
          <w:vertAlign w:val="baseline"/>
        </w:rPr>
        <w:t>), spray-dried lactose, calcium phosphate and micro fine cellulose.</w:t>
      </w:r>
    </w:p>
    <w:p>
      <w:pPr>
        <w:pStyle w:val="BodyText"/>
        <w:spacing w:before="1"/>
        <w:ind w:left="678"/>
        <w:jc w:val="both"/>
      </w:pPr>
      <w:r>
        <w:rPr/>
        <w:t>The</w:t>
      </w:r>
      <w:r>
        <w:rPr>
          <w:spacing w:val="-4"/>
        </w:rPr>
        <w:t> </w:t>
      </w:r>
      <w:r>
        <w:rPr/>
        <w:t>advantages</w:t>
      </w:r>
      <w:r>
        <w:rPr>
          <w:spacing w:val="-1"/>
        </w:rPr>
        <w:t> </w:t>
      </w:r>
      <w:r>
        <w:rPr/>
        <w:t>of</w:t>
      </w:r>
      <w:r>
        <w:rPr>
          <w:spacing w:val="-1"/>
        </w:rPr>
        <w:t> </w:t>
      </w:r>
      <w:r>
        <w:rPr/>
        <w:t>direct</w:t>
      </w:r>
      <w:r>
        <w:rPr>
          <w:spacing w:val="1"/>
        </w:rPr>
        <w:t> </w:t>
      </w:r>
      <w:r>
        <w:rPr/>
        <w:t>compression</w:t>
      </w:r>
      <w:r>
        <w:rPr>
          <w:spacing w:val="-1"/>
        </w:rPr>
        <w:t> </w:t>
      </w:r>
      <w:r>
        <w:rPr>
          <w:spacing w:val="-4"/>
        </w:rPr>
        <w:t>are:</w:t>
      </w:r>
    </w:p>
    <w:p>
      <w:pPr>
        <w:pStyle w:val="ListParagraph"/>
        <w:numPr>
          <w:ilvl w:val="0"/>
          <w:numId w:val="26"/>
        </w:numPr>
        <w:tabs>
          <w:tab w:pos="2118" w:val="left" w:leader="none"/>
        </w:tabs>
        <w:spacing w:line="360" w:lineRule="auto" w:before="137" w:after="0"/>
        <w:ind w:left="2118" w:right="999" w:hanging="720"/>
        <w:jc w:val="both"/>
        <w:rPr>
          <w:sz w:val="24"/>
        </w:rPr>
      </w:pPr>
      <w:r>
        <w:rPr>
          <w:sz w:val="24"/>
        </w:rPr>
        <w:t>It is a dry process and drugs susceptible to moisture degradation are good candidates for this mode of compression.</w:t>
      </w:r>
    </w:p>
    <w:p>
      <w:pPr>
        <w:pStyle w:val="ListParagraph"/>
        <w:numPr>
          <w:ilvl w:val="0"/>
          <w:numId w:val="26"/>
        </w:numPr>
        <w:tabs>
          <w:tab w:pos="2117" w:val="left" w:leader="none"/>
        </w:tabs>
        <w:spacing w:line="240" w:lineRule="auto" w:before="0" w:after="0"/>
        <w:ind w:left="2117" w:right="0" w:hanging="719"/>
        <w:jc w:val="both"/>
        <w:rPr>
          <w:sz w:val="24"/>
        </w:rPr>
      </w:pPr>
      <w:r>
        <w:rPr>
          <w:sz w:val="24"/>
        </w:rPr>
        <w:t>Low</w:t>
      </w:r>
      <w:r>
        <w:rPr>
          <w:spacing w:val="-1"/>
          <w:sz w:val="24"/>
        </w:rPr>
        <w:t> </w:t>
      </w:r>
      <w:r>
        <w:rPr>
          <w:sz w:val="24"/>
        </w:rPr>
        <w:t>labour</w:t>
      </w:r>
      <w:r>
        <w:rPr>
          <w:spacing w:val="-2"/>
          <w:sz w:val="24"/>
        </w:rPr>
        <w:t> input.</w:t>
      </w:r>
    </w:p>
    <w:p>
      <w:pPr>
        <w:pStyle w:val="ListParagraph"/>
        <w:numPr>
          <w:ilvl w:val="0"/>
          <w:numId w:val="26"/>
        </w:numPr>
        <w:tabs>
          <w:tab w:pos="2117" w:val="left" w:leader="none"/>
        </w:tabs>
        <w:spacing w:line="360" w:lineRule="auto" w:before="139" w:after="0"/>
        <w:ind w:left="678" w:right="2258" w:firstLine="720"/>
        <w:jc w:val="both"/>
        <w:rPr>
          <w:sz w:val="24"/>
        </w:rPr>
      </w:pPr>
      <w:r>
        <w:rPr>
          <w:sz w:val="24"/>
        </w:rPr>
        <w:t>There</w:t>
      </w:r>
      <w:r>
        <w:rPr>
          <w:spacing w:val="-5"/>
          <w:sz w:val="24"/>
        </w:rPr>
        <w:t> </w:t>
      </w:r>
      <w:r>
        <w:rPr>
          <w:sz w:val="24"/>
        </w:rPr>
        <w:t>are</w:t>
      </w:r>
      <w:r>
        <w:rPr>
          <w:spacing w:val="-5"/>
          <w:sz w:val="24"/>
        </w:rPr>
        <w:t> </w:t>
      </w:r>
      <w:r>
        <w:rPr>
          <w:sz w:val="24"/>
        </w:rPr>
        <w:t>few</w:t>
      </w:r>
      <w:r>
        <w:rPr>
          <w:spacing w:val="-5"/>
          <w:sz w:val="24"/>
        </w:rPr>
        <w:t> </w:t>
      </w:r>
      <w:r>
        <w:rPr>
          <w:sz w:val="24"/>
        </w:rPr>
        <w:t>processing</w:t>
      </w:r>
      <w:r>
        <w:rPr>
          <w:spacing w:val="-5"/>
          <w:sz w:val="24"/>
        </w:rPr>
        <w:t> </w:t>
      </w:r>
      <w:r>
        <w:rPr>
          <w:sz w:val="24"/>
        </w:rPr>
        <w:t>steps</w:t>
      </w:r>
      <w:r>
        <w:rPr>
          <w:spacing w:val="-5"/>
          <w:sz w:val="24"/>
        </w:rPr>
        <w:t> </w:t>
      </w:r>
      <w:r>
        <w:rPr>
          <w:sz w:val="24"/>
        </w:rPr>
        <w:t>as</w:t>
      </w:r>
      <w:r>
        <w:rPr>
          <w:spacing w:val="-5"/>
          <w:sz w:val="24"/>
        </w:rPr>
        <w:t> </w:t>
      </w:r>
      <w:r>
        <w:rPr>
          <w:sz w:val="24"/>
        </w:rPr>
        <w:t>the</w:t>
      </w:r>
      <w:r>
        <w:rPr>
          <w:spacing w:val="-6"/>
          <w:sz w:val="24"/>
        </w:rPr>
        <w:t> </w:t>
      </w:r>
      <w:r>
        <w:rPr>
          <w:sz w:val="24"/>
        </w:rPr>
        <w:t>technique</w:t>
      </w:r>
      <w:r>
        <w:rPr>
          <w:spacing w:val="-5"/>
          <w:sz w:val="24"/>
        </w:rPr>
        <w:t> </w:t>
      </w:r>
      <w:r>
        <w:rPr>
          <w:sz w:val="24"/>
        </w:rPr>
        <w:t>is</w:t>
      </w:r>
      <w:r>
        <w:rPr>
          <w:spacing w:val="-3"/>
          <w:sz w:val="24"/>
        </w:rPr>
        <w:t> </w:t>
      </w:r>
      <w:r>
        <w:rPr>
          <w:sz w:val="24"/>
        </w:rPr>
        <w:t>streamlined. The limitations of the use of direct compression are:</w:t>
      </w:r>
    </w:p>
    <w:p>
      <w:pPr>
        <w:pStyle w:val="ListParagraph"/>
        <w:numPr>
          <w:ilvl w:val="1"/>
          <w:numId w:val="26"/>
        </w:numPr>
        <w:tabs>
          <w:tab w:pos="1758" w:val="left" w:leader="none"/>
        </w:tabs>
        <w:spacing w:line="360" w:lineRule="auto" w:before="0" w:after="0"/>
        <w:ind w:left="1758" w:right="998" w:hanging="360"/>
        <w:jc w:val="both"/>
        <w:rPr>
          <w:sz w:val="24"/>
        </w:rPr>
      </w:pPr>
      <w:r>
        <w:rPr>
          <w:sz w:val="24"/>
        </w:rPr>
        <w:t>Poor content uniformity of the drug in the compressed tablet may occur. This problem is invariably caused by stratification within the powder bed due to differences in particle size and bulk density between the drug and the diluent. This problem is of special concern with low-dose drugs.</w:t>
      </w:r>
    </w:p>
    <w:p>
      <w:pPr>
        <w:pStyle w:val="ListParagraph"/>
        <w:numPr>
          <w:ilvl w:val="1"/>
          <w:numId w:val="26"/>
        </w:numPr>
        <w:tabs>
          <w:tab w:pos="1810" w:val="left" w:leader="none"/>
        </w:tabs>
        <w:spacing w:line="360" w:lineRule="auto" w:before="1" w:after="0"/>
        <w:ind w:left="1810" w:right="996" w:hanging="413"/>
        <w:jc w:val="both"/>
        <w:rPr>
          <w:sz w:val="24"/>
        </w:rPr>
      </w:pPr>
      <w:r>
        <w:rPr>
          <w:sz w:val="24"/>
        </w:rPr>
        <w:t>A large-dose drug may present problems with direct compression if it is not easily compressible by itself. To facilitate compression, non-compressible large-dose drugs could require an amount of diluent so large that the resultant tablet is costly and difficult to swallow.</w:t>
      </w:r>
    </w:p>
    <w:p>
      <w:pPr>
        <w:pStyle w:val="ListParagraph"/>
        <w:numPr>
          <w:ilvl w:val="1"/>
          <w:numId w:val="26"/>
        </w:numPr>
        <w:tabs>
          <w:tab w:pos="1808" w:val="left" w:leader="none"/>
          <w:tab w:pos="1810" w:val="left" w:leader="none"/>
        </w:tabs>
        <w:spacing w:line="360" w:lineRule="auto" w:before="0" w:after="0"/>
        <w:ind w:left="1810" w:right="999" w:hanging="413"/>
        <w:jc w:val="both"/>
        <w:rPr>
          <w:sz w:val="24"/>
        </w:rPr>
      </w:pPr>
      <w:r>
        <w:rPr>
          <w:sz w:val="24"/>
        </w:rPr>
        <w:t>In some instances, interaction may occur between the compressible diluent</w:t>
      </w:r>
      <w:r>
        <w:rPr>
          <w:spacing w:val="80"/>
          <w:sz w:val="24"/>
        </w:rPr>
        <w:t> </w:t>
      </w:r>
      <w:r>
        <w:rPr>
          <w:sz w:val="24"/>
        </w:rPr>
        <w:t>and the drug. A typical example is the Maillard reaction between amine compounds and spray-dried lactose, which results in a yellow discoloration (Banker &amp; Anderson, 1986).</w:t>
      </w:r>
    </w:p>
    <w:p>
      <w:pPr>
        <w:pStyle w:val="ListParagraph"/>
        <w:numPr>
          <w:ilvl w:val="1"/>
          <w:numId w:val="26"/>
        </w:numPr>
        <w:tabs>
          <w:tab w:pos="1810" w:val="left" w:leader="none"/>
        </w:tabs>
        <w:spacing w:line="360" w:lineRule="auto" w:before="0" w:after="0"/>
        <w:ind w:left="1810" w:right="995" w:hanging="413"/>
        <w:jc w:val="both"/>
        <w:rPr>
          <w:sz w:val="24"/>
        </w:rPr>
      </w:pPr>
      <w:r>
        <w:rPr>
          <w:sz w:val="24"/>
        </w:rPr>
        <w:t>Because of the dry nature of direct compression, static charges may develop</w:t>
      </w:r>
      <w:r>
        <w:rPr>
          <w:spacing w:val="40"/>
          <w:sz w:val="24"/>
        </w:rPr>
        <w:t> </w:t>
      </w:r>
      <w:r>
        <w:rPr>
          <w:sz w:val="24"/>
        </w:rPr>
        <w:t>on the drug during mixing which may prevent uniform distribution and result in inadequate mixing.</w:t>
      </w:r>
    </w:p>
    <w:p>
      <w:pPr>
        <w:spacing w:after="0" w:line="360" w:lineRule="auto"/>
        <w:jc w:val="both"/>
        <w:rPr>
          <w:sz w:val="24"/>
        </w:rPr>
        <w:sectPr>
          <w:pgSz w:w="12240" w:h="15840"/>
          <w:pgMar w:header="0" w:footer="1056" w:top="1340" w:bottom="1240" w:left="1420" w:right="420"/>
        </w:sectPr>
      </w:pPr>
    </w:p>
    <w:p>
      <w:pPr>
        <w:pStyle w:val="Heading2"/>
        <w:numPr>
          <w:ilvl w:val="3"/>
          <w:numId w:val="19"/>
        </w:numPr>
        <w:tabs>
          <w:tab w:pos="1518" w:val="left" w:leader="none"/>
        </w:tabs>
        <w:spacing w:line="240" w:lineRule="auto" w:before="77" w:after="0"/>
        <w:ind w:left="1518" w:right="0" w:hanging="840"/>
        <w:jc w:val="both"/>
      </w:pPr>
      <w:r>
        <w:rPr/>
        <mc:AlternateContent>
          <mc:Choice Requires="wps">
            <w:drawing>
              <wp:anchor distT="0" distB="0" distL="0" distR="0" allowOverlap="1" layoutInCell="1" locked="0" behindDoc="1" simplePos="0" relativeHeight="482945536">
                <wp:simplePos x="0" y="0"/>
                <wp:positionH relativeFrom="page">
                  <wp:posOffset>-1402226</wp:posOffset>
                </wp:positionH>
                <wp:positionV relativeFrom="page">
                  <wp:posOffset>4612234</wp:posOffset>
                </wp:positionV>
                <wp:extent cx="10685780" cy="9144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0944;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68" w:id="65"/>
      <w:r>
        <w:rPr/>
        <w:t>Compression</w:t>
      </w:r>
      <w:r>
        <w:rPr>
          <w:spacing w:val="-5"/>
        </w:rPr>
        <w:t> </w:t>
      </w:r>
      <w:bookmarkEnd w:id="65"/>
      <w:r>
        <w:rPr>
          <w:spacing w:val="-2"/>
        </w:rPr>
        <w:t>granulation</w:t>
      </w:r>
    </w:p>
    <w:p>
      <w:pPr>
        <w:pStyle w:val="BodyText"/>
        <w:spacing w:line="360" w:lineRule="auto" w:before="133"/>
        <w:ind w:left="678" w:right="999" w:firstLine="840"/>
        <w:jc w:val="both"/>
      </w:pPr>
      <w:r>
        <w:rPr/>
        <w:t>Compression granulation is a valuable technique in situations where the effective dose of a drug is too high for direct compression, and the drug is sensitive to heat, moisture</w:t>
      </w:r>
      <w:r>
        <w:rPr>
          <w:spacing w:val="-1"/>
        </w:rPr>
        <w:t> </w:t>
      </w:r>
      <w:r>
        <w:rPr/>
        <w:t>or</w:t>
      </w:r>
      <w:r>
        <w:rPr>
          <w:spacing w:val="-1"/>
        </w:rPr>
        <w:t> </w:t>
      </w:r>
      <w:r>
        <w:rPr/>
        <w:t>both, which precludes wet granulation, and where granules yielded from other granulation techniques are of poor compression properties. Many aspirin and vitamins preparations are prepared for tableting by compression granulation.</w:t>
      </w:r>
    </w:p>
    <w:p>
      <w:pPr>
        <w:pStyle w:val="BodyText"/>
        <w:spacing w:line="360" w:lineRule="auto" w:before="1"/>
        <w:ind w:left="678" w:right="993" w:firstLine="840"/>
        <w:jc w:val="both"/>
      </w:pPr>
      <w:r>
        <w:rPr/>
        <w:t>Compression granulation involves the compaction of the components of a tablet formulation by means of a tablet press or specially designed machinery, followed by milling and screening, prior to final compression into a tablet. When the initial blend of powders is compacted by means of flat faced punches, the compacted masses are called slugs, and the process is referred to as slugging. The slugs are then screened (or milled) to produce a granular form of the material for tableting. When a single slugging process is insufficient to confer the desired granular properties to the material, the slugs are sometimes screened, slugged again, and screened once more. Slugging is just an elaborate method of subjecting a material to increased compression time (i.e. increased dwell time during compression). The slugging process effectively converts the poor flowing initial blend of powder into granules, which flow more freely and uniformly. To aid the flow of the initial blend of powder into the dies of the heavy-duty tablet press utilized for the preliminary compression, the following techniques and/or additions may be made:</w:t>
      </w:r>
    </w:p>
    <w:p>
      <w:pPr>
        <w:pStyle w:val="ListParagraph"/>
        <w:numPr>
          <w:ilvl w:val="0"/>
          <w:numId w:val="27"/>
        </w:numPr>
        <w:tabs>
          <w:tab w:pos="2117" w:val="left" w:leader="none"/>
        </w:tabs>
        <w:spacing w:line="240" w:lineRule="auto" w:before="0" w:after="0"/>
        <w:ind w:left="2117" w:right="0" w:hanging="719"/>
        <w:jc w:val="both"/>
        <w:rPr>
          <w:sz w:val="24"/>
        </w:rPr>
      </w:pPr>
      <w:r>
        <w:rPr>
          <w:sz w:val="24"/>
        </w:rPr>
        <w:t>Vibratory</w:t>
      </w:r>
      <w:r>
        <w:rPr>
          <w:spacing w:val="-5"/>
          <w:sz w:val="24"/>
        </w:rPr>
        <w:t> </w:t>
      </w:r>
      <w:r>
        <w:rPr>
          <w:sz w:val="24"/>
        </w:rPr>
        <w:t>feed</w:t>
      </w:r>
      <w:r>
        <w:rPr>
          <w:spacing w:val="1"/>
          <w:sz w:val="24"/>
        </w:rPr>
        <w:t> </w:t>
      </w:r>
      <w:r>
        <w:rPr>
          <w:sz w:val="24"/>
        </w:rPr>
        <w:t>devices</w:t>
      </w:r>
      <w:r>
        <w:rPr>
          <w:spacing w:val="1"/>
          <w:sz w:val="24"/>
        </w:rPr>
        <w:t> </w:t>
      </w:r>
      <w:r>
        <w:rPr>
          <w:sz w:val="24"/>
        </w:rPr>
        <w:t>may</w:t>
      </w:r>
      <w:r>
        <w:rPr>
          <w:spacing w:val="-5"/>
          <w:sz w:val="24"/>
        </w:rPr>
        <w:t> </w:t>
      </w:r>
      <w:r>
        <w:rPr>
          <w:sz w:val="24"/>
        </w:rPr>
        <w:t>be</w:t>
      </w:r>
      <w:r>
        <w:rPr>
          <w:spacing w:val="-1"/>
          <w:sz w:val="24"/>
        </w:rPr>
        <w:t> </w:t>
      </w:r>
      <w:r>
        <w:rPr>
          <w:sz w:val="24"/>
        </w:rPr>
        <w:t>attached</w:t>
      </w:r>
      <w:r>
        <w:rPr>
          <w:spacing w:val="1"/>
          <w:sz w:val="24"/>
        </w:rPr>
        <w:t> </w:t>
      </w:r>
      <w:r>
        <w:rPr>
          <w:sz w:val="24"/>
        </w:rPr>
        <w:t>to the </w:t>
      </w:r>
      <w:r>
        <w:rPr>
          <w:spacing w:val="-2"/>
          <w:sz w:val="24"/>
        </w:rPr>
        <w:t>hopper.</w:t>
      </w:r>
    </w:p>
    <w:p>
      <w:pPr>
        <w:pStyle w:val="ListParagraph"/>
        <w:numPr>
          <w:ilvl w:val="0"/>
          <w:numId w:val="27"/>
        </w:numPr>
        <w:tabs>
          <w:tab w:pos="2117" w:val="left" w:leader="none"/>
        </w:tabs>
        <w:spacing w:line="240" w:lineRule="auto" w:before="140" w:after="0"/>
        <w:ind w:left="2117" w:right="0" w:hanging="719"/>
        <w:jc w:val="both"/>
        <w:rPr>
          <w:sz w:val="24"/>
        </w:rPr>
      </w:pPr>
      <w:r>
        <w:rPr>
          <w:sz w:val="24"/>
        </w:rPr>
        <w:t>Large</w:t>
      </w:r>
      <w:r>
        <w:rPr>
          <w:spacing w:val="-2"/>
          <w:sz w:val="24"/>
        </w:rPr>
        <w:t> </w:t>
      </w:r>
      <w:r>
        <w:rPr>
          <w:sz w:val="24"/>
        </w:rPr>
        <w:t>punches</w:t>
      </w:r>
      <w:r>
        <w:rPr>
          <w:spacing w:val="-1"/>
          <w:sz w:val="24"/>
        </w:rPr>
        <w:t> </w:t>
      </w:r>
      <w:r>
        <w:rPr>
          <w:sz w:val="24"/>
        </w:rPr>
        <w:t>(2.5</w:t>
      </w:r>
      <w:r>
        <w:rPr>
          <w:spacing w:val="2"/>
          <w:sz w:val="24"/>
        </w:rPr>
        <w:t> </w:t>
      </w:r>
      <w:r>
        <w:rPr>
          <w:sz w:val="24"/>
        </w:rPr>
        <w:t>cm) are</w:t>
      </w:r>
      <w:r>
        <w:rPr>
          <w:spacing w:val="-3"/>
          <w:sz w:val="24"/>
        </w:rPr>
        <w:t> </w:t>
      </w:r>
      <w:r>
        <w:rPr>
          <w:sz w:val="24"/>
        </w:rPr>
        <w:t>used</w:t>
      </w:r>
      <w:r>
        <w:rPr>
          <w:spacing w:val="-1"/>
          <w:sz w:val="24"/>
        </w:rPr>
        <w:t> </w:t>
      </w:r>
      <w:r>
        <w:rPr>
          <w:sz w:val="24"/>
        </w:rPr>
        <w:t>(to</w:t>
      </w:r>
      <w:r>
        <w:rPr>
          <w:spacing w:val="-1"/>
          <w:sz w:val="24"/>
        </w:rPr>
        <w:t> </w:t>
      </w:r>
      <w:r>
        <w:rPr>
          <w:sz w:val="24"/>
        </w:rPr>
        <w:t>aid</w:t>
      </w:r>
      <w:r>
        <w:rPr>
          <w:spacing w:val="-1"/>
          <w:sz w:val="24"/>
        </w:rPr>
        <w:t> </w:t>
      </w:r>
      <w:r>
        <w:rPr>
          <w:sz w:val="24"/>
        </w:rPr>
        <w:t>die</w:t>
      </w:r>
      <w:r>
        <w:rPr>
          <w:spacing w:val="1"/>
          <w:sz w:val="24"/>
        </w:rPr>
        <w:t> </w:t>
      </w:r>
      <w:r>
        <w:rPr>
          <w:spacing w:val="-2"/>
          <w:sz w:val="24"/>
        </w:rPr>
        <w:t>filling).</w:t>
      </w:r>
    </w:p>
    <w:p>
      <w:pPr>
        <w:pStyle w:val="ListParagraph"/>
        <w:numPr>
          <w:ilvl w:val="0"/>
          <w:numId w:val="27"/>
        </w:numPr>
        <w:tabs>
          <w:tab w:pos="2117" w:val="left" w:leader="none"/>
        </w:tabs>
        <w:spacing w:line="240" w:lineRule="auto" w:before="136" w:after="0"/>
        <w:ind w:left="2117" w:right="0" w:hanging="719"/>
        <w:jc w:val="both"/>
        <w:rPr>
          <w:sz w:val="24"/>
        </w:rPr>
      </w:pPr>
      <w:r>
        <w:rPr>
          <w:sz w:val="24"/>
        </w:rPr>
        <w:t>The</w:t>
      </w:r>
      <w:r>
        <w:rPr>
          <w:spacing w:val="-3"/>
          <w:sz w:val="24"/>
        </w:rPr>
        <w:t> </w:t>
      </w:r>
      <w:r>
        <w:rPr>
          <w:sz w:val="24"/>
        </w:rPr>
        <w:t>press is</w:t>
      </w:r>
      <w:r>
        <w:rPr>
          <w:spacing w:val="-1"/>
          <w:sz w:val="24"/>
        </w:rPr>
        <w:t> </w:t>
      </w:r>
      <w:r>
        <w:rPr>
          <w:sz w:val="24"/>
        </w:rPr>
        <w:t>operated at</w:t>
      </w:r>
      <w:r>
        <w:rPr>
          <w:spacing w:val="-1"/>
          <w:sz w:val="24"/>
        </w:rPr>
        <w:t> </w:t>
      </w:r>
      <w:r>
        <w:rPr>
          <w:sz w:val="24"/>
        </w:rPr>
        <w:t>slow </w:t>
      </w:r>
      <w:r>
        <w:rPr>
          <w:spacing w:val="-2"/>
          <w:sz w:val="24"/>
        </w:rPr>
        <w:t>speed.</w:t>
      </w:r>
    </w:p>
    <w:p>
      <w:pPr>
        <w:pStyle w:val="BodyText"/>
        <w:spacing w:line="360" w:lineRule="auto" w:before="140"/>
        <w:ind w:left="678" w:right="1000" w:firstLine="842"/>
        <w:jc w:val="both"/>
      </w:pPr>
      <w:r>
        <w:rPr/>
        <w:t>It is noteworthy that flat-faced punches are necessary, as the high compaction pressures employed for slugging would widen the edges of a concave punch.</w:t>
      </w:r>
    </w:p>
    <w:p>
      <w:pPr>
        <w:pStyle w:val="BodyText"/>
        <w:spacing w:line="360" w:lineRule="auto"/>
        <w:ind w:left="678" w:right="993"/>
        <w:jc w:val="both"/>
      </w:pPr>
      <w:r>
        <w:rPr/>
        <w:t>However,</w:t>
      </w:r>
      <w:r>
        <w:rPr>
          <w:spacing w:val="-2"/>
        </w:rPr>
        <w:t> </w:t>
      </w:r>
      <w:r>
        <w:rPr/>
        <w:t>the</w:t>
      </w:r>
      <w:r>
        <w:rPr>
          <w:spacing w:val="-2"/>
        </w:rPr>
        <w:t> </w:t>
      </w:r>
      <w:r>
        <w:rPr/>
        <w:t>use</w:t>
      </w:r>
      <w:r>
        <w:rPr>
          <w:spacing w:val="-2"/>
        </w:rPr>
        <w:t> </w:t>
      </w:r>
      <w:r>
        <w:rPr/>
        <w:t>of</w:t>
      </w:r>
      <w:r>
        <w:rPr>
          <w:spacing w:val="-2"/>
        </w:rPr>
        <w:t> </w:t>
      </w:r>
      <w:r>
        <w:rPr/>
        <w:t>heavy-duty</w:t>
      </w:r>
      <w:r>
        <w:rPr>
          <w:spacing w:val="-7"/>
        </w:rPr>
        <w:t> </w:t>
      </w:r>
      <w:r>
        <w:rPr/>
        <w:t>tablet</w:t>
      </w:r>
      <w:r>
        <w:rPr>
          <w:spacing w:val="-2"/>
        </w:rPr>
        <w:t> </w:t>
      </w:r>
      <w:r>
        <w:rPr/>
        <w:t>press</w:t>
      </w:r>
      <w:r>
        <w:rPr>
          <w:spacing w:val="-2"/>
        </w:rPr>
        <w:t> </w:t>
      </w:r>
      <w:r>
        <w:rPr/>
        <w:t>with</w:t>
      </w:r>
      <w:r>
        <w:rPr>
          <w:spacing w:val="-2"/>
        </w:rPr>
        <w:t> </w:t>
      </w:r>
      <w:r>
        <w:rPr/>
        <w:t>these</w:t>
      </w:r>
      <w:r>
        <w:rPr>
          <w:spacing w:val="-3"/>
        </w:rPr>
        <w:t> </w:t>
      </w:r>
      <w:r>
        <w:rPr/>
        <w:t>innovations would</w:t>
      </w:r>
      <w:r>
        <w:rPr>
          <w:spacing w:val="-2"/>
        </w:rPr>
        <w:t> </w:t>
      </w:r>
      <w:r>
        <w:rPr/>
        <w:t>expectedly</w:t>
      </w:r>
      <w:r>
        <w:rPr>
          <w:spacing w:val="-7"/>
        </w:rPr>
        <w:t> </w:t>
      </w:r>
      <w:r>
        <w:rPr/>
        <w:t>have the following limitations:, (i) the use of the vibratory feed devices may cause de-mixing within the hopper, (ii) the slow operation of the tablet press would result in slow production rate, (iii) excessive lubrication of powder may be needed to induce good flow and this may weaken granule strength.</w:t>
      </w:r>
    </w:p>
    <w:p>
      <w:pPr>
        <w:pStyle w:val="BodyText"/>
        <w:spacing w:line="360" w:lineRule="auto"/>
        <w:ind w:left="678" w:right="995" w:firstLine="900"/>
        <w:jc w:val="both"/>
      </w:pPr>
      <w:r>
        <w:rPr/>
        <w:t>Hence on a large scale, compression granulation is performed on a specially designed</w:t>
      </w:r>
      <w:r>
        <w:rPr>
          <w:spacing w:val="9"/>
        </w:rPr>
        <w:t> </w:t>
      </w:r>
      <w:r>
        <w:rPr/>
        <w:t>machine</w:t>
      </w:r>
      <w:r>
        <w:rPr>
          <w:spacing w:val="10"/>
        </w:rPr>
        <w:t> </w:t>
      </w:r>
      <w:r>
        <w:rPr/>
        <w:t>called</w:t>
      </w:r>
      <w:r>
        <w:rPr>
          <w:spacing w:val="10"/>
        </w:rPr>
        <w:t> </w:t>
      </w:r>
      <w:r>
        <w:rPr/>
        <w:t>roller</w:t>
      </w:r>
      <w:r>
        <w:rPr>
          <w:spacing w:val="9"/>
        </w:rPr>
        <w:t> </w:t>
      </w:r>
      <w:r>
        <w:rPr/>
        <w:t>compactor.</w:t>
      </w:r>
      <w:r>
        <w:rPr>
          <w:spacing w:val="10"/>
        </w:rPr>
        <w:t> </w:t>
      </w:r>
      <w:r>
        <w:rPr/>
        <w:t>Roller</w:t>
      </w:r>
      <w:r>
        <w:rPr>
          <w:spacing w:val="12"/>
        </w:rPr>
        <w:t> </w:t>
      </w:r>
      <w:r>
        <w:rPr/>
        <w:t>compactors</w:t>
      </w:r>
      <w:r>
        <w:rPr>
          <w:spacing w:val="10"/>
        </w:rPr>
        <w:t> </w:t>
      </w:r>
      <w:r>
        <w:rPr/>
        <w:t>are</w:t>
      </w:r>
      <w:r>
        <w:rPr>
          <w:spacing w:val="8"/>
        </w:rPr>
        <w:t> </w:t>
      </w:r>
      <w:r>
        <w:rPr/>
        <w:t>capable</w:t>
      </w:r>
      <w:r>
        <w:rPr>
          <w:spacing w:val="12"/>
        </w:rPr>
        <w:t> </w:t>
      </w:r>
      <w:r>
        <w:rPr/>
        <w:t>of</w:t>
      </w:r>
      <w:r>
        <w:rPr>
          <w:spacing w:val="10"/>
        </w:rPr>
        <w:t> </w:t>
      </w:r>
      <w:r>
        <w:rPr/>
        <w:t>producing</w:t>
      </w:r>
      <w:r>
        <w:rPr>
          <w:spacing w:val="8"/>
        </w:rPr>
        <w:t> </w:t>
      </w:r>
      <w:r>
        <w:rPr>
          <w:spacing w:val="-5"/>
        </w:rPr>
        <w:t>as</w:t>
      </w:r>
    </w:p>
    <w:p>
      <w:pPr>
        <w:spacing w:after="0" w:line="360" w:lineRule="auto"/>
        <w:jc w:val="both"/>
        <w:sectPr>
          <w:pgSz w:w="12240" w:h="15840"/>
          <w:pgMar w:header="0" w:footer="1056" w:top="1340" w:bottom="1240" w:left="1420" w:right="420"/>
        </w:sectPr>
      </w:pPr>
    </w:p>
    <w:p>
      <w:pPr>
        <w:pStyle w:val="BodyText"/>
        <w:spacing w:line="360" w:lineRule="auto" w:before="72"/>
        <w:ind w:left="678" w:right="995"/>
        <w:jc w:val="both"/>
      </w:pPr>
      <w:r>
        <w:rPr/>
        <mc:AlternateContent>
          <mc:Choice Requires="wps">
            <w:drawing>
              <wp:anchor distT="0" distB="0" distL="0" distR="0" allowOverlap="1" layoutInCell="1" locked="0" behindDoc="1" simplePos="0" relativeHeight="482946048">
                <wp:simplePos x="0" y="0"/>
                <wp:positionH relativeFrom="page">
                  <wp:posOffset>-1402226</wp:posOffset>
                </wp:positionH>
                <wp:positionV relativeFrom="page">
                  <wp:posOffset>4612234</wp:posOffset>
                </wp:positionV>
                <wp:extent cx="10685780" cy="9144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70432;rotation:306" type="#_x0000_t136" fillcolor="#ff5400" stroked="f">
                <o:extrusion v:ext="view" autorotationcenter="t"/>
                <v:textpath style="font-family:&quot;Arial MT&quot;;font-size:72pt;v-text-kern:t;mso-text-shadow:auto" string="UNIVERSITY OF IBADAN"/>
                <w10:wrap type="none"/>
              </v:shape>
            </w:pict>
          </mc:Fallback>
        </mc:AlternateContent>
      </w:r>
      <w:r>
        <w:rPr/>
        <w:t>much as 500 kg per hour or more of compacted material, which can be screened or milled into</w:t>
      </w:r>
      <w:r>
        <w:rPr>
          <w:spacing w:val="-1"/>
        </w:rPr>
        <w:t> </w:t>
      </w:r>
      <w:r>
        <w:rPr/>
        <w:t>a granulation</w:t>
      </w:r>
      <w:r>
        <w:rPr>
          <w:spacing w:val="-1"/>
        </w:rPr>
        <w:t> </w:t>
      </w:r>
      <w:r>
        <w:rPr/>
        <w:t>suitable</w:t>
      </w:r>
      <w:r>
        <w:rPr>
          <w:spacing w:val="-2"/>
        </w:rPr>
        <w:t> </w:t>
      </w:r>
      <w:r>
        <w:rPr/>
        <w:t>for</w:t>
      </w:r>
      <w:r>
        <w:rPr>
          <w:spacing w:val="-1"/>
        </w:rPr>
        <w:t> </w:t>
      </w:r>
      <w:r>
        <w:rPr/>
        <w:t>compression</w:t>
      </w:r>
      <w:r>
        <w:rPr>
          <w:spacing w:val="-1"/>
        </w:rPr>
        <w:t> </w:t>
      </w:r>
      <w:r>
        <w:rPr/>
        <w:t>into</w:t>
      </w:r>
      <w:r>
        <w:rPr>
          <w:spacing w:val="-1"/>
        </w:rPr>
        <w:t> </w:t>
      </w:r>
      <w:r>
        <w:rPr/>
        <w:t>tablets. In addition,</w:t>
      </w:r>
      <w:r>
        <w:rPr>
          <w:spacing w:val="-1"/>
        </w:rPr>
        <w:t> </w:t>
      </w:r>
      <w:r>
        <w:rPr/>
        <w:t>there</w:t>
      </w:r>
      <w:r>
        <w:rPr>
          <w:spacing w:val="-2"/>
        </w:rPr>
        <w:t> </w:t>
      </w:r>
      <w:r>
        <w:rPr/>
        <w:t>is greater</w:t>
      </w:r>
      <w:r>
        <w:rPr>
          <w:spacing w:val="-2"/>
        </w:rPr>
        <w:t> </w:t>
      </w:r>
      <w:r>
        <w:rPr/>
        <w:t>control of compaction pressure and dwell time, and also there is no need for excessive lubrication of the powder (Banker &amp; Anderson, 1986).</w:t>
      </w:r>
    </w:p>
    <w:p>
      <w:pPr>
        <w:pStyle w:val="BodyText"/>
        <w:spacing w:before="142"/>
      </w:pPr>
    </w:p>
    <w:p>
      <w:pPr>
        <w:pStyle w:val="Heading2"/>
        <w:numPr>
          <w:ilvl w:val="3"/>
          <w:numId w:val="19"/>
        </w:numPr>
        <w:tabs>
          <w:tab w:pos="1518" w:val="left" w:leader="none"/>
        </w:tabs>
        <w:spacing w:line="240" w:lineRule="auto" w:before="1" w:after="0"/>
        <w:ind w:left="1518" w:right="0" w:hanging="840"/>
        <w:jc w:val="both"/>
      </w:pPr>
      <w:bookmarkStart w:name="_TOC_250067" w:id="66"/>
      <w:r>
        <w:rPr/>
        <w:t>Wet</w:t>
      </w:r>
      <w:r>
        <w:rPr>
          <w:spacing w:val="-1"/>
        </w:rPr>
        <w:t> </w:t>
      </w:r>
      <w:bookmarkEnd w:id="66"/>
      <w:r>
        <w:rPr>
          <w:spacing w:val="-2"/>
        </w:rPr>
        <w:t>granulation</w:t>
      </w:r>
    </w:p>
    <w:p>
      <w:pPr>
        <w:pStyle w:val="BodyText"/>
        <w:spacing w:line="360" w:lineRule="auto" w:before="134"/>
        <w:ind w:left="678" w:right="995" w:firstLine="840"/>
        <w:jc w:val="both"/>
      </w:pPr>
      <w:r>
        <w:rPr/>
        <w:t>Wet granulation is the most widely used method of granulation. The unique portions of wet granulation process involve the wet massing of the powders, wet sizing or milling, and drying. Wet granulation forms the granules by binding the powders together with an adhesive instead of by compaction. The wet granulation process employs a solution, suspension, or slurry containing a binder, which is usually added to the powder mixture. However, the method of introducing the binder depends on its solubility and on the components of the mixture. Liquid bridges are developed between particles, and the tensile strength of these bonds increases as the amount of liquid added is increased. In cases where only a small amount of liquid is to be added, the binder is blended dry with the</w:t>
      </w:r>
      <w:r>
        <w:rPr>
          <w:spacing w:val="-1"/>
        </w:rPr>
        <w:t> </w:t>
      </w:r>
      <w:r>
        <w:rPr/>
        <w:t>powder mixture. If,</w:t>
      </w:r>
      <w:r>
        <w:rPr>
          <w:spacing w:val="-1"/>
        </w:rPr>
        <w:t> </w:t>
      </w:r>
      <w:r>
        <w:rPr/>
        <w:t>however, the amount of</w:t>
      </w:r>
      <w:r>
        <w:rPr>
          <w:spacing w:val="-1"/>
        </w:rPr>
        <w:t> </w:t>
      </w:r>
      <w:r>
        <w:rPr/>
        <w:t>the</w:t>
      </w:r>
      <w:r>
        <w:rPr>
          <w:spacing w:val="-1"/>
        </w:rPr>
        <w:t> </w:t>
      </w:r>
      <w:r>
        <w:rPr/>
        <w:t>solvent permissible</w:t>
      </w:r>
      <w:r>
        <w:rPr>
          <w:spacing w:val="-1"/>
        </w:rPr>
        <w:t> </w:t>
      </w:r>
      <w:r>
        <w:rPr/>
        <w:t>is large, the</w:t>
      </w:r>
      <w:r>
        <w:rPr>
          <w:spacing w:val="-1"/>
        </w:rPr>
        <w:t> </w:t>
      </w:r>
      <w:r>
        <w:rPr/>
        <w:t>binder is dissolved in the solvent. Once the granulating fluid has been added, mixing continues until a uniform dispersion is attained and all the binder has been activated. During granulation, particles and agglomerates are subjected to consolidating forces by the action of machine parts and inter-particulate forces. Granulation in large blenders requires 15 minutes to an hour. The length of time depends on the wetting properties of the powder mixture and on the granulating fluid, and on the efficiency of the mixer.</w:t>
      </w:r>
    </w:p>
    <w:p>
      <w:pPr>
        <w:pStyle w:val="BodyText"/>
        <w:spacing w:line="360" w:lineRule="auto" w:before="2"/>
        <w:ind w:left="678" w:right="1000" w:firstLine="900"/>
        <w:jc w:val="both"/>
      </w:pPr>
      <w:r>
        <w:rPr/>
        <w:t>A rough way</w:t>
      </w:r>
      <w:r>
        <w:rPr>
          <w:spacing w:val="-3"/>
        </w:rPr>
        <w:t> </w:t>
      </w:r>
      <w:r>
        <w:rPr/>
        <w:t>of determining the end point is to press a portion of the mass in the palm of the hand; if the ball crumbles under moderate pressure then the mixture is ready for screening.</w:t>
      </w:r>
    </w:p>
    <w:p>
      <w:pPr>
        <w:pStyle w:val="BodyText"/>
        <w:spacing w:line="360" w:lineRule="auto"/>
        <w:ind w:left="678" w:right="997" w:firstLine="900"/>
        <w:jc w:val="both"/>
      </w:pPr>
      <w:r>
        <w:rPr/>
        <w:t>Wet screening involves converting the moist mass into coarse, granular aggregates. On a large scale, this is achieved by passing the mass through a hammer mill or oscillating granulator, while in the laboratory, it is forced through a sieve. The</w:t>
      </w:r>
      <w:r>
        <w:rPr>
          <w:spacing w:val="40"/>
        </w:rPr>
        <w:t> </w:t>
      </w:r>
      <w:r>
        <w:rPr/>
        <w:t>screening process further consolidates the particles; increases particles contact point as well as surface area to facilitate drying. Overly wet material dries slowly and forms hard aggregates, which tend to turn to powder during subsequent, dry screening.</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firstLine="900"/>
        <w:jc w:val="both"/>
      </w:pPr>
      <w:r>
        <w:rPr/>
        <mc:AlternateContent>
          <mc:Choice Requires="wps">
            <w:drawing>
              <wp:anchor distT="0" distB="0" distL="0" distR="0" allowOverlap="1" layoutInCell="1" locked="0" behindDoc="1" simplePos="0" relativeHeight="482946560">
                <wp:simplePos x="0" y="0"/>
                <wp:positionH relativeFrom="page">
                  <wp:posOffset>-1402226</wp:posOffset>
                </wp:positionH>
                <wp:positionV relativeFrom="page">
                  <wp:posOffset>4612234</wp:posOffset>
                </wp:positionV>
                <wp:extent cx="10685780" cy="9144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69920;rotation:306" type="#_x0000_t136" fillcolor="#ff5400" stroked="f">
                <o:extrusion v:ext="view" autorotationcenter="t"/>
                <v:textpath style="font-family:&quot;Arial MT&quot;;font-size:72pt;v-text-kern:t;mso-text-shadow:auto" string="UNIVERSITY OF IBADAN"/>
                <w10:wrap type="none"/>
              </v:shape>
            </w:pict>
          </mc:Fallback>
        </mc:AlternateContent>
      </w:r>
      <w:r>
        <w:rPr/>
        <w:t>Drying serves a dual purpose of removing the solvent of the granulating fluid</w:t>
      </w:r>
      <w:r>
        <w:rPr>
          <w:spacing w:val="40"/>
        </w:rPr>
        <w:t> </w:t>
      </w:r>
      <w:r>
        <w:rPr/>
        <w:t>and also reducing the moisture content to an optimum level (usually 2-4%). The</w:t>
      </w:r>
      <w:r>
        <w:rPr>
          <w:spacing w:val="40"/>
        </w:rPr>
        <w:t> </w:t>
      </w:r>
      <w:r>
        <w:rPr/>
        <w:t>conditions and equipment used in the drying process are selected according to the nature</w:t>
      </w:r>
      <w:r>
        <w:rPr>
          <w:spacing w:val="40"/>
        </w:rPr>
        <w:t> </w:t>
      </w:r>
      <w:r>
        <w:rPr/>
        <w:t>of the substances in the tablet formulation. In general, most thermal resistant substances are dried at 60°C while lower temperatures are employed for thermo labile materials. The fluid-bed dryer is suitable for most granules and has superceded tray drying in the</w:t>
      </w:r>
      <w:r>
        <w:rPr>
          <w:spacing w:val="40"/>
        </w:rPr>
        <w:t> </w:t>
      </w:r>
      <w:r>
        <w:rPr/>
        <w:t>tableting industry. This is accounted for by the shorter drying time of the fluid-bed dryer over tray dryer and with a consequent greater output of dried material per unit time. If a tray dryer must be used, adequate provision must be made for air exchange to prevent saturation of the oven atmosphere with solvent vapour.</w:t>
      </w:r>
    </w:p>
    <w:p>
      <w:pPr>
        <w:pStyle w:val="BodyText"/>
        <w:spacing w:line="360" w:lineRule="auto" w:before="2"/>
        <w:ind w:left="678" w:right="996" w:firstLine="902"/>
        <w:jc w:val="both"/>
      </w:pPr>
      <w:r>
        <w:rPr/>
        <w:t>In the dry screening stage, the dried granules are broken down and reduced to a size compatible with the tablet diameter. Too vigorous dry screening causes granule structure to be lost with the production of excessive quantities of fines. Although a proportion of these is required to fill voids between the large granules, so giving a smooth tablet surface, an excess causes difficulty at the compression stage (Banker &amp; Anderson, </w:t>
      </w:r>
      <w:r>
        <w:rPr>
          <w:spacing w:val="-2"/>
        </w:rPr>
        <w:t>1986).</w:t>
      </w:r>
    </w:p>
    <w:p>
      <w:pPr>
        <w:pStyle w:val="BodyText"/>
        <w:spacing w:before="142"/>
      </w:pPr>
    </w:p>
    <w:p>
      <w:pPr>
        <w:pStyle w:val="Heading2"/>
        <w:numPr>
          <w:ilvl w:val="4"/>
          <w:numId w:val="19"/>
        </w:numPr>
        <w:tabs>
          <w:tab w:pos="1698" w:val="left" w:leader="none"/>
        </w:tabs>
        <w:spacing w:line="240" w:lineRule="auto" w:before="0" w:after="0"/>
        <w:ind w:left="1698" w:right="0" w:hanging="1020"/>
        <w:jc w:val="both"/>
      </w:pPr>
      <w:bookmarkStart w:name="_TOC_250066" w:id="67"/>
      <w:r>
        <w:rPr/>
        <w:t>Stages</w:t>
      </w:r>
      <w:r>
        <w:rPr>
          <w:spacing w:val="-2"/>
        </w:rPr>
        <w:t> </w:t>
      </w:r>
      <w:r>
        <w:rPr/>
        <w:t>in</w:t>
      </w:r>
      <w:r>
        <w:rPr>
          <w:spacing w:val="-1"/>
        </w:rPr>
        <w:t> </w:t>
      </w:r>
      <w:r>
        <w:rPr/>
        <w:t>the</w:t>
      </w:r>
      <w:r>
        <w:rPr>
          <w:spacing w:val="-2"/>
        </w:rPr>
        <w:t> </w:t>
      </w:r>
      <w:r>
        <w:rPr/>
        <w:t>development</w:t>
      </w:r>
      <w:r>
        <w:rPr>
          <w:spacing w:val="-2"/>
        </w:rPr>
        <w:t> </w:t>
      </w:r>
      <w:r>
        <w:rPr/>
        <w:t>of</w:t>
      </w:r>
      <w:r>
        <w:rPr>
          <w:spacing w:val="-2"/>
        </w:rPr>
        <w:t> </w:t>
      </w:r>
      <w:r>
        <w:rPr/>
        <w:t>moist</w:t>
      </w:r>
      <w:r>
        <w:rPr>
          <w:spacing w:val="-1"/>
        </w:rPr>
        <w:t> </w:t>
      </w:r>
      <w:bookmarkEnd w:id="67"/>
      <w:r>
        <w:rPr>
          <w:spacing w:val="-2"/>
        </w:rPr>
        <w:t>granules</w:t>
      </w:r>
    </w:p>
    <w:p>
      <w:pPr>
        <w:pStyle w:val="BodyText"/>
        <w:spacing w:line="360" w:lineRule="auto" w:before="134"/>
        <w:ind w:left="678" w:right="996" w:firstLine="900"/>
        <w:jc w:val="both"/>
      </w:pPr>
      <w:r>
        <w:rPr/>
        <w:t>Newitt and Conway-Jones (1958) were the first to describe stages of development of moist granules. They observed that on addition of a granulating fluid to a mass of powder a series of events characterized by 4 stages would occur, which are:</w:t>
      </w:r>
    </w:p>
    <w:p>
      <w:pPr>
        <w:pStyle w:val="BodyText"/>
        <w:spacing w:before="138"/>
      </w:pPr>
    </w:p>
    <w:p>
      <w:pPr>
        <w:pStyle w:val="BodyText"/>
        <w:spacing w:line="360" w:lineRule="auto" w:before="1"/>
        <w:ind w:left="2389" w:right="5475"/>
        <w:jc w:val="both"/>
      </w:pPr>
      <w:r>
        <w:rPr/>
        <w:t>Stage A — Pendular state Stage</w:t>
      </w:r>
      <w:r>
        <w:rPr>
          <w:spacing w:val="-9"/>
        </w:rPr>
        <w:t> </w:t>
      </w:r>
      <w:r>
        <w:rPr/>
        <w:t>B</w:t>
      </w:r>
      <w:r>
        <w:rPr>
          <w:spacing w:val="-11"/>
        </w:rPr>
        <w:t> </w:t>
      </w:r>
      <w:r>
        <w:rPr/>
        <w:t>—</w:t>
      </w:r>
      <w:r>
        <w:rPr>
          <w:spacing w:val="-9"/>
        </w:rPr>
        <w:t> </w:t>
      </w:r>
      <w:r>
        <w:rPr/>
        <w:t>Funicular</w:t>
      </w:r>
      <w:r>
        <w:rPr>
          <w:spacing w:val="-10"/>
        </w:rPr>
        <w:t> </w:t>
      </w:r>
      <w:r>
        <w:rPr/>
        <w:t>state Stage</w:t>
      </w:r>
      <w:r>
        <w:rPr>
          <w:spacing w:val="-3"/>
        </w:rPr>
        <w:t> </w:t>
      </w:r>
      <w:r>
        <w:rPr/>
        <w:t>C</w:t>
      </w:r>
      <w:r>
        <w:rPr>
          <w:spacing w:val="-1"/>
        </w:rPr>
        <w:t> </w:t>
      </w:r>
      <w:r>
        <w:rPr/>
        <w:t>—</w:t>
      </w:r>
      <w:r>
        <w:rPr>
          <w:spacing w:val="-2"/>
        </w:rPr>
        <w:t> </w:t>
      </w:r>
      <w:r>
        <w:rPr/>
        <w:t>Capillary</w:t>
      </w:r>
      <w:r>
        <w:rPr>
          <w:spacing w:val="-7"/>
        </w:rPr>
        <w:t> </w:t>
      </w:r>
      <w:r>
        <w:rPr/>
        <w:t>state Stage D — Droplet state</w:t>
      </w:r>
    </w:p>
    <w:p>
      <w:pPr>
        <w:pStyle w:val="BodyText"/>
        <w:spacing w:before="142"/>
      </w:pPr>
    </w:p>
    <w:p>
      <w:pPr>
        <w:pStyle w:val="Heading2"/>
        <w:numPr>
          <w:ilvl w:val="5"/>
          <w:numId w:val="19"/>
        </w:numPr>
        <w:tabs>
          <w:tab w:pos="1878" w:val="left" w:leader="none"/>
        </w:tabs>
        <w:spacing w:line="240" w:lineRule="auto" w:before="0" w:after="0"/>
        <w:ind w:left="1878" w:right="0" w:hanging="1200"/>
        <w:jc w:val="both"/>
      </w:pPr>
      <w:bookmarkStart w:name="_TOC_250065" w:id="68"/>
      <w:r>
        <w:rPr/>
        <w:t>Pendular</w:t>
      </w:r>
      <w:bookmarkEnd w:id="68"/>
      <w:r>
        <w:rPr>
          <w:spacing w:val="-2"/>
        </w:rPr>
        <w:t> state</w:t>
      </w:r>
    </w:p>
    <w:p>
      <w:pPr>
        <w:pStyle w:val="BodyText"/>
        <w:spacing w:line="360" w:lineRule="auto" w:before="132"/>
        <w:ind w:left="678" w:right="998" w:firstLine="960"/>
        <w:jc w:val="both"/>
      </w:pPr>
      <w:r>
        <w:rPr/>
        <w:t>With the wetting of powder particles at the initial stage (A), liquid films would be formed on the surface and these may combine to produce discrete liquid bridges; in</w:t>
      </w:r>
      <w:r>
        <w:rPr>
          <w:spacing w:val="40"/>
        </w:rPr>
        <w:t> </w:t>
      </w:r>
      <w:r>
        <w:rPr/>
        <w:t>Fig. 1.4A. At the point of contact, the surface tension and negative capillary pressure in</w:t>
      </w:r>
    </w:p>
    <w:p>
      <w:pPr>
        <w:spacing w:after="0" w:line="360" w:lineRule="auto"/>
        <w:jc w:val="both"/>
        <w:sectPr>
          <w:pgSz w:w="12240" w:h="15840"/>
          <w:pgMar w:header="0" w:footer="1056" w:top="1340" w:bottom="1240" w:left="1420" w:right="420"/>
        </w:sectPr>
      </w:pPr>
    </w:p>
    <w:p>
      <w:pPr>
        <w:pStyle w:val="BodyText"/>
      </w:pPr>
      <w:r>
        <w:rPr/>
        <mc:AlternateContent>
          <mc:Choice Requires="wps">
            <w:drawing>
              <wp:anchor distT="0" distB="0" distL="0" distR="0" allowOverlap="1" layoutInCell="1" locked="0" behindDoc="1" simplePos="0" relativeHeight="482947072">
                <wp:simplePos x="0" y="0"/>
                <wp:positionH relativeFrom="page">
                  <wp:posOffset>-1402226</wp:posOffset>
                </wp:positionH>
                <wp:positionV relativeFrom="page">
                  <wp:posOffset>4612234</wp:posOffset>
                </wp:positionV>
                <wp:extent cx="10685780" cy="9144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6940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ind w:left="678"/>
      </w:pPr>
      <w:r>
        <w:rPr/>
        <w:drawing>
          <wp:anchor distT="0" distB="0" distL="0" distR="0" allowOverlap="1" layoutInCell="1" locked="0" behindDoc="0" simplePos="0" relativeHeight="15773696">
            <wp:simplePos x="0" y="0"/>
            <wp:positionH relativeFrom="page">
              <wp:posOffset>1034414</wp:posOffset>
            </wp:positionH>
            <wp:positionV relativeFrom="paragraph">
              <wp:posOffset>-4870003</wp:posOffset>
            </wp:positionV>
            <wp:extent cx="5336539" cy="4493260"/>
            <wp:effectExtent l="0" t="0" r="0" b="0"/>
            <wp:wrapNone/>
            <wp:docPr id="113" name="Image 113" descr="2"/>
            <wp:cNvGraphicFramePr>
              <a:graphicFrameLocks/>
            </wp:cNvGraphicFramePr>
            <a:graphic>
              <a:graphicData uri="http://schemas.openxmlformats.org/drawingml/2006/picture">
                <pic:pic>
                  <pic:nvPicPr>
                    <pic:cNvPr id="113" name="Image 113" descr="2"/>
                    <pic:cNvPicPr/>
                  </pic:nvPicPr>
                  <pic:blipFill>
                    <a:blip r:embed="rId27" cstate="print"/>
                    <a:stretch>
                      <a:fillRect/>
                    </a:stretch>
                  </pic:blipFill>
                  <pic:spPr>
                    <a:xfrm>
                      <a:off x="0" y="0"/>
                      <a:ext cx="5336539" cy="4493260"/>
                    </a:xfrm>
                    <a:prstGeom prst="rect">
                      <a:avLst/>
                    </a:prstGeom>
                  </pic:spPr>
                </pic:pic>
              </a:graphicData>
            </a:graphic>
          </wp:anchor>
        </w:drawing>
      </w:r>
      <w:r>
        <w:rPr>
          <w:spacing w:val="-5"/>
          <w:u w:val="single"/>
        </w:rPr>
        <w:t>Key</w:t>
      </w:r>
    </w:p>
    <w:p>
      <w:pPr>
        <w:pStyle w:val="BodyText"/>
        <w:spacing w:line="360" w:lineRule="auto" w:before="140"/>
        <w:ind w:left="678" w:right="8061"/>
        <w:jc w:val="both"/>
      </w:pPr>
      <w:r>
        <w:rPr/>
        <w:t>A-Pendular state B-Funicular</w:t>
      </w:r>
      <w:r>
        <w:rPr>
          <w:spacing w:val="-15"/>
        </w:rPr>
        <w:t> </w:t>
      </w:r>
      <w:r>
        <w:rPr/>
        <w:t>state C-Capillary</w:t>
      </w:r>
      <w:r>
        <w:rPr>
          <w:spacing w:val="-13"/>
        </w:rPr>
        <w:t> </w:t>
      </w:r>
      <w:r>
        <w:rPr/>
        <w:t>state D-Droplet state</w:t>
      </w:r>
    </w:p>
    <w:p>
      <w:pPr>
        <w:pStyle w:val="BodyText"/>
      </w:pPr>
    </w:p>
    <w:p>
      <w:pPr>
        <w:pStyle w:val="BodyText"/>
      </w:pPr>
    </w:p>
    <w:p>
      <w:pPr>
        <w:pStyle w:val="BodyText"/>
        <w:spacing w:before="3"/>
      </w:pPr>
    </w:p>
    <w:p>
      <w:pPr>
        <w:pStyle w:val="Heading2"/>
        <w:jc w:val="left"/>
      </w:pPr>
      <w:r>
        <w:rPr/>
        <w:t>Fig.</w:t>
      </w:r>
      <w:r>
        <w:rPr>
          <w:spacing w:val="-2"/>
        </w:rPr>
        <w:t> </w:t>
      </w:r>
      <w:r>
        <w:rPr/>
        <w:t>1.4:</w:t>
      </w:r>
      <w:r>
        <w:rPr>
          <w:spacing w:val="-2"/>
        </w:rPr>
        <w:t> </w:t>
      </w:r>
      <w:r>
        <w:rPr/>
        <w:t>Stages</w:t>
      </w:r>
      <w:r>
        <w:rPr>
          <w:spacing w:val="-2"/>
        </w:rPr>
        <w:t> </w:t>
      </w:r>
      <w:r>
        <w:rPr/>
        <w:t>in the</w:t>
      </w:r>
      <w:r>
        <w:rPr>
          <w:spacing w:val="-2"/>
        </w:rPr>
        <w:t> </w:t>
      </w:r>
      <w:r>
        <w:rPr/>
        <w:t>development</w:t>
      </w:r>
      <w:r>
        <w:rPr>
          <w:spacing w:val="-2"/>
        </w:rPr>
        <w:t> </w:t>
      </w:r>
      <w:r>
        <w:rPr/>
        <w:t>of</w:t>
      </w:r>
      <w:r>
        <w:rPr>
          <w:spacing w:val="-1"/>
        </w:rPr>
        <w:t> </w:t>
      </w:r>
      <w:r>
        <w:rPr/>
        <w:t>moist</w:t>
      </w:r>
      <w:r>
        <w:rPr>
          <w:spacing w:val="-1"/>
        </w:rPr>
        <w:t> </w:t>
      </w:r>
      <w:r>
        <w:rPr>
          <w:spacing w:val="-2"/>
        </w:rPr>
        <w:t>granules</w:t>
      </w:r>
    </w:p>
    <w:p>
      <w:pPr>
        <w:spacing w:after="0"/>
        <w:jc w:val="left"/>
        <w:sectPr>
          <w:pgSz w:w="12240" w:h="15840"/>
          <w:pgMar w:header="0" w:footer="1056" w:top="182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2948096">
                <wp:simplePos x="0" y="0"/>
                <wp:positionH relativeFrom="page">
                  <wp:posOffset>-1402226</wp:posOffset>
                </wp:positionH>
                <wp:positionV relativeFrom="page">
                  <wp:posOffset>4612234</wp:posOffset>
                </wp:positionV>
                <wp:extent cx="10685780" cy="9144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68384;rotation:306" type="#_x0000_t136" fillcolor="#ff5400" stroked="f">
                <o:extrusion v:ext="view" autorotationcenter="t"/>
                <v:textpath style="font-family:&quot;Arial MT&quot;;font-size:72pt;v-text-kern:t;mso-text-shadow:auto" string="UNIVERSITY OF IBADAN"/>
                <w10:wrap type="none"/>
              </v:shape>
            </w:pict>
          </mc:Fallback>
        </mc:AlternateContent>
      </w:r>
      <w:r>
        <w:rPr/>
        <w:t>such bridges provide a cohesive force that results in the condition called the pendular</w:t>
      </w:r>
      <w:r>
        <w:rPr>
          <w:spacing w:val="40"/>
        </w:rPr>
        <w:t> </w:t>
      </w:r>
      <w:r>
        <w:rPr/>
        <w:t>state. This state has a comparatively low mechanical strength.</w:t>
      </w:r>
    </w:p>
    <w:p>
      <w:pPr>
        <w:pStyle w:val="BodyText"/>
        <w:spacing w:before="142"/>
      </w:pPr>
    </w:p>
    <w:p>
      <w:pPr>
        <w:pStyle w:val="Heading2"/>
        <w:numPr>
          <w:ilvl w:val="5"/>
          <w:numId w:val="19"/>
        </w:numPr>
        <w:tabs>
          <w:tab w:pos="1878" w:val="left" w:leader="none"/>
        </w:tabs>
        <w:spacing w:line="240" w:lineRule="auto" w:before="1" w:after="0"/>
        <w:ind w:left="1878" w:right="0" w:hanging="1200"/>
        <w:jc w:val="both"/>
      </w:pPr>
      <w:r>
        <w:rPr/>
        <w:t>Funicular</w:t>
      </w:r>
      <w:r>
        <w:rPr>
          <w:spacing w:val="-4"/>
        </w:rPr>
        <w:t> </w:t>
      </w:r>
      <w:r>
        <w:rPr>
          <w:spacing w:val="-2"/>
        </w:rPr>
        <w:t>state</w:t>
      </w:r>
    </w:p>
    <w:p>
      <w:pPr>
        <w:pStyle w:val="BodyText"/>
        <w:spacing w:line="360" w:lineRule="auto" w:before="134"/>
        <w:ind w:left="678" w:right="998" w:firstLine="720"/>
        <w:jc w:val="both"/>
      </w:pPr>
      <w:r>
        <w:rPr/>
        <w:t>Here, several bridges coalesce to give rise to the funicular state (Fig. 1 .4B) as the liquid content increases. There is also a further modest increase in the strength of the</w:t>
      </w:r>
      <w:r>
        <w:rPr>
          <w:spacing w:val="40"/>
        </w:rPr>
        <w:t> </w:t>
      </w:r>
      <w:r>
        <w:rPr/>
        <w:t>moist granule.</w:t>
      </w:r>
    </w:p>
    <w:p>
      <w:pPr>
        <w:pStyle w:val="BodyText"/>
        <w:spacing w:before="143"/>
      </w:pPr>
    </w:p>
    <w:p>
      <w:pPr>
        <w:pStyle w:val="Heading2"/>
        <w:numPr>
          <w:ilvl w:val="5"/>
          <w:numId w:val="19"/>
        </w:numPr>
        <w:tabs>
          <w:tab w:pos="1878" w:val="left" w:leader="none"/>
        </w:tabs>
        <w:spacing w:line="240" w:lineRule="auto" w:before="0" w:after="0"/>
        <w:ind w:left="1878" w:right="0" w:hanging="1200"/>
        <w:jc w:val="left"/>
      </w:pPr>
      <w:bookmarkStart w:name="_TOC_250064" w:id="69"/>
      <w:r>
        <w:rPr/>
        <w:t>Capillary</w:t>
      </w:r>
      <w:r>
        <w:rPr>
          <w:spacing w:val="-1"/>
        </w:rPr>
        <w:t> </w:t>
      </w:r>
      <w:bookmarkEnd w:id="69"/>
      <w:r>
        <w:rPr>
          <w:spacing w:val="-4"/>
        </w:rPr>
        <w:t>state</w:t>
      </w:r>
    </w:p>
    <w:p>
      <w:pPr>
        <w:pStyle w:val="BodyText"/>
        <w:spacing w:line="360" w:lineRule="auto" w:before="133"/>
        <w:ind w:left="678" w:right="997" w:firstLine="720"/>
      </w:pPr>
      <w:r>
        <w:rPr/>
        <w:t>As</w:t>
      </w:r>
      <w:r>
        <w:rPr>
          <w:spacing w:val="38"/>
        </w:rPr>
        <w:t> </w:t>
      </w:r>
      <w:r>
        <w:rPr/>
        <w:t>more</w:t>
      </w:r>
      <w:r>
        <w:rPr>
          <w:spacing w:val="37"/>
        </w:rPr>
        <w:t> </w:t>
      </w:r>
      <w:r>
        <w:rPr/>
        <w:t>liquid</w:t>
      </w:r>
      <w:r>
        <w:rPr>
          <w:spacing w:val="39"/>
        </w:rPr>
        <w:t> </w:t>
      </w:r>
      <w:r>
        <w:rPr/>
        <w:t>is</w:t>
      </w:r>
      <w:r>
        <w:rPr>
          <w:spacing w:val="39"/>
        </w:rPr>
        <w:t> </w:t>
      </w:r>
      <w:r>
        <w:rPr/>
        <w:t>added</w:t>
      </w:r>
      <w:r>
        <w:rPr>
          <w:spacing w:val="38"/>
        </w:rPr>
        <w:t> </w:t>
      </w:r>
      <w:r>
        <w:rPr/>
        <w:t>and</w:t>
      </w:r>
      <w:r>
        <w:rPr>
          <w:spacing w:val="38"/>
        </w:rPr>
        <w:t> </w:t>
      </w:r>
      <w:r>
        <w:rPr/>
        <w:t>the</w:t>
      </w:r>
      <w:r>
        <w:rPr>
          <w:spacing w:val="38"/>
        </w:rPr>
        <w:t> </w:t>
      </w:r>
      <w:r>
        <w:rPr/>
        <w:t>mass</w:t>
      </w:r>
      <w:r>
        <w:rPr>
          <w:spacing w:val="40"/>
        </w:rPr>
        <w:t> </w:t>
      </w:r>
      <w:r>
        <w:rPr/>
        <w:t>is</w:t>
      </w:r>
      <w:r>
        <w:rPr>
          <w:spacing w:val="39"/>
        </w:rPr>
        <w:t> </w:t>
      </w:r>
      <w:r>
        <w:rPr/>
        <w:t>kneaded</w:t>
      </w:r>
      <w:r>
        <w:rPr>
          <w:spacing w:val="38"/>
        </w:rPr>
        <w:t> </w:t>
      </w:r>
      <w:r>
        <w:rPr/>
        <w:t>to</w:t>
      </w:r>
      <w:r>
        <w:rPr>
          <w:spacing w:val="39"/>
        </w:rPr>
        <w:t> </w:t>
      </w:r>
      <w:r>
        <w:rPr/>
        <w:t>bring</w:t>
      </w:r>
      <w:r>
        <w:rPr>
          <w:spacing w:val="36"/>
        </w:rPr>
        <w:t> </w:t>
      </w:r>
      <w:r>
        <w:rPr/>
        <w:t>particles</w:t>
      </w:r>
      <w:r>
        <w:rPr>
          <w:spacing w:val="38"/>
        </w:rPr>
        <w:t> </w:t>
      </w:r>
      <w:r>
        <w:rPr/>
        <w:t>into</w:t>
      </w:r>
      <w:r>
        <w:rPr>
          <w:spacing w:val="39"/>
        </w:rPr>
        <w:t> </w:t>
      </w:r>
      <w:r>
        <w:rPr/>
        <w:t>closer proximity,</w:t>
      </w:r>
      <w:r>
        <w:rPr>
          <w:spacing w:val="40"/>
        </w:rPr>
        <w:t> </w:t>
      </w:r>
      <w:r>
        <w:rPr/>
        <w:t>the</w:t>
      </w:r>
      <w:r>
        <w:rPr>
          <w:spacing w:val="40"/>
        </w:rPr>
        <w:t> </w:t>
      </w:r>
      <w:r>
        <w:rPr/>
        <w:t>void</w:t>
      </w:r>
      <w:r>
        <w:rPr>
          <w:spacing w:val="40"/>
        </w:rPr>
        <w:t> </w:t>
      </w:r>
      <w:r>
        <w:rPr/>
        <w:t>spaces</w:t>
      </w:r>
      <w:r>
        <w:rPr>
          <w:spacing w:val="40"/>
        </w:rPr>
        <w:t> </w:t>
      </w:r>
      <w:r>
        <w:rPr/>
        <w:t>within</w:t>
      </w:r>
      <w:r>
        <w:rPr>
          <w:spacing w:val="40"/>
        </w:rPr>
        <w:t> </w:t>
      </w:r>
      <w:r>
        <w:rPr/>
        <w:t>the</w:t>
      </w:r>
      <w:r>
        <w:rPr>
          <w:spacing w:val="40"/>
        </w:rPr>
        <w:t> </w:t>
      </w:r>
      <w:r>
        <w:rPr/>
        <w:t>granules</w:t>
      </w:r>
      <w:r>
        <w:rPr>
          <w:spacing w:val="40"/>
        </w:rPr>
        <w:t> </w:t>
      </w:r>
      <w:r>
        <w:rPr/>
        <w:t>are</w:t>
      </w:r>
      <w:r>
        <w:rPr>
          <w:spacing w:val="40"/>
        </w:rPr>
        <w:t> </w:t>
      </w:r>
      <w:r>
        <w:rPr/>
        <w:t>entirely</w:t>
      </w:r>
      <w:r>
        <w:rPr>
          <w:spacing w:val="40"/>
        </w:rPr>
        <w:t> </w:t>
      </w:r>
      <w:r>
        <w:rPr/>
        <w:t>eliminated.</w:t>
      </w:r>
      <w:r>
        <w:rPr>
          <w:spacing w:val="40"/>
        </w:rPr>
        <w:t> </w:t>
      </w:r>
      <w:r>
        <w:rPr/>
        <w:t>At</w:t>
      </w:r>
      <w:r>
        <w:rPr>
          <w:spacing w:val="40"/>
        </w:rPr>
        <w:t> </w:t>
      </w:r>
      <w:r>
        <w:rPr/>
        <w:t>this</w:t>
      </w:r>
      <w:r>
        <w:rPr>
          <w:spacing w:val="40"/>
        </w:rPr>
        <w:t> </w:t>
      </w:r>
      <w:r>
        <w:rPr/>
        <w:t>point</w:t>
      </w:r>
      <w:r>
        <w:rPr>
          <w:spacing w:val="40"/>
        </w:rPr>
        <w:t> </w:t>
      </w:r>
      <w:r>
        <w:rPr/>
        <w:t>bonding is effected by interfacial forces at the granule surface and by negative capillary</w:t>
      </w:r>
      <w:r>
        <w:rPr>
          <w:spacing w:val="80"/>
        </w:rPr>
        <w:t> </w:t>
      </w:r>
      <w:r>
        <w:rPr/>
        <w:t>pressure throughout the interior liquid filled space - a condition referred to as the capillary stage as shown in Fig. I.4C. The capillary state coincides with the maximum strength of</w:t>
      </w:r>
      <w:r>
        <w:rPr>
          <w:spacing w:val="80"/>
        </w:rPr>
        <w:t> </w:t>
      </w:r>
      <w:r>
        <w:rPr/>
        <w:t>the wet granules and optimization of many granulation processes involves ensuring that</w:t>
      </w:r>
      <w:r>
        <w:rPr>
          <w:spacing w:val="80"/>
        </w:rPr>
        <w:t> </w:t>
      </w:r>
      <w:r>
        <w:rPr/>
        <w:t>this state has been achieved. Granulation equipment can now be instrumented with torque measuring devices, which sense the change in agitator power requirement at the capillary stage as shown in Fig. 1.5.</w:t>
      </w:r>
    </w:p>
    <w:p>
      <w:pPr>
        <w:pStyle w:val="BodyText"/>
        <w:spacing w:before="143"/>
      </w:pPr>
    </w:p>
    <w:p>
      <w:pPr>
        <w:pStyle w:val="Heading2"/>
        <w:numPr>
          <w:ilvl w:val="5"/>
          <w:numId w:val="19"/>
        </w:numPr>
        <w:tabs>
          <w:tab w:pos="1878" w:val="left" w:leader="none"/>
        </w:tabs>
        <w:spacing w:line="240" w:lineRule="auto" w:before="0" w:after="0"/>
        <w:ind w:left="1878" w:right="0" w:hanging="1200"/>
        <w:jc w:val="left"/>
      </w:pPr>
      <w:bookmarkStart w:name="_TOC_250063" w:id="70"/>
      <w:r>
        <w:rPr/>
        <w:t>Droplet</w:t>
      </w:r>
      <w:r>
        <w:rPr>
          <w:spacing w:val="-4"/>
        </w:rPr>
        <w:t> </w:t>
      </w:r>
      <w:bookmarkEnd w:id="70"/>
      <w:r>
        <w:rPr>
          <w:spacing w:val="-2"/>
        </w:rPr>
        <w:t>state</w:t>
      </w:r>
    </w:p>
    <w:p>
      <w:pPr>
        <w:pStyle w:val="BodyText"/>
        <w:spacing w:line="360" w:lineRule="auto" w:before="134"/>
        <w:ind w:left="678" w:right="1041" w:firstLine="720"/>
      </w:pPr>
      <w:r>
        <w:rPr/>
        <w:t>A further addition of liquid after the capillary state has been attained results in droplet formation as shown in Fig. 1.4D, in which the particles are still held together by</w:t>
      </w:r>
      <w:r>
        <w:rPr>
          <w:spacing w:val="80"/>
        </w:rPr>
        <w:t> </w:t>
      </w:r>
      <w:r>
        <w:rPr/>
        <w:t>surface tension but without intra-granular forces. Such structures are the weakest.</w:t>
      </w:r>
    </w:p>
    <w:p>
      <w:pPr>
        <w:pStyle w:val="BodyText"/>
        <w:spacing w:line="360" w:lineRule="auto"/>
        <w:ind w:left="678" w:right="994" w:firstLine="780"/>
        <w:jc w:val="both"/>
      </w:pPr>
      <w:r>
        <w:rPr/>
        <w:t>The concentration of binder and the quantity of granulating fluid used are the factors contributing to an increase in granule strength. For any given material, smaller initial particle sizes lead to granules of greater strength, presumably because of the increased occurrence of interparticulate contacts (Shotton and Ganderton, 1960).</w:t>
      </w:r>
    </w:p>
    <w:p>
      <w:pPr>
        <w:pStyle w:val="BodyText"/>
        <w:spacing w:line="360" w:lineRule="auto"/>
        <w:ind w:left="678" w:right="997" w:firstLine="120"/>
        <w:jc w:val="both"/>
      </w:pPr>
      <w:r>
        <w:rPr/>
        <w:t>Granule strength is sometimes optimized by</w:t>
      </w:r>
      <w:r>
        <w:rPr>
          <w:spacing w:val="-1"/>
        </w:rPr>
        <w:t> </w:t>
      </w:r>
      <w:r>
        <w:rPr/>
        <w:t>small residual moisture, though this is more desirable for its lubricant potential during compaction at higher applied loads. The migration of soluble components to the surface of the granules during drying, may lead to a</w:t>
      </w:r>
      <w:r>
        <w:rPr>
          <w:spacing w:val="48"/>
        </w:rPr>
        <w:t> </w:t>
      </w:r>
      <w:r>
        <w:rPr/>
        <w:t>surface</w:t>
      </w:r>
      <w:r>
        <w:rPr>
          <w:spacing w:val="51"/>
        </w:rPr>
        <w:t> </w:t>
      </w:r>
      <w:r>
        <w:rPr/>
        <w:t>layer</w:t>
      </w:r>
      <w:r>
        <w:rPr>
          <w:spacing w:val="49"/>
        </w:rPr>
        <w:t> </w:t>
      </w:r>
      <w:r>
        <w:rPr/>
        <w:t>that</w:t>
      </w:r>
      <w:r>
        <w:rPr>
          <w:spacing w:val="52"/>
        </w:rPr>
        <w:t> </w:t>
      </w:r>
      <w:r>
        <w:rPr/>
        <w:t>is</w:t>
      </w:r>
      <w:r>
        <w:rPr>
          <w:spacing w:val="50"/>
        </w:rPr>
        <w:t> </w:t>
      </w:r>
      <w:r>
        <w:rPr/>
        <w:t>typical</w:t>
      </w:r>
      <w:r>
        <w:rPr>
          <w:spacing w:val="50"/>
        </w:rPr>
        <w:t> </w:t>
      </w:r>
      <w:r>
        <w:rPr/>
        <w:t>of</w:t>
      </w:r>
      <w:r>
        <w:rPr>
          <w:spacing w:val="49"/>
        </w:rPr>
        <w:t> </w:t>
      </w:r>
      <w:r>
        <w:rPr/>
        <w:t>the</w:t>
      </w:r>
      <w:r>
        <w:rPr>
          <w:spacing w:val="49"/>
        </w:rPr>
        <w:t> </w:t>
      </w:r>
      <w:r>
        <w:rPr/>
        <w:t>bulk,</w:t>
      </w:r>
      <w:r>
        <w:rPr>
          <w:spacing w:val="50"/>
        </w:rPr>
        <w:t> </w:t>
      </w:r>
      <w:r>
        <w:rPr/>
        <w:t>thus</w:t>
      </w:r>
      <w:r>
        <w:rPr>
          <w:spacing w:val="53"/>
        </w:rPr>
        <w:t> </w:t>
      </w:r>
      <w:r>
        <w:rPr/>
        <w:t>assisting</w:t>
      </w:r>
      <w:r>
        <w:rPr>
          <w:spacing w:val="47"/>
        </w:rPr>
        <w:t> </w:t>
      </w:r>
      <w:r>
        <w:rPr/>
        <w:t>or</w:t>
      </w:r>
      <w:r>
        <w:rPr>
          <w:spacing w:val="49"/>
        </w:rPr>
        <w:t> </w:t>
      </w:r>
      <w:r>
        <w:rPr/>
        <w:t>hindering</w:t>
      </w:r>
      <w:r>
        <w:rPr>
          <w:spacing w:val="52"/>
        </w:rPr>
        <w:t> </w:t>
      </w:r>
      <w:r>
        <w:rPr/>
        <w:t>the</w:t>
      </w:r>
      <w:r>
        <w:rPr>
          <w:spacing w:val="49"/>
        </w:rPr>
        <w:t> </w:t>
      </w:r>
      <w:r>
        <w:rPr>
          <w:spacing w:val="-2"/>
        </w:rPr>
        <w:t>consolidate</w:t>
      </w:r>
    </w:p>
    <w:p>
      <w:pPr>
        <w:spacing w:after="0" w:line="360" w:lineRule="auto"/>
        <w:jc w:val="both"/>
        <w:sectPr>
          <w:pgSz w:w="12240" w:h="15840"/>
          <w:pgMar w:header="0" w:footer="1056" w:top="1340" w:bottom="1240" w:left="1420" w:right="420"/>
        </w:sectPr>
      </w:pPr>
    </w:p>
    <w:p>
      <w:pPr>
        <w:pStyle w:val="BodyText"/>
        <w:spacing w:line="360" w:lineRule="auto" w:before="72"/>
        <w:ind w:left="678" w:right="992"/>
        <w:jc w:val="both"/>
      </w:pPr>
      <w:r>
        <w:rPr/>
        <mc:AlternateContent>
          <mc:Choice Requires="wps">
            <w:drawing>
              <wp:anchor distT="0" distB="0" distL="0" distR="0" allowOverlap="1" layoutInCell="1" locked="0" behindDoc="1" simplePos="0" relativeHeight="482948608">
                <wp:simplePos x="0" y="0"/>
                <wp:positionH relativeFrom="page">
                  <wp:posOffset>-1402226</wp:posOffset>
                </wp:positionH>
                <wp:positionV relativeFrom="page">
                  <wp:posOffset>4612234</wp:posOffset>
                </wp:positionV>
                <wp:extent cx="10685780" cy="9144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67872;rotation:306" type="#_x0000_t136" fillcolor="#ff5400" stroked="f">
                <o:extrusion v:ext="view" autorotationcenter="t"/>
                <v:textpath style="font-family:&quot;Arial MT&quot;;font-size:72pt;v-text-kern:t;mso-text-shadow:auto" string="UNIVERSITY OF IBADAN"/>
                <w10:wrap type="none"/>
              </v:shape>
            </w:pict>
          </mc:Fallback>
        </mc:AlternateContent>
      </w:r>
      <w:r>
        <w:rPr/>
        <w:t>performance of the granules when they are subsequently compressed. Optimum moisture levels</w:t>
      </w:r>
      <w:r>
        <w:rPr>
          <w:spacing w:val="-2"/>
        </w:rPr>
        <w:t> </w:t>
      </w:r>
      <w:r>
        <w:rPr/>
        <w:t>are</w:t>
      </w:r>
      <w:r>
        <w:rPr>
          <w:spacing w:val="-3"/>
        </w:rPr>
        <w:t> </w:t>
      </w:r>
      <w:r>
        <w:rPr/>
        <w:t>peculiar</w:t>
      </w:r>
      <w:r>
        <w:rPr>
          <w:spacing w:val="-1"/>
        </w:rPr>
        <w:t> </w:t>
      </w:r>
      <w:r>
        <w:rPr/>
        <w:t>to</w:t>
      </w:r>
      <w:r>
        <w:rPr>
          <w:spacing w:val="-2"/>
        </w:rPr>
        <w:t> </w:t>
      </w:r>
      <w:r>
        <w:rPr/>
        <w:t>formulations</w:t>
      </w:r>
      <w:r>
        <w:rPr>
          <w:spacing w:val="-2"/>
        </w:rPr>
        <w:t> </w:t>
      </w:r>
      <w:r>
        <w:rPr/>
        <w:t>(York and</w:t>
      </w:r>
      <w:r>
        <w:rPr>
          <w:spacing w:val="-2"/>
        </w:rPr>
        <w:t> </w:t>
      </w:r>
      <w:r>
        <w:rPr/>
        <w:t>Pilpel,</w:t>
      </w:r>
      <w:r>
        <w:rPr>
          <w:spacing w:val="-2"/>
        </w:rPr>
        <w:t> </w:t>
      </w:r>
      <w:r>
        <w:rPr/>
        <w:t>1973),</w:t>
      </w:r>
      <w:r>
        <w:rPr>
          <w:spacing w:val="-1"/>
        </w:rPr>
        <w:t> </w:t>
      </w:r>
      <w:r>
        <w:rPr/>
        <w:t>hence</w:t>
      </w:r>
      <w:r>
        <w:rPr>
          <w:spacing w:val="-3"/>
        </w:rPr>
        <w:t> </w:t>
      </w:r>
      <w:r>
        <w:rPr/>
        <w:t>moisture</w:t>
      </w:r>
      <w:r>
        <w:rPr>
          <w:spacing w:val="-1"/>
        </w:rPr>
        <w:t> </w:t>
      </w:r>
      <w:r>
        <w:rPr/>
        <w:t>level</w:t>
      </w:r>
      <w:r>
        <w:rPr>
          <w:spacing w:val="-2"/>
        </w:rPr>
        <w:t> </w:t>
      </w:r>
      <w:r>
        <w:rPr/>
        <w:t>should</w:t>
      </w:r>
      <w:r>
        <w:rPr>
          <w:spacing w:val="-2"/>
        </w:rPr>
        <w:t> </w:t>
      </w:r>
      <w:r>
        <w:rPr/>
        <w:t>be determined routinely during formulation development.</w:t>
      </w:r>
    </w:p>
    <w:p>
      <w:pPr>
        <w:pStyle w:val="BodyText"/>
        <w:spacing w:before="144"/>
      </w:pPr>
    </w:p>
    <w:p>
      <w:pPr>
        <w:pStyle w:val="Heading2"/>
        <w:numPr>
          <w:ilvl w:val="2"/>
          <w:numId w:val="19"/>
        </w:numPr>
        <w:tabs>
          <w:tab w:pos="1338" w:val="left" w:leader="none"/>
        </w:tabs>
        <w:spacing w:line="240" w:lineRule="auto" w:before="0" w:after="0"/>
        <w:ind w:left="1338" w:right="0" w:hanging="660"/>
        <w:jc w:val="both"/>
      </w:pPr>
      <w:bookmarkStart w:name="_TOC_250062" w:id="71"/>
      <w:r>
        <w:rPr/>
        <w:t>Tablet</w:t>
      </w:r>
      <w:r>
        <w:rPr>
          <w:spacing w:val="-4"/>
        </w:rPr>
        <w:t> </w:t>
      </w:r>
      <w:bookmarkEnd w:id="71"/>
      <w:r>
        <w:rPr>
          <w:spacing w:val="-2"/>
        </w:rPr>
        <w:t>compression</w:t>
      </w:r>
    </w:p>
    <w:p>
      <w:pPr>
        <w:pStyle w:val="BodyText"/>
        <w:spacing w:line="360" w:lineRule="auto" w:before="132"/>
        <w:ind w:left="678" w:right="997" w:firstLine="840"/>
        <w:jc w:val="both"/>
      </w:pPr>
      <w:r>
        <w:rPr/>
        <w:t>Tablets are prepared by compressing particulate solids in a die by the application of forces through two punches. The lower punch moves up and down within the die but never eventually leaves it, while the upper punch descends to penetrate the die and apply the compressive force and then withdraws to allow ejection of the tablet from the die. In some machines, only the upper punch moves and these are called stamping press.</w:t>
      </w:r>
    </w:p>
    <w:p>
      <w:pPr>
        <w:pStyle w:val="BodyText"/>
        <w:spacing w:before="143"/>
      </w:pPr>
    </w:p>
    <w:p>
      <w:pPr>
        <w:pStyle w:val="Heading2"/>
        <w:numPr>
          <w:ilvl w:val="3"/>
          <w:numId w:val="19"/>
        </w:numPr>
        <w:tabs>
          <w:tab w:pos="1518" w:val="left" w:leader="none"/>
        </w:tabs>
        <w:spacing w:line="240" w:lineRule="auto" w:before="0" w:after="0"/>
        <w:ind w:left="1518" w:right="0" w:hanging="840"/>
        <w:jc w:val="both"/>
      </w:pPr>
      <w:bookmarkStart w:name="_TOC_250061" w:id="72"/>
      <w:r>
        <w:rPr/>
        <w:t>Compression</w:t>
      </w:r>
      <w:r>
        <w:rPr>
          <w:spacing w:val="-5"/>
        </w:rPr>
        <w:t> </w:t>
      </w:r>
      <w:bookmarkEnd w:id="72"/>
      <w:r>
        <w:rPr>
          <w:spacing w:val="-2"/>
        </w:rPr>
        <w:t>sequence</w:t>
      </w:r>
    </w:p>
    <w:p>
      <w:pPr>
        <w:pStyle w:val="BodyText"/>
        <w:spacing w:before="135"/>
        <w:ind w:left="1458"/>
        <w:jc w:val="both"/>
      </w:pPr>
      <w:r>
        <w:rPr/>
        <w:t>The</w:t>
      </w:r>
      <w:r>
        <w:rPr>
          <w:spacing w:val="-3"/>
        </w:rPr>
        <w:t> </w:t>
      </w:r>
      <w:r>
        <w:rPr/>
        <w:t>compaction</w:t>
      </w:r>
      <w:r>
        <w:rPr>
          <w:spacing w:val="1"/>
        </w:rPr>
        <w:t> </w:t>
      </w:r>
      <w:r>
        <w:rPr/>
        <w:t>process</w:t>
      </w:r>
      <w:r>
        <w:rPr>
          <w:spacing w:val="-1"/>
        </w:rPr>
        <w:t> </w:t>
      </w:r>
      <w:r>
        <w:rPr/>
        <w:t>can</w:t>
      </w:r>
      <w:r>
        <w:rPr>
          <w:spacing w:val="-1"/>
        </w:rPr>
        <w:t> </w:t>
      </w:r>
      <w:r>
        <w:rPr/>
        <w:t>be</w:t>
      </w:r>
      <w:r>
        <w:rPr>
          <w:spacing w:val="-2"/>
        </w:rPr>
        <w:t> </w:t>
      </w:r>
      <w:r>
        <w:rPr/>
        <w:t>divided into</w:t>
      </w:r>
      <w:r>
        <w:rPr>
          <w:spacing w:val="-1"/>
        </w:rPr>
        <w:t> </w:t>
      </w:r>
      <w:r>
        <w:rPr/>
        <w:t>three</w:t>
      </w:r>
      <w:r>
        <w:rPr>
          <w:spacing w:val="-2"/>
        </w:rPr>
        <w:t> </w:t>
      </w:r>
      <w:r>
        <w:rPr/>
        <w:t>distinct</w:t>
      </w:r>
      <w:r>
        <w:rPr>
          <w:spacing w:val="-1"/>
        </w:rPr>
        <w:t> </w:t>
      </w:r>
      <w:r>
        <w:rPr/>
        <w:t>stages</w:t>
      </w:r>
      <w:r>
        <w:rPr>
          <w:spacing w:val="-1"/>
        </w:rPr>
        <w:t> </w:t>
      </w:r>
      <w:r>
        <w:rPr/>
        <w:t>(Fig. </w:t>
      </w:r>
      <w:r>
        <w:rPr>
          <w:spacing w:val="-2"/>
        </w:rPr>
        <w:t>1.6):</w:t>
      </w:r>
    </w:p>
    <w:p>
      <w:pPr>
        <w:pStyle w:val="ListParagraph"/>
        <w:numPr>
          <w:ilvl w:val="0"/>
          <w:numId w:val="28"/>
        </w:numPr>
        <w:tabs>
          <w:tab w:pos="1398" w:val="left" w:leader="none"/>
        </w:tabs>
        <w:spacing w:line="360" w:lineRule="auto" w:before="137" w:after="0"/>
        <w:ind w:left="1398" w:right="995" w:hanging="720"/>
        <w:jc w:val="both"/>
        <w:rPr>
          <w:sz w:val="24"/>
        </w:rPr>
      </w:pPr>
      <w:r>
        <w:rPr>
          <w:sz w:val="24"/>
        </w:rPr>
        <w:t>The lower punch falls within the die, leaving a cavity into which particulate material can flow under the influence of gravity.</w:t>
      </w:r>
    </w:p>
    <w:p>
      <w:pPr>
        <w:pStyle w:val="ListParagraph"/>
        <w:numPr>
          <w:ilvl w:val="0"/>
          <w:numId w:val="28"/>
        </w:numPr>
        <w:tabs>
          <w:tab w:pos="1398" w:val="left" w:leader="none"/>
        </w:tabs>
        <w:spacing w:line="360" w:lineRule="auto" w:before="0" w:after="0"/>
        <w:ind w:left="1398" w:right="994" w:hanging="720"/>
        <w:jc w:val="both"/>
        <w:rPr>
          <w:sz w:val="24"/>
        </w:rPr>
      </w:pPr>
      <w:r>
        <w:rPr>
          <w:sz w:val="24"/>
        </w:rPr>
        <w:t>The upper punch descends and the punch tip enters the die, confining</w:t>
      </w:r>
      <w:r>
        <w:rPr>
          <w:spacing w:val="-1"/>
          <w:sz w:val="24"/>
        </w:rPr>
        <w:t> </w:t>
      </w:r>
      <w:r>
        <w:rPr>
          <w:sz w:val="24"/>
        </w:rPr>
        <w:t>the particles. Further punch movement applies the compressive force to the particles which aggregate to form a coherent tablet.</w:t>
      </w:r>
    </w:p>
    <w:p>
      <w:pPr>
        <w:pStyle w:val="ListParagraph"/>
        <w:numPr>
          <w:ilvl w:val="0"/>
          <w:numId w:val="28"/>
        </w:numPr>
        <w:tabs>
          <w:tab w:pos="1398" w:val="left" w:leader="none"/>
        </w:tabs>
        <w:spacing w:line="360" w:lineRule="auto" w:before="1" w:after="0"/>
        <w:ind w:left="1398" w:right="1001" w:hanging="660"/>
        <w:jc w:val="both"/>
        <w:rPr>
          <w:sz w:val="24"/>
        </w:rPr>
      </w:pPr>
      <w:r>
        <w:rPr>
          <w:sz w:val="24"/>
        </w:rPr>
        <w:t>The upper punch withdraws from the die and simultaneously</w:t>
      </w:r>
      <w:r>
        <w:rPr>
          <w:spacing w:val="-4"/>
          <w:sz w:val="24"/>
        </w:rPr>
        <w:t> </w:t>
      </w:r>
      <w:r>
        <w:rPr>
          <w:sz w:val="24"/>
        </w:rPr>
        <w:t>the lower punch rises until its tip becomes level with the top of the die. The tablet is thus ejected from</w:t>
      </w:r>
      <w:r>
        <w:rPr>
          <w:spacing w:val="40"/>
          <w:sz w:val="24"/>
        </w:rPr>
        <w:t> </w:t>
      </w:r>
      <w:r>
        <w:rPr>
          <w:sz w:val="24"/>
        </w:rPr>
        <w:t>the die and removed from the tablet press.</w:t>
      </w:r>
    </w:p>
    <w:p>
      <w:pPr>
        <w:pStyle w:val="BodyText"/>
        <w:spacing w:before="143"/>
      </w:pPr>
    </w:p>
    <w:p>
      <w:pPr>
        <w:pStyle w:val="Heading2"/>
        <w:jc w:val="left"/>
      </w:pPr>
      <w:r>
        <w:rPr/>
        <w:t>1.10.6.2</w:t>
      </w:r>
      <w:r>
        <w:rPr>
          <w:spacing w:val="-1"/>
        </w:rPr>
        <w:t> </w:t>
      </w:r>
      <w:r>
        <w:rPr/>
        <w:t>Tablet</w:t>
      </w:r>
      <w:r>
        <w:rPr>
          <w:spacing w:val="-3"/>
        </w:rPr>
        <w:t> </w:t>
      </w:r>
      <w:r>
        <w:rPr/>
        <w:t>compression </w:t>
      </w:r>
      <w:r>
        <w:rPr>
          <w:spacing w:val="-2"/>
        </w:rPr>
        <w:t>machinery</w:t>
      </w:r>
    </w:p>
    <w:p>
      <w:pPr>
        <w:pStyle w:val="BodyText"/>
        <w:spacing w:before="132"/>
        <w:ind w:left="1398"/>
      </w:pPr>
      <w:r>
        <w:rPr/>
        <w:t>There</w:t>
      </w:r>
      <w:r>
        <w:rPr>
          <w:spacing w:val="-1"/>
        </w:rPr>
        <w:t> </w:t>
      </w:r>
      <w:r>
        <w:rPr/>
        <w:t>are</w:t>
      </w:r>
      <w:r>
        <w:rPr>
          <w:spacing w:val="-2"/>
        </w:rPr>
        <w:t> </w:t>
      </w:r>
      <w:r>
        <w:rPr/>
        <w:t>two types of tableting</w:t>
      </w:r>
      <w:r>
        <w:rPr>
          <w:spacing w:val="-3"/>
        </w:rPr>
        <w:t> </w:t>
      </w:r>
      <w:r>
        <w:rPr/>
        <w:t>machines in common </w:t>
      </w:r>
      <w:r>
        <w:rPr>
          <w:spacing w:val="-4"/>
        </w:rPr>
        <w:t>use:</w:t>
      </w:r>
    </w:p>
    <w:p>
      <w:pPr>
        <w:pStyle w:val="ListParagraph"/>
        <w:numPr>
          <w:ilvl w:val="0"/>
          <w:numId w:val="29"/>
        </w:numPr>
        <w:tabs>
          <w:tab w:pos="1397" w:val="left" w:leader="none"/>
        </w:tabs>
        <w:spacing w:line="240" w:lineRule="auto" w:before="137" w:after="0"/>
        <w:ind w:left="1397" w:right="0" w:hanging="719"/>
        <w:jc w:val="left"/>
        <w:rPr>
          <w:sz w:val="24"/>
        </w:rPr>
      </w:pPr>
      <w:r>
        <w:rPr>
          <w:sz w:val="24"/>
        </w:rPr>
        <w:t>The</w:t>
      </w:r>
      <w:r>
        <w:rPr>
          <w:spacing w:val="-3"/>
          <w:sz w:val="24"/>
        </w:rPr>
        <w:t> </w:t>
      </w:r>
      <w:r>
        <w:rPr>
          <w:sz w:val="24"/>
        </w:rPr>
        <w:t>single punch or eccentric</w:t>
      </w:r>
      <w:r>
        <w:rPr>
          <w:spacing w:val="-1"/>
          <w:sz w:val="24"/>
        </w:rPr>
        <w:t> </w:t>
      </w:r>
      <w:r>
        <w:rPr>
          <w:spacing w:val="-2"/>
          <w:sz w:val="24"/>
        </w:rPr>
        <w:t>press.</w:t>
      </w:r>
    </w:p>
    <w:p>
      <w:pPr>
        <w:pStyle w:val="ListParagraph"/>
        <w:numPr>
          <w:ilvl w:val="0"/>
          <w:numId w:val="29"/>
        </w:numPr>
        <w:tabs>
          <w:tab w:pos="1451" w:val="left" w:leader="none"/>
        </w:tabs>
        <w:spacing w:line="240" w:lineRule="auto" w:before="139" w:after="0"/>
        <w:ind w:left="1451" w:right="0" w:hanging="773"/>
        <w:jc w:val="left"/>
        <w:rPr>
          <w:sz w:val="24"/>
        </w:rPr>
      </w:pPr>
      <w:r>
        <w:rPr>
          <w:sz w:val="24"/>
        </w:rPr>
        <w:t>The</w:t>
      </w:r>
      <w:r>
        <w:rPr>
          <w:spacing w:val="-1"/>
          <w:sz w:val="24"/>
        </w:rPr>
        <w:t> </w:t>
      </w:r>
      <w:r>
        <w:rPr>
          <w:sz w:val="24"/>
        </w:rPr>
        <w:t>multi-station or</w:t>
      </w:r>
      <w:r>
        <w:rPr>
          <w:spacing w:val="-1"/>
          <w:sz w:val="24"/>
        </w:rPr>
        <w:t> </w:t>
      </w:r>
      <w:r>
        <w:rPr>
          <w:sz w:val="24"/>
        </w:rPr>
        <w:t>rotary</w:t>
      </w:r>
      <w:r>
        <w:rPr>
          <w:spacing w:val="-5"/>
          <w:sz w:val="24"/>
        </w:rPr>
        <w:t> </w:t>
      </w:r>
      <w:r>
        <w:rPr>
          <w:spacing w:val="-2"/>
          <w:sz w:val="24"/>
        </w:rPr>
        <w:t>press.</w:t>
      </w:r>
    </w:p>
    <w:p>
      <w:pPr>
        <w:spacing w:after="0" w:line="240" w:lineRule="auto"/>
        <w:jc w:val="left"/>
        <w:rPr>
          <w:sz w:val="24"/>
        </w:rPr>
        <w:sectPr>
          <w:pgSz w:w="12240" w:h="15840"/>
          <w:pgMar w:header="0" w:footer="1056" w:top="1340" w:bottom="1240" w:left="1420" w:right="420"/>
        </w:sectPr>
      </w:pPr>
    </w:p>
    <w:p>
      <w:pPr>
        <w:pStyle w:val="BodyText"/>
        <w:rPr>
          <w:sz w:val="20"/>
        </w:rPr>
      </w:pPr>
      <w:r>
        <w:rPr/>
        <mc:AlternateContent>
          <mc:Choice Requires="wps">
            <w:drawing>
              <wp:anchor distT="0" distB="0" distL="0" distR="0" allowOverlap="1" layoutInCell="1" locked="0" behindDoc="1" simplePos="0" relativeHeight="482954240">
                <wp:simplePos x="0" y="0"/>
                <wp:positionH relativeFrom="page">
                  <wp:posOffset>-1402226</wp:posOffset>
                </wp:positionH>
                <wp:positionV relativeFrom="page">
                  <wp:posOffset>4612234</wp:posOffset>
                </wp:positionV>
                <wp:extent cx="10685780" cy="9144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6224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20"/>
        </w:rPr>
      </w:pPr>
    </w:p>
    <w:p>
      <w:pPr>
        <w:pStyle w:val="BodyText"/>
        <w:spacing w:before="67"/>
        <w:rPr>
          <w:sz w:val="20"/>
        </w:rPr>
      </w:pPr>
    </w:p>
    <w:p>
      <w:pPr>
        <w:pStyle w:val="BodyText"/>
        <w:ind w:left="6336"/>
        <w:rPr>
          <w:sz w:val="20"/>
        </w:rPr>
      </w:pPr>
      <w:r>
        <w:rPr>
          <w:sz w:val="20"/>
        </w:rPr>
        <mc:AlternateContent>
          <mc:Choice Requires="wps">
            <w:drawing>
              <wp:inline distT="0" distB="0" distL="0" distR="0">
                <wp:extent cx="76200" cy="349250"/>
                <wp:effectExtent l="0" t="0" r="0" b="0"/>
                <wp:docPr id="117" name="Group 117"/>
                <wp:cNvGraphicFramePr>
                  <a:graphicFrameLocks/>
                </wp:cNvGraphicFramePr>
                <a:graphic>
                  <a:graphicData uri="http://schemas.microsoft.com/office/word/2010/wordprocessingGroup">
                    <wpg:wgp>
                      <wpg:cNvPr id="117" name="Group 117"/>
                      <wpg:cNvGrpSpPr/>
                      <wpg:grpSpPr>
                        <a:xfrm>
                          <a:off x="0" y="0"/>
                          <a:ext cx="76200" cy="349250"/>
                          <a:chExt cx="76200" cy="349250"/>
                        </a:xfrm>
                      </wpg:grpSpPr>
                      <wps:wsp>
                        <wps:cNvPr id="118" name="Graphic 118"/>
                        <wps:cNvSpPr/>
                        <wps:spPr>
                          <a:xfrm>
                            <a:off x="0" y="0"/>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5"/>
                                </a:lnTo>
                                <a:lnTo>
                                  <a:pt x="31750" y="273050"/>
                                </a:lnTo>
                                <a:close/>
                              </a:path>
                              <a:path w="76200" h="349250">
                                <a:moveTo>
                                  <a:pt x="41655" y="0"/>
                                </a:moveTo>
                                <a:lnTo>
                                  <a:pt x="34543" y="0"/>
                                </a:lnTo>
                                <a:lnTo>
                                  <a:pt x="31750" y="2794"/>
                                </a:lnTo>
                                <a:lnTo>
                                  <a:pt x="31750" y="289305"/>
                                </a:lnTo>
                                <a:lnTo>
                                  <a:pt x="34543" y="292100"/>
                                </a:lnTo>
                                <a:lnTo>
                                  <a:pt x="41655" y="292100"/>
                                </a:lnTo>
                                <a:lnTo>
                                  <a:pt x="44450" y="289305"/>
                                </a:lnTo>
                                <a:lnTo>
                                  <a:pt x="44450" y="2794"/>
                                </a:lnTo>
                                <a:lnTo>
                                  <a:pt x="41655" y="0"/>
                                </a:lnTo>
                                <a:close/>
                              </a:path>
                              <a:path w="76200" h="349250">
                                <a:moveTo>
                                  <a:pt x="76200" y="273050"/>
                                </a:moveTo>
                                <a:lnTo>
                                  <a:pt x="44450" y="273050"/>
                                </a:lnTo>
                                <a:lnTo>
                                  <a:pt x="44450" y="289305"/>
                                </a:lnTo>
                                <a:lnTo>
                                  <a:pt x="41655"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27.5pt;mso-position-horizontal-relative:char;mso-position-vertical-relative:line" id="docshapegroup33" coordorigin="0,0" coordsize="120,550">
                <v:shape style="position:absolute;left:0;top:0;width:120;height:550" id="docshape34" coordorigin="0,0" coordsize="120,550" path="m50,430l0,430,60,550,105,460,54,460,50,456,50,430xm66,0l54,0,50,4,50,456,54,460,66,460,70,456,70,4,66,0xm120,430l70,430,70,456,66,460,105,460,120,430xe" filled="true" fillcolor="#000000" stroked="false">
                  <v:path arrowok="t"/>
                  <v:fill type="solid"/>
                </v:shape>
              </v:group>
            </w:pict>
          </mc:Fallback>
        </mc:AlternateContent>
      </w:r>
      <w:r>
        <w:rPr>
          <w:sz w:val="20"/>
        </w:rPr>
      </w:r>
    </w:p>
    <w:p>
      <w:pPr>
        <w:pStyle w:val="BodyText"/>
        <w:ind w:left="2449"/>
        <w:jc w:val="center"/>
        <w:rPr>
          <w:rFonts w:ascii="Javanese Text"/>
        </w:rPr>
      </w:pPr>
      <w:r>
        <w:rPr/>
        <mc:AlternateContent>
          <mc:Choice Requires="wps">
            <w:drawing>
              <wp:anchor distT="0" distB="0" distL="0" distR="0" allowOverlap="1" layoutInCell="1" locked="0" behindDoc="1" simplePos="0" relativeHeight="482950656">
                <wp:simplePos x="0" y="0"/>
                <wp:positionH relativeFrom="page">
                  <wp:posOffset>1362138</wp:posOffset>
                </wp:positionH>
                <wp:positionV relativeFrom="paragraph">
                  <wp:posOffset>52387</wp:posOffset>
                </wp:positionV>
                <wp:extent cx="3441700" cy="268160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3441700" cy="2681605"/>
                          <a:chExt cx="3441700" cy="2681605"/>
                        </a:xfrm>
                      </wpg:grpSpPr>
                      <wps:wsp>
                        <wps:cNvPr id="120" name="Graphic 120"/>
                        <wps:cNvSpPr/>
                        <wps:spPr>
                          <a:xfrm>
                            <a:off x="4762" y="2524996"/>
                            <a:ext cx="1376045" cy="61594"/>
                          </a:xfrm>
                          <a:custGeom>
                            <a:avLst/>
                            <a:gdLst/>
                            <a:ahLst/>
                            <a:cxnLst/>
                            <a:rect l="l" t="t" r="r" b="b"/>
                            <a:pathLst>
                              <a:path w="1376045" h="61594">
                                <a:moveTo>
                                  <a:pt x="0" y="22814"/>
                                </a:moveTo>
                                <a:lnTo>
                                  <a:pt x="80485" y="18562"/>
                                </a:lnTo>
                                <a:lnTo>
                                  <a:pt x="159766" y="14758"/>
                                </a:lnTo>
                                <a:lnTo>
                                  <a:pt x="237714" y="11397"/>
                                </a:lnTo>
                                <a:lnTo>
                                  <a:pt x="314200" y="8477"/>
                                </a:lnTo>
                                <a:lnTo>
                                  <a:pt x="389096" y="5993"/>
                                </a:lnTo>
                                <a:lnTo>
                                  <a:pt x="462271" y="3942"/>
                                </a:lnTo>
                                <a:lnTo>
                                  <a:pt x="533598" y="2321"/>
                                </a:lnTo>
                                <a:lnTo>
                                  <a:pt x="602947" y="1126"/>
                                </a:lnTo>
                                <a:lnTo>
                                  <a:pt x="670188" y="353"/>
                                </a:lnTo>
                                <a:lnTo>
                                  <a:pt x="735194" y="0"/>
                                </a:lnTo>
                                <a:lnTo>
                                  <a:pt x="797835" y="61"/>
                                </a:lnTo>
                                <a:lnTo>
                                  <a:pt x="857983" y="534"/>
                                </a:lnTo>
                                <a:lnTo>
                                  <a:pt x="915507" y="1415"/>
                                </a:lnTo>
                                <a:lnTo>
                                  <a:pt x="970280" y="2700"/>
                                </a:lnTo>
                                <a:lnTo>
                                  <a:pt x="1022171" y="4387"/>
                                </a:lnTo>
                                <a:lnTo>
                                  <a:pt x="1071053" y="6471"/>
                                </a:lnTo>
                                <a:lnTo>
                                  <a:pt x="1116796" y="8948"/>
                                </a:lnTo>
                                <a:lnTo>
                                  <a:pt x="1159271" y="11816"/>
                                </a:lnTo>
                                <a:lnTo>
                                  <a:pt x="1198350" y="15070"/>
                                </a:lnTo>
                                <a:lnTo>
                                  <a:pt x="1265801" y="22725"/>
                                </a:lnTo>
                                <a:lnTo>
                                  <a:pt x="1318116" y="31883"/>
                                </a:lnTo>
                                <a:lnTo>
                                  <a:pt x="1365954" y="48376"/>
                                </a:lnTo>
                                <a:lnTo>
                                  <a:pt x="1373215" y="54595"/>
                                </a:lnTo>
                                <a:lnTo>
                                  <a:pt x="1375918" y="61168"/>
                                </a:lnTo>
                              </a:path>
                            </a:pathLst>
                          </a:custGeom>
                          <a:ln w="9525">
                            <a:solidFill>
                              <a:srgbClr val="000000"/>
                            </a:solidFill>
                            <a:prstDash val="solid"/>
                          </a:ln>
                        </wps:spPr>
                        <wps:bodyPr wrap="square" lIns="0" tIns="0" rIns="0" bIns="0" rtlCol="0">
                          <a:prstTxWarp prst="textNoShape">
                            <a:avLst/>
                          </a:prstTxWarp>
                          <a:noAutofit/>
                        </wps:bodyPr>
                      </wps:wsp>
                      <wps:wsp>
                        <wps:cNvPr id="121" name="Graphic 121"/>
                        <wps:cNvSpPr/>
                        <wps:spPr>
                          <a:xfrm>
                            <a:off x="1379156" y="2557462"/>
                            <a:ext cx="114300" cy="114300"/>
                          </a:xfrm>
                          <a:custGeom>
                            <a:avLst/>
                            <a:gdLst/>
                            <a:ahLst/>
                            <a:cxnLst/>
                            <a:rect l="l" t="t" r="r" b="b"/>
                            <a:pathLst>
                              <a:path w="114300" h="114300">
                                <a:moveTo>
                                  <a:pt x="0" y="0"/>
                                </a:moveTo>
                                <a:lnTo>
                                  <a:pt x="114300" y="114300"/>
                                </a:lnTo>
                              </a:path>
                            </a:pathLst>
                          </a:custGeom>
                          <a:ln w="19050">
                            <a:solidFill>
                              <a:srgbClr val="000000"/>
                            </a:solidFill>
                            <a:prstDash val="solid"/>
                          </a:ln>
                        </wps:spPr>
                        <wps:bodyPr wrap="square" lIns="0" tIns="0" rIns="0" bIns="0" rtlCol="0">
                          <a:prstTxWarp prst="textNoShape">
                            <a:avLst/>
                          </a:prstTxWarp>
                          <a:noAutofit/>
                        </wps:bodyPr>
                      </wps:wsp>
                      <wps:wsp>
                        <wps:cNvPr id="122" name="Graphic 122"/>
                        <wps:cNvSpPr/>
                        <wps:spPr>
                          <a:xfrm>
                            <a:off x="1493456" y="4762"/>
                            <a:ext cx="1943100" cy="2628900"/>
                          </a:xfrm>
                          <a:custGeom>
                            <a:avLst/>
                            <a:gdLst/>
                            <a:ahLst/>
                            <a:cxnLst/>
                            <a:rect l="l" t="t" r="r" b="b"/>
                            <a:pathLst>
                              <a:path w="1943100" h="2628900">
                                <a:moveTo>
                                  <a:pt x="0" y="2628900"/>
                                </a:moveTo>
                                <a:lnTo>
                                  <a:pt x="800100" y="1600200"/>
                                </a:lnTo>
                                <a:lnTo>
                                  <a:pt x="1028700" y="1485900"/>
                                </a:lnTo>
                                <a:lnTo>
                                  <a:pt x="1600200" y="457200"/>
                                </a:lnTo>
                                <a:lnTo>
                                  <a:pt x="1714500" y="571500"/>
                                </a:lnTo>
                                <a:lnTo>
                                  <a:pt x="1943100" y="0"/>
                                </a:lnTo>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3054921" y="49212"/>
                            <a:ext cx="76200" cy="800100"/>
                          </a:xfrm>
                          <a:custGeom>
                            <a:avLst/>
                            <a:gdLst/>
                            <a:ahLst/>
                            <a:cxnLst/>
                            <a:rect l="l" t="t" r="r" b="b"/>
                            <a:pathLst>
                              <a:path w="76200" h="800100">
                                <a:moveTo>
                                  <a:pt x="76200" y="527050"/>
                                </a:moveTo>
                                <a:lnTo>
                                  <a:pt x="66675" y="508000"/>
                                </a:lnTo>
                                <a:lnTo>
                                  <a:pt x="38100" y="450850"/>
                                </a:lnTo>
                                <a:lnTo>
                                  <a:pt x="0" y="527050"/>
                                </a:lnTo>
                                <a:lnTo>
                                  <a:pt x="31750" y="527050"/>
                                </a:lnTo>
                                <a:lnTo>
                                  <a:pt x="31750" y="797306"/>
                                </a:lnTo>
                                <a:lnTo>
                                  <a:pt x="34544" y="800100"/>
                                </a:lnTo>
                                <a:lnTo>
                                  <a:pt x="41656" y="800100"/>
                                </a:lnTo>
                                <a:lnTo>
                                  <a:pt x="44450" y="797306"/>
                                </a:lnTo>
                                <a:lnTo>
                                  <a:pt x="44450" y="527050"/>
                                </a:lnTo>
                                <a:lnTo>
                                  <a:pt x="76200" y="527050"/>
                                </a:lnTo>
                                <a:close/>
                              </a:path>
                              <a:path w="76200" h="800100">
                                <a:moveTo>
                                  <a:pt x="76200" y="273050"/>
                                </a:moveTo>
                                <a:lnTo>
                                  <a:pt x="44450" y="273050"/>
                                </a:lnTo>
                                <a:lnTo>
                                  <a:pt x="44450" y="2794"/>
                                </a:lnTo>
                                <a:lnTo>
                                  <a:pt x="41656" y="0"/>
                                </a:lnTo>
                                <a:lnTo>
                                  <a:pt x="34544" y="0"/>
                                </a:lnTo>
                                <a:lnTo>
                                  <a:pt x="31750" y="2794"/>
                                </a:lnTo>
                                <a:lnTo>
                                  <a:pt x="31750" y="273050"/>
                                </a:lnTo>
                                <a:lnTo>
                                  <a:pt x="0" y="273050"/>
                                </a:lnTo>
                                <a:lnTo>
                                  <a:pt x="38100" y="34925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960691" y="1122446"/>
                            <a:ext cx="1303655" cy="348615"/>
                          </a:xfrm>
                          <a:prstGeom prst="rect">
                            <a:avLst/>
                          </a:prstGeom>
                        </wps:spPr>
                        <wps:txbx>
                          <w:txbxContent>
                            <w:p>
                              <w:pPr>
                                <w:spacing w:line="247" w:lineRule="auto" w:before="0"/>
                                <w:ind w:left="0" w:right="18" w:firstLine="420"/>
                                <w:jc w:val="left"/>
                                <w:rPr>
                                  <w:b/>
                                  <w:sz w:val="24"/>
                                </w:rPr>
                              </w:pPr>
                              <w:r>
                                <w:rPr>
                                  <w:b/>
                                  <w:sz w:val="24"/>
                                </w:rPr>
                                <w:t>START OF FLUID</w:t>
                              </w:r>
                              <w:r>
                                <w:rPr>
                                  <w:b/>
                                  <w:spacing w:val="-15"/>
                                  <w:sz w:val="24"/>
                                </w:rPr>
                                <w:t> </w:t>
                              </w:r>
                              <w:r>
                                <w:rPr>
                                  <w:b/>
                                  <w:sz w:val="24"/>
                                </w:rPr>
                                <w:t>ADDITION</w:t>
                              </w:r>
                            </w:p>
                          </w:txbxContent>
                        </wps:txbx>
                        <wps:bodyPr wrap="square" lIns="0" tIns="0" rIns="0" bIns="0" rtlCol="0">
                          <a:noAutofit/>
                        </wps:bodyPr>
                      </wps:wsp>
                      <wps:wsp>
                        <wps:cNvPr id="125" name="Textbox 125"/>
                        <wps:cNvSpPr txBox="1"/>
                        <wps:spPr>
                          <a:xfrm>
                            <a:off x="3299142" y="1608070"/>
                            <a:ext cx="87630" cy="152400"/>
                          </a:xfrm>
                          <a:prstGeom prst="rect">
                            <a:avLst/>
                          </a:prstGeom>
                        </wps:spPr>
                        <wps:txbx>
                          <w:txbxContent>
                            <w:p>
                              <w:pPr>
                                <w:spacing w:line="238" w:lineRule="exact" w:before="0"/>
                                <w:ind w:left="0" w:right="0" w:firstLine="0"/>
                                <w:jc w:val="left"/>
                                <w:rPr>
                                  <w:rFonts w:ascii="Candara"/>
                                  <w:b/>
                                  <w:sz w:val="24"/>
                                </w:rPr>
                              </w:pPr>
                              <w:r>
                                <w:rPr>
                                  <w:rFonts w:ascii="Candara"/>
                                  <w:b/>
                                  <w:spacing w:val="-10"/>
                                  <w:sz w:val="24"/>
                                </w:rPr>
                                <w:t>F</w:t>
                              </w:r>
                            </w:p>
                          </w:txbxContent>
                        </wps:txbx>
                        <wps:bodyPr wrap="square" lIns="0" tIns="0" rIns="0" bIns="0" rtlCol="0">
                          <a:noAutofit/>
                        </wps:bodyPr>
                      </wps:wsp>
                    </wpg:wgp>
                  </a:graphicData>
                </a:graphic>
              </wp:anchor>
            </w:drawing>
          </mc:Choice>
          <mc:Fallback>
            <w:pict>
              <v:group style="position:absolute;margin-left:107.254997pt;margin-top:4.125pt;width:271pt;height:211.15pt;mso-position-horizontal-relative:page;mso-position-vertical-relative:paragraph;z-index:-20365824" id="docshapegroup35" coordorigin="2145,83" coordsize="5420,4223">
                <v:shape style="position:absolute;left:2152;top:4058;width:2167;height:97" id="docshape36" coordorigin="2153,4059" coordsize="2167,97" path="m2153,4095l2279,4088,2404,4082,2527,4077,2647,4072,2765,4068,2881,4065,2993,4063,3102,4061,3208,4059,3310,4059,3409,4059,3504,4060,3594,4061,3681,4063,3762,4066,3839,4069,3911,4073,3978,4077,4040,4083,4146,4095,4228,4109,4304,4135,4315,4145,4319,4155e" filled="false" stroked="true" strokeweight=".75pt" strokecolor="#000000">
                  <v:path arrowok="t"/>
                  <v:stroke dashstyle="solid"/>
                </v:shape>
                <v:line style="position:absolute" from="4317,4110" to="4497,4290" stroked="true" strokeweight="1.5pt" strokecolor="#000000">
                  <v:stroke dashstyle="solid"/>
                </v:line>
                <v:shape style="position:absolute;left:4497;top:90;width:3060;height:4140" id="docshape37" coordorigin="4497,90" coordsize="3060,4140" path="m4497,4230l5757,2610,6117,2430,7017,810,7197,990,7557,90e" filled="false" stroked="true" strokeweight=".75pt" strokecolor="#000000">
                  <v:path arrowok="t"/>
                  <v:stroke dashstyle="solid"/>
                </v:shape>
                <v:shape style="position:absolute;left:6956;top:160;width:120;height:1260" id="docshape38" coordorigin="6956,160" coordsize="120,1260" path="m7076,990l7061,960,7016,870,6956,990,7006,990,7006,1416,7010,1420,7022,1420,7026,1416,7026,990,7076,990xm7076,590l7026,590,7026,164,7022,160,7010,160,7006,164,7006,590,6956,590,7016,710,7061,620,7076,590xe" filled="true" fillcolor="#000000" stroked="false">
                  <v:path arrowok="t"/>
                  <v:fill type="solid"/>
                </v:shape>
                <v:shape style="position:absolute;left:3658;top:1850;width:2053;height:549" type="#_x0000_t202" id="docshape39" filled="false" stroked="false">
                  <v:textbox inset="0,0,0,0">
                    <w:txbxContent>
                      <w:p>
                        <w:pPr>
                          <w:spacing w:line="247" w:lineRule="auto" w:before="0"/>
                          <w:ind w:left="0" w:right="18" w:firstLine="420"/>
                          <w:jc w:val="left"/>
                          <w:rPr>
                            <w:b/>
                            <w:sz w:val="24"/>
                          </w:rPr>
                        </w:pPr>
                        <w:r>
                          <w:rPr>
                            <w:b/>
                            <w:sz w:val="24"/>
                          </w:rPr>
                          <w:t>START OF FLUID</w:t>
                        </w:r>
                        <w:r>
                          <w:rPr>
                            <w:b/>
                            <w:spacing w:val="-15"/>
                            <w:sz w:val="24"/>
                          </w:rPr>
                          <w:t> </w:t>
                        </w:r>
                        <w:r>
                          <w:rPr>
                            <w:b/>
                            <w:sz w:val="24"/>
                          </w:rPr>
                          <w:t>ADDITION</w:t>
                        </w:r>
                      </w:p>
                    </w:txbxContent>
                  </v:textbox>
                  <w10:wrap type="none"/>
                </v:shape>
                <v:shape style="position:absolute;left:7340;top:2614;width:138;height:240" type="#_x0000_t202" id="docshape40" filled="false" stroked="false">
                  <v:textbox inset="0,0,0,0">
                    <w:txbxContent>
                      <w:p>
                        <w:pPr>
                          <w:spacing w:line="238" w:lineRule="exact" w:before="0"/>
                          <w:ind w:left="0" w:right="0" w:firstLine="0"/>
                          <w:jc w:val="left"/>
                          <w:rPr>
                            <w:rFonts w:ascii="Candara"/>
                            <w:b/>
                            <w:sz w:val="24"/>
                          </w:rPr>
                        </w:pPr>
                        <w:r>
                          <w:rPr>
                            <w:rFonts w:ascii="Candara"/>
                            <w:b/>
                            <w:spacing w:val="-10"/>
                            <w:sz w:val="24"/>
                          </w:rPr>
                          <w:t>F</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2951168">
                <wp:simplePos x="0" y="0"/>
                <wp:positionH relativeFrom="page">
                  <wp:posOffset>5141595</wp:posOffset>
                </wp:positionH>
                <wp:positionV relativeFrom="paragraph">
                  <wp:posOffset>57150</wp:posOffset>
                </wp:positionV>
                <wp:extent cx="228600" cy="45720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228600" cy="457200"/>
                        </a:xfrm>
                        <a:custGeom>
                          <a:avLst/>
                          <a:gdLst/>
                          <a:ahLst/>
                          <a:cxnLst/>
                          <a:rect l="l" t="t" r="r" b="b"/>
                          <a:pathLst>
                            <a:path w="228600" h="457200">
                              <a:moveTo>
                                <a:pt x="0" y="0"/>
                              </a:moveTo>
                              <a:lnTo>
                                <a:pt x="114300" y="457200"/>
                              </a:lnTo>
                              <a:lnTo>
                                <a:pt x="228600" y="3429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4.850006pt;margin-top:4.5pt;width:18pt;height:36pt;mso-position-horizontal-relative:page;mso-position-vertical-relative:paragraph;z-index:-20365312" id="docshape41" coordorigin="8097,90" coordsize="360,720" path="m8097,90l8277,810,8457,630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2951680">
                <wp:simplePos x="0" y="0"/>
                <wp:positionH relativeFrom="page">
                  <wp:posOffset>5713095</wp:posOffset>
                </wp:positionH>
                <wp:positionV relativeFrom="paragraph">
                  <wp:posOffset>-514350</wp:posOffset>
                </wp:positionV>
                <wp:extent cx="800100" cy="91440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800100" cy="914400"/>
                        </a:xfrm>
                        <a:custGeom>
                          <a:avLst/>
                          <a:gdLst/>
                          <a:ahLst/>
                          <a:cxnLst/>
                          <a:rect l="l" t="t" r="r" b="b"/>
                          <a:pathLst>
                            <a:path w="800100" h="914400">
                              <a:moveTo>
                                <a:pt x="0" y="914400"/>
                              </a:moveTo>
                              <a:lnTo>
                                <a:pt x="800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64800" from="449.850006pt,31.5pt" to="512.850006pt,-40.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2952704">
                <wp:simplePos x="0" y="0"/>
                <wp:positionH relativeFrom="page">
                  <wp:posOffset>5560059</wp:posOffset>
                </wp:positionH>
                <wp:positionV relativeFrom="paragraph">
                  <wp:posOffset>-50800</wp:posOffset>
                </wp:positionV>
                <wp:extent cx="76200" cy="34925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5"/>
                              </a:lnTo>
                              <a:lnTo>
                                <a:pt x="31750" y="273050"/>
                              </a:lnTo>
                              <a:close/>
                            </a:path>
                            <a:path w="76200" h="349250">
                              <a:moveTo>
                                <a:pt x="41655" y="0"/>
                              </a:moveTo>
                              <a:lnTo>
                                <a:pt x="34543" y="0"/>
                              </a:lnTo>
                              <a:lnTo>
                                <a:pt x="31750" y="2794"/>
                              </a:lnTo>
                              <a:lnTo>
                                <a:pt x="31750" y="289305"/>
                              </a:lnTo>
                              <a:lnTo>
                                <a:pt x="34543" y="292100"/>
                              </a:lnTo>
                              <a:lnTo>
                                <a:pt x="41655" y="292100"/>
                              </a:lnTo>
                              <a:lnTo>
                                <a:pt x="44450" y="289305"/>
                              </a:lnTo>
                              <a:lnTo>
                                <a:pt x="44450" y="2794"/>
                              </a:lnTo>
                              <a:lnTo>
                                <a:pt x="41655" y="0"/>
                              </a:lnTo>
                              <a:close/>
                            </a:path>
                            <a:path w="76200" h="349250">
                              <a:moveTo>
                                <a:pt x="76200" y="273050"/>
                              </a:moveTo>
                              <a:lnTo>
                                <a:pt x="44450" y="273050"/>
                              </a:lnTo>
                              <a:lnTo>
                                <a:pt x="44450" y="289305"/>
                              </a:lnTo>
                              <a:lnTo>
                                <a:pt x="41655"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7.799988pt;margin-top:-4pt;width:6pt;height:27.5pt;mso-position-horizontal-relative:page;mso-position-vertical-relative:paragraph;z-index:-20363776" id="docshape42" coordorigin="8756,-80" coordsize="120,550" path="m8806,350l8756,350,8816,470,8861,380,8810,380,8806,376,8806,350xm8822,-80l8810,-80,8806,-76,8806,376,8810,380,8822,380,8826,376,8826,-76,8822,-80xm8876,350l8826,350,8826,376,8822,380,8861,380,8876,350xe" filled="true" fillcolor="#000000" stroked="false">
                <v:path arrowok="t"/>
                <v:fill type="solid"/>
                <w10:wrap type="none"/>
              </v:shape>
            </w:pict>
          </mc:Fallback>
        </mc:AlternateContent>
      </w:r>
      <w:r>
        <w:rPr>
          <w:rFonts w:ascii="Javanese Text"/>
          <w:spacing w:val="-4"/>
        </w:rPr>
        <w:t>0000</w:t>
      </w:r>
    </w:p>
    <w:p>
      <w:pPr>
        <w:pStyle w:val="BodyText"/>
        <w:spacing w:line="484" w:lineRule="exact"/>
        <w:ind w:left="577" w:right="2828"/>
        <w:jc w:val="right"/>
        <w:rPr>
          <w:rFonts w:ascii="Javanese Text"/>
        </w:rPr>
      </w:pPr>
      <w:r>
        <w:rPr/>
        <mc:AlternateContent>
          <mc:Choice Requires="wps">
            <w:drawing>
              <wp:anchor distT="0" distB="0" distL="0" distR="0" allowOverlap="1" layoutInCell="1" locked="0" behindDoc="1" simplePos="0" relativeHeight="482952192">
                <wp:simplePos x="0" y="0"/>
                <wp:positionH relativeFrom="page">
                  <wp:posOffset>5560059</wp:posOffset>
                </wp:positionH>
                <wp:positionV relativeFrom="paragraph">
                  <wp:posOffset>206424</wp:posOffset>
                </wp:positionV>
                <wp:extent cx="76200" cy="34925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6200" cy="349250"/>
                        </a:xfrm>
                        <a:custGeom>
                          <a:avLst/>
                          <a:gdLst/>
                          <a:ahLst/>
                          <a:cxnLst/>
                          <a:rect l="l" t="t" r="r" b="b"/>
                          <a:pathLst>
                            <a:path w="76200" h="349250">
                              <a:moveTo>
                                <a:pt x="41655" y="57150"/>
                              </a:moveTo>
                              <a:lnTo>
                                <a:pt x="34543" y="57150"/>
                              </a:lnTo>
                              <a:lnTo>
                                <a:pt x="31750" y="59944"/>
                              </a:lnTo>
                              <a:lnTo>
                                <a:pt x="31750" y="346455"/>
                              </a:lnTo>
                              <a:lnTo>
                                <a:pt x="34543" y="349250"/>
                              </a:lnTo>
                              <a:lnTo>
                                <a:pt x="41655" y="349250"/>
                              </a:lnTo>
                              <a:lnTo>
                                <a:pt x="44450" y="346455"/>
                              </a:lnTo>
                              <a:lnTo>
                                <a:pt x="44450" y="59944"/>
                              </a:lnTo>
                              <a:lnTo>
                                <a:pt x="41655" y="57150"/>
                              </a:lnTo>
                              <a:close/>
                            </a:path>
                            <a:path w="76200" h="349250">
                              <a:moveTo>
                                <a:pt x="38100" y="0"/>
                              </a:moveTo>
                              <a:lnTo>
                                <a:pt x="0" y="76200"/>
                              </a:lnTo>
                              <a:lnTo>
                                <a:pt x="31750" y="76200"/>
                              </a:lnTo>
                              <a:lnTo>
                                <a:pt x="31750" y="59944"/>
                              </a:lnTo>
                              <a:lnTo>
                                <a:pt x="34543" y="57150"/>
                              </a:lnTo>
                              <a:lnTo>
                                <a:pt x="66675" y="57150"/>
                              </a:lnTo>
                              <a:lnTo>
                                <a:pt x="38100" y="0"/>
                              </a:lnTo>
                              <a:close/>
                            </a:path>
                            <a:path w="76200" h="349250">
                              <a:moveTo>
                                <a:pt x="66675" y="57150"/>
                              </a:moveTo>
                              <a:lnTo>
                                <a:pt x="41655" y="57150"/>
                              </a:lnTo>
                              <a:lnTo>
                                <a:pt x="44450" y="59944"/>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7.799988pt;margin-top:16.253906pt;width:6pt;height:27.5pt;mso-position-horizontal-relative:page;mso-position-vertical-relative:paragraph;z-index:-20364288" id="docshape43" coordorigin="8756,325" coordsize="120,550" path="m8822,415l8810,415,8806,419,8806,871,8810,875,8822,875,8826,871,8826,419,8822,415xm8816,325l8756,445,8806,445,8806,419,8810,415,8861,415,8816,325xm8861,415l8822,415,8826,419,8826,445,8876,445,8861,415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2953216">
                <wp:simplePos x="0" y="0"/>
                <wp:positionH relativeFrom="page">
                  <wp:posOffset>4950459</wp:posOffset>
                </wp:positionH>
                <wp:positionV relativeFrom="paragraph">
                  <wp:posOffset>-174575</wp:posOffset>
                </wp:positionV>
                <wp:extent cx="76200" cy="34925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76200" cy="349250"/>
                        </a:xfrm>
                        <a:custGeom>
                          <a:avLst/>
                          <a:gdLst/>
                          <a:ahLst/>
                          <a:cxnLst/>
                          <a:rect l="l" t="t" r="r" b="b"/>
                          <a:pathLst>
                            <a:path w="76200" h="349250">
                              <a:moveTo>
                                <a:pt x="41655" y="57150"/>
                              </a:moveTo>
                              <a:lnTo>
                                <a:pt x="34543" y="57150"/>
                              </a:lnTo>
                              <a:lnTo>
                                <a:pt x="31750" y="59944"/>
                              </a:lnTo>
                              <a:lnTo>
                                <a:pt x="31750" y="346455"/>
                              </a:lnTo>
                              <a:lnTo>
                                <a:pt x="34543" y="349250"/>
                              </a:lnTo>
                              <a:lnTo>
                                <a:pt x="41655" y="349250"/>
                              </a:lnTo>
                              <a:lnTo>
                                <a:pt x="44450" y="346455"/>
                              </a:lnTo>
                              <a:lnTo>
                                <a:pt x="44450" y="59944"/>
                              </a:lnTo>
                              <a:lnTo>
                                <a:pt x="41655" y="57150"/>
                              </a:lnTo>
                              <a:close/>
                            </a:path>
                            <a:path w="76200" h="349250">
                              <a:moveTo>
                                <a:pt x="38100" y="0"/>
                              </a:moveTo>
                              <a:lnTo>
                                <a:pt x="0" y="76200"/>
                              </a:lnTo>
                              <a:lnTo>
                                <a:pt x="31750" y="76200"/>
                              </a:lnTo>
                              <a:lnTo>
                                <a:pt x="31750" y="59944"/>
                              </a:lnTo>
                              <a:lnTo>
                                <a:pt x="34543" y="57150"/>
                              </a:lnTo>
                              <a:lnTo>
                                <a:pt x="66675" y="57150"/>
                              </a:lnTo>
                              <a:lnTo>
                                <a:pt x="38100" y="0"/>
                              </a:lnTo>
                              <a:close/>
                            </a:path>
                            <a:path w="76200" h="349250">
                              <a:moveTo>
                                <a:pt x="66675" y="57150"/>
                              </a:moveTo>
                              <a:lnTo>
                                <a:pt x="41655" y="57150"/>
                              </a:lnTo>
                              <a:lnTo>
                                <a:pt x="44450" y="59944"/>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9.799988pt;margin-top:-13.746094pt;width:6pt;height:27.5pt;mso-position-horizontal-relative:page;mso-position-vertical-relative:paragraph;z-index:-20363264" id="docshape44" coordorigin="7796,-275" coordsize="120,550" path="m7862,-185l7850,-185,7846,-181,7846,271,7850,275,7862,275,7866,271,7866,-181,7862,-185xm7856,-275l7796,-155,7846,-155,7846,-181,7850,-185,7901,-185,7856,-275xm7901,-185l7862,-185,7866,-181,7866,-155,7916,-155,7901,-185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2953728">
                <wp:simplePos x="0" y="0"/>
                <wp:positionH relativeFrom="page">
                  <wp:posOffset>997847</wp:posOffset>
                </wp:positionH>
                <wp:positionV relativeFrom="paragraph">
                  <wp:posOffset>92609</wp:posOffset>
                </wp:positionV>
                <wp:extent cx="194310" cy="6864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94310" cy="686435"/>
                        </a:xfrm>
                        <a:prstGeom prst="rect">
                          <a:avLst/>
                        </a:prstGeom>
                      </wps:spPr>
                      <wps:txbx>
                        <w:txbxContent>
                          <w:p>
                            <w:pPr>
                              <w:spacing w:before="10"/>
                              <w:ind w:left="20" w:right="0" w:firstLine="0"/>
                              <w:jc w:val="left"/>
                              <w:rPr>
                                <w:b/>
                                <w:sz w:val="24"/>
                              </w:rPr>
                            </w:pPr>
                            <w:r>
                              <w:rPr>
                                <w:b/>
                                <w:spacing w:val="-2"/>
                                <w:sz w:val="24"/>
                              </w:rPr>
                              <w:t>TORQUE</w:t>
                            </w:r>
                          </w:p>
                        </w:txbxContent>
                      </wps:txbx>
                      <wps:bodyPr wrap="square" lIns="0" tIns="0" rIns="0" bIns="0" rtlCol="0" vert="vert270">
                        <a:noAutofit/>
                      </wps:bodyPr>
                    </wps:wsp>
                  </a:graphicData>
                </a:graphic>
              </wp:anchor>
            </w:drawing>
          </mc:Choice>
          <mc:Fallback>
            <w:pict>
              <v:shape style="position:absolute;margin-left:78.570641pt;margin-top:7.292089pt;width:15.3pt;height:54.05pt;mso-position-horizontal-relative:page;mso-position-vertical-relative:paragraph;z-index:-20362752" type="#_x0000_t202" id="docshape45" filled="false" stroked="false">
                <v:textbox inset="0,0,0,0" style="layout-flow:vertical;mso-layout-flow-alt:bottom-to-top">
                  <w:txbxContent>
                    <w:p>
                      <w:pPr>
                        <w:spacing w:before="10"/>
                        <w:ind w:left="20" w:right="0" w:firstLine="0"/>
                        <w:jc w:val="left"/>
                        <w:rPr>
                          <w:b/>
                          <w:sz w:val="24"/>
                        </w:rPr>
                      </w:pPr>
                      <w:r>
                        <w:rPr>
                          <w:b/>
                          <w:spacing w:val="-2"/>
                          <w:sz w:val="24"/>
                        </w:rPr>
                        <w:t>TORQUE</w:t>
                      </w:r>
                    </w:p>
                  </w:txbxContent>
                </v:textbox>
                <w10:wrap type="none"/>
              </v:shape>
            </w:pict>
          </mc:Fallback>
        </mc:AlternateContent>
      </w:r>
      <w:r>
        <w:rPr>
          <w:rFonts w:ascii="Javanese Text"/>
          <w:spacing w:val="-4"/>
        </w:rPr>
        <w:t>0000</w:t>
      </w:r>
    </w:p>
    <w:p>
      <w:pPr>
        <w:pStyle w:val="BodyText"/>
        <w:rPr>
          <w:rFonts w:ascii="Javanese Text"/>
          <w:sz w:val="20"/>
        </w:rPr>
      </w:pPr>
    </w:p>
    <w:p>
      <w:pPr>
        <w:pStyle w:val="BodyText"/>
        <w:rPr>
          <w:rFonts w:ascii="Javanese Text"/>
          <w:sz w:val="20"/>
        </w:rPr>
      </w:pPr>
    </w:p>
    <w:p>
      <w:pPr>
        <w:pStyle w:val="BodyText"/>
        <w:spacing w:before="64"/>
        <w:rPr>
          <w:rFonts w:ascii="Javanese Text"/>
          <w:sz w:val="20"/>
        </w:rPr>
      </w:pPr>
      <w:r>
        <w:rPr/>
        <mc:AlternateContent>
          <mc:Choice Requires="wps">
            <w:drawing>
              <wp:anchor distT="0" distB="0" distL="0" distR="0" allowOverlap="1" layoutInCell="1" locked="0" behindDoc="1" simplePos="0" relativeHeight="487634944">
                <wp:simplePos x="0" y="0"/>
                <wp:positionH relativeFrom="page">
                  <wp:posOffset>6017259</wp:posOffset>
                </wp:positionH>
                <wp:positionV relativeFrom="paragraph">
                  <wp:posOffset>344598</wp:posOffset>
                </wp:positionV>
                <wp:extent cx="76200" cy="34925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5"/>
                              </a:lnTo>
                              <a:lnTo>
                                <a:pt x="31750" y="273050"/>
                              </a:lnTo>
                              <a:close/>
                            </a:path>
                            <a:path w="76200" h="349250">
                              <a:moveTo>
                                <a:pt x="41655" y="0"/>
                              </a:moveTo>
                              <a:lnTo>
                                <a:pt x="34543" y="0"/>
                              </a:lnTo>
                              <a:lnTo>
                                <a:pt x="31750" y="2793"/>
                              </a:lnTo>
                              <a:lnTo>
                                <a:pt x="31750" y="289305"/>
                              </a:lnTo>
                              <a:lnTo>
                                <a:pt x="34543" y="292100"/>
                              </a:lnTo>
                              <a:lnTo>
                                <a:pt x="41655" y="292100"/>
                              </a:lnTo>
                              <a:lnTo>
                                <a:pt x="44450" y="289305"/>
                              </a:lnTo>
                              <a:lnTo>
                                <a:pt x="44450" y="2793"/>
                              </a:lnTo>
                              <a:lnTo>
                                <a:pt x="41655" y="0"/>
                              </a:lnTo>
                              <a:close/>
                            </a:path>
                            <a:path w="76200" h="349250">
                              <a:moveTo>
                                <a:pt x="76200" y="273050"/>
                              </a:moveTo>
                              <a:lnTo>
                                <a:pt x="44450" y="273050"/>
                              </a:lnTo>
                              <a:lnTo>
                                <a:pt x="44450" y="289305"/>
                              </a:lnTo>
                              <a:lnTo>
                                <a:pt x="41655"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3.799988pt;margin-top:27.133753pt;width:6pt;height:27.5pt;mso-position-horizontal-relative:page;mso-position-vertical-relative:paragraph;z-index:-15681536;mso-wrap-distance-left:0;mso-wrap-distance-right:0" id="docshape46" coordorigin="9476,543" coordsize="120,550" path="m9526,973l9476,973,9536,1093,9581,1003,9530,1003,9526,998,9526,973xm9542,543l9530,543,9526,547,9526,998,9530,1003,9542,1003,9546,998,9546,547,9542,543xm9596,973l9546,973,9546,998,9542,1003,9581,1003,9596,973xe" filled="true" fillcolor="#000000" stroked="false">
                <v:path arrowok="t"/>
                <v:fill type="solid"/>
                <w10:wrap type="topAndBottom"/>
              </v:shape>
            </w:pict>
          </mc:Fallback>
        </mc:AlternateContent>
      </w:r>
    </w:p>
    <w:p>
      <w:pPr>
        <w:pStyle w:val="Heading2"/>
        <w:spacing w:before="137"/>
        <w:ind w:left="577" w:right="1451"/>
        <w:jc w:val="right"/>
      </w:pPr>
      <w:r>
        <w:rPr>
          <w:spacing w:val="-4"/>
        </w:rPr>
        <w:t>AMPL</w:t>
      </w:r>
    </w:p>
    <w:p>
      <w:pPr>
        <w:pStyle w:val="BodyText"/>
        <w:spacing w:before="53"/>
        <w:rPr>
          <w:b/>
          <w:sz w:val="20"/>
        </w:rPr>
      </w:pPr>
      <w:r>
        <w:rPr/>
        <mc:AlternateContent>
          <mc:Choice Requires="wps">
            <w:drawing>
              <wp:anchor distT="0" distB="0" distL="0" distR="0" allowOverlap="1" layoutInCell="1" locked="0" behindDoc="1" simplePos="0" relativeHeight="487635456">
                <wp:simplePos x="0" y="0"/>
                <wp:positionH relativeFrom="page">
                  <wp:posOffset>6017259</wp:posOffset>
                </wp:positionH>
                <wp:positionV relativeFrom="paragraph">
                  <wp:posOffset>194959</wp:posOffset>
                </wp:positionV>
                <wp:extent cx="76200" cy="34925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76200" cy="349250"/>
                        </a:xfrm>
                        <a:custGeom>
                          <a:avLst/>
                          <a:gdLst/>
                          <a:ahLst/>
                          <a:cxnLst/>
                          <a:rect l="l" t="t" r="r" b="b"/>
                          <a:pathLst>
                            <a:path w="76200" h="349250">
                              <a:moveTo>
                                <a:pt x="41655" y="57150"/>
                              </a:moveTo>
                              <a:lnTo>
                                <a:pt x="34543" y="57150"/>
                              </a:lnTo>
                              <a:lnTo>
                                <a:pt x="31750" y="59943"/>
                              </a:lnTo>
                              <a:lnTo>
                                <a:pt x="31750" y="346455"/>
                              </a:lnTo>
                              <a:lnTo>
                                <a:pt x="34543" y="349250"/>
                              </a:lnTo>
                              <a:lnTo>
                                <a:pt x="41655" y="349250"/>
                              </a:lnTo>
                              <a:lnTo>
                                <a:pt x="44450" y="346455"/>
                              </a:lnTo>
                              <a:lnTo>
                                <a:pt x="44450" y="59943"/>
                              </a:lnTo>
                              <a:lnTo>
                                <a:pt x="41655" y="57150"/>
                              </a:lnTo>
                              <a:close/>
                            </a:path>
                            <a:path w="76200" h="349250">
                              <a:moveTo>
                                <a:pt x="38100" y="0"/>
                              </a:moveTo>
                              <a:lnTo>
                                <a:pt x="0" y="76200"/>
                              </a:lnTo>
                              <a:lnTo>
                                <a:pt x="31750" y="76200"/>
                              </a:lnTo>
                              <a:lnTo>
                                <a:pt x="31750" y="59943"/>
                              </a:lnTo>
                              <a:lnTo>
                                <a:pt x="34543" y="57150"/>
                              </a:lnTo>
                              <a:lnTo>
                                <a:pt x="66675" y="57150"/>
                              </a:lnTo>
                              <a:lnTo>
                                <a:pt x="38100" y="0"/>
                              </a:lnTo>
                              <a:close/>
                            </a:path>
                            <a:path w="76200" h="349250">
                              <a:moveTo>
                                <a:pt x="66675" y="57150"/>
                              </a:moveTo>
                              <a:lnTo>
                                <a:pt x="41655" y="57150"/>
                              </a:lnTo>
                              <a:lnTo>
                                <a:pt x="44450" y="59943"/>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3.799988pt;margin-top:15.351171pt;width:6pt;height:27.5pt;mso-position-horizontal-relative:page;mso-position-vertical-relative:paragraph;z-index:-15681024;mso-wrap-distance-left:0;mso-wrap-distance-right:0" id="docshape47" coordorigin="9476,307" coordsize="120,550" path="m9542,397l9530,397,9526,401,9526,853,9530,857,9542,857,9546,853,9546,401,9542,397xm9536,307l9476,427,9526,427,9526,401,9530,397,9581,397,9536,307xm9581,397l9542,397,9546,401,9546,427,9596,427,9581,397xe" filled="true" fillcolor="#000000" stroked="false">
                <v:path arrowok="t"/>
                <v:fill type="solid"/>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5"/>
        <w:rPr>
          <w:b/>
        </w:rPr>
      </w:pPr>
    </w:p>
    <w:p>
      <w:pPr>
        <w:spacing w:before="0"/>
        <w:ind w:left="1149" w:right="0" w:firstLine="0"/>
        <w:jc w:val="center"/>
        <w:rPr>
          <w:b/>
          <w:sz w:val="24"/>
        </w:rPr>
      </w:pPr>
      <w:r>
        <w:rPr>
          <w:b/>
          <w:sz w:val="24"/>
        </w:rPr>
        <w:t>FLUID</w:t>
      </w:r>
      <w:r>
        <w:rPr>
          <w:b/>
          <w:spacing w:val="-4"/>
          <w:sz w:val="24"/>
        </w:rPr>
        <w:t> </w:t>
      </w:r>
      <w:r>
        <w:rPr>
          <w:b/>
          <w:spacing w:val="-2"/>
          <w:sz w:val="24"/>
        </w:rPr>
        <w:t>ADDITION</w:t>
      </w:r>
    </w:p>
    <w:p>
      <w:pPr>
        <w:pStyle w:val="BodyText"/>
        <w:spacing w:before="48"/>
        <w:rPr>
          <w:b/>
        </w:rPr>
      </w:pPr>
    </w:p>
    <w:p>
      <w:pPr>
        <w:pStyle w:val="BodyText"/>
        <w:ind w:left="678"/>
      </w:pPr>
      <w:r>
        <w:rPr>
          <w:spacing w:val="-5"/>
          <w:u w:val="single"/>
        </w:rPr>
        <w:t>Key</w:t>
      </w:r>
    </w:p>
    <w:p>
      <w:pPr>
        <w:pStyle w:val="BodyText"/>
        <w:ind w:left="678"/>
      </w:pPr>
      <w:r>
        <w:rPr/>
        <w:t>Arrows</w:t>
      </w:r>
      <w:r>
        <w:rPr>
          <w:spacing w:val="-1"/>
        </w:rPr>
        <w:t> </w:t>
      </w:r>
      <w:r>
        <w:rPr/>
        <w:t>(</w:t>
      </w:r>
      <w:r>
        <w:rPr>
          <w:rFonts w:ascii="Wingdings" w:hAnsi="Wingdings"/>
        </w:rPr>
        <w:t></w:t>
      </w:r>
      <w:r>
        <w:rPr/>
        <w:t>)</w:t>
      </w:r>
      <w:r>
        <w:rPr>
          <w:spacing w:val="-2"/>
        </w:rPr>
        <w:t> </w:t>
      </w:r>
      <w:r>
        <w:rPr/>
        <w:t>-</w:t>
      </w:r>
      <w:r>
        <w:rPr>
          <w:spacing w:val="-1"/>
        </w:rPr>
        <w:t> </w:t>
      </w:r>
      <w:r>
        <w:rPr/>
        <w:t>Start</w:t>
      </w:r>
      <w:r>
        <w:rPr>
          <w:spacing w:val="-1"/>
        </w:rPr>
        <w:t> </w:t>
      </w:r>
      <w:r>
        <w:rPr/>
        <w:t>of</w:t>
      </w:r>
      <w:r>
        <w:rPr>
          <w:spacing w:val="-1"/>
        </w:rPr>
        <w:t> </w:t>
      </w:r>
      <w:r>
        <w:rPr/>
        <w:t>fluid </w:t>
      </w:r>
      <w:r>
        <w:rPr>
          <w:spacing w:val="-2"/>
        </w:rPr>
        <w:t>addition</w:t>
      </w:r>
    </w:p>
    <w:p>
      <w:pPr>
        <w:pStyle w:val="BodyText"/>
      </w:pPr>
    </w:p>
    <w:p>
      <w:pPr>
        <w:pStyle w:val="BodyText"/>
        <w:spacing w:before="1"/>
        <w:ind w:left="2118"/>
      </w:pPr>
      <w:r>
        <w:rPr/>
        <w:t>F-Direction</w:t>
      </w:r>
      <w:r>
        <w:rPr>
          <w:spacing w:val="-3"/>
        </w:rPr>
        <w:t> </w:t>
      </w:r>
      <w:r>
        <w:rPr/>
        <w:t>of</w:t>
      </w:r>
      <w:r>
        <w:rPr>
          <w:spacing w:val="-2"/>
        </w:rPr>
        <w:t> </w:t>
      </w:r>
      <w:r>
        <w:rPr/>
        <w:t>Interfacial</w:t>
      </w:r>
      <w:r>
        <w:rPr>
          <w:spacing w:val="-1"/>
        </w:rPr>
        <w:t> </w:t>
      </w:r>
      <w:r>
        <w:rPr>
          <w:spacing w:val="-2"/>
        </w:rPr>
        <w:t>forces</w:t>
      </w:r>
    </w:p>
    <w:p>
      <w:pPr>
        <w:pStyle w:val="BodyText"/>
      </w:pPr>
    </w:p>
    <w:p>
      <w:pPr>
        <w:pStyle w:val="BodyText"/>
        <w:spacing w:before="144"/>
      </w:pPr>
    </w:p>
    <w:p>
      <w:pPr>
        <w:pStyle w:val="Heading2"/>
        <w:jc w:val="left"/>
      </w:pPr>
      <w:r>
        <w:rPr/>
        <w:t>Fig.</w:t>
      </w:r>
      <w:r>
        <w:rPr>
          <w:spacing w:val="-4"/>
        </w:rPr>
        <w:t> </w:t>
      </w:r>
      <w:r>
        <w:rPr/>
        <w:t>1.5:</w:t>
      </w:r>
      <w:r>
        <w:rPr>
          <w:spacing w:val="-2"/>
        </w:rPr>
        <w:t> </w:t>
      </w:r>
      <w:r>
        <w:rPr/>
        <w:t>Change</w:t>
      </w:r>
      <w:r>
        <w:rPr>
          <w:spacing w:val="-2"/>
        </w:rPr>
        <w:t> </w:t>
      </w:r>
      <w:r>
        <w:rPr/>
        <w:t>in torque</w:t>
      </w:r>
      <w:r>
        <w:rPr>
          <w:spacing w:val="-2"/>
        </w:rPr>
        <w:t> </w:t>
      </w:r>
      <w:r>
        <w:rPr/>
        <w:t>of mixer</w:t>
      </w:r>
      <w:r>
        <w:rPr>
          <w:spacing w:val="-2"/>
        </w:rPr>
        <w:t> </w:t>
      </w:r>
      <w:r>
        <w:rPr/>
        <w:t>shaft</w:t>
      </w:r>
      <w:r>
        <w:rPr>
          <w:spacing w:val="-1"/>
        </w:rPr>
        <w:t> </w:t>
      </w:r>
      <w:r>
        <w:rPr/>
        <w:t>during</w:t>
      </w:r>
      <w:r>
        <w:rPr>
          <w:spacing w:val="-1"/>
        </w:rPr>
        <w:t> </w:t>
      </w:r>
      <w:r>
        <w:rPr/>
        <w:t>addition</w:t>
      </w:r>
      <w:r>
        <w:rPr>
          <w:spacing w:val="-1"/>
        </w:rPr>
        <w:t> </w:t>
      </w:r>
      <w:r>
        <w:rPr/>
        <w:t>of granulating</w:t>
      </w:r>
      <w:r>
        <w:rPr>
          <w:spacing w:val="-1"/>
        </w:rPr>
        <w:t> </w:t>
      </w:r>
      <w:r>
        <w:rPr>
          <w:spacing w:val="-2"/>
        </w:rPr>
        <w:t>fluid</w:t>
      </w:r>
    </w:p>
    <w:p>
      <w:pPr>
        <w:spacing w:after="0"/>
        <w:jc w:val="left"/>
        <w:sectPr>
          <w:pgSz w:w="12240" w:h="15840"/>
          <w:pgMar w:header="0" w:footer="1056" w:top="1820" w:bottom="1240" w:left="1420" w:right="420"/>
        </w:sectPr>
      </w:pPr>
    </w:p>
    <w:p>
      <w:pPr>
        <w:pStyle w:val="BodyText"/>
        <w:spacing w:before="77"/>
        <w:ind w:right="964"/>
        <w:jc w:val="center"/>
      </w:pPr>
      <w:r>
        <w:rPr>
          <w:spacing w:val="-10"/>
        </w:rPr>
        <w:t>I</w:t>
      </w:r>
    </w:p>
    <w:p>
      <w:pPr>
        <w:pStyle w:val="BodyText"/>
        <w:spacing w:before="10"/>
        <w:rPr>
          <w:sz w:val="3"/>
        </w:rPr>
      </w:pPr>
      <w:r>
        <w:rPr/>
        <mc:AlternateContent>
          <mc:Choice Requires="wps">
            <w:drawing>
              <wp:anchor distT="0" distB="0" distL="0" distR="0" allowOverlap="1" layoutInCell="1" locked="0" behindDoc="1" simplePos="0" relativeHeight="487640064">
                <wp:simplePos x="0" y="0"/>
                <wp:positionH relativeFrom="page">
                  <wp:posOffset>3548697</wp:posOffset>
                </wp:positionH>
                <wp:positionV relativeFrom="paragraph">
                  <wp:posOffset>43660</wp:posOffset>
                </wp:positionV>
                <wp:extent cx="695325" cy="681355"/>
                <wp:effectExtent l="0" t="0" r="0" b="0"/>
                <wp:wrapTopAndBottom/>
                <wp:docPr id="134" name="Group 134"/>
                <wp:cNvGraphicFramePr>
                  <a:graphicFrameLocks/>
                </wp:cNvGraphicFramePr>
                <a:graphic>
                  <a:graphicData uri="http://schemas.microsoft.com/office/word/2010/wordprocessingGroup">
                    <wpg:wgp>
                      <wpg:cNvPr id="134" name="Group 134"/>
                      <wpg:cNvGrpSpPr/>
                      <wpg:grpSpPr>
                        <a:xfrm>
                          <a:off x="0" y="0"/>
                          <a:ext cx="695325" cy="681355"/>
                          <a:chExt cx="695325" cy="681355"/>
                        </a:xfrm>
                      </wpg:grpSpPr>
                      <pic:pic>
                        <pic:nvPicPr>
                          <pic:cNvPr id="135" name="Image 135"/>
                          <pic:cNvPicPr/>
                        </pic:nvPicPr>
                        <pic:blipFill>
                          <a:blip r:embed="rId28" cstate="print"/>
                          <a:stretch>
                            <a:fillRect/>
                          </a:stretch>
                        </pic:blipFill>
                        <pic:spPr>
                          <a:xfrm>
                            <a:off x="4762" y="104944"/>
                            <a:ext cx="114300" cy="457200"/>
                          </a:xfrm>
                          <a:prstGeom prst="rect">
                            <a:avLst/>
                          </a:prstGeom>
                        </pic:spPr>
                      </pic:pic>
                      <wps:wsp>
                        <wps:cNvPr id="136" name="Graphic 136"/>
                        <wps:cNvSpPr/>
                        <wps:spPr>
                          <a:xfrm>
                            <a:off x="4762" y="104944"/>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37" name="Image 137"/>
                          <pic:cNvPicPr/>
                        </pic:nvPicPr>
                        <pic:blipFill>
                          <a:blip r:embed="rId29" cstate="print"/>
                          <a:stretch>
                            <a:fillRect/>
                          </a:stretch>
                        </pic:blipFill>
                        <pic:spPr>
                          <a:xfrm>
                            <a:off x="576262" y="104944"/>
                            <a:ext cx="114300" cy="457200"/>
                          </a:xfrm>
                          <a:prstGeom prst="rect">
                            <a:avLst/>
                          </a:prstGeom>
                        </pic:spPr>
                      </pic:pic>
                      <wps:wsp>
                        <wps:cNvPr id="138" name="Graphic 138"/>
                        <wps:cNvSpPr/>
                        <wps:spPr>
                          <a:xfrm>
                            <a:off x="119062" y="104944"/>
                            <a:ext cx="571500" cy="571500"/>
                          </a:xfrm>
                          <a:custGeom>
                            <a:avLst/>
                            <a:gdLst/>
                            <a:ahLst/>
                            <a:cxnLst/>
                            <a:rect l="l" t="t" r="r" b="b"/>
                            <a:pathLst>
                              <a:path w="571500" h="571500">
                                <a:moveTo>
                                  <a:pt x="457200" y="457200"/>
                                </a:moveTo>
                                <a:lnTo>
                                  <a:pt x="571500" y="457200"/>
                                </a:lnTo>
                                <a:lnTo>
                                  <a:pt x="571500" y="0"/>
                                </a:lnTo>
                                <a:lnTo>
                                  <a:pt x="457200" y="0"/>
                                </a:lnTo>
                                <a:lnTo>
                                  <a:pt x="457200" y="457200"/>
                                </a:lnTo>
                                <a:close/>
                              </a:path>
                              <a:path w="571500" h="571500">
                                <a:moveTo>
                                  <a:pt x="0" y="571500"/>
                                </a:moveTo>
                                <a:lnTo>
                                  <a:pt x="457200" y="571500"/>
                                </a:lnTo>
                                <a:lnTo>
                                  <a:pt x="457200" y="419100"/>
                                </a:lnTo>
                                <a:lnTo>
                                  <a:pt x="0" y="419100"/>
                                </a:lnTo>
                                <a:lnTo>
                                  <a:pt x="0" y="571500"/>
                                </a:lnTo>
                                <a:close/>
                              </a:path>
                            </a:pathLst>
                          </a:custGeom>
                          <a:ln w="9525">
                            <a:solidFill>
                              <a:srgbClr val="000000"/>
                            </a:solidFill>
                            <a:prstDash val="solid"/>
                          </a:ln>
                        </wps:spPr>
                        <wps:bodyPr wrap="square" lIns="0" tIns="0" rIns="0" bIns="0" rtlCol="0">
                          <a:prstTxWarp prst="textNoShape">
                            <a:avLst/>
                          </a:prstTxWarp>
                          <a:noAutofit/>
                        </wps:bodyPr>
                      </wps:wsp>
                      <wps:wsp>
                        <wps:cNvPr id="139" name="Textbox 139"/>
                        <wps:cNvSpPr txBox="1"/>
                        <wps:spPr>
                          <a:xfrm>
                            <a:off x="115633" y="114300"/>
                            <a:ext cx="393700" cy="283210"/>
                          </a:xfrm>
                          <a:prstGeom prst="rect">
                            <a:avLst/>
                          </a:prstGeom>
                        </wps:spPr>
                        <wps:txbx>
                          <w:txbxContent>
                            <w:p>
                              <w:pPr>
                                <w:spacing w:line="240" w:lineRule="auto" w:before="0"/>
                                <w:ind w:left="0" w:right="0" w:firstLine="0"/>
                                <w:jc w:val="left"/>
                                <w:rPr>
                                  <w:sz w:val="24"/>
                                </w:rPr>
                              </w:pPr>
                              <w:r>
                                <w:rPr>
                                  <w:spacing w:val="-63"/>
                                  <w:position w:val="-11"/>
                                  <w:sz w:val="24"/>
                                </w:rPr>
                                <w:t>o</w:t>
                              </w:r>
                              <w:r>
                                <w:rPr>
                                  <w:spacing w:val="-63"/>
                                  <w:position w:val="0"/>
                                  <w:sz w:val="24"/>
                                </w:rPr>
                                <w:t>o</w:t>
                              </w:r>
                              <w:r>
                                <w:rPr>
                                  <w:spacing w:val="-63"/>
                                  <w:position w:val="-11"/>
                                  <w:sz w:val="24"/>
                                </w:rPr>
                                <w:t>o</w:t>
                              </w:r>
                              <w:r>
                                <w:rPr>
                                  <w:spacing w:val="-63"/>
                                  <w:sz w:val="24"/>
                                </w:rPr>
                                <w:t>o</w:t>
                              </w:r>
                              <w:r>
                                <w:rPr>
                                  <w:b/>
                                  <w:spacing w:val="-63"/>
                                  <w:position w:val="-10"/>
                                  <w:sz w:val="24"/>
                                </w:rPr>
                                <w:t>o</w:t>
                              </w:r>
                              <w:r>
                                <w:rPr>
                                  <w:spacing w:val="-63"/>
                                  <w:sz w:val="24"/>
                                </w:rPr>
                                <w:t>o</w:t>
                              </w:r>
                              <w:r>
                                <w:rPr>
                                  <w:spacing w:val="-63"/>
                                  <w:position w:val="6"/>
                                  <w:sz w:val="24"/>
                                </w:rPr>
                                <w:t>o</w:t>
                              </w:r>
                              <w:r>
                                <w:rPr>
                                  <w:spacing w:val="-63"/>
                                  <w:position w:val="-5"/>
                                  <w:sz w:val="24"/>
                                </w:rPr>
                                <w:t>o</w:t>
                              </w:r>
                              <w:r>
                                <w:rPr>
                                  <w:spacing w:val="-63"/>
                                  <w:position w:val="1"/>
                                  <w:sz w:val="24"/>
                                </w:rPr>
                                <w:t>o</w:t>
                              </w:r>
                              <w:r>
                                <w:rPr>
                                  <w:spacing w:val="-63"/>
                                  <w:position w:val="-2"/>
                                  <w:sz w:val="24"/>
                                </w:rPr>
                                <w:t>o</w:t>
                              </w:r>
                            </w:p>
                          </w:txbxContent>
                        </wps:txbx>
                        <wps:bodyPr wrap="square" lIns="0" tIns="0" rIns="0" bIns="0" rtlCol="0">
                          <a:noAutofit/>
                        </wps:bodyPr>
                      </wps:wsp>
                      <wps:wsp>
                        <wps:cNvPr id="140" name="Textbox 140"/>
                        <wps:cNvSpPr txBox="1"/>
                        <wps:spPr>
                          <a:xfrm>
                            <a:off x="124777" y="0"/>
                            <a:ext cx="461009" cy="283210"/>
                          </a:xfrm>
                          <a:prstGeom prst="rect">
                            <a:avLst/>
                          </a:prstGeom>
                        </wps:spPr>
                        <wps:txbx>
                          <w:txbxContent>
                            <w:p>
                              <w:pPr>
                                <w:spacing w:line="235" w:lineRule="auto" w:before="0"/>
                                <w:ind w:left="0" w:right="0" w:firstLine="0"/>
                                <w:jc w:val="left"/>
                                <w:rPr>
                                  <w:sz w:val="24"/>
                                </w:rPr>
                              </w:pPr>
                              <w:r>
                                <w:rPr>
                                  <w:spacing w:val="-50"/>
                                  <w:position w:val="-11"/>
                                  <w:sz w:val="24"/>
                                </w:rPr>
                                <w:t>o</w:t>
                              </w:r>
                              <w:r>
                                <w:rPr>
                                  <w:spacing w:val="-50"/>
                                  <w:position w:val="1"/>
                                  <w:sz w:val="24"/>
                                </w:rPr>
                                <w:t>o</w:t>
                              </w:r>
                              <w:r>
                                <w:rPr>
                                  <w:spacing w:val="-50"/>
                                  <w:position w:val="-14"/>
                                  <w:sz w:val="24"/>
                                </w:rPr>
                                <w:t>o</w:t>
                              </w:r>
                              <w:r>
                                <w:rPr>
                                  <w:spacing w:val="-50"/>
                                  <w:position w:val="-10"/>
                                  <w:sz w:val="24"/>
                                </w:rPr>
                                <w:t>o</w:t>
                              </w:r>
                              <w:r>
                                <w:rPr>
                                  <w:spacing w:val="-50"/>
                                  <w:position w:val="1"/>
                                  <w:sz w:val="24"/>
                                </w:rPr>
                                <w:t>o</w:t>
                              </w:r>
                              <w:r>
                                <w:rPr>
                                  <w:spacing w:val="-50"/>
                                  <w:position w:val="-5"/>
                                  <w:sz w:val="24"/>
                                </w:rPr>
                                <w:t>o</w:t>
                              </w:r>
                              <w:r>
                                <w:rPr>
                                  <w:spacing w:val="-50"/>
                                  <w:sz w:val="24"/>
                                </w:rPr>
                                <w:t>o</w:t>
                              </w:r>
                              <w:r>
                                <w:rPr>
                                  <w:spacing w:val="-50"/>
                                  <w:position w:val="-8"/>
                                  <w:sz w:val="24"/>
                                </w:rPr>
                                <w:t>o</w:t>
                              </w:r>
                              <w:r>
                                <w:rPr>
                                  <w:spacing w:val="-50"/>
                                  <w:position w:val="-6"/>
                                  <w:sz w:val="24"/>
                                </w:rPr>
                                <w:t>o</w:t>
                              </w:r>
                              <w:r>
                                <w:rPr>
                                  <w:spacing w:val="-50"/>
                                  <w:position w:val="-16"/>
                                  <w:sz w:val="24"/>
                                </w:rPr>
                                <w:t>o</w:t>
                              </w:r>
                            </w:p>
                          </w:txbxContent>
                        </wps:txbx>
                        <wps:bodyPr wrap="square" lIns="0" tIns="0" rIns="0" bIns="0" rtlCol="0">
                          <a:noAutofit/>
                        </wps:bodyPr>
                      </wps:wsp>
                      <wps:wsp>
                        <wps:cNvPr id="141" name="Textbox 141"/>
                        <wps:cNvSpPr txBox="1"/>
                        <wps:spPr>
                          <a:xfrm>
                            <a:off x="124777" y="333756"/>
                            <a:ext cx="480695" cy="216535"/>
                          </a:xfrm>
                          <a:prstGeom prst="rect">
                            <a:avLst/>
                          </a:prstGeom>
                        </wps:spPr>
                        <wps:txbx>
                          <w:txbxContent>
                            <w:p>
                              <w:pPr>
                                <w:spacing w:line="340" w:lineRule="exact" w:before="0"/>
                                <w:ind w:left="0" w:right="0" w:firstLine="0"/>
                                <w:jc w:val="left"/>
                                <w:rPr>
                                  <w:sz w:val="24"/>
                                </w:rPr>
                              </w:pPr>
                              <w:r>
                                <w:rPr>
                                  <w:sz w:val="24"/>
                                </w:rPr>
                                <w:t>oo </w:t>
                              </w:r>
                              <w:r>
                                <w:rPr>
                                  <w:spacing w:val="-10"/>
                                  <w:position w:val="5"/>
                                  <w:sz w:val="24"/>
                                </w:rPr>
                                <w:t>o</w:t>
                              </w:r>
                              <w:r>
                                <w:rPr>
                                  <w:spacing w:val="-10"/>
                                  <w:position w:val="6"/>
                                  <w:sz w:val="24"/>
                                </w:rPr>
                                <w:t>o</w:t>
                              </w:r>
                              <w:r>
                                <w:rPr>
                                  <w:spacing w:val="-10"/>
                                  <w:position w:val="1"/>
                                  <w:sz w:val="24"/>
                                </w:rPr>
                                <w:t>o</w:t>
                              </w:r>
                              <w:r>
                                <w:rPr>
                                  <w:spacing w:val="-10"/>
                                  <w:position w:val="7"/>
                                  <w:sz w:val="24"/>
                                </w:rPr>
                                <w:t>o</w:t>
                              </w:r>
                            </w:p>
                          </w:txbxContent>
                        </wps:txbx>
                        <wps:bodyPr wrap="square" lIns="0" tIns="0" rIns="0" bIns="0" rtlCol="0">
                          <a:noAutofit/>
                        </wps:bodyPr>
                      </wps:wsp>
                      <wps:wsp>
                        <wps:cNvPr id="142" name="Textbox 142"/>
                        <wps:cNvSpPr txBox="1"/>
                        <wps:spPr>
                          <a:xfrm>
                            <a:off x="135445" y="208788"/>
                            <a:ext cx="441325" cy="321310"/>
                          </a:xfrm>
                          <a:prstGeom prst="rect">
                            <a:avLst/>
                          </a:prstGeom>
                        </wps:spPr>
                        <wps:txbx>
                          <w:txbxContent>
                            <w:p>
                              <w:pPr>
                                <w:spacing w:line="237" w:lineRule="auto" w:before="0"/>
                                <w:ind w:left="0" w:right="0" w:firstLine="0"/>
                                <w:jc w:val="left"/>
                                <w:rPr>
                                  <w:sz w:val="24"/>
                                </w:rPr>
                              </w:pPr>
                              <w:r>
                                <w:rPr>
                                  <w:spacing w:val="-36"/>
                                  <w:position w:val="1"/>
                                  <w:sz w:val="24"/>
                                </w:rPr>
                                <w:t>o</w:t>
                              </w:r>
                              <w:r>
                                <w:rPr>
                                  <w:spacing w:val="-36"/>
                                  <w:position w:val="-5"/>
                                  <w:sz w:val="24"/>
                                </w:rPr>
                                <w:t>o</w:t>
                              </w:r>
                              <w:r>
                                <w:rPr>
                                  <w:spacing w:val="-36"/>
                                  <w:position w:val="1"/>
                                  <w:sz w:val="24"/>
                                </w:rPr>
                                <w:t>o</w:t>
                              </w:r>
                              <w:r>
                                <w:rPr>
                                  <w:spacing w:val="-36"/>
                                  <w:position w:val="-8"/>
                                  <w:sz w:val="24"/>
                                </w:rPr>
                                <w:t>o</w:t>
                              </w:r>
                              <w:r>
                                <w:rPr>
                                  <w:spacing w:val="-36"/>
                                  <w:position w:val="15"/>
                                  <w:sz w:val="24"/>
                                </w:rPr>
                                <w:t>o</w:t>
                              </w:r>
                              <w:r>
                                <w:rPr>
                                  <w:spacing w:val="-36"/>
                                  <w:position w:val="11"/>
                                  <w:sz w:val="24"/>
                                </w:rPr>
                                <w:t>o</w:t>
                              </w:r>
                              <w:r>
                                <w:rPr>
                                  <w:spacing w:val="-36"/>
                                  <w:sz w:val="24"/>
                                </w:rPr>
                                <w:t>o</w:t>
                              </w:r>
                              <w:r>
                                <w:rPr>
                                  <w:spacing w:val="-36"/>
                                  <w:position w:val="9"/>
                                  <w:sz w:val="24"/>
                                </w:rPr>
                                <w:t>o</w:t>
                              </w:r>
                            </w:p>
                          </w:txbxContent>
                        </wps:txbx>
                        <wps:bodyPr wrap="square" lIns="0" tIns="0" rIns="0" bIns="0" rtlCol="0">
                          <a:noAutofit/>
                        </wps:bodyPr>
                      </wps:wsp>
                    </wpg:wgp>
                  </a:graphicData>
                </a:graphic>
              </wp:anchor>
            </w:drawing>
          </mc:Choice>
          <mc:Fallback>
            <w:pict>
              <v:group style="position:absolute;margin-left:279.424988pt;margin-top:3.437813pt;width:54.75pt;height:53.65pt;mso-position-horizontal-relative:page;mso-position-vertical-relative:paragraph;z-index:-15676416;mso-wrap-distance-left:0;mso-wrap-distance-right:0" id="docshapegroup48" coordorigin="5588,69" coordsize="1095,1073">
                <v:shape style="position:absolute;left:5596;top:234;width:180;height:720" type="#_x0000_t75" id="docshape49" stroked="false">
                  <v:imagedata r:id="rId28" o:title=""/>
                </v:shape>
                <v:rect style="position:absolute;left:5596;top:234;width:180;height:720" id="docshape50" filled="false" stroked="true" strokeweight=".75pt" strokecolor="#000000">
                  <v:stroke dashstyle="solid"/>
                </v:rect>
                <v:shape style="position:absolute;left:6496;top:234;width:180;height:720" type="#_x0000_t75" id="docshape51" stroked="false">
                  <v:imagedata r:id="rId29" o:title=""/>
                </v:shape>
                <v:shape style="position:absolute;left:5776;top:234;width:900;height:900" id="docshape52" coordorigin="5776,234" coordsize="900,900" path="m6496,954l6676,954,6676,234,6496,234,6496,954xm5776,1134l6496,1134,6496,894,5776,894,5776,1134xe" filled="false" stroked="true" strokeweight=".75pt" strokecolor="#000000">
                  <v:path arrowok="t"/>
                  <v:stroke dashstyle="solid"/>
                </v:shape>
                <v:shape style="position:absolute;left:5770;top:248;width:620;height:446" type="#_x0000_t202" id="docshape53" filled="false" stroked="false">
                  <v:textbox inset="0,0,0,0">
                    <w:txbxContent>
                      <w:p>
                        <w:pPr>
                          <w:spacing w:line="240" w:lineRule="auto" w:before="0"/>
                          <w:ind w:left="0" w:right="0" w:firstLine="0"/>
                          <w:jc w:val="left"/>
                          <w:rPr>
                            <w:sz w:val="24"/>
                          </w:rPr>
                        </w:pPr>
                        <w:r>
                          <w:rPr>
                            <w:spacing w:val="-63"/>
                            <w:position w:val="-11"/>
                            <w:sz w:val="24"/>
                          </w:rPr>
                          <w:t>o</w:t>
                        </w:r>
                        <w:r>
                          <w:rPr>
                            <w:spacing w:val="-63"/>
                            <w:position w:val="0"/>
                            <w:sz w:val="24"/>
                          </w:rPr>
                          <w:t>o</w:t>
                        </w:r>
                        <w:r>
                          <w:rPr>
                            <w:spacing w:val="-63"/>
                            <w:position w:val="-11"/>
                            <w:sz w:val="24"/>
                          </w:rPr>
                          <w:t>o</w:t>
                        </w:r>
                        <w:r>
                          <w:rPr>
                            <w:spacing w:val="-63"/>
                            <w:sz w:val="24"/>
                          </w:rPr>
                          <w:t>o</w:t>
                        </w:r>
                        <w:r>
                          <w:rPr>
                            <w:b/>
                            <w:spacing w:val="-63"/>
                            <w:position w:val="-10"/>
                            <w:sz w:val="24"/>
                          </w:rPr>
                          <w:t>o</w:t>
                        </w:r>
                        <w:r>
                          <w:rPr>
                            <w:spacing w:val="-63"/>
                            <w:sz w:val="24"/>
                          </w:rPr>
                          <w:t>o</w:t>
                        </w:r>
                        <w:r>
                          <w:rPr>
                            <w:spacing w:val="-63"/>
                            <w:position w:val="6"/>
                            <w:sz w:val="24"/>
                          </w:rPr>
                          <w:t>o</w:t>
                        </w:r>
                        <w:r>
                          <w:rPr>
                            <w:spacing w:val="-63"/>
                            <w:position w:val="-5"/>
                            <w:sz w:val="24"/>
                          </w:rPr>
                          <w:t>o</w:t>
                        </w:r>
                        <w:r>
                          <w:rPr>
                            <w:spacing w:val="-63"/>
                            <w:position w:val="1"/>
                            <w:sz w:val="24"/>
                          </w:rPr>
                          <w:t>o</w:t>
                        </w:r>
                        <w:r>
                          <w:rPr>
                            <w:spacing w:val="-63"/>
                            <w:position w:val="-2"/>
                            <w:sz w:val="24"/>
                          </w:rPr>
                          <w:t>o</w:t>
                        </w:r>
                      </w:p>
                    </w:txbxContent>
                  </v:textbox>
                  <w10:wrap type="none"/>
                </v:shape>
                <v:shape style="position:absolute;left:5785;top:68;width:726;height:446" type="#_x0000_t202" id="docshape54" filled="false" stroked="false">
                  <v:textbox inset="0,0,0,0">
                    <w:txbxContent>
                      <w:p>
                        <w:pPr>
                          <w:spacing w:line="235" w:lineRule="auto" w:before="0"/>
                          <w:ind w:left="0" w:right="0" w:firstLine="0"/>
                          <w:jc w:val="left"/>
                          <w:rPr>
                            <w:sz w:val="24"/>
                          </w:rPr>
                        </w:pPr>
                        <w:r>
                          <w:rPr>
                            <w:spacing w:val="-50"/>
                            <w:position w:val="-11"/>
                            <w:sz w:val="24"/>
                          </w:rPr>
                          <w:t>o</w:t>
                        </w:r>
                        <w:r>
                          <w:rPr>
                            <w:spacing w:val="-50"/>
                            <w:position w:val="1"/>
                            <w:sz w:val="24"/>
                          </w:rPr>
                          <w:t>o</w:t>
                        </w:r>
                        <w:r>
                          <w:rPr>
                            <w:spacing w:val="-50"/>
                            <w:position w:val="-14"/>
                            <w:sz w:val="24"/>
                          </w:rPr>
                          <w:t>o</w:t>
                        </w:r>
                        <w:r>
                          <w:rPr>
                            <w:spacing w:val="-50"/>
                            <w:position w:val="-10"/>
                            <w:sz w:val="24"/>
                          </w:rPr>
                          <w:t>o</w:t>
                        </w:r>
                        <w:r>
                          <w:rPr>
                            <w:spacing w:val="-50"/>
                            <w:position w:val="1"/>
                            <w:sz w:val="24"/>
                          </w:rPr>
                          <w:t>o</w:t>
                        </w:r>
                        <w:r>
                          <w:rPr>
                            <w:spacing w:val="-50"/>
                            <w:position w:val="-5"/>
                            <w:sz w:val="24"/>
                          </w:rPr>
                          <w:t>o</w:t>
                        </w:r>
                        <w:r>
                          <w:rPr>
                            <w:spacing w:val="-50"/>
                            <w:sz w:val="24"/>
                          </w:rPr>
                          <w:t>o</w:t>
                        </w:r>
                        <w:r>
                          <w:rPr>
                            <w:spacing w:val="-50"/>
                            <w:position w:val="-8"/>
                            <w:sz w:val="24"/>
                          </w:rPr>
                          <w:t>o</w:t>
                        </w:r>
                        <w:r>
                          <w:rPr>
                            <w:spacing w:val="-50"/>
                            <w:position w:val="-6"/>
                            <w:sz w:val="24"/>
                          </w:rPr>
                          <w:t>o</w:t>
                        </w:r>
                        <w:r>
                          <w:rPr>
                            <w:spacing w:val="-50"/>
                            <w:position w:val="-16"/>
                            <w:sz w:val="24"/>
                          </w:rPr>
                          <w:t>o</w:t>
                        </w:r>
                      </w:p>
                    </w:txbxContent>
                  </v:textbox>
                  <w10:wrap type="none"/>
                </v:shape>
                <v:shape style="position:absolute;left:5785;top:594;width:757;height:341" type="#_x0000_t202" id="docshape55" filled="false" stroked="false">
                  <v:textbox inset="0,0,0,0">
                    <w:txbxContent>
                      <w:p>
                        <w:pPr>
                          <w:spacing w:line="340" w:lineRule="exact" w:before="0"/>
                          <w:ind w:left="0" w:right="0" w:firstLine="0"/>
                          <w:jc w:val="left"/>
                          <w:rPr>
                            <w:sz w:val="24"/>
                          </w:rPr>
                        </w:pPr>
                        <w:r>
                          <w:rPr>
                            <w:sz w:val="24"/>
                          </w:rPr>
                          <w:t>oo </w:t>
                        </w:r>
                        <w:r>
                          <w:rPr>
                            <w:spacing w:val="-10"/>
                            <w:position w:val="5"/>
                            <w:sz w:val="24"/>
                          </w:rPr>
                          <w:t>o</w:t>
                        </w:r>
                        <w:r>
                          <w:rPr>
                            <w:spacing w:val="-10"/>
                            <w:position w:val="6"/>
                            <w:sz w:val="24"/>
                          </w:rPr>
                          <w:t>o</w:t>
                        </w:r>
                        <w:r>
                          <w:rPr>
                            <w:spacing w:val="-10"/>
                            <w:position w:val="1"/>
                            <w:sz w:val="24"/>
                          </w:rPr>
                          <w:t>o</w:t>
                        </w:r>
                        <w:r>
                          <w:rPr>
                            <w:spacing w:val="-10"/>
                            <w:position w:val="7"/>
                            <w:sz w:val="24"/>
                          </w:rPr>
                          <w:t>o</w:t>
                        </w:r>
                      </w:p>
                    </w:txbxContent>
                  </v:textbox>
                  <w10:wrap type="none"/>
                </v:shape>
                <v:shape style="position:absolute;left:5801;top:397;width:695;height:506" type="#_x0000_t202" id="docshape56" filled="false" stroked="false">
                  <v:textbox inset="0,0,0,0">
                    <w:txbxContent>
                      <w:p>
                        <w:pPr>
                          <w:spacing w:line="237" w:lineRule="auto" w:before="0"/>
                          <w:ind w:left="0" w:right="0" w:firstLine="0"/>
                          <w:jc w:val="left"/>
                          <w:rPr>
                            <w:sz w:val="24"/>
                          </w:rPr>
                        </w:pPr>
                        <w:r>
                          <w:rPr>
                            <w:spacing w:val="-36"/>
                            <w:position w:val="1"/>
                            <w:sz w:val="24"/>
                          </w:rPr>
                          <w:t>o</w:t>
                        </w:r>
                        <w:r>
                          <w:rPr>
                            <w:spacing w:val="-36"/>
                            <w:position w:val="-5"/>
                            <w:sz w:val="24"/>
                          </w:rPr>
                          <w:t>o</w:t>
                        </w:r>
                        <w:r>
                          <w:rPr>
                            <w:spacing w:val="-36"/>
                            <w:position w:val="1"/>
                            <w:sz w:val="24"/>
                          </w:rPr>
                          <w:t>o</w:t>
                        </w:r>
                        <w:r>
                          <w:rPr>
                            <w:spacing w:val="-36"/>
                            <w:position w:val="-8"/>
                            <w:sz w:val="24"/>
                          </w:rPr>
                          <w:t>o</w:t>
                        </w:r>
                        <w:r>
                          <w:rPr>
                            <w:spacing w:val="-36"/>
                            <w:position w:val="15"/>
                            <w:sz w:val="24"/>
                          </w:rPr>
                          <w:t>o</w:t>
                        </w:r>
                        <w:r>
                          <w:rPr>
                            <w:spacing w:val="-36"/>
                            <w:position w:val="11"/>
                            <w:sz w:val="24"/>
                          </w:rPr>
                          <w:t>o</w:t>
                        </w:r>
                        <w:r>
                          <w:rPr>
                            <w:spacing w:val="-36"/>
                            <w:sz w:val="24"/>
                          </w:rPr>
                          <w:t>o</w:t>
                        </w:r>
                        <w:r>
                          <w:rPr>
                            <w:spacing w:val="-36"/>
                            <w:position w:val="9"/>
                            <w:sz w:val="24"/>
                          </w:rPr>
                          <w:t>o</w:t>
                        </w:r>
                      </w:p>
                    </w:txbxContent>
                  </v:textbox>
                  <w10:wrap type="none"/>
                </v:shape>
                <w10:wrap type="topAndBottom"/>
              </v:group>
            </w:pict>
          </mc:Fallback>
        </mc:AlternateContent>
      </w:r>
    </w:p>
    <w:p>
      <w:pPr>
        <w:pStyle w:val="BodyText"/>
      </w:pPr>
    </w:p>
    <w:p>
      <w:pPr>
        <w:pStyle w:val="BodyText"/>
      </w:pPr>
    </w:p>
    <w:p>
      <w:pPr>
        <w:pStyle w:val="BodyText"/>
        <w:spacing w:before="155"/>
      </w:pPr>
    </w:p>
    <w:p>
      <w:pPr>
        <w:pStyle w:val="BodyText"/>
        <w:ind w:right="1010"/>
        <w:jc w:val="center"/>
      </w:pPr>
      <w:r>
        <w:rPr>
          <w:spacing w:val="-5"/>
        </w:rPr>
        <w:t>II</w:t>
      </w:r>
    </w:p>
    <w:p>
      <w:pPr>
        <w:pStyle w:val="BodyText"/>
        <w:spacing w:before="6"/>
        <w:rPr>
          <w:sz w:val="10"/>
        </w:rPr>
      </w:pPr>
      <w:r>
        <w:rPr/>
        <mc:AlternateContent>
          <mc:Choice Requires="wps">
            <w:drawing>
              <wp:anchor distT="0" distB="0" distL="0" distR="0" allowOverlap="1" layoutInCell="1" locked="0" behindDoc="1" simplePos="0" relativeHeight="487640576">
                <wp:simplePos x="0" y="0"/>
                <wp:positionH relativeFrom="page">
                  <wp:posOffset>3548697</wp:posOffset>
                </wp:positionH>
                <wp:positionV relativeFrom="paragraph">
                  <wp:posOffset>92769</wp:posOffset>
                </wp:positionV>
                <wp:extent cx="695325" cy="720725"/>
                <wp:effectExtent l="0" t="0" r="0" b="0"/>
                <wp:wrapTopAndBottom/>
                <wp:docPr id="143" name="Group 143"/>
                <wp:cNvGraphicFramePr>
                  <a:graphicFrameLocks/>
                </wp:cNvGraphicFramePr>
                <a:graphic>
                  <a:graphicData uri="http://schemas.microsoft.com/office/word/2010/wordprocessingGroup">
                    <wpg:wgp>
                      <wpg:cNvPr id="143" name="Group 143"/>
                      <wpg:cNvGrpSpPr/>
                      <wpg:grpSpPr>
                        <a:xfrm>
                          <a:off x="0" y="0"/>
                          <a:ext cx="695325" cy="720725"/>
                          <a:chExt cx="695325" cy="720725"/>
                        </a:xfrm>
                      </wpg:grpSpPr>
                      <pic:pic>
                        <pic:nvPicPr>
                          <pic:cNvPr id="144" name="Image 144"/>
                          <pic:cNvPicPr/>
                        </pic:nvPicPr>
                        <pic:blipFill>
                          <a:blip r:embed="rId30" cstate="print"/>
                          <a:stretch>
                            <a:fillRect/>
                          </a:stretch>
                        </pic:blipFill>
                        <pic:spPr>
                          <a:xfrm>
                            <a:off x="4762" y="131762"/>
                            <a:ext cx="114300" cy="457200"/>
                          </a:xfrm>
                          <a:prstGeom prst="rect">
                            <a:avLst/>
                          </a:prstGeom>
                        </pic:spPr>
                      </pic:pic>
                      <wps:wsp>
                        <wps:cNvPr id="145" name="Graphic 145"/>
                        <wps:cNvSpPr/>
                        <wps:spPr>
                          <a:xfrm>
                            <a:off x="4762" y="131762"/>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46" name="Image 146"/>
                          <pic:cNvPicPr/>
                        </pic:nvPicPr>
                        <pic:blipFill>
                          <a:blip r:embed="rId31" cstate="print"/>
                          <a:stretch>
                            <a:fillRect/>
                          </a:stretch>
                        </pic:blipFill>
                        <pic:spPr>
                          <a:xfrm>
                            <a:off x="576262" y="131762"/>
                            <a:ext cx="114300" cy="457200"/>
                          </a:xfrm>
                          <a:prstGeom prst="rect">
                            <a:avLst/>
                          </a:prstGeom>
                        </pic:spPr>
                      </pic:pic>
                      <wps:wsp>
                        <wps:cNvPr id="147" name="Graphic 147"/>
                        <wps:cNvSpPr/>
                        <wps:spPr>
                          <a:xfrm>
                            <a:off x="119062" y="131762"/>
                            <a:ext cx="571500" cy="457200"/>
                          </a:xfrm>
                          <a:custGeom>
                            <a:avLst/>
                            <a:gdLst/>
                            <a:ahLst/>
                            <a:cxnLst/>
                            <a:rect l="l" t="t" r="r" b="b"/>
                            <a:pathLst>
                              <a:path w="571500" h="457200">
                                <a:moveTo>
                                  <a:pt x="457200" y="457200"/>
                                </a:moveTo>
                                <a:lnTo>
                                  <a:pt x="571500" y="457200"/>
                                </a:lnTo>
                                <a:lnTo>
                                  <a:pt x="571500" y="0"/>
                                </a:lnTo>
                                <a:lnTo>
                                  <a:pt x="457200" y="0"/>
                                </a:lnTo>
                                <a:lnTo>
                                  <a:pt x="457200" y="457200"/>
                                </a:lnTo>
                                <a:close/>
                              </a:path>
                              <a:path w="571500" h="457200">
                                <a:moveTo>
                                  <a:pt x="0" y="342900"/>
                                </a:moveTo>
                                <a:lnTo>
                                  <a:pt x="457200" y="342900"/>
                                </a:lnTo>
                                <a:lnTo>
                                  <a:pt x="457200" y="114300"/>
                                </a:lnTo>
                                <a:lnTo>
                                  <a:pt x="0" y="11430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148" name="Graphic 148"/>
                        <wps:cNvSpPr/>
                        <wps:spPr>
                          <a:xfrm>
                            <a:off x="119062" y="47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119062" y="47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50" name="Graphic 150"/>
                        <wps:cNvSpPr/>
                        <wps:spPr>
                          <a:xfrm>
                            <a:off x="119062" y="4873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19062" y="4873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52" name="Textbox 152"/>
                        <wps:cNvSpPr txBox="1"/>
                        <wps:spPr>
                          <a:xfrm>
                            <a:off x="123825" y="244475"/>
                            <a:ext cx="447675" cy="231775"/>
                          </a:xfrm>
                          <a:prstGeom prst="rect">
                            <a:avLst/>
                          </a:prstGeom>
                        </wps:spPr>
                        <wps:txbx>
                          <w:txbxContent>
                            <w:p>
                              <w:pPr>
                                <w:spacing w:line="219" w:lineRule="exact" w:before="146"/>
                                <w:ind w:left="56" w:right="-44" w:firstLine="0"/>
                                <w:jc w:val="left"/>
                                <w:rPr>
                                  <w:sz w:val="24"/>
                                </w:rPr>
                              </w:pPr>
                              <w:r>
                                <w:rPr>
                                  <w:spacing w:val="14"/>
                                  <w:sz w:val="24"/>
                                </w:rPr>
                                <w:t>ooooo</w:t>
                              </w:r>
                            </w:p>
                          </w:txbxContent>
                        </wps:txbx>
                        <wps:bodyPr wrap="square" lIns="0" tIns="0" rIns="0" bIns="0" rtlCol="0">
                          <a:noAutofit/>
                        </wps:bodyPr>
                      </wps:wsp>
                    </wpg:wgp>
                  </a:graphicData>
                </a:graphic>
              </wp:anchor>
            </w:drawing>
          </mc:Choice>
          <mc:Fallback>
            <w:pict>
              <v:group style="position:absolute;margin-left:279.424988pt;margin-top:7.304688pt;width:54.75pt;height:56.75pt;mso-position-horizontal-relative:page;mso-position-vertical-relative:paragraph;z-index:-15675904;mso-wrap-distance-left:0;mso-wrap-distance-right:0" id="docshapegroup57" coordorigin="5588,146" coordsize="1095,1135">
                <v:shape style="position:absolute;left:5596;top:353;width:180;height:720" type="#_x0000_t75" id="docshape58" stroked="false">
                  <v:imagedata r:id="rId30" o:title=""/>
                </v:shape>
                <v:rect style="position:absolute;left:5596;top:353;width:180;height:720" id="docshape59" filled="false" stroked="true" strokeweight=".75pt" strokecolor="#000000">
                  <v:stroke dashstyle="solid"/>
                </v:rect>
                <v:shape style="position:absolute;left:6496;top:353;width:180;height:720" type="#_x0000_t75" id="docshape60" stroked="false">
                  <v:imagedata r:id="rId31" o:title=""/>
                </v:shape>
                <v:shape style="position:absolute;left:5776;top:353;width:900;height:720" id="docshape61" coordorigin="5776,354" coordsize="900,720" path="m6496,1074l6676,1074,6676,354,6496,354,6496,1074xm5776,894l6496,894,6496,534,5776,534,5776,894xe" filled="false" stroked="true" strokeweight=".75pt" strokecolor="#000000">
                  <v:path arrowok="t"/>
                  <v:stroke dashstyle="solid"/>
                </v:shape>
                <v:rect style="position:absolute;left:5776;top:153;width:720;height:360" id="docshape62" filled="true" fillcolor="#ffffff" stroked="false">
                  <v:fill type="solid"/>
                </v:rect>
                <v:rect style="position:absolute;left:5776;top:153;width:720;height:360" id="docshape63" filled="false" stroked="true" strokeweight=".75pt" strokecolor="#000000">
                  <v:stroke dashstyle="solid"/>
                </v:rect>
                <v:rect style="position:absolute;left:5776;top:913;width:720;height:360" id="docshape64" filled="true" fillcolor="#ffffff" stroked="false">
                  <v:fill type="solid"/>
                </v:rect>
                <v:rect style="position:absolute;left:5776;top:913;width:720;height:360" id="docshape65" filled="false" stroked="true" strokeweight=".75pt" strokecolor="#000000">
                  <v:stroke dashstyle="solid"/>
                </v:rect>
                <v:shape style="position:absolute;left:5783;top:531;width:705;height:365" type="#_x0000_t202" id="docshape66" filled="false" stroked="false">
                  <v:textbox inset="0,0,0,0">
                    <w:txbxContent>
                      <w:p>
                        <w:pPr>
                          <w:spacing w:line="219" w:lineRule="exact" w:before="146"/>
                          <w:ind w:left="56" w:right="-44" w:firstLine="0"/>
                          <w:jc w:val="left"/>
                          <w:rPr>
                            <w:sz w:val="24"/>
                          </w:rPr>
                        </w:pPr>
                        <w:r>
                          <w:rPr>
                            <w:spacing w:val="14"/>
                            <w:sz w:val="24"/>
                          </w:rPr>
                          <w:t>ooooo</w:t>
                        </w:r>
                      </w:p>
                    </w:txbxContent>
                  </v:textbox>
                  <w10:wrap type="none"/>
                </v:shape>
                <w10:wrap type="topAndBottom"/>
              </v:group>
            </w:pict>
          </mc:Fallback>
        </mc:AlternateContent>
      </w:r>
    </w:p>
    <w:p>
      <w:pPr>
        <w:pStyle w:val="BodyText"/>
      </w:pPr>
    </w:p>
    <w:p>
      <w:pPr>
        <w:pStyle w:val="BodyText"/>
      </w:pPr>
    </w:p>
    <w:p>
      <w:pPr>
        <w:pStyle w:val="BodyText"/>
        <w:spacing w:before="196"/>
      </w:pPr>
    </w:p>
    <w:p>
      <w:pPr>
        <w:pStyle w:val="BodyText"/>
        <w:ind w:right="964"/>
        <w:jc w:val="center"/>
      </w:pPr>
      <w:r>
        <w:rPr>
          <w:spacing w:val="-5"/>
        </w:rPr>
        <w:t>III</w:t>
      </w:r>
    </w:p>
    <w:p>
      <w:pPr>
        <w:pStyle w:val="BodyText"/>
        <w:spacing w:before="6"/>
        <w:rPr>
          <w:sz w:val="3"/>
        </w:rPr>
      </w:pPr>
      <w:r>
        <w:rPr/>
        <mc:AlternateContent>
          <mc:Choice Requires="wps">
            <w:drawing>
              <wp:anchor distT="0" distB="0" distL="0" distR="0" allowOverlap="1" layoutInCell="1" locked="0" behindDoc="1" simplePos="0" relativeHeight="487641088">
                <wp:simplePos x="0" y="0"/>
                <wp:positionH relativeFrom="page">
                  <wp:posOffset>3548697</wp:posOffset>
                </wp:positionH>
                <wp:positionV relativeFrom="paragraph">
                  <wp:posOffset>41334</wp:posOffset>
                </wp:positionV>
                <wp:extent cx="695325" cy="720725"/>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695325" cy="720725"/>
                          <a:chExt cx="695325" cy="720725"/>
                        </a:xfrm>
                      </wpg:grpSpPr>
                      <pic:pic>
                        <pic:nvPicPr>
                          <pic:cNvPr id="154" name="Image 154"/>
                          <pic:cNvPicPr/>
                        </pic:nvPicPr>
                        <pic:blipFill>
                          <a:blip r:embed="rId32" cstate="print"/>
                          <a:stretch>
                            <a:fillRect/>
                          </a:stretch>
                        </pic:blipFill>
                        <pic:spPr>
                          <a:xfrm>
                            <a:off x="4762" y="131762"/>
                            <a:ext cx="114300" cy="457200"/>
                          </a:xfrm>
                          <a:prstGeom prst="rect">
                            <a:avLst/>
                          </a:prstGeom>
                        </pic:spPr>
                      </pic:pic>
                      <wps:wsp>
                        <wps:cNvPr id="155" name="Graphic 155"/>
                        <wps:cNvSpPr/>
                        <wps:spPr>
                          <a:xfrm>
                            <a:off x="4762" y="131762"/>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56" name="Image 156"/>
                          <pic:cNvPicPr/>
                        </pic:nvPicPr>
                        <pic:blipFill>
                          <a:blip r:embed="rId33" cstate="print"/>
                          <a:stretch>
                            <a:fillRect/>
                          </a:stretch>
                        </pic:blipFill>
                        <pic:spPr>
                          <a:xfrm>
                            <a:off x="576262" y="131762"/>
                            <a:ext cx="114300" cy="457200"/>
                          </a:xfrm>
                          <a:prstGeom prst="rect">
                            <a:avLst/>
                          </a:prstGeom>
                        </pic:spPr>
                      </pic:pic>
                      <wps:wsp>
                        <wps:cNvPr id="157" name="Graphic 157"/>
                        <wps:cNvSpPr/>
                        <wps:spPr>
                          <a:xfrm>
                            <a:off x="576262" y="131762"/>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158" name="Graphic 158"/>
                        <wps:cNvSpPr/>
                        <wps:spPr>
                          <a:xfrm>
                            <a:off x="119062" y="2460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119062" y="2460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60" name="Graphic 160"/>
                        <wps:cNvSpPr/>
                        <wps:spPr>
                          <a:xfrm>
                            <a:off x="119062" y="47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119062" y="47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62" name="Graphic 162"/>
                        <wps:cNvSpPr/>
                        <wps:spPr>
                          <a:xfrm>
                            <a:off x="119062" y="4873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119062" y="4873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64" name="Textbox 164"/>
                        <wps:cNvSpPr txBox="1"/>
                        <wps:spPr>
                          <a:xfrm>
                            <a:off x="123825" y="244475"/>
                            <a:ext cx="447675" cy="231775"/>
                          </a:xfrm>
                          <a:prstGeom prst="rect">
                            <a:avLst/>
                          </a:prstGeom>
                        </wps:spPr>
                        <wps:txbx>
                          <w:txbxContent>
                            <w:p>
                              <w:pPr>
                                <w:spacing w:line="217" w:lineRule="exact" w:before="147"/>
                                <w:ind w:left="56" w:right="-44" w:firstLine="0"/>
                                <w:jc w:val="left"/>
                                <w:rPr>
                                  <w:sz w:val="24"/>
                                </w:rPr>
                              </w:pPr>
                              <w:r>
                                <w:rPr>
                                  <w:spacing w:val="14"/>
                                  <w:sz w:val="24"/>
                                </w:rPr>
                                <w:t>ooooo</w:t>
                              </w:r>
                            </w:p>
                          </w:txbxContent>
                        </wps:txbx>
                        <wps:bodyPr wrap="square" lIns="0" tIns="0" rIns="0" bIns="0" rtlCol="0">
                          <a:noAutofit/>
                        </wps:bodyPr>
                      </wps:wsp>
                    </wpg:wgp>
                  </a:graphicData>
                </a:graphic>
              </wp:anchor>
            </w:drawing>
          </mc:Choice>
          <mc:Fallback>
            <w:pict>
              <v:group style="position:absolute;margin-left:279.424988pt;margin-top:3.254688pt;width:54.75pt;height:56.75pt;mso-position-horizontal-relative:page;mso-position-vertical-relative:paragraph;z-index:-15675392;mso-wrap-distance-left:0;mso-wrap-distance-right:0" id="docshapegroup67" coordorigin="5588,65" coordsize="1095,1135">
                <v:shape style="position:absolute;left:5596;top:272;width:180;height:720" type="#_x0000_t75" id="docshape68" stroked="false">
                  <v:imagedata r:id="rId32" o:title=""/>
                </v:shape>
                <v:rect style="position:absolute;left:5596;top:272;width:180;height:720" id="docshape69" filled="false" stroked="true" strokeweight=".75pt" strokecolor="#000000">
                  <v:stroke dashstyle="solid"/>
                </v:rect>
                <v:shape style="position:absolute;left:6496;top:272;width:180;height:720" type="#_x0000_t75" id="docshape70" stroked="false">
                  <v:imagedata r:id="rId33" o:title=""/>
                </v:shape>
                <v:rect style="position:absolute;left:6496;top:272;width:180;height:720" id="docshape71" filled="false" stroked="true" strokeweight=".75pt" strokecolor="#000000">
                  <v:stroke dashstyle="solid"/>
                </v:rect>
                <v:rect style="position:absolute;left:5776;top:452;width:720;height:360" id="docshape72" filled="true" fillcolor="#ffffff" stroked="false">
                  <v:fill type="solid"/>
                </v:rect>
                <v:rect style="position:absolute;left:5776;top:452;width:720;height:360" id="docshape73" filled="false" stroked="true" strokeweight=".75pt" strokecolor="#000000">
                  <v:stroke dashstyle="solid"/>
                </v:rect>
                <v:rect style="position:absolute;left:5776;top:72;width:720;height:360" id="docshape74" filled="true" fillcolor="#ffffff" stroked="false">
                  <v:fill type="solid"/>
                </v:rect>
                <v:rect style="position:absolute;left:5776;top:72;width:720;height:360" id="docshape75" filled="false" stroked="true" strokeweight=".75pt" strokecolor="#000000">
                  <v:stroke dashstyle="solid"/>
                </v:rect>
                <v:rect style="position:absolute;left:5776;top:832;width:720;height:360" id="docshape76" filled="true" fillcolor="#ffffff" stroked="false">
                  <v:fill type="solid"/>
                </v:rect>
                <v:rect style="position:absolute;left:5776;top:832;width:720;height:360" id="docshape77" filled="false" stroked="true" strokeweight=".75pt" strokecolor="#000000">
                  <v:stroke dashstyle="solid"/>
                </v:rect>
                <v:shape style="position:absolute;left:5783;top:450;width:705;height:365" type="#_x0000_t202" id="docshape78" filled="false" stroked="false">
                  <v:textbox inset="0,0,0,0">
                    <w:txbxContent>
                      <w:p>
                        <w:pPr>
                          <w:spacing w:line="217" w:lineRule="exact" w:before="147"/>
                          <w:ind w:left="56" w:right="-44" w:firstLine="0"/>
                          <w:jc w:val="left"/>
                          <w:rPr>
                            <w:sz w:val="24"/>
                          </w:rPr>
                        </w:pPr>
                        <w:r>
                          <w:rPr>
                            <w:spacing w:val="14"/>
                            <w:sz w:val="24"/>
                          </w:rPr>
                          <w:t>ooooo</w:t>
                        </w:r>
                      </w:p>
                    </w:txbxContent>
                  </v:textbox>
                  <w10:wrap type="none"/>
                </v:shape>
                <w10:wrap type="topAndBottom"/>
              </v:group>
            </w:pict>
          </mc:Fallback>
        </mc:AlternateContent>
      </w:r>
    </w:p>
    <w:p>
      <w:pPr>
        <w:pStyle w:val="BodyText"/>
      </w:pPr>
    </w:p>
    <w:p>
      <w:pPr>
        <w:pStyle w:val="BodyText"/>
      </w:pPr>
    </w:p>
    <w:p>
      <w:pPr>
        <w:pStyle w:val="BodyText"/>
        <w:spacing w:before="177"/>
      </w:pPr>
    </w:p>
    <w:p>
      <w:pPr>
        <w:pStyle w:val="BodyText"/>
        <w:tabs>
          <w:tab w:pos="3185" w:val="left" w:leader="none"/>
        </w:tabs>
        <w:ind w:right="532"/>
        <w:jc w:val="center"/>
      </w:pPr>
      <w:r>
        <w:rPr/>
        <mc:AlternateContent>
          <mc:Choice Requires="wps">
            <w:drawing>
              <wp:anchor distT="0" distB="0" distL="0" distR="0" allowOverlap="1" layoutInCell="1" locked="0" behindDoc="1" simplePos="0" relativeHeight="487641600">
                <wp:simplePos x="0" y="0"/>
                <wp:positionH relativeFrom="page">
                  <wp:posOffset>2634297</wp:posOffset>
                </wp:positionH>
                <wp:positionV relativeFrom="paragraph">
                  <wp:posOffset>228644</wp:posOffset>
                </wp:positionV>
                <wp:extent cx="695325" cy="720725"/>
                <wp:effectExtent l="0" t="0" r="0" b="0"/>
                <wp:wrapTopAndBottom/>
                <wp:docPr id="165" name="Group 165"/>
                <wp:cNvGraphicFramePr>
                  <a:graphicFrameLocks/>
                </wp:cNvGraphicFramePr>
                <a:graphic>
                  <a:graphicData uri="http://schemas.microsoft.com/office/word/2010/wordprocessingGroup">
                    <wpg:wgp>
                      <wpg:cNvPr id="165" name="Group 165"/>
                      <wpg:cNvGrpSpPr/>
                      <wpg:grpSpPr>
                        <a:xfrm>
                          <a:off x="0" y="0"/>
                          <a:ext cx="695325" cy="720725"/>
                          <a:chExt cx="695325" cy="720725"/>
                        </a:xfrm>
                      </wpg:grpSpPr>
                      <pic:pic>
                        <pic:nvPicPr>
                          <pic:cNvPr id="166" name="Image 166"/>
                          <pic:cNvPicPr/>
                        </pic:nvPicPr>
                        <pic:blipFill>
                          <a:blip r:embed="rId34" cstate="print"/>
                          <a:stretch>
                            <a:fillRect/>
                          </a:stretch>
                        </pic:blipFill>
                        <pic:spPr>
                          <a:xfrm>
                            <a:off x="4762" y="131762"/>
                            <a:ext cx="114300" cy="457200"/>
                          </a:xfrm>
                          <a:prstGeom prst="rect">
                            <a:avLst/>
                          </a:prstGeom>
                        </pic:spPr>
                      </pic:pic>
                      <wps:wsp>
                        <wps:cNvPr id="167" name="Graphic 167"/>
                        <wps:cNvSpPr/>
                        <wps:spPr>
                          <a:xfrm>
                            <a:off x="4762" y="131762"/>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68" name="Image 168"/>
                          <pic:cNvPicPr/>
                        </pic:nvPicPr>
                        <pic:blipFill>
                          <a:blip r:embed="rId35" cstate="print"/>
                          <a:stretch>
                            <a:fillRect/>
                          </a:stretch>
                        </pic:blipFill>
                        <pic:spPr>
                          <a:xfrm>
                            <a:off x="576262" y="131762"/>
                            <a:ext cx="114300" cy="457200"/>
                          </a:xfrm>
                          <a:prstGeom prst="rect">
                            <a:avLst/>
                          </a:prstGeom>
                        </pic:spPr>
                      </pic:pic>
                      <wps:wsp>
                        <wps:cNvPr id="169" name="Graphic 169"/>
                        <wps:cNvSpPr/>
                        <wps:spPr>
                          <a:xfrm>
                            <a:off x="576262" y="131762"/>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170" name="Graphic 170"/>
                        <wps:cNvSpPr/>
                        <wps:spPr>
                          <a:xfrm>
                            <a:off x="119062" y="2460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119062" y="2460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72" name="Graphic 172"/>
                        <wps:cNvSpPr/>
                        <wps:spPr>
                          <a:xfrm>
                            <a:off x="119062" y="47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119062" y="47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74" name="Graphic 174"/>
                        <wps:cNvSpPr/>
                        <wps:spPr>
                          <a:xfrm>
                            <a:off x="119062" y="4873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119062" y="4873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76" name="Textbox 176"/>
                        <wps:cNvSpPr txBox="1"/>
                        <wps:spPr>
                          <a:xfrm>
                            <a:off x="123825" y="244475"/>
                            <a:ext cx="447675" cy="231775"/>
                          </a:xfrm>
                          <a:prstGeom prst="rect">
                            <a:avLst/>
                          </a:prstGeom>
                        </wps:spPr>
                        <wps:txbx>
                          <w:txbxContent>
                            <w:p>
                              <w:pPr>
                                <w:spacing w:line="216" w:lineRule="exact" w:before="149"/>
                                <w:ind w:left="56" w:right="-44" w:firstLine="0"/>
                                <w:jc w:val="left"/>
                                <w:rPr>
                                  <w:sz w:val="24"/>
                                </w:rPr>
                              </w:pPr>
                              <w:r>
                                <w:rPr>
                                  <w:spacing w:val="14"/>
                                  <w:sz w:val="24"/>
                                </w:rPr>
                                <w:t>ooooo</w:t>
                              </w:r>
                            </w:p>
                          </w:txbxContent>
                        </wps:txbx>
                        <wps:bodyPr wrap="square" lIns="0" tIns="0" rIns="0" bIns="0" rtlCol="0">
                          <a:noAutofit/>
                        </wps:bodyPr>
                      </wps:wsp>
                    </wpg:wgp>
                  </a:graphicData>
                </a:graphic>
              </wp:anchor>
            </w:drawing>
          </mc:Choice>
          <mc:Fallback>
            <w:pict>
              <v:group style="position:absolute;margin-left:207.425003pt;margin-top:18.003515pt;width:54.75pt;height:56.75pt;mso-position-horizontal-relative:page;mso-position-vertical-relative:paragraph;z-index:-15674880;mso-wrap-distance-left:0;mso-wrap-distance-right:0" id="docshapegroup79" coordorigin="4149,360" coordsize="1095,1135">
                <v:shape style="position:absolute;left:4156;top:567;width:180;height:720" type="#_x0000_t75" id="docshape80" stroked="false">
                  <v:imagedata r:id="rId34" o:title=""/>
                </v:shape>
                <v:rect style="position:absolute;left:4156;top:567;width:180;height:720" id="docshape81" filled="false" stroked="true" strokeweight=".75pt" strokecolor="#000000">
                  <v:stroke dashstyle="solid"/>
                </v:rect>
                <v:shape style="position:absolute;left:5056;top:567;width:180;height:720" type="#_x0000_t75" id="docshape82" stroked="false">
                  <v:imagedata r:id="rId35" o:title=""/>
                </v:shape>
                <v:rect style="position:absolute;left:5056;top:567;width:180;height:720" id="docshape83" filled="false" stroked="true" strokeweight=".75pt" strokecolor="#000000">
                  <v:stroke dashstyle="solid"/>
                </v:rect>
                <v:rect style="position:absolute;left:4336;top:747;width:720;height:360" id="docshape84" filled="true" fillcolor="#ffffff" stroked="false">
                  <v:fill type="solid"/>
                </v:rect>
                <v:rect style="position:absolute;left:4336;top:747;width:720;height:360" id="docshape85" filled="false" stroked="true" strokeweight=".75pt" strokecolor="#000000">
                  <v:stroke dashstyle="solid"/>
                </v:rect>
                <v:rect style="position:absolute;left:4336;top:367;width:720;height:360" id="docshape86" filled="true" fillcolor="#ffffff" stroked="false">
                  <v:fill type="solid"/>
                </v:rect>
                <v:rect style="position:absolute;left:4336;top:367;width:720;height:360" id="docshape87" filled="false" stroked="true" strokeweight=".75pt" strokecolor="#000000">
                  <v:stroke dashstyle="solid"/>
                </v:rect>
                <v:rect style="position:absolute;left:4336;top:1127;width:720;height:360" id="docshape88" filled="true" fillcolor="#ffffff" stroked="false">
                  <v:fill type="solid"/>
                </v:rect>
                <v:rect style="position:absolute;left:4336;top:1127;width:720;height:360" id="docshape89" filled="false" stroked="true" strokeweight=".75pt" strokecolor="#000000">
                  <v:stroke dashstyle="solid"/>
                </v:rect>
                <v:shape style="position:absolute;left:4343;top:745;width:705;height:365" type="#_x0000_t202" id="docshape90" filled="false" stroked="false">
                  <v:textbox inset="0,0,0,0">
                    <w:txbxContent>
                      <w:p>
                        <w:pPr>
                          <w:spacing w:line="216" w:lineRule="exact" w:before="149"/>
                          <w:ind w:left="56" w:right="-44" w:firstLine="0"/>
                          <w:jc w:val="left"/>
                          <w:rPr>
                            <w:sz w:val="24"/>
                          </w:rPr>
                        </w:pPr>
                        <w:r>
                          <w:rPr>
                            <w:spacing w:val="14"/>
                            <w:sz w:val="24"/>
                          </w:rPr>
                          <w:t>ooooo</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2112">
                <wp:simplePos x="0" y="0"/>
                <wp:positionH relativeFrom="page">
                  <wp:posOffset>4691697</wp:posOffset>
                </wp:positionH>
                <wp:positionV relativeFrom="paragraph">
                  <wp:posOffset>215944</wp:posOffset>
                </wp:positionV>
                <wp:extent cx="695325" cy="720725"/>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695325" cy="720725"/>
                          <a:chExt cx="695325" cy="720725"/>
                        </a:xfrm>
                      </wpg:grpSpPr>
                      <pic:pic>
                        <pic:nvPicPr>
                          <pic:cNvPr id="178" name="Image 178"/>
                          <pic:cNvPicPr/>
                        </pic:nvPicPr>
                        <pic:blipFill>
                          <a:blip r:embed="rId36" cstate="print"/>
                          <a:stretch>
                            <a:fillRect/>
                          </a:stretch>
                        </pic:blipFill>
                        <pic:spPr>
                          <a:xfrm>
                            <a:off x="4762" y="131762"/>
                            <a:ext cx="114300" cy="457200"/>
                          </a:xfrm>
                          <a:prstGeom prst="rect">
                            <a:avLst/>
                          </a:prstGeom>
                        </pic:spPr>
                      </pic:pic>
                      <wps:wsp>
                        <wps:cNvPr id="179" name="Graphic 179"/>
                        <wps:cNvSpPr/>
                        <wps:spPr>
                          <a:xfrm>
                            <a:off x="4762" y="131762"/>
                            <a:ext cx="114300" cy="457200"/>
                          </a:xfrm>
                          <a:custGeom>
                            <a:avLst/>
                            <a:gdLst/>
                            <a:ahLst/>
                            <a:cxnLst/>
                            <a:rect l="l" t="t" r="r" b="b"/>
                            <a:pathLst>
                              <a:path w="114300" h="457200">
                                <a:moveTo>
                                  <a:pt x="0" y="457200"/>
                                </a:moveTo>
                                <a:lnTo>
                                  <a:pt x="114300" y="457200"/>
                                </a:lnTo>
                                <a:lnTo>
                                  <a:pt x="1143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80" name="Image 180"/>
                          <pic:cNvPicPr/>
                        </pic:nvPicPr>
                        <pic:blipFill>
                          <a:blip r:embed="rId37" cstate="print"/>
                          <a:stretch>
                            <a:fillRect/>
                          </a:stretch>
                        </pic:blipFill>
                        <pic:spPr>
                          <a:xfrm>
                            <a:off x="576262" y="131762"/>
                            <a:ext cx="114300" cy="457200"/>
                          </a:xfrm>
                          <a:prstGeom prst="rect">
                            <a:avLst/>
                          </a:prstGeom>
                        </pic:spPr>
                      </pic:pic>
                      <wps:wsp>
                        <wps:cNvPr id="181" name="Graphic 181"/>
                        <wps:cNvSpPr/>
                        <wps:spPr>
                          <a:xfrm>
                            <a:off x="119062" y="131762"/>
                            <a:ext cx="571500" cy="457200"/>
                          </a:xfrm>
                          <a:custGeom>
                            <a:avLst/>
                            <a:gdLst/>
                            <a:ahLst/>
                            <a:cxnLst/>
                            <a:rect l="l" t="t" r="r" b="b"/>
                            <a:pathLst>
                              <a:path w="571500" h="457200">
                                <a:moveTo>
                                  <a:pt x="457200" y="457200"/>
                                </a:moveTo>
                                <a:lnTo>
                                  <a:pt x="571500" y="457200"/>
                                </a:lnTo>
                                <a:lnTo>
                                  <a:pt x="571500" y="0"/>
                                </a:lnTo>
                                <a:lnTo>
                                  <a:pt x="457200" y="0"/>
                                </a:lnTo>
                                <a:lnTo>
                                  <a:pt x="457200" y="457200"/>
                                </a:lnTo>
                                <a:close/>
                              </a:path>
                              <a:path w="571500" h="457200">
                                <a:moveTo>
                                  <a:pt x="0" y="342900"/>
                                </a:moveTo>
                                <a:lnTo>
                                  <a:pt x="457200" y="342900"/>
                                </a:lnTo>
                                <a:lnTo>
                                  <a:pt x="457200" y="114300"/>
                                </a:lnTo>
                                <a:lnTo>
                                  <a:pt x="0" y="11430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182" name="Graphic 182"/>
                        <wps:cNvSpPr/>
                        <wps:spPr>
                          <a:xfrm>
                            <a:off x="119062" y="47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119062" y="47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84" name="Graphic 184"/>
                        <wps:cNvSpPr/>
                        <wps:spPr>
                          <a:xfrm>
                            <a:off x="119062" y="487362"/>
                            <a:ext cx="457200" cy="228600"/>
                          </a:xfrm>
                          <a:custGeom>
                            <a:avLst/>
                            <a:gdLst/>
                            <a:ahLst/>
                            <a:cxnLst/>
                            <a:rect l="l" t="t" r="r" b="b"/>
                            <a:pathLst>
                              <a:path w="457200" h="228600">
                                <a:moveTo>
                                  <a:pt x="457200" y="0"/>
                                </a:moveTo>
                                <a:lnTo>
                                  <a:pt x="0" y="0"/>
                                </a:lnTo>
                                <a:lnTo>
                                  <a:pt x="0" y="228600"/>
                                </a:lnTo>
                                <a:lnTo>
                                  <a:pt x="457200" y="228600"/>
                                </a:lnTo>
                                <a:lnTo>
                                  <a:pt x="457200"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119062" y="487362"/>
                            <a:ext cx="457200" cy="228600"/>
                          </a:xfrm>
                          <a:custGeom>
                            <a:avLst/>
                            <a:gdLst/>
                            <a:ahLst/>
                            <a:cxnLst/>
                            <a:rect l="l" t="t" r="r" b="b"/>
                            <a:pathLst>
                              <a:path w="457200" h="228600">
                                <a:moveTo>
                                  <a:pt x="0" y="228600"/>
                                </a:moveTo>
                                <a:lnTo>
                                  <a:pt x="457200" y="228600"/>
                                </a:lnTo>
                                <a:lnTo>
                                  <a:pt x="4572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186" name="Textbox 186"/>
                        <wps:cNvSpPr txBox="1"/>
                        <wps:spPr>
                          <a:xfrm>
                            <a:off x="123825" y="244475"/>
                            <a:ext cx="447675" cy="231775"/>
                          </a:xfrm>
                          <a:prstGeom prst="rect">
                            <a:avLst/>
                          </a:prstGeom>
                        </wps:spPr>
                        <wps:txbx>
                          <w:txbxContent>
                            <w:p>
                              <w:pPr>
                                <w:spacing w:line="218" w:lineRule="exact" w:before="147"/>
                                <w:ind w:left="57" w:right="-44" w:firstLine="0"/>
                                <w:jc w:val="left"/>
                                <w:rPr>
                                  <w:sz w:val="24"/>
                                </w:rPr>
                              </w:pPr>
                              <w:r>
                                <w:rPr>
                                  <w:spacing w:val="14"/>
                                  <w:sz w:val="24"/>
                                </w:rPr>
                                <w:t>ooooo</w:t>
                              </w:r>
                            </w:p>
                          </w:txbxContent>
                        </wps:txbx>
                        <wps:bodyPr wrap="square" lIns="0" tIns="0" rIns="0" bIns="0" rtlCol="0">
                          <a:noAutofit/>
                        </wps:bodyPr>
                      </wps:wsp>
                    </wpg:wgp>
                  </a:graphicData>
                </a:graphic>
              </wp:anchor>
            </w:drawing>
          </mc:Choice>
          <mc:Fallback>
            <w:pict>
              <v:group style="position:absolute;margin-left:369.424988pt;margin-top:17.003515pt;width:54.75pt;height:56.75pt;mso-position-horizontal-relative:page;mso-position-vertical-relative:paragraph;z-index:-15674368;mso-wrap-distance-left:0;mso-wrap-distance-right:0" id="docshapegroup91" coordorigin="7388,340" coordsize="1095,1135">
                <v:shape style="position:absolute;left:7396;top:547;width:180;height:720" type="#_x0000_t75" id="docshape92" stroked="false">
                  <v:imagedata r:id="rId36" o:title=""/>
                </v:shape>
                <v:rect style="position:absolute;left:7396;top:547;width:180;height:720" id="docshape93" filled="false" stroked="true" strokeweight=".75pt" strokecolor="#000000">
                  <v:stroke dashstyle="solid"/>
                </v:rect>
                <v:shape style="position:absolute;left:8296;top:547;width:180;height:720" type="#_x0000_t75" id="docshape94" stroked="false">
                  <v:imagedata r:id="rId37" o:title=""/>
                </v:shape>
                <v:shape style="position:absolute;left:7576;top:547;width:900;height:720" id="docshape95" coordorigin="7576,548" coordsize="900,720" path="m8296,1268l8476,1268,8476,548,8296,548,8296,1268xm7576,1088l8296,1088,8296,728,7576,728,7576,1088xe" filled="false" stroked="true" strokeweight=".75pt" strokecolor="#000000">
                  <v:path arrowok="t"/>
                  <v:stroke dashstyle="solid"/>
                </v:shape>
                <v:rect style="position:absolute;left:7576;top:347;width:720;height:360" id="docshape96" filled="true" fillcolor="#ffffff" stroked="false">
                  <v:fill type="solid"/>
                </v:rect>
                <v:rect style="position:absolute;left:7576;top:347;width:720;height:360" id="docshape97" filled="false" stroked="true" strokeweight=".75pt" strokecolor="#000000">
                  <v:stroke dashstyle="solid"/>
                </v:rect>
                <v:rect style="position:absolute;left:7576;top:1107;width:720;height:360" id="docshape98" filled="true" fillcolor="#ffffff" stroked="false">
                  <v:fill type="solid"/>
                </v:rect>
                <v:rect style="position:absolute;left:7576;top:1107;width:720;height:360" id="docshape99" filled="false" stroked="true" strokeweight=".75pt" strokecolor="#000000">
                  <v:stroke dashstyle="solid"/>
                </v:rect>
                <v:shape style="position:absolute;left:7583;top:725;width:705;height:365" type="#_x0000_t202" id="docshape100" filled="false" stroked="false">
                  <v:textbox inset="0,0,0,0">
                    <w:txbxContent>
                      <w:p>
                        <w:pPr>
                          <w:spacing w:line="218" w:lineRule="exact" w:before="147"/>
                          <w:ind w:left="57" w:right="-44" w:firstLine="0"/>
                          <w:jc w:val="left"/>
                          <w:rPr>
                            <w:sz w:val="24"/>
                          </w:rPr>
                        </w:pPr>
                        <w:r>
                          <w:rPr>
                            <w:spacing w:val="14"/>
                            <w:sz w:val="24"/>
                          </w:rPr>
                          <w:t>ooooo</w:t>
                        </w:r>
                      </w:p>
                    </w:txbxContent>
                  </v:textbox>
                  <w10:wrap type="none"/>
                </v:shape>
                <w10:wrap type="topAndBottom"/>
              </v:group>
            </w:pict>
          </mc:Fallback>
        </mc:AlternateContent>
      </w:r>
      <w:r>
        <w:rPr>
          <w:position w:val="2"/>
        </w:rPr>
        <w:t>If</w:t>
      </w:r>
      <w:r>
        <w:rPr>
          <w:spacing w:val="-3"/>
          <w:position w:val="2"/>
        </w:rPr>
        <w:t> </w:t>
      </w:r>
      <w:r>
        <w:rPr>
          <w:spacing w:val="-2"/>
          <w:position w:val="2"/>
        </w:rPr>
        <w:t>Elastic</w:t>
      </w:r>
      <w:r>
        <w:rPr>
          <w:position w:val="2"/>
        </w:rPr>
        <w:tab/>
      </w:r>
      <w:r>
        <w:rPr/>
        <w:t>If</w:t>
      </w:r>
      <w:r>
        <w:rPr>
          <w:spacing w:val="-3"/>
        </w:rPr>
        <w:t> </w:t>
      </w:r>
      <w:r>
        <w:rPr>
          <w:spacing w:val="-2"/>
        </w:rPr>
        <w:t>Plastic</w:t>
      </w:r>
    </w:p>
    <w:p>
      <w:pPr>
        <w:pStyle w:val="BodyText"/>
        <w:spacing w:before="121"/>
        <w:rPr>
          <w:sz w:val="20"/>
        </w:rPr>
      </w:pPr>
    </w:p>
    <w:p>
      <w:pPr>
        <w:spacing w:after="0"/>
        <w:rPr>
          <w:sz w:val="20"/>
        </w:rPr>
        <w:sectPr>
          <w:pgSz w:w="12240" w:h="15840"/>
          <w:pgMar w:header="0" w:footer="1056" w:top="1220" w:bottom="1240" w:left="1420" w:right="420"/>
        </w:sectPr>
      </w:pPr>
    </w:p>
    <w:p>
      <w:pPr>
        <w:pStyle w:val="BodyText"/>
        <w:spacing w:before="53"/>
      </w:pPr>
    </w:p>
    <w:p>
      <w:pPr>
        <w:pStyle w:val="BodyText"/>
        <w:ind w:left="678"/>
      </w:pPr>
      <w:r>
        <w:rPr>
          <w:spacing w:val="-10"/>
          <w:u w:val="single"/>
        </w:rPr>
        <w:t>y</w:t>
      </w:r>
    </w:p>
    <w:p>
      <w:pPr>
        <w:pStyle w:val="ListParagraph"/>
        <w:numPr>
          <w:ilvl w:val="0"/>
          <w:numId w:val="30"/>
        </w:numPr>
        <w:tabs>
          <w:tab w:pos="823" w:val="left" w:leader="none"/>
        </w:tabs>
        <w:spacing w:line="240" w:lineRule="auto" w:before="137" w:after="0"/>
        <w:ind w:left="823" w:right="0" w:hanging="145"/>
        <w:jc w:val="left"/>
        <w:rPr>
          <w:sz w:val="24"/>
        </w:rPr>
      </w:pPr>
      <w:r>
        <w:rPr>
          <w:sz w:val="24"/>
        </w:rPr>
        <w:t>The</w:t>
      </w:r>
      <w:r>
        <w:rPr>
          <w:spacing w:val="-3"/>
          <w:sz w:val="24"/>
        </w:rPr>
        <w:t> </w:t>
      </w:r>
      <w:r>
        <w:rPr>
          <w:sz w:val="24"/>
        </w:rPr>
        <w:t>lower punch </w:t>
      </w:r>
      <w:r>
        <w:rPr>
          <w:spacing w:val="-4"/>
          <w:sz w:val="24"/>
        </w:rPr>
        <w:t>falls</w:t>
      </w:r>
    </w:p>
    <w:p>
      <w:pPr>
        <w:pStyle w:val="ListParagraph"/>
        <w:numPr>
          <w:ilvl w:val="0"/>
          <w:numId w:val="30"/>
        </w:numPr>
        <w:tabs>
          <w:tab w:pos="890" w:val="left" w:leader="none"/>
        </w:tabs>
        <w:spacing w:line="240" w:lineRule="auto" w:before="139" w:after="0"/>
        <w:ind w:left="890" w:right="0" w:hanging="212"/>
        <w:jc w:val="left"/>
        <w:rPr>
          <w:sz w:val="24"/>
        </w:rPr>
      </w:pPr>
      <w:r>
        <w:rPr>
          <w:sz w:val="24"/>
        </w:rPr>
        <w:t>Upper</w:t>
      </w:r>
      <w:r>
        <w:rPr>
          <w:spacing w:val="-2"/>
          <w:sz w:val="24"/>
        </w:rPr>
        <w:t> </w:t>
      </w:r>
      <w:r>
        <w:rPr>
          <w:sz w:val="24"/>
        </w:rPr>
        <w:t>punch</w:t>
      </w:r>
      <w:r>
        <w:rPr>
          <w:spacing w:val="-2"/>
          <w:sz w:val="24"/>
        </w:rPr>
        <w:t> descends</w:t>
      </w:r>
    </w:p>
    <w:p>
      <w:pPr>
        <w:pStyle w:val="ListParagraph"/>
        <w:numPr>
          <w:ilvl w:val="0"/>
          <w:numId w:val="30"/>
        </w:numPr>
        <w:tabs>
          <w:tab w:pos="956" w:val="left" w:leader="none"/>
        </w:tabs>
        <w:spacing w:line="240" w:lineRule="auto" w:before="138" w:after="0"/>
        <w:ind w:left="956" w:right="0" w:hanging="278"/>
        <w:jc w:val="left"/>
        <w:rPr>
          <w:sz w:val="24"/>
        </w:rPr>
      </w:pPr>
      <w:r>
        <w:rPr>
          <w:sz w:val="24"/>
        </w:rPr>
        <w:t>Upper</w:t>
      </w:r>
      <w:r>
        <w:rPr>
          <w:spacing w:val="-2"/>
          <w:sz w:val="24"/>
        </w:rPr>
        <w:t> </w:t>
      </w:r>
      <w:r>
        <w:rPr>
          <w:sz w:val="24"/>
        </w:rPr>
        <w:t>punch</w:t>
      </w:r>
      <w:r>
        <w:rPr>
          <w:spacing w:val="-2"/>
          <w:sz w:val="24"/>
        </w:rPr>
        <w:t> </w:t>
      </w:r>
      <w:r>
        <w:rPr>
          <w:spacing w:val="-2"/>
          <w:sz w:val="24"/>
        </w:rPr>
        <w:t>withdraws</w:t>
      </w:r>
    </w:p>
    <w:p>
      <w:pPr>
        <w:tabs>
          <w:tab w:pos="4255" w:val="right" w:leader="none"/>
        </w:tabs>
        <w:spacing w:before="84"/>
        <w:ind w:left="639" w:right="0" w:firstLine="0"/>
        <w:jc w:val="left"/>
        <w:rPr>
          <w:sz w:val="36"/>
        </w:rPr>
      </w:pPr>
      <w:r>
        <w:rPr/>
        <w:br w:type="column"/>
      </w:r>
      <w:r>
        <w:rPr>
          <w:sz w:val="20"/>
        </w:rPr>
        <w:t>ON</w:t>
      </w:r>
      <w:r>
        <w:rPr>
          <w:spacing w:val="-3"/>
          <w:sz w:val="20"/>
        </w:rPr>
        <w:t> </w:t>
      </w:r>
      <w:r>
        <w:rPr>
          <w:spacing w:val="-2"/>
          <w:sz w:val="20"/>
        </w:rPr>
        <w:t>DECOMPRESSION</w:t>
      </w:r>
      <w:r>
        <w:rPr>
          <w:sz w:val="20"/>
        </w:rPr>
        <w:tab/>
      </w:r>
      <w:r>
        <w:rPr>
          <w:spacing w:val="-5"/>
          <w:position w:val="-13"/>
          <w:sz w:val="36"/>
        </w:rPr>
        <w:t>iv</w:t>
      </w:r>
    </w:p>
    <w:p>
      <w:pPr>
        <w:spacing w:after="0"/>
        <w:jc w:val="left"/>
        <w:rPr>
          <w:sz w:val="36"/>
        </w:rPr>
        <w:sectPr>
          <w:type w:val="continuous"/>
          <w:pgSz w:w="12240" w:h="15840"/>
          <w:pgMar w:header="0" w:footer="1056" w:top="1360" w:bottom="1260" w:left="1420" w:right="420"/>
          <w:cols w:num="2" w:equalWidth="0">
            <w:col w:w="3263" w:space="40"/>
            <w:col w:w="7097"/>
          </w:cols>
        </w:sectPr>
      </w:pPr>
    </w:p>
    <w:p>
      <w:pPr>
        <w:pStyle w:val="Heading2"/>
        <w:spacing w:line="360" w:lineRule="auto" w:before="556"/>
        <w:ind w:right="1041"/>
        <w:jc w:val="left"/>
      </w:pPr>
      <w:r>
        <w:rPr/>
        <mc:AlternateContent>
          <mc:Choice Requires="wps">
            <w:drawing>
              <wp:anchor distT="0" distB="0" distL="0" distR="0" allowOverlap="1" layoutInCell="1" locked="0" behindDoc="1" simplePos="0" relativeHeight="482957312">
                <wp:simplePos x="0" y="0"/>
                <wp:positionH relativeFrom="page">
                  <wp:posOffset>-1402226</wp:posOffset>
                </wp:positionH>
                <wp:positionV relativeFrom="page">
                  <wp:posOffset>4612234</wp:posOffset>
                </wp:positionV>
                <wp:extent cx="10685780" cy="91440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9168;rotation:306" type="#_x0000_t136" fillcolor="#ff5400" stroked="f">
                <o:extrusion v:ext="view" autorotationcenter="t"/>
                <v:textpath style="font-family:&quot;Arial MT&quot;;font-size:72pt;v-text-kern:t;mso-text-shadow:auto" string="UNIVERSITY OF IBADAN"/>
                <w10:wrap type="none"/>
              </v:shape>
            </w:pict>
          </mc:Fallback>
        </mc:AlternateContent>
      </w:r>
      <w:r>
        <w:rPr/>
        <w:t>Fig.</w:t>
      </w:r>
      <w:r>
        <w:rPr>
          <w:spacing w:val="40"/>
        </w:rPr>
        <w:t> </w:t>
      </w:r>
      <w:r>
        <w:rPr/>
        <w:t>1.6:</w:t>
      </w:r>
      <w:r>
        <w:rPr>
          <w:spacing w:val="40"/>
        </w:rPr>
        <w:t> </w:t>
      </w:r>
      <w:r>
        <w:rPr/>
        <w:t>Stages</w:t>
      </w:r>
      <w:r>
        <w:rPr>
          <w:spacing w:val="40"/>
        </w:rPr>
        <w:t> </w:t>
      </w:r>
      <w:r>
        <w:rPr/>
        <w:t>involved</w:t>
      </w:r>
      <w:r>
        <w:rPr>
          <w:spacing w:val="40"/>
        </w:rPr>
        <w:t> </w:t>
      </w:r>
      <w:r>
        <w:rPr/>
        <w:t>in</w:t>
      </w:r>
      <w:r>
        <w:rPr>
          <w:spacing w:val="40"/>
        </w:rPr>
        <w:t> </w:t>
      </w:r>
      <w:r>
        <w:rPr/>
        <w:t>compression</w:t>
      </w:r>
      <w:r>
        <w:rPr>
          <w:spacing w:val="40"/>
        </w:rPr>
        <w:t> </w:t>
      </w:r>
      <w:r>
        <w:rPr/>
        <w:t>(I-IV)</w:t>
      </w:r>
      <w:r>
        <w:rPr>
          <w:spacing w:val="40"/>
        </w:rPr>
        <w:t> </w:t>
      </w:r>
      <w:r>
        <w:rPr/>
        <w:t>and</w:t>
      </w:r>
      <w:r>
        <w:rPr>
          <w:spacing w:val="40"/>
        </w:rPr>
        <w:t> </w:t>
      </w:r>
      <w:r>
        <w:rPr/>
        <w:t>decompression</w:t>
      </w:r>
      <w:r>
        <w:rPr>
          <w:spacing w:val="40"/>
        </w:rPr>
        <w:t> </w:t>
      </w:r>
      <w:r>
        <w:rPr/>
        <w:t>(Banker</w:t>
      </w:r>
      <w:r>
        <w:rPr>
          <w:spacing w:val="40"/>
        </w:rPr>
        <w:t> </w:t>
      </w:r>
      <w:r>
        <w:rPr/>
        <w:t>and Anderson, 1986).</w:t>
      </w:r>
    </w:p>
    <w:p>
      <w:pPr>
        <w:spacing w:after="0" w:line="360" w:lineRule="auto"/>
        <w:jc w:val="left"/>
        <w:sectPr>
          <w:type w:val="continuous"/>
          <w:pgSz w:w="12240" w:h="15840"/>
          <w:pgMar w:header="0" w:footer="1056" w:top="1360" w:bottom="1260" w:left="1420" w:right="420"/>
        </w:sectPr>
      </w:pPr>
    </w:p>
    <w:p>
      <w:pPr>
        <w:pStyle w:val="ListParagraph"/>
        <w:numPr>
          <w:ilvl w:val="3"/>
          <w:numId w:val="31"/>
        </w:numPr>
        <w:tabs>
          <w:tab w:pos="1518" w:val="left" w:leader="none"/>
        </w:tabs>
        <w:spacing w:line="240" w:lineRule="auto" w:before="77" w:after="0"/>
        <w:ind w:left="1518" w:right="0" w:hanging="840"/>
        <w:jc w:val="both"/>
        <w:rPr>
          <w:b/>
          <w:sz w:val="24"/>
        </w:rPr>
      </w:pPr>
      <w:r>
        <w:rPr/>
        <mc:AlternateContent>
          <mc:Choice Requires="wps">
            <w:drawing>
              <wp:anchor distT="0" distB="0" distL="0" distR="0" allowOverlap="1" layoutInCell="1" locked="0" behindDoc="1" simplePos="0" relativeHeight="482957824">
                <wp:simplePos x="0" y="0"/>
                <wp:positionH relativeFrom="page">
                  <wp:posOffset>-1402226</wp:posOffset>
                </wp:positionH>
                <wp:positionV relativeFrom="page">
                  <wp:posOffset>4612234</wp:posOffset>
                </wp:positionV>
                <wp:extent cx="10685780" cy="9144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8656;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The</w:t>
      </w:r>
      <w:r>
        <w:rPr>
          <w:b/>
          <w:spacing w:val="-3"/>
          <w:sz w:val="24"/>
        </w:rPr>
        <w:t> </w:t>
      </w:r>
      <w:r>
        <w:rPr>
          <w:b/>
          <w:sz w:val="24"/>
        </w:rPr>
        <w:t>single</w:t>
      </w:r>
      <w:r>
        <w:rPr>
          <w:b/>
          <w:spacing w:val="-2"/>
          <w:sz w:val="24"/>
        </w:rPr>
        <w:t> </w:t>
      </w:r>
      <w:r>
        <w:rPr>
          <w:b/>
          <w:sz w:val="24"/>
        </w:rPr>
        <w:t>punch</w:t>
      </w:r>
      <w:r>
        <w:rPr>
          <w:b/>
          <w:spacing w:val="-2"/>
          <w:sz w:val="24"/>
        </w:rPr>
        <w:t> </w:t>
      </w:r>
      <w:r>
        <w:rPr>
          <w:b/>
          <w:sz w:val="24"/>
        </w:rPr>
        <w:t>or</w:t>
      </w:r>
      <w:r>
        <w:rPr>
          <w:b/>
          <w:spacing w:val="-3"/>
          <w:sz w:val="24"/>
        </w:rPr>
        <w:t> </w:t>
      </w:r>
      <w:r>
        <w:rPr>
          <w:b/>
          <w:sz w:val="24"/>
        </w:rPr>
        <w:t>eccentric</w:t>
      </w:r>
      <w:r>
        <w:rPr>
          <w:b/>
          <w:spacing w:val="-1"/>
          <w:sz w:val="24"/>
        </w:rPr>
        <w:t> </w:t>
      </w:r>
      <w:r>
        <w:rPr>
          <w:b/>
          <w:spacing w:val="-4"/>
          <w:sz w:val="24"/>
        </w:rPr>
        <w:t>press</w:t>
      </w:r>
    </w:p>
    <w:p>
      <w:pPr>
        <w:pStyle w:val="BodyText"/>
        <w:spacing w:line="360" w:lineRule="auto" w:before="133"/>
        <w:ind w:left="678" w:right="996" w:firstLine="720"/>
        <w:jc w:val="both"/>
      </w:pPr>
      <w:r>
        <w:rPr/>
        <w:t>This tablet machine has only one compression station. Die filling is by aid of feed shoe, which oscillates over the die. It has a low maximum output of 150-200 tablets per minute which makes it unsuitable for large-scale production.</w:t>
      </w:r>
    </w:p>
    <w:p>
      <w:pPr>
        <w:pStyle w:val="BodyText"/>
        <w:spacing w:before="142"/>
      </w:pPr>
    </w:p>
    <w:p>
      <w:pPr>
        <w:pStyle w:val="Heading2"/>
        <w:numPr>
          <w:ilvl w:val="3"/>
          <w:numId w:val="31"/>
        </w:numPr>
        <w:tabs>
          <w:tab w:pos="1518" w:val="left" w:leader="none"/>
        </w:tabs>
        <w:spacing w:line="240" w:lineRule="auto" w:before="1" w:after="0"/>
        <w:ind w:left="1518" w:right="0" w:hanging="840"/>
        <w:jc w:val="both"/>
      </w:pPr>
      <w:bookmarkStart w:name="_TOC_250060" w:id="73"/>
      <w:r>
        <w:rPr/>
        <w:t>Multi-station</w:t>
      </w:r>
      <w:r>
        <w:rPr>
          <w:spacing w:val="-1"/>
        </w:rPr>
        <w:t> </w:t>
      </w:r>
      <w:r>
        <w:rPr/>
        <w:t>or</w:t>
      </w:r>
      <w:r>
        <w:rPr>
          <w:spacing w:val="-3"/>
        </w:rPr>
        <w:t> </w:t>
      </w:r>
      <w:r>
        <w:rPr/>
        <w:t>rotary</w:t>
      </w:r>
      <w:r>
        <w:rPr>
          <w:spacing w:val="-2"/>
        </w:rPr>
        <w:t> </w:t>
      </w:r>
      <w:bookmarkEnd w:id="73"/>
      <w:r>
        <w:rPr>
          <w:spacing w:val="-4"/>
        </w:rPr>
        <w:t>press</w:t>
      </w:r>
    </w:p>
    <w:p>
      <w:pPr>
        <w:pStyle w:val="BodyText"/>
        <w:spacing w:line="360" w:lineRule="auto" w:before="134"/>
        <w:ind w:left="678" w:right="1001" w:firstLine="840"/>
        <w:jc w:val="both"/>
      </w:pPr>
      <w:r>
        <w:rPr/>
        <w:t>This</w:t>
      </w:r>
      <w:r>
        <w:rPr>
          <w:spacing w:val="-1"/>
        </w:rPr>
        <w:t> </w:t>
      </w:r>
      <w:r>
        <w:rPr/>
        <w:t>type</w:t>
      </w:r>
      <w:r>
        <w:rPr>
          <w:spacing w:val="-1"/>
        </w:rPr>
        <w:t> </w:t>
      </w:r>
      <w:r>
        <w:rPr/>
        <w:t>has</w:t>
      </w:r>
      <w:r>
        <w:rPr>
          <w:spacing w:val="-1"/>
        </w:rPr>
        <w:t> </w:t>
      </w:r>
      <w:r>
        <w:rPr/>
        <w:t>several compression</w:t>
      </w:r>
      <w:r>
        <w:rPr>
          <w:spacing w:val="-1"/>
        </w:rPr>
        <w:t> </w:t>
      </w:r>
      <w:r>
        <w:rPr/>
        <w:t>stations.</w:t>
      </w:r>
      <w:r>
        <w:rPr>
          <w:spacing w:val="-1"/>
        </w:rPr>
        <w:t> </w:t>
      </w:r>
      <w:r>
        <w:rPr/>
        <w:t>The</w:t>
      </w:r>
      <w:r>
        <w:rPr>
          <w:spacing w:val="-3"/>
        </w:rPr>
        <w:t> </w:t>
      </w:r>
      <w:r>
        <w:rPr/>
        <w:t>essential</w:t>
      </w:r>
      <w:r>
        <w:rPr>
          <w:spacing w:val="-1"/>
        </w:rPr>
        <w:t> </w:t>
      </w:r>
      <w:r>
        <w:rPr/>
        <w:t>feature</w:t>
      </w:r>
      <w:r>
        <w:rPr>
          <w:spacing w:val="-2"/>
        </w:rPr>
        <w:t> </w:t>
      </w:r>
      <w:r>
        <w:rPr/>
        <w:t>being</w:t>
      </w:r>
      <w:r>
        <w:rPr>
          <w:spacing w:val="-1"/>
        </w:rPr>
        <w:t> </w:t>
      </w:r>
      <w:r>
        <w:rPr/>
        <w:t>the</w:t>
      </w:r>
      <w:r>
        <w:rPr>
          <w:spacing w:val="-1"/>
        </w:rPr>
        <w:t> </w:t>
      </w:r>
      <w:r>
        <w:rPr/>
        <w:t>central circular rotating head, which carries the dies with the punches, set in tracks above and below the central position.</w:t>
      </w:r>
    </w:p>
    <w:p>
      <w:pPr>
        <w:pStyle w:val="BodyText"/>
        <w:spacing w:line="360" w:lineRule="auto"/>
        <w:ind w:left="678" w:right="997" w:firstLine="900"/>
      </w:pPr>
      <w:r>
        <w:rPr/>
        <w:t>Compression is effected by the upper and lower punches pressing the granules between</w:t>
      </w:r>
      <w:r>
        <w:rPr>
          <w:spacing w:val="23"/>
        </w:rPr>
        <w:t> </w:t>
      </w:r>
      <w:r>
        <w:rPr/>
        <w:t>them.</w:t>
      </w:r>
      <w:r>
        <w:rPr>
          <w:spacing w:val="23"/>
        </w:rPr>
        <w:t> </w:t>
      </w:r>
      <w:r>
        <w:rPr/>
        <w:t>Output</w:t>
      </w:r>
      <w:r>
        <w:rPr>
          <w:spacing w:val="23"/>
        </w:rPr>
        <w:t> </w:t>
      </w:r>
      <w:r>
        <w:rPr/>
        <w:t>here</w:t>
      </w:r>
      <w:r>
        <w:rPr>
          <w:spacing w:val="21"/>
        </w:rPr>
        <w:t> </w:t>
      </w:r>
      <w:r>
        <w:rPr/>
        <w:t>is</w:t>
      </w:r>
      <w:r>
        <w:rPr>
          <w:spacing w:val="23"/>
        </w:rPr>
        <w:t> </w:t>
      </w:r>
      <w:r>
        <w:rPr/>
        <w:t>large,</w:t>
      </w:r>
      <w:r>
        <w:rPr>
          <w:spacing w:val="23"/>
        </w:rPr>
        <w:t> </w:t>
      </w:r>
      <w:r>
        <w:rPr/>
        <w:t>usually</w:t>
      </w:r>
      <w:r>
        <w:rPr>
          <w:spacing w:val="19"/>
        </w:rPr>
        <w:t> </w:t>
      </w:r>
      <w:r>
        <w:rPr/>
        <w:t>up</w:t>
      </w:r>
      <w:r>
        <w:rPr>
          <w:spacing w:val="23"/>
        </w:rPr>
        <w:t> </w:t>
      </w:r>
      <w:r>
        <w:rPr/>
        <w:t>to</w:t>
      </w:r>
      <w:r>
        <w:rPr>
          <w:spacing w:val="23"/>
        </w:rPr>
        <w:t> </w:t>
      </w:r>
      <w:r>
        <w:rPr/>
        <w:t>1,500</w:t>
      </w:r>
      <w:r>
        <w:rPr>
          <w:spacing w:val="23"/>
        </w:rPr>
        <w:t> </w:t>
      </w:r>
      <w:r>
        <w:rPr/>
        <w:t>tablets</w:t>
      </w:r>
      <w:r>
        <w:rPr>
          <w:spacing w:val="23"/>
        </w:rPr>
        <w:t> </w:t>
      </w:r>
      <w:r>
        <w:rPr/>
        <w:t>per</w:t>
      </w:r>
      <w:r>
        <w:rPr>
          <w:spacing w:val="22"/>
        </w:rPr>
        <w:t> </w:t>
      </w:r>
      <w:r>
        <w:rPr/>
        <w:t>minute.</w:t>
      </w:r>
      <w:r>
        <w:rPr>
          <w:spacing w:val="22"/>
        </w:rPr>
        <w:t> </w:t>
      </w:r>
      <w:r>
        <w:rPr/>
        <w:t>Thus,</w:t>
      </w:r>
      <w:r>
        <w:rPr>
          <w:spacing w:val="23"/>
        </w:rPr>
        <w:t> </w:t>
      </w:r>
      <w:r>
        <w:rPr/>
        <w:t>it</w:t>
      </w:r>
      <w:r>
        <w:rPr>
          <w:spacing w:val="23"/>
        </w:rPr>
        <w:t> </w:t>
      </w:r>
      <w:r>
        <w:rPr/>
        <w:t>has found wide use in pharmaceutical manufacturing.</w:t>
      </w:r>
    </w:p>
    <w:p>
      <w:pPr>
        <w:pStyle w:val="BodyText"/>
        <w:spacing w:before="142"/>
      </w:pPr>
    </w:p>
    <w:p>
      <w:pPr>
        <w:pStyle w:val="Heading2"/>
        <w:numPr>
          <w:ilvl w:val="3"/>
          <w:numId w:val="31"/>
        </w:numPr>
        <w:tabs>
          <w:tab w:pos="1578" w:val="left" w:leader="none"/>
        </w:tabs>
        <w:spacing w:line="240" w:lineRule="auto" w:before="0" w:after="0"/>
        <w:ind w:left="1578" w:right="0" w:hanging="900"/>
        <w:jc w:val="both"/>
      </w:pPr>
      <w:r>
        <w:rPr/>
        <w:t>Advanced</w:t>
      </w:r>
      <w:r>
        <w:rPr>
          <w:spacing w:val="-1"/>
        </w:rPr>
        <w:t> </w:t>
      </w:r>
      <w:r>
        <w:rPr/>
        <w:t>high</w:t>
      </w:r>
      <w:r>
        <w:rPr>
          <w:spacing w:val="-2"/>
        </w:rPr>
        <w:t> </w:t>
      </w:r>
      <w:r>
        <w:rPr/>
        <w:t>speed</w:t>
      </w:r>
      <w:r>
        <w:rPr>
          <w:spacing w:val="-1"/>
        </w:rPr>
        <w:t> </w:t>
      </w:r>
      <w:r>
        <w:rPr>
          <w:spacing w:val="-2"/>
        </w:rPr>
        <w:t>presses</w:t>
      </w:r>
    </w:p>
    <w:p>
      <w:pPr>
        <w:pStyle w:val="BodyText"/>
        <w:spacing w:line="360" w:lineRule="auto" w:before="135"/>
        <w:ind w:left="678" w:right="992" w:firstLine="720"/>
        <w:jc w:val="both"/>
      </w:pPr>
      <w:r>
        <w:rPr/>
        <w:t>The development of devices for promoting granule flow, die-filling and the removal of air during compression has permitted the introduction of ultra-high speed presses (Talman, 1977; King and Schwartz, 1985), the double and triple-rotary machines. Granule</w:t>
      </w:r>
      <w:r>
        <w:rPr>
          <w:spacing w:val="-1"/>
        </w:rPr>
        <w:t> </w:t>
      </w:r>
      <w:r>
        <w:rPr/>
        <w:t>flow</w:t>
      </w:r>
      <w:r>
        <w:rPr>
          <w:spacing w:val="-3"/>
        </w:rPr>
        <w:t> </w:t>
      </w:r>
      <w:r>
        <w:rPr/>
        <w:t>from</w:t>
      </w:r>
      <w:r>
        <w:rPr>
          <w:spacing w:val="-3"/>
        </w:rPr>
        <w:t> </w:t>
      </w:r>
      <w:r>
        <w:rPr/>
        <w:t>the</w:t>
      </w:r>
      <w:r>
        <w:rPr>
          <w:spacing w:val="-3"/>
        </w:rPr>
        <w:t> </w:t>
      </w:r>
      <w:r>
        <w:rPr/>
        <w:t>hopper</w:t>
      </w:r>
      <w:r>
        <w:rPr>
          <w:spacing w:val="-3"/>
        </w:rPr>
        <w:t> </w:t>
      </w:r>
      <w:r>
        <w:rPr/>
        <w:t>onto</w:t>
      </w:r>
      <w:r>
        <w:rPr>
          <w:spacing w:val="-3"/>
        </w:rPr>
        <w:t> </w:t>
      </w:r>
      <w:r>
        <w:rPr/>
        <w:t>the</w:t>
      </w:r>
      <w:r>
        <w:rPr>
          <w:spacing w:val="-2"/>
        </w:rPr>
        <w:t> </w:t>
      </w:r>
      <w:r>
        <w:rPr/>
        <w:t>feed</w:t>
      </w:r>
      <w:r>
        <w:rPr>
          <w:spacing w:val="-1"/>
        </w:rPr>
        <w:t> </w:t>
      </w:r>
      <w:r>
        <w:rPr/>
        <w:t>frame</w:t>
      </w:r>
      <w:r>
        <w:rPr>
          <w:spacing w:val="-2"/>
        </w:rPr>
        <w:t> </w:t>
      </w:r>
      <w:r>
        <w:rPr/>
        <w:t>of</w:t>
      </w:r>
      <w:r>
        <w:rPr>
          <w:spacing w:val="-3"/>
        </w:rPr>
        <w:t> </w:t>
      </w:r>
      <w:r>
        <w:rPr/>
        <w:t>the</w:t>
      </w:r>
      <w:r>
        <w:rPr>
          <w:spacing w:val="-3"/>
        </w:rPr>
        <w:t> </w:t>
      </w:r>
      <w:r>
        <w:rPr/>
        <w:t>conventional</w:t>
      </w:r>
      <w:r>
        <w:rPr>
          <w:spacing w:val="-3"/>
        </w:rPr>
        <w:t> </w:t>
      </w:r>
      <w:r>
        <w:rPr/>
        <w:t>tableting</w:t>
      </w:r>
      <w:r>
        <w:rPr>
          <w:spacing w:val="-4"/>
        </w:rPr>
        <w:t> </w:t>
      </w:r>
      <w:r>
        <w:rPr/>
        <w:t>machine</w:t>
      </w:r>
      <w:r>
        <w:rPr>
          <w:spacing w:val="-3"/>
        </w:rPr>
        <w:t> </w:t>
      </w:r>
      <w:r>
        <w:rPr/>
        <w:t>is governed by the height of the hopper outlet above the die table (i.e gravity controlled). This process of die filling is grossly inadequate for the high speed presses which may require</w:t>
      </w:r>
      <w:r>
        <w:rPr>
          <w:spacing w:val="-5"/>
        </w:rPr>
        <w:t> </w:t>
      </w:r>
      <w:r>
        <w:rPr/>
        <w:t>the</w:t>
      </w:r>
      <w:r>
        <w:rPr>
          <w:spacing w:val="-3"/>
        </w:rPr>
        <w:t> </w:t>
      </w:r>
      <w:r>
        <w:rPr/>
        <w:t>die</w:t>
      </w:r>
      <w:r>
        <w:rPr>
          <w:spacing w:val="-4"/>
        </w:rPr>
        <w:t> </w:t>
      </w:r>
      <w:r>
        <w:rPr/>
        <w:t>filling,</w:t>
      </w:r>
      <w:r>
        <w:rPr>
          <w:spacing w:val="-3"/>
        </w:rPr>
        <w:t> </w:t>
      </w:r>
      <w:r>
        <w:rPr/>
        <w:t>compression</w:t>
      </w:r>
      <w:r>
        <w:rPr>
          <w:spacing w:val="-3"/>
        </w:rPr>
        <w:t> </w:t>
      </w:r>
      <w:r>
        <w:rPr/>
        <w:t>and</w:t>
      </w:r>
      <w:r>
        <w:rPr>
          <w:spacing w:val="-3"/>
        </w:rPr>
        <w:t> </w:t>
      </w:r>
      <w:r>
        <w:rPr/>
        <w:t>ejection</w:t>
      </w:r>
      <w:r>
        <w:rPr>
          <w:spacing w:val="-3"/>
        </w:rPr>
        <w:t> </w:t>
      </w:r>
      <w:r>
        <w:rPr/>
        <w:t>operations</w:t>
      </w:r>
      <w:r>
        <w:rPr>
          <w:spacing w:val="-3"/>
        </w:rPr>
        <w:t> </w:t>
      </w:r>
      <w:r>
        <w:rPr/>
        <w:t>to</w:t>
      </w:r>
      <w:r>
        <w:rPr>
          <w:spacing w:val="-3"/>
        </w:rPr>
        <w:t> </w:t>
      </w:r>
      <w:r>
        <w:rPr/>
        <w:t>be</w:t>
      </w:r>
      <w:r>
        <w:rPr>
          <w:spacing w:val="-4"/>
        </w:rPr>
        <w:t> </w:t>
      </w:r>
      <w:r>
        <w:rPr/>
        <w:t>completed</w:t>
      </w:r>
      <w:r>
        <w:rPr>
          <w:spacing w:val="-3"/>
        </w:rPr>
        <w:t> </w:t>
      </w:r>
      <w:r>
        <w:rPr/>
        <w:t>in</w:t>
      </w:r>
      <w:r>
        <w:rPr>
          <w:spacing w:val="-3"/>
        </w:rPr>
        <w:t> </w:t>
      </w:r>
      <w:r>
        <w:rPr/>
        <w:t>a</w:t>
      </w:r>
      <w:r>
        <w:rPr>
          <w:spacing w:val="-3"/>
        </w:rPr>
        <w:t> </w:t>
      </w:r>
      <w:r>
        <w:rPr/>
        <w:t>fraction</w:t>
      </w:r>
      <w:r>
        <w:rPr>
          <w:spacing w:val="-3"/>
        </w:rPr>
        <w:t> </w:t>
      </w:r>
      <w:r>
        <w:rPr/>
        <w:t>of a second (Armstrong, 1989). In order to provide granule flow that is commensurate with the speed of rotation of the turrets of rotary presses, vibratory devices are attached to this hopper. However, the flow rate</w:t>
      </w:r>
      <w:r>
        <w:rPr>
          <w:spacing w:val="40"/>
        </w:rPr>
        <w:t> </w:t>
      </w:r>
      <w:r>
        <w:rPr/>
        <w:t>desired for the ultra-high speed presses require more efficient feeding devices such as the Stokes metering hoppe (Talman, 1977; King and Schwartz, 1985). Another technique that has been employed is the induced feeding of the die</w:t>
      </w:r>
      <w:r>
        <w:rPr>
          <w:spacing w:val="-1"/>
        </w:rPr>
        <w:t> </w:t>
      </w:r>
      <w:r>
        <w:rPr/>
        <w:t>cavity. The</w:t>
      </w:r>
      <w:r>
        <w:rPr>
          <w:spacing w:val="-2"/>
        </w:rPr>
        <w:t> </w:t>
      </w:r>
      <w:r>
        <w:rPr/>
        <w:t>Manesty</w:t>
      </w:r>
      <w:r>
        <w:rPr>
          <w:spacing w:val="-3"/>
        </w:rPr>
        <w:t> </w:t>
      </w:r>
      <w:r>
        <w:rPr/>
        <w:t>rotaflow</w:t>
      </w:r>
      <w:r>
        <w:rPr>
          <w:spacing w:val="-1"/>
        </w:rPr>
        <w:t> </w:t>
      </w:r>
      <w:r>
        <w:rPr/>
        <w:t>feeder</w:t>
      </w:r>
      <w:r>
        <w:rPr>
          <w:spacing w:val="-1"/>
        </w:rPr>
        <w:t> </w:t>
      </w:r>
      <w:r>
        <w:rPr/>
        <w:t>employs contrarotating</w:t>
      </w:r>
      <w:r>
        <w:rPr>
          <w:spacing w:val="-3"/>
        </w:rPr>
        <w:t> </w:t>
      </w:r>
      <w:r>
        <w:rPr/>
        <w:t>vane</w:t>
      </w:r>
      <w:r>
        <w:rPr>
          <w:spacing w:val="-1"/>
        </w:rPr>
        <w:t> </w:t>
      </w:r>
      <w:r>
        <w:rPr/>
        <w:t>rotors in an enclosed feed frame to direct granules into the dies (Talman, 1977). The very short compression cycle operational in the ultra-high speed presses would not permit a complete removal of air from the granule bed under compression. This may inhibit inter-granular bonding that may,</w:t>
      </w:r>
      <w:r>
        <w:rPr>
          <w:spacing w:val="4"/>
        </w:rPr>
        <w:t> </w:t>
      </w:r>
      <w:r>
        <w:rPr/>
        <w:t>in</w:t>
      </w:r>
      <w:r>
        <w:rPr>
          <w:spacing w:val="6"/>
        </w:rPr>
        <w:t> </w:t>
      </w:r>
      <w:r>
        <w:rPr/>
        <w:t>turn,</w:t>
      </w:r>
      <w:r>
        <w:rPr>
          <w:spacing w:val="4"/>
        </w:rPr>
        <w:t> </w:t>
      </w:r>
      <w:r>
        <w:rPr/>
        <w:t>promote</w:t>
      </w:r>
      <w:r>
        <w:rPr>
          <w:spacing w:val="5"/>
        </w:rPr>
        <w:t> </w:t>
      </w:r>
      <w:r>
        <w:rPr/>
        <w:t>caping</w:t>
      </w:r>
      <w:r>
        <w:rPr>
          <w:spacing w:val="4"/>
        </w:rPr>
        <w:t> </w:t>
      </w:r>
      <w:r>
        <w:rPr/>
        <w:t>and</w:t>
      </w:r>
      <w:r>
        <w:rPr>
          <w:spacing w:val="4"/>
        </w:rPr>
        <w:t> </w:t>
      </w:r>
      <w:r>
        <w:rPr/>
        <w:t>lamination</w:t>
      </w:r>
      <w:r>
        <w:rPr>
          <w:spacing w:val="6"/>
        </w:rPr>
        <w:t> </w:t>
      </w:r>
      <w:r>
        <w:rPr/>
        <w:t>of</w:t>
      </w:r>
      <w:r>
        <w:rPr>
          <w:spacing w:val="5"/>
        </w:rPr>
        <w:t> </w:t>
      </w:r>
      <w:r>
        <w:rPr/>
        <w:t>tablets.</w:t>
      </w:r>
      <w:r>
        <w:rPr>
          <w:spacing w:val="8"/>
        </w:rPr>
        <w:t> </w:t>
      </w:r>
      <w:r>
        <w:rPr/>
        <w:t>In</w:t>
      </w:r>
      <w:r>
        <w:rPr>
          <w:spacing w:val="5"/>
        </w:rPr>
        <w:t> </w:t>
      </w:r>
      <w:r>
        <w:rPr/>
        <w:t>order</w:t>
      </w:r>
      <w:r>
        <w:rPr>
          <w:spacing w:val="5"/>
        </w:rPr>
        <w:t> </w:t>
      </w:r>
      <w:r>
        <w:rPr/>
        <w:t>to</w:t>
      </w:r>
      <w:r>
        <w:rPr>
          <w:spacing w:val="5"/>
        </w:rPr>
        <w:t> </w:t>
      </w:r>
      <w:r>
        <w:rPr/>
        <w:t>eliminate</w:t>
      </w:r>
      <w:r>
        <w:rPr>
          <w:spacing w:val="5"/>
        </w:rPr>
        <w:t> </w:t>
      </w:r>
      <w:r>
        <w:rPr/>
        <w:t>this</w:t>
      </w:r>
      <w:r>
        <w:rPr>
          <w:spacing w:val="6"/>
        </w:rPr>
        <w:t> </w:t>
      </w:r>
      <w:r>
        <w:rPr>
          <w:spacing w:val="-2"/>
        </w:rPr>
        <w:t>problem,</w:t>
      </w:r>
    </w:p>
    <w:p>
      <w:pPr>
        <w:spacing w:after="0" w:line="360" w:lineRule="auto"/>
        <w:jc w:val="both"/>
        <w:sectPr>
          <w:pgSz w:w="12240" w:h="15840"/>
          <w:pgMar w:header="0" w:footer="1056" w:top="1340" w:bottom="1240" w:left="1420" w:right="420"/>
        </w:sectPr>
      </w:pPr>
    </w:p>
    <w:p>
      <w:pPr>
        <w:pStyle w:val="BodyText"/>
        <w:spacing w:line="360" w:lineRule="auto" w:before="72"/>
        <w:ind w:left="678" w:right="999"/>
        <w:jc w:val="both"/>
      </w:pPr>
      <w:r>
        <w:rPr/>
        <mc:AlternateContent>
          <mc:Choice Requires="wps">
            <w:drawing>
              <wp:anchor distT="0" distB="0" distL="0" distR="0" allowOverlap="1" layoutInCell="1" locked="0" behindDoc="1" simplePos="0" relativeHeight="482958336">
                <wp:simplePos x="0" y="0"/>
                <wp:positionH relativeFrom="page">
                  <wp:posOffset>-1402226</wp:posOffset>
                </wp:positionH>
                <wp:positionV relativeFrom="page">
                  <wp:posOffset>4612234</wp:posOffset>
                </wp:positionV>
                <wp:extent cx="10685780" cy="9144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8144;rotation:306" type="#_x0000_t136" fillcolor="#ff5400" stroked="f">
                <o:extrusion v:ext="view" autorotationcenter="t"/>
                <v:textpath style="font-family:&quot;Arial MT&quot;;font-size:72pt;v-text-kern:t;mso-text-shadow:auto" string="UNIVERSITY OF IBADAN"/>
                <w10:wrap type="none"/>
              </v:shape>
            </w:pict>
          </mc:Fallback>
        </mc:AlternateContent>
      </w:r>
      <w:r>
        <w:rPr/>
        <w:t>precompression rollers have been designed into some rotary presses to exert a slight compaction on granules prior to the main compression process.</w:t>
      </w:r>
    </w:p>
    <w:p>
      <w:pPr>
        <w:pStyle w:val="BodyText"/>
        <w:spacing w:line="360" w:lineRule="auto" w:before="1"/>
        <w:ind w:left="678" w:right="993" w:firstLine="720"/>
        <w:jc w:val="both"/>
      </w:pPr>
      <w:r>
        <w:rPr/>
        <w:t>Some additional features designed into the ultra-high speed presses have contributed significantly to the attainment of some standard requirements of Good Manufacturing Practice (GMP) as defined by</w:t>
      </w:r>
      <w:r>
        <w:rPr>
          <w:spacing w:val="-5"/>
        </w:rPr>
        <w:t> </w:t>
      </w:r>
      <w:r>
        <w:rPr/>
        <w:t>the US Food and Drug Administration. Such features</w:t>
      </w:r>
      <w:r>
        <w:rPr>
          <w:spacing w:val="-4"/>
        </w:rPr>
        <w:t> </w:t>
      </w:r>
      <w:r>
        <w:rPr/>
        <w:t>include</w:t>
      </w:r>
      <w:r>
        <w:rPr>
          <w:spacing w:val="-3"/>
        </w:rPr>
        <w:t> </w:t>
      </w:r>
      <w:r>
        <w:rPr/>
        <w:t>computerization</w:t>
      </w:r>
      <w:r>
        <w:rPr>
          <w:spacing w:val="-4"/>
        </w:rPr>
        <w:t> </w:t>
      </w:r>
      <w:r>
        <w:rPr/>
        <w:t>and</w:t>
      </w:r>
      <w:r>
        <w:rPr>
          <w:spacing w:val="-2"/>
        </w:rPr>
        <w:t> </w:t>
      </w:r>
      <w:r>
        <w:rPr/>
        <w:t>programming</w:t>
      </w:r>
      <w:r>
        <w:rPr>
          <w:spacing w:val="-7"/>
        </w:rPr>
        <w:t> </w:t>
      </w:r>
      <w:r>
        <w:rPr/>
        <w:t>of</w:t>
      </w:r>
      <w:r>
        <w:rPr>
          <w:spacing w:val="-4"/>
        </w:rPr>
        <w:t> </w:t>
      </w:r>
      <w:r>
        <w:rPr/>
        <w:t>production</w:t>
      </w:r>
      <w:r>
        <w:rPr>
          <w:spacing w:val="-4"/>
        </w:rPr>
        <w:t> </w:t>
      </w:r>
      <w:r>
        <w:rPr/>
        <w:t>sequence,</w:t>
      </w:r>
      <w:r>
        <w:rPr>
          <w:spacing w:val="-4"/>
        </w:rPr>
        <w:t> </w:t>
      </w:r>
      <w:r>
        <w:rPr/>
        <w:t>continuous</w:t>
      </w:r>
      <w:r>
        <w:rPr>
          <w:spacing w:val="-4"/>
        </w:rPr>
        <w:t> </w:t>
      </w:r>
      <w:r>
        <w:rPr/>
        <w:t>in- process control and facilities for full data storage (King and Schwartz, 1985).</w:t>
      </w:r>
    </w:p>
    <w:p>
      <w:pPr>
        <w:pStyle w:val="BodyText"/>
        <w:spacing w:line="360" w:lineRule="auto"/>
        <w:ind w:left="678" w:right="992" w:firstLine="720"/>
        <w:jc w:val="both"/>
      </w:pPr>
      <w:r>
        <w:rPr/>
        <w:t>Ultra-high speed presses include the Excelapress, Novapress, Rotapress and Unpress (Manesty Machines, Liverpool, U.K.) and the Perfecta series (Wilheim Fette GmbH, Germany). The Fette PT 2080 models are available as 22-, 29-, 36- and 43 station presses with capacity in excess of 290,000 tablets per hour and facilities for handling tablets with diameter up to 25 mm and compression presses up to 80,000 N (King and Schwartz, 1985).</w:t>
      </w:r>
    </w:p>
    <w:p>
      <w:pPr>
        <w:pStyle w:val="BodyText"/>
        <w:spacing w:before="144"/>
      </w:pPr>
    </w:p>
    <w:p>
      <w:pPr>
        <w:pStyle w:val="Heading2"/>
        <w:numPr>
          <w:ilvl w:val="2"/>
          <w:numId w:val="32"/>
        </w:numPr>
        <w:tabs>
          <w:tab w:pos="1338" w:val="left" w:leader="none"/>
        </w:tabs>
        <w:spacing w:line="240" w:lineRule="auto" w:before="0" w:after="0"/>
        <w:ind w:left="1338" w:right="0" w:hanging="660"/>
        <w:jc w:val="both"/>
      </w:pPr>
      <w:bookmarkStart w:name="_TOC_250059" w:id="74"/>
      <w:r>
        <w:rPr/>
        <w:t>Evaluation</w:t>
      </w:r>
      <w:r>
        <w:rPr>
          <w:spacing w:val="-1"/>
        </w:rPr>
        <w:t> </w:t>
      </w:r>
      <w:r>
        <w:rPr/>
        <w:t>of </w:t>
      </w:r>
      <w:bookmarkEnd w:id="74"/>
      <w:r>
        <w:rPr>
          <w:spacing w:val="-2"/>
        </w:rPr>
        <w:t>tablets</w:t>
      </w:r>
    </w:p>
    <w:p>
      <w:pPr>
        <w:pStyle w:val="BodyText"/>
        <w:spacing w:line="360" w:lineRule="auto" w:before="132"/>
        <w:ind w:left="678" w:right="997" w:firstLine="780"/>
        <w:jc w:val="both"/>
      </w:pPr>
      <w:r>
        <w:rPr/>
        <w:t>The</w:t>
      </w:r>
      <w:r>
        <w:rPr>
          <w:spacing w:val="-3"/>
        </w:rPr>
        <w:t> </w:t>
      </w:r>
      <w:r>
        <w:rPr/>
        <w:t>aim</w:t>
      </w:r>
      <w:r>
        <w:rPr>
          <w:spacing w:val="-1"/>
        </w:rPr>
        <w:t> </w:t>
      </w:r>
      <w:r>
        <w:rPr/>
        <w:t>of</w:t>
      </w:r>
      <w:r>
        <w:rPr>
          <w:spacing w:val="-2"/>
        </w:rPr>
        <w:t> </w:t>
      </w:r>
      <w:r>
        <w:rPr/>
        <w:t>drug</w:t>
      </w:r>
      <w:r>
        <w:rPr>
          <w:spacing w:val="-4"/>
        </w:rPr>
        <w:t> </w:t>
      </w:r>
      <w:r>
        <w:rPr/>
        <w:t>development</w:t>
      </w:r>
      <w:r>
        <w:rPr>
          <w:spacing w:val="-1"/>
        </w:rPr>
        <w:t> </w:t>
      </w:r>
      <w:r>
        <w:rPr/>
        <w:t>is</w:t>
      </w:r>
      <w:r>
        <w:rPr>
          <w:spacing w:val="-1"/>
        </w:rPr>
        <w:t> </w:t>
      </w:r>
      <w:r>
        <w:rPr/>
        <w:t>to</w:t>
      </w:r>
      <w:r>
        <w:rPr>
          <w:spacing w:val="-3"/>
        </w:rPr>
        <w:t> </w:t>
      </w:r>
      <w:r>
        <w:rPr/>
        <w:t>move</w:t>
      </w:r>
      <w:r>
        <w:rPr>
          <w:spacing w:val="-2"/>
        </w:rPr>
        <w:t> </w:t>
      </w:r>
      <w:r>
        <w:rPr/>
        <w:t>toward</w:t>
      </w:r>
      <w:r>
        <w:rPr>
          <w:spacing w:val="-1"/>
        </w:rPr>
        <w:t> </w:t>
      </w:r>
      <w:r>
        <w:rPr/>
        <w:t>an</w:t>
      </w:r>
      <w:r>
        <w:rPr>
          <w:spacing w:val="-1"/>
        </w:rPr>
        <w:t> </w:t>
      </w:r>
      <w:r>
        <w:rPr/>
        <w:t>ideal</w:t>
      </w:r>
      <w:r>
        <w:rPr>
          <w:spacing w:val="-1"/>
        </w:rPr>
        <w:t> </w:t>
      </w:r>
      <w:r>
        <w:rPr/>
        <w:t>tablet,</w:t>
      </w:r>
      <w:r>
        <w:rPr>
          <w:spacing w:val="-1"/>
        </w:rPr>
        <w:t> </w:t>
      </w:r>
      <w:r>
        <w:rPr/>
        <w:t>that</w:t>
      </w:r>
      <w:r>
        <w:rPr>
          <w:spacing w:val="-1"/>
        </w:rPr>
        <w:t> </w:t>
      </w:r>
      <w:r>
        <w:rPr/>
        <w:t>is,</w:t>
      </w:r>
      <w:r>
        <w:rPr>
          <w:spacing w:val="-1"/>
        </w:rPr>
        <w:t> </w:t>
      </w:r>
      <w:r>
        <w:rPr/>
        <w:t>one,</w:t>
      </w:r>
      <w:r>
        <w:rPr>
          <w:spacing w:val="-1"/>
        </w:rPr>
        <w:t> </w:t>
      </w:r>
      <w:r>
        <w:rPr/>
        <w:t>which will provide a perfectly selective biological drug action with no side effects and no toxicity. However, there is no such tablet formulation. The desired effect must be well defined and a procedure must be outlined that can determine whether or not a particular tablet has the specified effect.</w:t>
      </w:r>
    </w:p>
    <w:p>
      <w:pPr>
        <w:pStyle w:val="BodyText"/>
        <w:spacing w:line="360" w:lineRule="auto" w:before="2"/>
        <w:ind w:left="678" w:right="997" w:firstLine="780"/>
        <w:jc w:val="both"/>
      </w:pPr>
      <w:r>
        <w:rPr/>
        <w:t>To design tablets and later monitor tablet production quality, quantitative evaluation and assessment of a tablet‘s chemical, physical and bioavailability properties must be made. The in-process tests routinely needed to monitor and evaluate tablet production quality include:</w:t>
      </w:r>
    </w:p>
    <w:p>
      <w:pPr>
        <w:pStyle w:val="BodyText"/>
        <w:spacing w:before="141"/>
      </w:pPr>
    </w:p>
    <w:p>
      <w:pPr>
        <w:pStyle w:val="Heading2"/>
        <w:numPr>
          <w:ilvl w:val="3"/>
          <w:numId w:val="32"/>
        </w:numPr>
        <w:tabs>
          <w:tab w:pos="1518" w:val="left" w:leader="none"/>
        </w:tabs>
        <w:spacing w:line="240" w:lineRule="auto" w:before="0" w:after="0"/>
        <w:ind w:left="1518" w:right="0" w:hanging="840"/>
        <w:jc w:val="both"/>
      </w:pPr>
      <w:bookmarkStart w:name="_TOC_250058" w:id="75"/>
      <w:r>
        <w:rPr/>
        <w:t>Crushing</w:t>
      </w:r>
      <w:r>
        <w:rPr>
          <w:spacing w:val="-2"/>
        </w:rPr>
        <w:t> </w:t>
      </w:r>
      <w:r>
        <w:rPr/>
        <w:t>strength</w:t>
      </w:r>
      <w:r>
        <w:rPr>
          <w:spacing w:val="-2"/>
        </w:rPr>
        <w:t> </w:t>
      </w:r>
      <w:r>
        <w:rPr/>
        <w:t>and</w:t>
      </w:r>
      <w:r>
        <w:rPr>
          <w:spacing w:val="-3"/>
        </w:rPr>
        <w:t> </w:t>
      </w:r>
      <w:bookmarkEnd w:id="75"/>
      <w:r>
        <w:rPr>
          <w:spacing w:val="-2"/>
        </w:rPr>
        <w:t>friability</w:t>
      </w:r>
    </w:p>
    <w:p>
      <w:pPr>
        <w:pStyle w:val="BodyText"/>
        <w:spacing w:line="360" w:lineRule="auto" w:before="133"/>
        <w:ind w:left="678" w:right="995" w:firstLine="840"/>
        <w:jc w:val="both"/>
      </w:pPr>
      <w:r>
        <w:rPr/>
        <w:t>The crushing strength is the measurement of tablet hardness. Tablets require a certain amount of strength and resistance to friability, to withstand mechanical shocks of handling in manufacture, packaging, and shipping. In addition, tablets should be able to withstand reasonable abuse when in the hands of the consumer.</w:t>
      </w:r>
    </w:p>
    <w:p>
      <w:pPr>
        <w:spacing w:after="0" w:line="360" w:lineRule="auto"/>
        <w:jc w:val="both"/>
        <w:sectPr>
          <w:pgSz w:w="12240" w:h="15840"/>
          <w:pgMar w:header="0" w:footer="1056" w:top="1340" w:bottom="1240" w:left="1420" w:right="420"/>
        </w:sectPr>
      </w:pPr>
    </w:p>
    <w:p>
      <w:pPr>
        <w:pStyle w:val="BodyText"/>
        <w:spacing w:line="360" w:lineRule="auto" w:before="72"/>
        <w:ind w:left="678" w:right="992" w:firstLine="840"/>
        <w:jc w:val="both"/>
      </w:pPr>
      <w:r>
        <w:rPr/>
        <mc:AlternateContent>
          <mc:Choice Requires="wps">
            <w:drawing>
              <wp:anchor distT="0" distB="0" distL="0" distR="0" allowOverlap="1" layoutInCell="1" locked="0" behindDoc="1" simplePos="0" relativeHeight="482958848">
                <wp:simplePos x="0" y="0"/>
                <wp:positionH relativeFrom="page">
                  <wp:posOffset>-1402226</wp:posOffset>
                </wp:positionH>
                <wp:positionV relativeFrom="page">
                  <wp:posOffset>4612234</wp:posOffset>
                </wp:positionV>
                <wp:extent cx="10685780" cy="9144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7632;rotation:306" type="#_x0000_t136" fillcolor="#ff5400" stroked="f">
                <o:extrusion v:ext="view" autorotationcenter="t"/>
                <v:textpath style="font-family:&quot;Arial MT&quot;;font-size:72pt;v-text-kern:t;mso-text-shadow:auto" string="UNIVERSITY OF IBADAN"/>
                <w10:wrap type="none"/>
              </v:shape>
            </w:pict>
          </mc:Fallback>
        </mc:AlternateContent>
      </w:r>
      <w:r>
        <w:rPr/>
        <w:t>The crushing strength is defined as the force required to breaking a tablet in a diametric compression test and like its thickness, is a function of the die fill and compression force. At a constant die fill, the crushing strength values increase and thickness decreases as additional compression force is applied. At a constant compression force (fixed distance between upper and lower punches) crushing strength increases with increasing die fills and decreases with lower die fills.</w:t>
      </w:r>
    </w:p>
    <w:p>
      <w:pPr>
        <w:pStyle w:val="BodyText"/>
        <w:spacing w:line="360" w:lineRule="auto" w:before="1"/>
        <w:ind w:left="678" w:right="993" w:firstLine="902"/>
        <w:jc w:val="both"/>
      </w:pPr>
      <w:r>
        <w:rPr/>
        <w:t>In general, tablets are harder several hours after compression than they are immediately after compression. Tablet hardness is not an absolute indicator of strength since some formulations, when compressed into very hard tablets, tend to ―cap‖ on attrition, losing their crown portions. Therefore, another measure of tablet strength, its friability, is often measured. This involves measuring the propensity of tablets to break into crumbs or pieces when subjected to disruptive forces.</w:t>
      </w:r>
    </w:p>
    <w:p>
      <w:pPr>
        <w:pStyle w:val="BodyText"/>
        <w:spacing w:before="142"/>
      </w:pPr>
    </w:p>
    <w:p>
      <w:pPr>
        <w:pStyle w:val="Heading2"/>
        <w:numPr>
          <w:ilvl w:val="3"/>
          <w:numId w:val="32"/>
        </w:numPr>
        <w:tabs>
          <w:tab w:pos="1638" w:val="left" w:leader="none"/>
        </w:tabs>
        <w:spacing w:line="240" w:lineRule="auto" w:before="0" w:after="0"/>
        <w:ind w:left="1638" w:right="0" w:hanging="960"/>
        <w:jc w:val="both"/>
      </w:pPr>
      <w:bookmarkStart w:name="_TOC_250057" w:id="76"/>
      <w:r>
        <w:rPr/>
        <w:t>Factors</w:t>
      </w:r>
      <w:r>
        <w:rPr>
          <w:spacing w:val="-5"/>
        </w:rPr>
        <w:t> </w:t>
      </w:r>
      <w:r>
        <w:rPr/>
        <w:t>affecting</w:t>
      </w:r>
      <w:r>
        <w:rPr>
          <w:spacing w:val="-2"/>
        </w:rPr>
        <w:t> </w:t>
      </w:r>
      <w:r>
        <w:rPr/>
        <w:t>mechanical</w:t>
      </w:r>
      <w:r>
        <w:rPr>
          <w:spacing w:val="-2"/>
        </w:rPr>
        <w:t> </w:t>
      </w:r>
      <w:r>
        <w:rPr/>
        <w:t>strength</w:t>
      </w:r>
      <w:r>
        <w:rPr>
          <w:spacing w:val="-2"/>
        </w:rPr>
        <w:t> </w:t>
      </w:r>
      <w:r>
        <w:rPr/>
        <w:t>of</w:t>
      </w:r>
      <w:r>
        <w:rPr>
          <w:spacing w:val="-1"/>
        </w:rPr>
        <w:t> </w:t>
      </w:r>
      <w:bookmarkEnd w:id="76"/>
      <w:r>
        <w:rPr>
          <w:spacing w:val="-2"/>
        </w:rPr>
        <w:t>tablets</w:t>
      </w:r>
    </w:p>
    <w:p>
      <w:pPr>
        <w:pStyle w:val="BodyText"/>
        <w:spacing w:line="360" w:lineRule="auto" w:before="135"/>
        <w:ind w:left="678" w:right="993" w:firstLine="720"/>
        <w:jc w:val="both"/>
      </w:pPr>
      <w:r>
        <w:rPr/>
        <w:t>The factors affecting mechanical strength of tablets are binding agents (Itiola and Pilpel, 1986; Esezobo &amp; Pilpel, 1976; Kurup &amp; Pilpel, 1977; Esezobo and Pilpel, 1977), compression pressure (Pitt </w:t>
      </w:r>
      <w:r>
        <w:rPr>
          <w:i/>
        </w:rPr>
        <w:t>et al</w:t>
      </w:r>
      <w:r>
        <w:rPr/>
        <w:t>., 1991; Itiola and Pilpel, 1986) and granule size (Pilpel, 1969; Esezobo and Pilpel, 1977; Shotton and Ganderton, 1960; Rumpf, 1962; Itiola and Pilpel 1991; Esezobo and Pilpel, 1976; Itiola and Pilpel, 1986; Itiola, 1983; Esezobo and Pilpel, 1977; Itiola and Fell, 1983; Esezobo and Pilpel, 1976), temperature (Hanus and King, 1968, Rankell and Higushi, 1968; York and Pilpel, 1972; Britten and Pilpel, 1978; Esezobo and Pilpel, 1986), moisture content (Ahlneck and Alderborn, 1989; Sehbatu </w:t>
      </w:r>
      <w:r>
        <w:rPr>
          <w:i/>
        </w:rPr>
        <w:t>et</w:t>
      </w:r>
      <w:r>
        <w:rPr>
          <w:i/>
          <w:spacing w:val="40"/>
        </w:rPr>
        <w:t> </w:t>
      </w:r>
      <w:r>
        <w:rPr>
          <w:i/>
        </w:rPr>
        <w:t>al</w:t>
      </w:r>
      <w:r>
        <w:rPr/>
        <w:t>., 1997), coating (York and Pilpel, 1973; Irono and Pilpel, 1982a, b; Malamaturis and Pilpel, 1982a).</w:t>
      </w:r>
    </w:p>
    <w:p>
      <w:pPr>
        <w:pStyle w:val="BodyText"/>
        <w:spacing w:before="142"/>
      </w:pPr>
    </w:p>
    <w:p>
      <w:pPr>
        <w:pStyle w:val="Heading2"/>
        <w:numPr>
          <w:ilvl w:val="2"/>
          <w:numId w:val="32"/>
        </w:numPr>
        <w:tabs>
          <w:tab w:pos="1578" w:val="left" w:leader="none"/>
        </w:tabs>
        <w:spacing w:line="240" w:lineRule="auto" w:before="0" w:after="0"/>
        <w:ind w:left="1578" w:right="0" w:hanging="900"/>
        <w:jc w:val="both"/>
      </w:pPr>
      <w:r>
        <w:rPr/>
        <w:t>Evaluation</w:t>
      </w:r>
      <w:r>
        <w:rPr>
          <w:spacing w:val="-3"/>
        </w:rPr>
        <w:t> </w:t>
      </w:r>
      <w:r>
        <w:rPr/>
        <w:t>of</w:t>
      </w:r>
      <w:r>
        <w:rPr>
          <w:spacing w:val="-3"/>
        </w:rPr>
        <w:t> </w:t>
      </w:r>
      <w:r>
        <w:rPr/>
        <w:t>drug</w:t>
      </w:r>
      <w:r>
        <w:rPr>
          <w:spacing w:val="-2"/>
        </w:rPr>
        <w:t> </w:t>
      </w:r>
      <w:r>
        <w:rPr/>
        <w:t>content</w:t>
      </w:r>
      <w:r>
        <w:rPr>
          <w:spacing w:val="-2"/>
        </w:rPr>
        <w:t> </w:t>
      </w:r>
      <w:r>
        <w:rPr/>
        <w:t>and</w:t>
      </w:r>
      <w:r>
        <w:rPr>
          <w:spacing w:val="-1"/>
        </w:rPr>
        <w:t> </w:t>
      </w:r>
      <w:r>
        <w:rPr/>
        <w:t>release</w:t>
      </w:r>
      <w:r>
        <w:rPr>
          <w:spacing w:val="-4"/>
        </w:rPr>
        <w:t> </w:t>
      </w:r>
      <w:r>
        <w:rPr/>
        <w:t>(disintegration</w:t>
      </w:r>
      <w:r>
        <w:rPr>
          <w:spacing w:val="-1"/>
        </w:rPr>
        <w:t> </w:t>
      </w:r>
      <w:r>
        <w:rPr/>
        <w:t>and</w:t>
      </w:r>
      <w:r>
        <w:rPr>
          <w:spacing w:val="-1"/>
        </w:rPr>
        <w:t> </w:t>
      </w:r>
      <w:r>
        <w:rPr>
          <w:spacing w:val="-2"/>
        </w:rPr>
        <w:t>dissolution)</w:t>
      </w:r>
    </w:p>
    <w:p>
      <w:pPr>
        <w:pStyle w:val="Heading2"/>
        <w:numPr>
          <w:ilvl w:val="3"/>
          <w:numId w:val="32"/>
        </w:numPr>
        <w:tabs>
          <w:tab w:pos="1518" w:val="left" w:leader="none"/>
        </w:tabs>
        <w:spacing w:line="240" w:lineRule="auto" w:before="138" w:after="0"/>
        <w:ind w:left="1518" w:right="0" w:hanging="840"/>
        <w:jc w:val="both"/>
      </w:pPr>
      <w:bookmarkStart w:name="_TOC_250056" w:id="77"/>
      <w:bookmarkEnd w:id="77"/>
      <w:r>
        <w:rPr>
          <w:spacing w:val="-2"/>
        </w:rPr>
        <w:t>Disintegration</w:t>
      </w:r>
    </w:p>
    <w:p>
      <w:pPr>
        <w:pStyle w:val="BodyText"/>
        <w:spacing w:line="360" w:lineRule="auto" w:before="134"/>
        <w:ind w:left="678" w:right="996" w:firstLine="720"/>
        <w:jc w:val="both"/>
      </w:pPr>
      <w:r>
        <w:rPr/>
        <w:t>It</w:t>
      </w:r>
      <w:r>
        <w:rPr>
          <w:spacing w:val="-1"/>
        </w:rPr>
        <w:t> </w:t>
      </w:r>
      <w:r>
        <w:rPr/>
        <w:t>is generally</w:t>
      </w:r>
      <w:r>
        <w:rPr>
          <w:spacing w:val="-4"/>
        </w:rPr>
        <w:t> </w:t>
      </w:r>
      <w:r>
        <w:rPr/>
        <w:t>recognized that </w:t>
      </w:r>
      <w:r>
        <w:rPr>
          <w:i/>
        </w:rPr>
        <w:t>in</w:t>
      </w:r>
      <w:r>
        <w:rPr>
          <w:i/>
          <w:spacing w:val="-1"/>
        </w:rPr>
        <w:t> </w:t>
      </w:r>
      <w:r>
        <w:rPr>
          <w:i/>
        </w:rPr>
        <w:t>vitro </w:t>
      </w:r>
      <w:r>
        <w:rPr/>
        <w:t>tablet</w:t>
      </w:r>
      <w:r>
        <w:rPr>
          <w:spacing w:val="-1"/>
        </w:rPr>
        <w:t> </w:t>
      </w:r>
      <w:r>
        <w:rPr/>
        <w:t>disintegration</w:t>
      </w:r>
      <w:r>
        <w:rPr>
          <w:spacing w:val="-1"/>
        </w:rPr>
        <w:t> </w:t>
      </w:r>
      <w:r>
        <w:rPr/>
        <w:t>test</w:t>
      </w:r>
      <w:r>
        <w:rPr>
          <w:spacing w:val="-1"/>
        </w:rPr>
        <w:t> </w:t>
      </w:r>
      <w:r>
        <w:rPr/>
        <w:t>does</w:t>
      </w:r>
      <w:r>
        <w:rPr>
          <w:spacing w:val="-1"/>
        </w:rPr>
        <w:t> </w:t>
      </w:r>
      <w:r>
        <w:rPr/>
        <w:t>not</w:t>
      </w:r>
      <w:r>
        <w:rPr>
          <w:spacing w:val="-1"/>
        </w:rPr>
        <w:t> </w:t>
      </w:r>
      <w:r>
        <w:rPr/>
        <w:t>necessarily bear a relationship to the </w:t>
      </w:r>
      <w:r>
        <w:rPr>
          <w:i/>
        </w:rPr>
        <w:t>in vivo </w:t>
      </w:r>
      <w:r>
        <w:rPr/>
        <w:t>action of a solid dosage form. To be absorbed, a drug substance must be in solution and the disintegration test is a measure only of the time required</w:t>
      </w:r>
      <w:r>
        <w:rPr>
          <w:spacing w:val="-1"/>
        </w:rPr>
        <w:t> </w:t>
      </w:r>
      <w:r>
        <w:rPr/>
        <w:t>under</w:t>
      </w:r>
      <w:r>
        <w:rPr>
          <w:spacing w:val="2"/>
        </w:rPr>
        <w:t> </w:t>
      </w:r>
      <w:r>
        <w:rPr/>
        <w:t>a</w:t>
      </w:r>
      <w:r>
        <w:rPr>
          <w:spacing w:val="3"/>
        </w:rPr>
        <w:t> </w:t>
      </w:r>
      <w:r>
        <w:rPr/>
        <w:t>given</w:t>
      </w:r>
      <w:r>
        <w:rPr>
          <w:spacing w:val="2"/>
        </w:rPr>
        <w:t> </w:t>
      </w:r>
      <w:r>
        <w:rPr/>
        <w:t>set</w:t>
      </w:r>
      <w:r>
        <w:rPr>
          <w:spacing w:val="2"/>
        </w:rPr>
        <w:t> </w:t>
      </w:r>
      <w:r>
        <w:rPr/>
        <w:t>of conditions</w:t>
      </w:r>
      <w:r>
        <w:rPr>
          <w:spacing w:val="2"/>
        </w:rPr>
        <w:t> </w:t>
      </w:r>
      <w:r>
        <w:rPr/>
        <w:t>for</w:t>
      </w:r>
      <w:r>
        <w:rPr>
          <w:spacing w:val="1"/>
        </w:rPr>
        <w:t> </w:t>
      </w:r>
      <w:r>
        <w:rPr/>
        <w:t>a</w:t>
      </w:r>
      <w:r>
        <w:rPr>
          <w:spacing w:val="3"/>
        </w:rPr>
        <w:t> </w:t>
      </w:r>
      <w:r>
        <w:rPr/>
        <w:t>group</w:t>
      </w:r>
      <w:r>
        <w:rPr>
          <w:spacing w:val="1"/>
        </w:rPr>
        <w:t> </w:t>
      </w:r>
      <w:r>
        <w:rPr/>
        <w:t>of</w:t>
      </w:r>
      <w:r>
        <w:rPr>
          <w:spacing w:val="1"/>
        </w:rPr>
        <w:t> </w:t>
      </w:r>
      <w:r>
        <w:rPr/>
        <w:t>tablets</w:t>
      </w:r>
      <w:r>
        <w:rPr>
          <w:spacing w:val="1"/>
        </w:rPr>
        <w:t> </w:t>
      </w:r>
      <w:r>
        <w:rPr/>
        <w:t>to</w:t>
      </w:r>
      <w:r>
        <w:rPr>
          <w:spacing w:val="2"/>
        </w:rPr>
        <w:t> </w:t>
      </w:r>
      <w:r>
        <w:rPr/>
        <w:t>disintegrate into</w:t>
      </w:r>
      <w:r>
        <w:rPr>
          <w:spacing w:val="2"/>
        </w:rPr>
        <w:t> </w:t>
      </w:r>
      <w:r>
        <w:rPr>
          <w:spacing w:val="-2"/>
        </w:rPr>
        <w:t>particles.</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2959360">
                <wp:simplePos x="0" y="0"/>
                <wp:positionH relativeFrom="page">
                  <wp:posOffset>-1402226</wp:posOffset>
                </wp:positionH>
                <wp:positionV relativeFrom="page">
                  <wp:posOffset>4612234</wp:posOffset>
                </wp:positionV>
                <wp:extent cx="10685780" cy="9144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7120;rotation:306" type="#_x0000_t136" fillcolor="#ff5400" stroked="f">
                <o:extrusion v:ext="view" autorotationcenter="t"/>
                <v:textpath style="font-family:&quot;Arial MT&quot;;font-size:72pt;v-text-kern:t;mso-text-shadow:auto" string="UNIVERSITY OF IBADAN"/>
                <w10:wrap type="none"/>
              </v:shape>
            </w:pict>
          </mc:Fallback>
        </mc:AlternateContent>
      </w:r>
      <w:r>
        <w:rPr/>
        <w:t>The bioavailabilities of drugs that are administered orally in solid form depend on their rates of disintegration and dissolution (Banker and Anderson, 1986). Factors affecting disintegration of tablets include binding agents (Kurup and Pilpel, 1979), disintegrants, compression pressure (Khan and Rhodes, 1976), lubricant, granule size, surfactants, granular mixing time and method of granulation and the apparatus used in the determination of disintegration time. Some postulated mechanisms of the theories of disintegration include</w:t>
      </w:r>
      <w:r>
        <w:rPr>
          <w:spacing w:val="-1"/>
        </w:rPr>
        <w:t> </w:t>
      </w:r>
      <w:r>
        <w:rPr/>
        <w:t>evolution of</w:t>
      </w:r>
      <w:r>
        <w:rPr>
          <w:spacing w:val="-1"/>
        </w:rPr>
        <w:t> </w:t>
      </w:r>
      <w:r>
        <w:rPr/>
        <w:t>gas, heat of wetting</w:t>
      </w:r>
      <w:r>
        <w:rPr>
          <w:spacing w:val="-2"/>
        </w:rPr>
        <w:t> </w:t>
      </w:r>
      <w:r>
        <w:rPr/>
        <w:t>(Matsumaru,</w:t>
      </w:r>
      <w:r>
        <w:rPr>
          <w:spacing w:val="-1"/>
        </w:rPr>
        <w:t> </w:t>
      </w:r>
      <w:r>
        <w:rPr/>
        <w:t>1959), effect of</w:t>
      </w:r>
      <w:r>
        <w:rPr>
          <w:spacing w:val="-1"/>
        </w:rPr>
        <w:t> </w:t>
      </w:r>
      <w:r>
        <w:rPr/>
        <w:t>water absorption (Lowenthal, 1973), swelling (Ringard and Guyot-Hermann, 1981; Kanig and Rudnic, 1984), porosity of tablets (Singh </w:t>
      </w:r>
      <w:r>
        <w:rPr>
          <w:i/>
        </w:rPr>
        <w:t>et al</w:t>
      </w:r>
      <w:r>
        <w:rPr/>
        <w:t>., 1968; Kurup and Pilpel, 1977; Kanig and Rudnic, 1984; Shangraw </w:t>
      </w:r>
      <w:r>
        <w:rPr>
          <w:i/>
        </w:rPr>
        <w:t>et al</w:t>
      </w:r>
      <w:r>
        <w:rPr/>
        <w:t>., 1980).</w:t>
      </w:r>
    </w:p>
    <w:p>
      <w:pPr>
        <w:pStyle w:val="BodyText"/>
        <w:spacing w:before="143"/>
      </w:pPr>
    </w:p>
    <w:p>
      <w:pPr>
        <w:pStyle w:val="Heading2"/>
        <w:numPr>
          <w:ilvl w:val="1"/>
          <w:numId w:val="19"/>
        </w:numPr>
        <w:tabs>
          <w:tab w:pos="1158" w:val="left" w:leader="none"/>
        </w:tabs>
        <w:spacing w:line="240" w:lineRule="auto" w:before="0" w:after="0"/>
        <w:ind w:left="1158" w:right="0" w:hanging="480"/>
        <w:jc w:val="both"/>
      </w:pPr>
      <w:bookmarkStart w:name="_TOC_250055" w:id="78"/>
      <w:bookmarkEnd w:id="78"/>
      <w:r>
        <w:rPr>
          <w:spacing w:val="-2"/>
        </w:rPr>
        <w:t>Dissolution</w:t>
      </w:r>
    </w:p>
    <w:p>
      <w:pPr>
        <w:pStyle w:val="BodyText"/>
        <w:spacing w:line="360" w:lineRule="auto" w:before="135"/>
        <w:ind w:left="678" w:right="997" w:firstLine="720"/>
        <w:jc w:val="both"/>
      </w:pPr>
      <w:r>
        <w:rPr/>
        <w:t>Like</w:t>
      </w:r>
      <w:r>
        <w:rPr>
          <w:spacing w:val="-1"/>
        </w:rPr>
        <w:t> </w:t>
      </w:r>
      <w:r>
        <w:rPr/>
        <w:t>disintegration</w:t>
      </w:r>
      <w:r>
        <w:rPr>
          <w:spacing w:val="-1"/>
        </w:rPr>
        <w:t> </w:t>
      </w:r>
      <w:r>
        <w:rPr/>
        <w:t>test,</w:t>
      </w:r>
      <w:r>
        <w:rPr>
          <w:spacing w:val="-1"/>
        </w:rPr>
        <w:t> </w:t>
      </w:r>
      <w:r>
        <w:rPr/>
        <w:t>dissolution</w:t>
      </w:r>
      <w:r>
        <w:rPr>
          <w:spacing w:val="-1"/>
        </w:rPr>
        <w:t> </w:t>
      </w:r>
      <w:r>
        <w:rPr/>
        <w:t>test</w:t>
      </w:r>
      <w:r>
        <w:rPr>
          <w:spacing w:val="-3"/>
        </w:rPr>
        <w:t> </w:t>
      </w:r>
      <w:r>
        <w:rPr/>
        <w:t>measures the</w:t>
      </w:r>
      <w:r>
        <w:rPr>
          <w:spacing w:val="-2"/>
        </w:rPr>
        <w:t> </w:t>
      </w:r>
      <w:r>
        <w:rPr/>
        <w:t>amount</w:t>
      </w:r>
      <w:r>
        <w:rPr>
          <w:spacing w:val="-1"/>
        </w:rPr>
        <w:t> </w:t>
      </w:r>
      <w:r>
        <w:rPr/>
        <w:t>of</w:t>
      </w:r>
      <w:r>
        <w:rPr>
          <w:spacing w:val="-2"/>
        </w:rPr>
        <w:t> </w:t>
      </w:r>
      <w:r>
        <w:rPr/>
        <w:t>time</w:t>
      </w:r>
      <w:r>
        <w:rPr>
          <w:spacing w:val="-2"/>
        </w:rPr>
        <w:t> </w:t>
      </w:r>
      <w:r>
        <w:rPr/>
        <w:t>required</w:t>
      </w:r>
      <w:r>
        <w:rPr>
          <w:spacing w:val="-1"/>
        </w:rPr>
        <w:t> </w:t>
      </w:r>
      <w:r>
        <w:rPr/>
        <w:t>for</w:t>
      </w:r>
      <w:r>
        <w:rPr>
          <w:spacing w:val="-3"/>
        </w:rPr>
        <w:t> </w:t>
      </w:r>
      <w:r>
        <w:rPr/>
        <w:t>a given percentage of the drug substance in a tablet to go into solution under a specified set of</w:t>
      </w:r>
      <w:r>
        <w:rPr>
          <w:spacing w:val="-3"/>
        </w:rPr>
        <w:t> </w:t>
      </w:r>
      <w:r>
        <w:rPr/>
        <w:t>conditions. It</w:t>
      </w:r>
      <w:r>
        <w:rPr>
          <w:spacing w:val="-2"/>
        </w:rPr>
        <w:t> </w:t>
      </w:r>
      <w:r>
        <w:rPr/>
        <w:t>is an</w:t>
      </w:r>
      <w:r>
        <w:rPr>
          <w:spacing w:val="-2"/>
        </w:rPr>
        <w:t> </w:t>
      </w:r>
      <w:r>
        <w:rPr>
          <w:i/>
        </w:rPr>
        <w:t>in vitro</w:t>
      </w:r>
      <w:r>
        <w:rPr>
          <w:i/>
          <w:spacing w:val="-1"/>
        </w:rPr>
        <w:t> </w:t>
      </w:r>
      <w:r>
        <w:rPr/>
        <w:t>test. It is</w:t>
      </w:r>
      <w:r>
        <w:rPr>
          <w:spacing w:val="-1"/>
        </w:rPr>
        <w:t> </w:t>
      </w:r>
      <w:r>
        <w:rPr/>
        <w:t>intended to provide</w:t>
      </w:r>
      <w:r>
        <w:rPr>
          <w:spacing w:val="-2"/>
        </w:rPr>
        <w:t> </w:t>
      </w:r>
      <w:r>
        <w:rPr/>
        <w:t>a</w:t>
      </w:r>
      <w:r>
        <w:rPr>
          <w:spacing w:val="-2"/>
        </w:rPr>
        <w:t> </w:t>
      </w:r>
      <w:r>
        <w:rPr/>
        <w:t>step</w:t>
      </w:r>
      <w:r>
        <w:rPr>
          <w:spacing w:val="-2"/>
        </w:rPr>
        <w:t> </w:t>
      </w:r>
      <w:r>
        <w:rPr/>
        <w:t>towards</w:t>
      </w:r>
      <w:r>
        <w:rPr>
          <w:spacing w:val="-2"/>
        </w:rPr>
        <w:t> </w:t>
      </w:r>
      <w:r>
        <w:rPr/>
        <w:t>the</w:t>
      </w:r>
      <w:r>
        <w:rPr>
          <w:spacing w:val="-3"/>
        </w:rPr>
        <w:t> </w:t>
      </w:r>
      <w:r>
        <w:rPr/>
        <w:t>evaluation</w:t>
      </w:r>
      <w:r>
        <w:rPr>
          <w:spacing w:val="-2"/>
        </w:rPr>
        <w:t> </w:t>
      </w:r>
      <w:r>
        <w:rPr/>
        <w:t>of the physiological availability of the drug substance. Like the disintegration test, it does provide a means of control in assuring that a given tablet formulation is the same with regard to dissolution as other batches of the tablets in term of clinical effectiveness.</w:t>
      </w:r>
    </w:p>
    <w:p>
      <w:pPr>
        <w:pStyle w:val="BodyText"/>
        <w:spacing w:line="360" w:lineRule="auto"/>
        <w:ind w:left="678" w:right="996"/>
        <w:jc w:val="both"/>
      </w:pPr>
      <w:r>
        <w:rPr/>
        <w:t>Thus, drug absorption requires the molecules be in solution at their absorption site. Dissolution of solid dosage form (tablet) in the gastro intestinal tract (G.I.T) fluid is a prerequisite to the delivery of a drug to the systemic circulations.</w:t>
      </w:r>
    </w:p>
    <w:p>
      <w:pPr>
        <w:pStyle w:val="BodyText"/>
        <w:spacing w:before="143"/>
      </w:pPr>
    </w:p>
    <w:p>
      <w:pPr>
        <w:pStyle w:val="Heading2"/>
        <w:numPr>
          <w:ilvl w:val="2"/>
          <w:numId w:val="19"/>
        </w:numPr>
        <w:tabs>
          <w:tab w:pos="1338" w:val="left" w:leader="none"/>
        </w:tabs>
        <w:spacing w:line="240" w:lineRule="auto" w:before="0" w:after="0"/>
        <w:ind w:left="1338" w:right="0" w:hanging="660"/>
        <w:jc w:val="both"/>
      </w:pPr>
      <w:bookmarkStart w:name="_TOC_250054" w:id="79"/>
      <w:r>
        <w:rPr/>
        <w:t>Dissolution</w:t>
      </w:r>
      <w:r>
        <w:rPr>
          <w:spacing w:val="-2"/>
        </w:rPr>
        <w:t> </w:t>
      </w:r>
      <w:r>
        <w:rPr/>
        <w:t>as</w:t>
      </w:r>
      <w:r>
        <w:rPr>
          <w:spacing w:val="-1"/>
        </w:rPr>
        <w:t> </w:t>
      </w:r>
      <w:r>
        <w:rPr/>
        <w:t>parameter</w:t>
      </w:r>
      <w:r>
        <w:rPr>
          <w:spacing w:val="-3"/>
        </w:rPr>
        <w:t> </w:t>
      </w:r>
      <w:r>
        <w:rPr/>
        <w:t>affecting</w:t>
      </w:r>
      <w:r>
        <w:rPr>
          <w:spacing w:val="-1"/>
        </w:rPr>
        <w:t> </w:t>
      </w:r>
      <w:r>
        <w:rPr/>
        <w:t>drug</w:t>
      </w:r>
      <w:r>
        <w:rPr>
          <w:spacing w:val="-1"/>
        </w:rPr>
        <w:t> </w:t>
      </w:r>
      <w:bookmarkEnd w:id="79"/>
      <w:r>
        <w:rPr>
          <w:spacing w:val="-2"/>
        </w:rPr>
        <w:t>absorption</w:t>
      </w:r>
    </w:p>
    <w:p>
      <w:pPr>
        <w:pStyle w:val="BodyText"/>
        <w:spacing w:line="360" w:lineRule="auto" w:before="132"/>
        <w:ind w:left="678" w:right="1000" w:firstLine="840"/>
        <w:jc w:val="both"/>
      </w:pPr>
      <w:r>
        <w:rPr/>
        <w:t>The absorption of drugs administered orally as solids consists of two consecutive processes: the process of dissolution, followed by the transport of the dissolved material across gastrointestinal membrane into systemic circulation (Lieberman </w:t>
      </w:r>
      <w:r>
        <w:rPr>
          <w:i/>
        </w:rPr>
        <w:t>et al</w:t>
      </w:r>
      <w:r>
        <w:rPr/>
        <w:t>., 1989).</w:t>
      </w:r>
    </w:p>
    <w:p>
      <w:pPr>
        <w:pStyle w:val="BodyText"/>
        <w:spacing w:line="360" w:lineRule="auto"/>
        <w:ind w:left="678" w:right="992" w:firstLine="840"/>
        <w:jc w:val="both"/>
      </w:pPr>
      <w:r>
        <w:rPr/>
        <w:t>For relatively insoluble compounds, the rate-determining step in the overall absorption process is generally the rate of dissolution. On the other hand, for relatively soluble compounds, the rate of permeation across biological membrane is the rate- determining step.</w:t>
      </w:r>
    </w:p>
    <w:p>
      <w:pPr>
        <w:spacing w:after="0" w:line="360" w:lineRule="auto"/>
        <w:jc w:val="both"/>
        <w:sectPr>
          <w:pgSz w:w="12240" w:h="15840"/>
          <w:pgMar w:header="0" w:footer="1056" w:top="1340" w:bottom="1240" w:left="1420" w:right="420"/>
        </w:sectPr>
      </w:pPr>
    </w:p>
    <w:p>
      <w:pPr>
        <w:pStyle w:val="BodyText"/>
        <w:spacing w:line="360" w:lineRule="auto" w:before="72"/>
        <w:ind w:left="678" w:right="997" w:firstLine="960"/>
        <w:jc w:val="both"/>
      </w:pPr>
      <w:r>
        <w:rPr/>
        <mc:AlternateContent>
          <mc:Choice Requires="wps">
            <w:drawing>
              <wp:anchor distT="0" distB="0" distL="0" distR="0" allowOverlap="1" layoutInCell="1" locked="0" behindDoc="1" simplePos="0" relativeHeight="482959872">
                <wp:simplePos x="0" y="0"/>
                <wp:positionH relativeFrom="page">
                  <wp:posOffset>-1402226</wp:posOffset>
                </wp:positionH>
                <wp:positionV relativeFrom="page">
                  <wp:posOffset>4612234</wp:posOffset>
                </wp:positionV>
                <wp:extent cx="10685780" cy="9144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6608;rotation:306" type="#_x0000_t136" fillcolor="#ff5400" stroked="f">
                <o:extrusion v:ext="view" autorotationcenter="t"/>
                <v:textpath style="font-family:&quot;Arial MT&quot;;font-size:72pt;v-text-kern:t;mso-text-shadow:auto" string="UNIVERSITY OF IBADAN"/>
                <w10:wrap type="none"/>
              </v:shape>
            </w:pict>
          </mc:Fallback>
        </mc:AlternateContent>
      </w:r>
      <w:r>
        <w:rPr/>
        <w:t>The rate of dissolution can be altered via physical intervention (crushing strength, nature and concentration of binding agents and compression pressure). The rate of permeation, on the other hand, is dependent on size, relative aqueous and lipid solubility, and ionic charge of the solute molecules. These properties can be altered, in the majority of cases, only through molecular modification (Lieberman </w:t>
      </w:r>
      <w:r>
        <w:rPr>
          <w:i/>
        </w:rPr>
        <w:t>et al., </w:t>
      </w:r>
      <w:r>
        <w:rPr/>
        <w:t>1989).</w:t>
      </w:r>
    </w:p>
    <w:p>
      <w:pPr>
        <w:pStyle w:val="BodyText"/>
        <w:spacing w:before="144"/>
      </w:pPr>
    </w:p>
    <w:p>
      <w:pPr>
        <w:pStyle w:val="Heading2"/>
        <w:numPr>
          <w:ilvl w:val="2"/>
          <w:numId w:val="19"/>
        </w:numPr>
        <w:tabs>
          <w:tab w:pos="1338" w:val="left" w:leader="none"/>
        </w:tabs>
        <w:spacing w:line="240" w:lineRule="auto" w:before="0" w:after="0"/>
        <w:ind w:left="1338" w:right="0" w:hanging="660"/>
        <w:jc w:val="both"/>
      </w:pPr>
      <w:bookmarkStart w:name="_TOC_250053" w:id="80"/>
      <w:r>
        <w:rPr/>
        <w:t>Methods</w:t>
      </w:r>
      <w:r>
        <w:rPr>
          <w:spacing w:val="-4"/>
        </w:rPr>
        <w:t> </w:t>
      </w:r>
      <w:r>
        <w:rPr/>
        <w:t>used</w:t>
      </w:r>
      <w:r>
        <w:rPr>
          <w:spacing w:val="-1"/>
        </w:rPr>
        <w:t> </w:t>
      </w:r>
      <w:r>
        <w:rPr/>
        <w:t>for</w:t>
      </w:r>
      <w:r>
        <w:rPr>
          <w:spacing w:val="-2"/>
        </w:rPr>
        <w:t> </w:t>
      </w:r>
      <w:r>
        <w:rPr/>
        <w:t>dissolution</w:t>
      </w:r>
      <w:r>
        <w:rPr>
          <w:spacing w:val="-1"/>
        </w:rPr>
        <w:t> </w:t>
      </w:r>
      <w:r>
        <w:rPr/>
        <w:t>rate </w:t>
      </w:r>
      <w:bookmarkEnd w:id="80"/>
      <w:r>
        <w:rPr>
          <w:spacing w:val="-2"/>
        </w:rPr>
        <w:t>studies</w:t>
      </w:r>
    </w:p>
    <w:p>
      <w:pPr>
        <w:pStyle w:val="BodyText"/>
        <w:spacing w:line="360" w:lineRule="auto" w:before="132"/>
        <w:ind w:left="678" w:right="995" w:firstLine="720"/>
        <w:jc w:val="both"/>
      </w:pPr>
      <w:r>
        <w:rPr/>
        <w:t>There are three main elements usually require for the design of apparatus for dissolution rate tests: means for agitating the dissolution medium; means for supporting the sample without impeding the flow of liquid and the means for estimating the quantity of drug that has been dissolved (Talman, 1977).</w:t>
      </w:r>
    </w:p>
    <w:p>
      <w:pPr>
        <w:pStyle w:val="BodyText"/>
        <w:spacing w:line="360" w:lineRule="auto" w:before="1"/>
        <w:ind w:left="678" w:right="998" w:firstLine="720"/>
        <w:jc w:val="both"/>
      </w:pPr>
      <w:r>
        <w:rPr/>
        <w:t>The attainment of the right degree of agitation that would adequately mimic peristaltic motion of the gastro-intestinal tract appears to be the most difficult task in the design</w:t>
      </w:r>
      <w:r>
        <w:rPr>
          <w:spacing w:val="-2"/>
        </w:rPr>
        <w:t> </w:t>
      </w:r>
      <w:r>
        <w:rPr/>
        <w:t>and</w:t>
      </w:r>
      <w:r>
        <w:rPr>
          <w:spacing w:val="-2"/>
        </w:rPr>
        <w:t> </w:t>
      </w:r>
      <w:r>
        <w:rPr/>
        <w:t>standardization</w:t>
      </w:r>
      <w:r>
        <w:rPr>
          <w:spacing w:val="-2"/>
        </w:rPr>
        <w:t> </w:t>
      </w:r>
      <w:r>
        <w:rPr/>
        <w:t>of</w:t>
      </w:r>
      <w:r>
        <w:rPr>
          <w:spacing w:val="-3"/>
        </w:rPr>
        <w:t> </w:t>
      </w:r>
      <w:r>
        <w:rPr/>
        <w:t>dissolution</w:t>
      </w:r>
      <w:r>
        <w:rPr>
          <w:spacing w:val="-4"/>
        </w:rPr>
        <w:t> </w:t>
      </w:r>
      <w:r>
        <w:rPr/>
        <w:t>test</w:t>
      </w:r>
      <w:r>
        <w:rPr>
          <w:spacing w:val="-2"/>
        </w:rPr>
        <w:t> </w:t>
      </w:r>
      <w:r>
        <w:rPr/>
        <w:t>apparatus</w:t>
      </w:r>
      <w:r>
        <w:rPr>
          <w:spacing w:val="-2"/>
        </w:rPr>
        <w:t> </w:t>
      </w:r>
      <w:r>
        <w:rPr/>
        <w:t>(Talman,</w:t>
      </w:r>
      <w:r>
        <w:rPr>
          <w:spacing w:val="-2"/>
        </w:rPr>
        <w:t> </w:t>
      </w:r>
      <w:r>
        <w:rPr/>
        <w:t>1977).</w:t>
      </w:r>
      <w:r>
        <w:rPr>
          <w:spacing w:val="-2"/>
        </w:rPr>
        <w:t> </w:t>
      </w:r>
      <w:r>
        <w:rPr/>
        <w:t>To ensure</w:t>
      </w:r>
      <w:r>
        <w:rPr>
          <w:spacing w:val="-4"/>
        </w:rPr>
        <w:t> </w:t>
      </w:r>
      <w:r>
        <w:rPr/>
        <w:t>that</w:t>
      </w:r>
      <w:r>
        <w:rPr>
          <w:spacing w:val="-2"/>
        </w:rPr>
        <w:t> </w:t>
      </w:r>
      <w:r>
        <w:rPr/>
        <w:t>the stirring elements of the apparatus rotate smoothly without significant wobble during its operation, the official methods adopted the forced convection stream lined flow procedure (BP, 1998).</w:t>
      </w:r>
    </w:p>
    <w:p>
      <w:pPr>
        <w:pStyle w:val="BodyText"/>
        <w:spacing w:line="360" w:lineRule="auto"/>
        <w:ind w:left="678" w:right="990" w:firstLine="720"/>
        <w:jc w:val="both"/>
      </w:pPr>
      <w:r>
        <w:rPr/>
        <w:t>The BP apparatus I (basket) and Apparatus II (Paddle) have been commonly used for dissolution rate studies. The ―flow through cell‖ (Apparatus III) has more recently been introduced by the BP (1998).</w:t>
      </w:r>
    </w:p>
    <w:p>
      <w:pPr>
        <w:pStyle w:val="BodyText"/>
        <w:spacing w:before="143"/>
      </w:pPr>
    </w:p>
    <w:p>
      <w:pPr>
        <w:pStyle w:val="Heading2"/>
        <w:numPr>
          <w:ilvl w:val="1"/>
          <w:numId w:val="19"/>
        </w:numPr>
        <w:tabs>
          <w:tab w:pos="1158" w:val="left" w:leader="none"/>
        </w:tabs>
        <w:spacing w:line="240" w:lineRule="auto" w:before="0" w:after="0"/>
        <w:ind w:left="1158" w:right="0" w:hanging="480"/>
        <w:jc w:val="both"/>
      </w:pPr>
      <w:bookmarkStart w:name="_TOC_250052" w:id="81"/>
      <w:r>
        <w:rPr/>
        <w:t>Pharmacokinetic</w:t>
      </w:r>
      <w:r>
        <w:rPr>
          <w:spacing w:val="-5"/>
        </w:rPr>
        <w:t> </w:t>
      </w:r>
      <w:r>
        <w:rPr/>
        <w:t>evaluation</w:t>
      </w:r>
      <w:r>
        <w:rPr>
          <w:spacing w:val="-2"/>
        </w:rPr>
        <w:t> </w:t>
      </w:r>
      <w:r>
        <w:rPr/>
        <w:t>of</w:t>
      </w:r>
      <w:r>
        <w:rPr>
          <w:spacing w:val="-2"/>
        </w:rPr>
        <w:t> </w:t>
      </w:r>
      <w:r>
        <w:rPr/>
        <w:t>medicinal</w:t>
      </w:r>
      <w:r>
        <w:rPr>
          <w:spacing w:val="-3"/>
        </w:rPr>
        <w:t> </w:t>
      </w:r>
      <w:bookmarkEnd w:id="81"/>
      <w:r>
        <w:rPr>
          <w:spacing w:val="-2"/>
        </w:rPr>
        <w:t>plants</w:t>
      </w:r>
    </w:p>
    <w:p>
      <w:pPr>
        <w:pStyle w:val="BodyText"/>
        <w:spacing w:line="360" w:lineRule="auto" w:before="135"/>
        <w:ind w:left="678" w:right="993" w:firstLine="720"/>
        <w:jc w:val="both"/>
      </w:pPr>
      <w:r>
        <w:rPr/>
        <w:t>Pharmacokinetics is the action of body on the drug and includes absorption, distribution, metabolism and excretion (Hussain </w:t>
      </w:r>
      <w:r>
        <w:rPr>
          <w:i/>
        </w:rPr>
        <w:t>et al</w:t>
      </w:r>
      <w:r>
        <w:rPr/>
        <w:t>., 2009). Therapeutic outcome depends on the rate and extent at which drug reaches the site of action and its bioavailability. Pharmacokinetic parameters help to establish bioequivalence in-between formulations and to understand toxicology and drug exposure. Pharmacokinetic studies of herbs may also assist physicians in prescribing drugs safely and effectively to those patients who are consuming herbal products, because herbs may synergise or antagonise the</w:t>
      </w:r>
      <w:r>
        <w:rPr>
          <w:spacing w:val="-3"/>
        </w:rPr>
        <w:t> </w:t>
      </w:r>
      <w:r>
        <w:rPr/>
        <w:t>drugs</w:t>
      </w:r>
      <w:r>
        <w:rPr>
          <w:spacing w:val="-2"/>
        </w:rPr>
        <w:t> </w:t>
      </w:r>
      <w:r>
        <w:rPr/>
        <w:t>and</w:t>
      </w:r>
      <w:r>
        <w:rPr>
          <w:spacing w:val="-2"/>
        </w:rPr>
        <w:t> </w:t>
      </w:r>
      <w:r>
        <w:rPr/>
        <w:t>herb-drug</w:t>
      </w:r>
      <w:r>
        <w:rPr>
          <w:spacing w:val="-4"/>
        </w:rPr>
        <w:t> </w:t>
      </w:r>
      <w:r>
        <w:rPr/>
        <w:t>interactions</w:t>
      </w:r>
      <w:r>
        <w:rPr>
          <w:spacing w:val="-2"/>
        </w:rPr>
        <w:t> </w:t>
      </w:r>
      <w:r>
        <w:rPr/>
        <w:t>(Esinome</w:t>
      </w:r>
      <w:r>
        <w:rPr>
          <w:spacing w:val="-2"/>
        </w:rPr>
        <w:t> </w:t>
      </w:r>
      <w:r>
        <w:rPr>
          <w:i/>
        </w:rPr>
        <w:t>et</w:t>
      </w:r>
      <w:r>
        <w:rPr>
          <w:i/>
          <w:spacing w:val="-2"/>
        </w:rPr>
        <w:t> </w:t>
      </w:r>
      <w:r>
        <w:rPr>
          <w:i/>
        </w:rPr>
        <w:t>al</w:t>
      </w:r>
      <w:r>
        <w:rPr/>
        <w:t>,</w:t>
      </w:r>
      <w:r>
        <w:rPr>
          <w:spacing w:val="-2"/>
        </w:rPr>
        <w:t> </w:t>
      </w:r>
      <w:r>
        <w:rPr/>
        <w:t>2002).</w:t>
      </w:r>
      <w:r>
        <w:rPr>
          <w:spacing w:val="-2"/>
        </w:rPr>
        <w:t> </w:t>
      </w:r>
      <w:r>
        <w:rPr/>
        <w:t>Natural</w:t>
      </w:r>
      <w:r>
        <w:rPr>
          <w:spacing w:val="-2"/>
        </w:rPr>
        <w:t> </w:t>
      </w:r>
      <w:r>
        <w:rPr/>
        <w:t>product</w:t>
      </w:r>
      <w:r>
        <w:rPr>
          <w:spacing w:val="-2"/>
        </w:rPr>
        <w:t> </w:t>
      </w:r>
      <w:r>
        <w:rPr/>
        <w:t>scientists have been</w:t>
      </w:r>
      <w:r>
        <w:rPr>
          <w:spacing w:val="20"/>
        </w:rPr>
        <w:t> </w:t>
      </w:r>
      <w:r>
        <w:rPr/>
        <w:t>studying</w:t>
      </w:r>
      <w:r>
        <w:rPr>
          <w:spacing w:val="20"/>
        </w:rPr>
        <w:t> </w:t>
      </w:r>
      <w:r>
        <w:rPr/>
        <w:t>pharmacodynamics,</w:t>
      </w:r>
      <w:r>
        <w:rPr>
          <w:spacing w:val="23"/>
        </w:rPr>
        <w:t> </w:t>
      </w:r>
      <w:r>
        <w:rPr/>
        <w:t>the</w:t>
      </w:r>
      <w:r>
        <w:rPr>
          <w:spacing w:val="22"/>
        </w:rPr>
        <w:t> </w:t>
      </w:r>
      <w:r>
        <w:rPr/>
        <w:t>action</w:t>
      </w:r>
      <w:r>
        <w:rPr>
          <w:spacing w:val="23"/>
        </w:rPr>
        <w:t> </w:t>
      </w:r>
      <w:r>
        <w:rPr/>
        <w:t>of</w:t>
      </w:r>
      <w:r>
        <w:rPr>
          <w:spacing w:val="24"/>
        </w:rPr>
        <w:t> </w:t>
      </w:r>
      <w:r>
        <w:rPr/>
        <w:t>herbs</w:t>
      </w:r>
      <w:r>
        <w:rPr>
          <w:spacing w:val="22"/>
        </w:rPr>
        <w:t> </w:t>
      </w:r>
      <w:r>
        <w:rPr/>
        <w:t>on</w:t>
      </w:r>
      <w:r>
        <w:rPr>
          <w:spacing w:val="22"/>
        </w:rPr>
        <w:t> </w:t>
      </w:r>
      <w:r>
        <w:rPr/>
        <w:t>the</w:t>
      </w:r>
      <w:r>
        <w:rPr>
          <w:spacing w:val="23"/>
        </w:rPr>
        <w:t> </w:t>
      </w:r>
      <w:r>
        <w:rPr/>
        <w:t>body</w:t>
      </w:r>
      <w:r>
        <w:rPr>
          <w:spacing w:val="15"/>
        </w:rPr>
        <w:t> </w:t>
      </w:r>
      <w:r>
        <w:rPr/>
        <w:t>but</w:t>
      </w:r>
      <w:r>
        <w:rPr>
          <w:spacing w:val="23"/>
        </w:rPr>
        <w:t> </w:t>
      </w:r>
      <w:r>
        <w:rPr/>
        <w:t>less</w:t>
      </w:r>
      <w:r>
        <w:rPr>
          <w:spacing w:val="23"/>
        </w:rPr>
        <w:t> </w:t>
      </w:r>
      <w:r>
        <w:rPr/>
        <w:t>attention</w:t>
      </w:r>
      <w:r>
        <w:rPr>
          <w:spacing w:val="23"/>
        </w:rPr>
        <w:t> </w:t>
      </w:r>
      <w:r>
        <w:rPr>
          <w:spacing w:val="-5"/>
        </w:rPr>
        <w:t>has</w:t>
      </w:r>
    </w:p>
    <w:p>
      <w:pPr>
        <w:spacing w:after="0" w:line="360" w:lineRule="auto"/>
        <w:jc w:val="both"/>
        <w:sectPr>
          <w:pgSz w:w="12240" w:h="15840"/>
          <w:pgMar w:header="0" w:footer="1056" w:top="1340" w:bottom="1240" w:left="1420" w:right="420"/>
        </w:sectPr>
      </w:pPr>
    </w:p>
    <w:p>
      <w:pPr>
        <w:pStyle w:val="BodyText"/>
        <w:spacing w:line="360" w:lineRule="auto" w:before="72"/>
        <w:ind w:left="678" w:right="993"/>
        <w:jc w:val="both"/>
      </w:pPr>
      <w:r>
        <w:rPr/>
        <mc:AlternateContent>
          <mc:Choice Requires="wps">
            <w:drawing>
              <wp:anchor distT="0" distB="0" distL="0" distR="0" allowOverlap="1" layoutInCell="1" locked="0" behindDoc="1" simplePos="0" relativeHeight="482960384">
                <wp:simplePos x="0" y="0"/>
                <wp:positionH relativeFrom="page">
                  <wp:posOffset>-1402226</wp:posOffset>
                </wp:positionH>
                <wp:positionV relativeFrom="page">
                  <wp:posOffset>4612234</wp:posOffset>
                </wp:positionV>
                <wp:extent cx="10685780" cy="9144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6096;rotation:306" type="#_x0000_t136" fillcolor="#ff5400" stroked="f">
                <o:extrusion v:ext="view" autorotationcenter="t"/>
                <v:textpath style="font-family:&quot;Arial MT&quot;;font-size:72pt;v-text-kern:t;mso-text-shadow:auto" string="UNIVERSITY OF IBADAN"/>
                <w10:wrap type="none"/>
              </v:shape>
            </w:pict>
          </mc:Fallback>
        </mc:AlternateContent>
      </w:r>
      <w:r>
        <w:rPr/>
        <w:t>been paid to study the effect of body on herbs (De Smet and Brauwers, 1997). Unlike pharmaceuticals, pharmacokinetics of herbal products, mixture of known and unknown components, is always challenging due to their complexity and unavailability or inadequacy of standards and methods. Moreover, lack of pharmacokinetic studies is the biggest hindrance in the modernization of herbal products because there is no way to establish bioequivalence between products prepared by modified method and the original method (Handa, 1996). Pharmacokinetic studies are of prime importance prior to clinical trials of herbal products to make these remedies evidence-based drugs (Mills and Bone, 2000). Two approaches, compartment and non-compartment model are commomnly used to evaluate pharmacokinetics of antidiabetic medicinal plants which may follow a first order glucose kinetics (Hussain </w:t>
      </w:r>
      <w:r>
        <w:rPr>
          <w:i/>
        </w:rPr>
        <w:t>et al</w:t>
      </w:r>
      <w:r>
        <w:rPr/>
        <w:t>., 2009).</w:t>
      </w:r>
    </w:p>
    <w:p>
      <w:pPr>
        <w:pStyle w:val="BodyText"/>
        <w:spacing w:before="144"/>
      </w:pPr>
    </w:p>
    <w:p>
      <w:pPr>
        <w:pStyle w:val="Heading2"/>
        <w:numPr>
          <w:ilvl w:val="1"/>
          <w:numId w:val="19"/>
        </w:numPr>
        <w:tabs>
          <w:tab w:pos="1158" w:val="left" w:leader="none"/>
        </w:tabs>
        <w:spacing w:line="240" w:lineRule="auto" w:before="1" w:after="0"/>
        <w:ind w:left="1158" w:right="0" w:hanging="480"/>
        <w:jc w:val="both"/>
      </w:pPr>
      <w:r>
        <w:rPr/>
        <w:t>Aims</w:t>
      </w:r>
      <w:r>
        <w:rPr>
          <w:spacing w:val="-2"/>
        </w:rPr>
        <w:t> </w:t>
      </w:r>
      <w:r>
        <w:rPr/>
        <w:t>and</w:t>
      </w:r>
      <w:r>
        <w:rPr>
          <w:spacing w:val="-1"/>
        </w:rPr>
        <w:t> </w:t>
      </w:r>
      <w:r>
        <w:rPr>
          <w:spacing w:val="-2"/>
        </w:rPr>
        <w:t>objectives</w:t>
      </w:r>
    </w:p>
    <w:p>
      <w:pPr>
        <w:pStyle w:val="BodyText"/>
        <w:spacing w:line="360" w:lineRule="auto" w:before="132"/>
        <w:ind w:left="678" w:right="993" w:firstLine="720"/>
        <w:jc w:val="both"/>
      </w:pPr>
      <w:r>
        <w:rPr/>
        <w:t>One of the chronic, worldwide heterogeneous, life threatening disease is diabetes. International Diabetic Federation quoted 6% of the world‘s population (230 million people) as sufferers, (Gbolade, 2006). It was predicted that the prevalence of it will be 5.4% by the year 2025 with the global diabetic population reaching to 300 million (Khan and Khanum, 2005). In Nigeria, diabetes mellitus is among the ten leading causes of</w:t>
      </w:r>
      <w:r>
        <w:rPr>
          <w:spacing w:val="40"/>
        </w:rPr>
        <w:t> </w:t>
      </w:r>
      <w:r>
        <w:rPr/>
        <w:t>death. According to the Diabetic Association of Nigeria, the number of people suffering from diabetes is about 10 million and half of this number are in Lagos (Gbolade, 2009). The number is increasing in both rural and urban areas and the fact is that access to orthodox therapies</w:t>
      </w:r>
      <w:r>
        <w:rPr>
          <w:spacing w:val="-1"/>
        </w:rPr>
        <w:t> </w:t>
      </w:r>
      <w:r>
        <w:rPr/>
        <w:t>are</w:t>
      </w:r>
      <w:r>
        <w:rPr>
          <w:spacing w:val="-1"/>
        </w:rPr>
        <w:t> </w:t>
      </w:r>
      <w:r>
        <w:rPr/>
        <w:t>difficult or</w:t>
      </w:r>
      <w:r>
        <w:rPr>
          <w:spacing w:val="-1"/>
        </w:rPr>
        <w:t> </w:t>
      </w:r>
      <w:r>
        <w:rPr/>
        <w:t>even non-exist and in some</w:t>
      </w:r>
      <w:r>
        <w:rPr>
          <w:spacing w:val="-1"/>
        </w:rPr>
        <w:t> </w:t>
      </w:r>
      <w:r>
        <w:rPr/>
        <w:t>cases costly</w:t>
      </w:r>
      <w:r>
        <w:rPr>
          <w:spacing w:val="-3"/>
        </w:rPr>
        <w:t> </w:t>
      </w:r>
      <w:r>
        <w:rPr/>
        <w:t>to be</w:t>
      </w:r>
      <w:r>
        <w:rPr>
          <w:spacing w:val="-1"/>
        </w:rPr>
        <w:t> </w:t>
      </w:r>
      <w:r>
        <w:rPr/>
        <w:t>accessible for rural dwellers which form the larger population. So most of the rural dwellers use one plant or the other to control or treat diabetes mellitus. In spite of their efficacy, herbal medicinal products have been widely criticized due to lack of standardization and poor- quality presentation (Majekodunmi </w:t>
      </w:r>
      <w:r>
        <w:rPr>
          <w:i/>
        </w:rPr>
        <w:t>et al</w:t>
      </w:r>
      <w:r>
        <w:rPr/>
        <w:t>., 2008). Hence, there is a need to formulate a herbal antidiabetic that is convenient, cheap, safe and effective for the treatment of diabetes mellitus.</w:t>
      </w:r>
    </w:p>
    <w:p>
      <w:pPr>
        <w:pStyle w:val="BodyText"/>
        <w:spacing w:line="360" w:lineRule="auto"/>
        <w:ind w:left="678" w:right="995" w:firstLine="720"/>
        <w:jc w:val="both"/>
      </w:pPr>
      <w:r>
        <w:rPr>
          <w:i/>
        </w:rPr>
        <w:t>Mucuna pruriens </w:t>
      </w:r>
      <w:r>
        <w:rPr/>
        <w:t>(Fam. Fabaceae) is grown wildly in bushes, gardens, bush parts and large plantations in Nigeria. In traditional medicine, the seeds of </w:t>
      </w:r>
      <w:r>
        <w:rPr>
          <w:i/>
        </w:rPr>
        <w:t>M. pruriens </w:t>
      </w:r>
      <w:r>
        <w:rPr/>
        <w:t>are ground</w:t>
      </w:r>
      <w:r>
        <w:rPr>
          <w:spacing w:val="36"/>
        </w:rPr>
        <w:t> </w:t>
      </w:r>
      <w:r>
        <w:rPr/>
        <w:t>and</w:t>
      </w:r>
      <w:r>
        <w:rPr>
          <w:spacing w:val="39"/>
        </w:rPr>
        <w:t> </w:t>
      </w:r>
      <w:r>
        <w:rPr/>
        <w:t>soaked</w:t>
      </w:r>
      <w:r>
        <w:rPr>
          <w:spacing w:val="39"/>
        </w:rPr>
        <w:t> </w:t>
      </w:r>
      <w:r>
        <w:rPr/>
        <w:t>in</w:t>
      </w:r>
      <w:r>
        <w:rPr>
          <w:spacing w:val="39"/>
        </w:rPr>
        <w:t> </w:t>
      </w:r>
      <w:r>
        <w:rPr/>
        <w:t>water</w:t>
      </w:r>
      <w:r>
        <w:rPr>
          <w:spacing w:val="39"/>
        </w:rPr>
        <w:t> </w:t>
      </w:r>
      <w:r>
        <w:rPr/>
        <w:t>or</w:t>
      </w:r>
      <w:r>
        <w:rPr>
          <w:spacing w:val="38"/>
        </w:rPr>
        <w:t> </w:t>
      </w:r>
      <w:r>
        <w:rPr/>
        <w:t>alcohol</w:t>
      </w:r>
      <w:r>
        <w:rPr>
          <w:spacing w:val="39"/>
        </w:rPr>
        <w:t> </w:t>
      </w:r>
      <w:r>
        <w:rPr/>
        <w:t>and</w:t>
      </w:r>
      <w:r>
        <w:rPr>
          <w:spacing w:val="39"/>
        </w:rPr>
        <w:t> </w:t>
      </w:r>
      <w:r>
        <w:rPr/>
        <w:t>unspecified</w:t>
      </w:r>
      <w:r>
        <w:rPr>
          <w:spacing w:val="38"/>
        </w:rPr>
        <w:t> </w:t>
      </w:r>
      <w:r>
        <w:rPr/>
        <w:t>quantities</w:t>
      </w:r>
      <w:r>
        <w:rPr>
          <w:spacing w:val="39"/>
        </w:rPr>
        <w:t> </w:t>
      </w:r>
      <w:r>
        <w:rPr/>
        <w:t>of</w:t>
      </w:r>
      <w:r>
        <w:rPr>
          <w:spacing w:val="38"/>
        </w:rPr>
        <w:t> </w:t>
      </w:r>
      <w:r>
        <w:rPr/>
        <w:t>the</w:t>
      </w:r>
      <w:r>
        <w:rPr>
          <w:spacing w:val="39"/>
        </w:rPr>
        <w:t> </w:t>
      </w:r>
      <w:r>
        <w:rPr/>
        <w:t>decoction</w:t>
      </w:r>
      <w:r>
        <w:rPr>
          <w:spacing w:val="39"/>
        </w:rPr>
        <w:t> </w:t>
      </w:r>
      <w:r>
        <w:rPr>
          <w:spacing w:val="-5"/>
        </w:rPr>
        <w:t>are</w:t>
      </w:r>
    </w:p>
    <w:p>
      <w:pPr>
        <w:spacing w:after="0" w:line="360" w:lineRule="auto"/>
        <w:jc w:val="both"/>
        <w:sectPr>
          <w:pgSz w:w="12240" w:h="15840"/>
          <w:pgMar w:header="0" w:footer="1056" w:top="134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2960896">
                <wp:simplePos x="0" y="0"/>
                <wp:positionH relativeFrom="page">
                  <wp:posOffset>-1402226</wp:posOffset>
                </wp:positionH>
                <wp:positionV relativeFrom="page">
                  <wp:posOffset>4612234</wp:posOffset>
                </wp:positionV>
                <wp:extent cx="10685780" cy="9144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5584;rotation:306" type="#_x0000_t136" fillcolor="#ff5400" stroked="f">
                <o:extrusion v:ext="view" autorotationcenter="t"/>
                <v:textpath style="font-family:&quot;Arial MT&quot;;font-size:72pt;v-text-kern:t;mso-text-shadow:auto" string="UNIVERSITY OF IBADAN"/>
                <w10:wrap type="none"/>
              </v:shape>
            </w:pict>
          </mc:Fallback>
        </mc:AlternateContent>
      </w:r>
      <w:r>
        <w:rPr/>
        <w:t>ingested without regard to toxicological and other adverse effects.</w:t>
      </w:r>
      <w:r>
        <w:rPr>
          <w:spacing w:val="40"/>
        </w:rPr>
        <w:t> </w:t>
      </w:r>
      <w:r>
        <w:rPr/>
        <w:t>Formulation of </w:t>
      </w:r>
      <w:r>
        <w:rPr>
          <w:i/>
        </w:rPr>
        <w:t>M. pruriens </w:t>
      </w:r>
      <w:r>
        <w:rPr/>
        <w:t>into tablet dosage form might ensure dosage precision and confer on it many of the good properties of tablets, which include ease of administration, patient acceptance</w:t>
      </w:r>
      <w:r>
        <w:rPr>
          <w:spacing w:val="40"/>
        </w:rPr>
        <w:t> </w:t>
      </w:r>
      <w:r>
        <w:rPr/>
        <w:t>due to better presentation, prolonged shelf life, and quality assurance in dispensing and reduction in cost arising from transportation of bulky dosage forms (Gunsel and Kanig, </w:t>
      </w:r>
      <w:r>
        <w:rPr>
          <w:spacing w:val="-2"/>
        </w:rPr>
        <w:t>1986).</w:t>
      </w:r>
    </w:p>
    <w:p>
      <w:pPr>
        <w:pStyle w:val="BodyText"/>
        <w:spacing w:line="360" w:lineRule="auto" w:before="1"/>
        <w:ind w:left="678" w:right="997" w:firstLine="720"/>
        <w:jc w:val="both"/>
      </w:pPr>
      <w:r>
        <w:rPr/>
        <w:t>Thus, in the present work the the antidiabetic properties of the extract of the seeds of </w:t>
      </w:r>
      <w:r>
        <w:rPr>
          <w:i/>
        </w:rPr>
        <w:t>M. pruriens </w:t>
      </w:r>
      <w:r>
        <w:rPr/>
        <w:t>was evaluated and the extract formulated into tablet dosage form using direct compression and wet granulation methods to determine the most suitable method of the preparation of the tablets.</w:t>
      </w:r>
    </w:p>
    <w:p>
      <w:pPr>
        <w:pStyle w:val="BodyText"/>
        <w:spacing w:before="1"/>
        <w:ind w:left="678"/>
        <w:jc w:val="both"/>
      </w:pPr>
      <w:r>
        <w:rPr/>
        <w:t>The</w:t>
      </w:r>
      <w:r>
        <w:rPr>
          <w:spacing w:val="-3"/>
        </w:rPr>
        <w:t> </w:t>
      </w:r>
      <w:r>
        <w:rPr/>
        <w:t>specific</w:t>
      </w:r>
      <w:r>
        <w:rPr>
          <w:spacing w:val="-1"/>
        </w:rPr>
        <w:t> </w:t>
      </w:r>
      <w:r>
        <w:rPr/>
        <w:t>objectives of</w:t>
      </w:r>
      <w:r>
        <w:rPr>
          <w:spacing w:val="-1"/>
        </w:rPr>
        <w:t> </w:t>
      </w:r>
      <w:r>
        <w:rPr/>
        <w:t>the</w:t>
      </w:r>
      <w:r>
        <w:rPr>
          <w:spacing w:val="-2"/>
        </w:rPr>
        <w:t> </w:t>
      </w:r>
      <w:r>
        <w:rPr/>
        <w:t>work are</w:t>
      </w:r>
      <w:r>
        <w:rPr>
          <w:spacing w:val="-2"/>
        </w:rPr>
        <w:t> </w:t>
      </w:r>
      <w:r>
        <w:rPr>
          <w:spacing w:val="-5"/>
        </w:rPr>
        <w:t>to:</w:t>
      </w:r>
    </w:p>
    <w:p>
      <w:pPr>
        <w:pStyle w:val="ListParagraph"/>
        <w:numPr>
          <w:ilvl w:val="0"/>
          <w:numId w:val="33"/>
        </w:numPr>
        <w:tabs>
          <w:tab w:pos="1641" w:val="left" w:leader="none"/>
          <w:tab w:pos="1669" w:val="left" w:leader="none"/>
        </w:tabs>
        <w:spacing w:line="360" w:lineRule="auto" w:before="137" w:after="0"/>
        <w:ind w:left="1669" w:right="1003" w:hanging="272"/>
        <w:jc w:val="both"/>
        <w:rPr>
          <w:sz w:val="24"/>
        </w:rPr>
      </w:pPr>
      <w:r>
        <w:rPr>
          <w:sz w:val="24"/>
        </w:rPr>
        <w:t>Investigate</w:t>
      </w:r>
      <w:r>
        <w:rPr>
          <w:spacing w:val="-1"/>
          <w:sz w:val="24"/>
        </w:rPr>
        <w:t> </w:t>
      </w:r>
      <w:r>
        <w:rPr>
          <w:sz w:val="24"/>
        </w:rPr>
        <w:t>the antidiabetic</w:t>
      </w:r>
      <w:r>
        <w:rPr>
          <w:spacing w:val="-3"/>
          <w:sz w:val="24"/>
        </w:rPr>
        <w:t> </w:t>
      </w:r>
      <w:r>
        <w:rPr>
          <w:sz w:val="24"/>
        </w:rPr>
        <w:t>and toxicological</w:t>
      </w:r>
      <w:r>
        <w:rPr>
          <w:spacing w:val="-2"/>
          <w:sz w:val="24"/>
        </w:rPr>
        <w:t> </w:t>
      </w:r>
      <w:r>
        <w:rPr>
          <w:sz w:val="24"/>
        </w:rPr>
        <w:t>potentials</w:t>
      </w:r>
      <w:r>
        <w:rPr>
          <w:spacing w:val="-2"/>
          <w:sz w:val="24"/>
        </w:rPr>
        <w:t> </w:t>
      </w:r>
      <w:r>
        <w:rPr>
          <w:sz w:val="24"/>
        </w:rPr>
        <w:t>of</w:t>
      </w:r>
      <w:r>
        <w:rPr>
          <w:spacing w:val="-3"/>
          <w:sz w:val="24"/>
        </w:rPr>
        <w:t> </w:t>
      </w:r>
      <w:r>
        <w:rPr>
          <w:sz w:val="24"/>
        </w:rPr>
        <w:t>the</w:t>
      </w:r>
      <w:r>
        <w:rPr>
          <w:spacing w:val="-1"/>
          <w:sz w:val="24"/>
        </w:rPr>
        <w:t> </w:t>
      </w:r>
      <w:r>
        <w:rPr>
          <w:sz w:val="24"/>
        </w:rPr>
        <w:t>extract</w:t>
      </w:r>
      <w:r>
        <w:rPr>
          <w:spacing w:val="-2"/>
          <w:sz w:val="24"/>
        </w:rPr>
        <w:t> </w:t>
      </w:r>
      <w:r>
        <w:rPr>
          <w:sz w:val="24"/>
        </w:rPr>
        <w:t>of</w:t>
      </w:r>
      <w:r>
        <w:rPr>
          <w:spacing w:val="-1"/>
          <w:sz w:val="24"/>
        </w:rPr>
        <w:t> </w:t>
      </w:r>
      <w:r>
        <w:rPr>
          <w:sz w:val="24"/>
        </w:rPr>
        <w:t>the</w:t>
      </w:r>
      <w:r>
        <w:rPr>
          <w:spacing w:val="-3"/>
          <w:sz w:val="24"/>
        </w:rPr>
        <w:t> </w:t>
      </w:r>
      <w:r>
        <w:rPr>
          <w:sz w:val="24"/>
        </w:rPr>
        <w:t>seed of </w:t>
      </w:r>
      <w:r>
        <w:rPr>
          <w:i/>
          <w:sz w:val="24"/>
        </w:rPr>
        <w:t>M. pruriens</w:t>
      </w:r>
      <w:r>
        <w:rPr>
          <w:sz w:val="24"/>
        </w:rPr>
        <w:t>.</w:t>
      </w:r>
    </w:p>
    <w:p>
      <w:pPr>
        <w:pStyle w:val="ListParagraph"/>
        <w:numPr>
          <w:ilvl w:val="0"/>
          <w:numId w:val="33"/>
        </w:numPr>
        <w:tabs>
          <w:tab w:pos="1661" w:val="left" w:leader="none"/>
          <w:tab w:pos="1758" w:val="left" w:leader="none"/>
        </w:tabs>
        <w:spacing w:line="360" w:lineRule="auto" w:before="0" w:after="0"/>
        <w:ind w:left="1758" w:right="996" w:hanging="360"/>
        <w:jc w:val="both"/>
        <w:rPr>
          <w:sz w:val="24"/>
        </w:rPr>
      </w:pPr>
      <w:r>
        <w:rPr>
          <w:sz w:val="24"/>
        </w:rPr>
        <w:t>Evaluate the ameliorative effects of </w:t>
      </w:r>
      <w:r>
        <w:rPr>
          <w:i/>
          <w:sz w:val="24"/>
        </w:rPr>
        <w:t>M. pruriens </w:t>
      </w:r>
      <w:r>
        <w:rPr>
          <w:sz w:val="24"/>
        </w:rPr>
        <w:t>seed extract on complications resulting from alloxan-induced biochemical alteration in experimental animal </w:t>
      </w:r>
      <w:r>
        <w:rPr>
          <w:spacing w:val="-2"/>
          <w:sz w:val="24"/>
        </w:rPr>
        <w:t>model.</w:t>
      </w:r>
    </w:p>
    <w:p>
      <w:pPr>
        <w:pStyle w:val="ListParagraph"/>
        <w:numPr>
          <w:ilvl w:val="0"/>
          <w:numId w:val="33"/>
        </w:numPr>
        <w:tabs>
          <w:tab w:pos="1716" w:val="left" w:leader="none"/>
          <w:tab w:pos="1758" w:val="left" w:leader="none"/>
        </w:tabs>
        <w:spacing w:line="360" w:lineRule="auto" w:before="1" w:after="0"/>
        <w:ind w:left="1758" w:right="995" w:hanging="360"/>
        <w:jc w:val="both"/>
        <w:rPr>
          <w:sz w:val="24"/>
        </w:rPr>
      </w:pPr>
      <w:r>
        <w:rPr>
          <w:sz w:val="24"/>
        </w:rPr>
        <w:t>Formulate the extract of the seeds of </w:t>
      </w:r>
      <w:r>
        <w:rPr>
          <w:i/>
          <w:sz w:val="24"/>
        </w:rPr>
        <w:t>M. pruriens </w:t>
      </w:r>
      <w:r>
        <w:rPr>
          <w:sz w:val="24"/>
        </w:rPr>
        <w:t>into tablet dosage form using direct</w:t>
      </w:r>
      <w:r>
        <w:rPr>
          <w:spacing w:val="-2"/>
          <w:sz w:val="24"/>
        </w:rPr>
        <w:t> </w:t>
      </w:r>
      <w:r>
        <w:rPr>
          <w:sz w:val="24"/>
        </w:rPr>
        <w:t>compression</w:t>
      </w:r>
      <w:r>
        <w:rPr>
          <w:spacing w:val="-2"/>
          <w:sz w:val="24"/>
        </w:rPr>
        <w:t> </w:t>
      </w:r>
      <w:r>
        <w:rPr>
          <w:sz w:val="24"/>
        </w:rPr>
        <w:t>and wet</w:t>
      </w:r>
      <w:r>
        <w:rPr>
          <w:spacing w:val="-2"/>
          <w:sz w:val="24"/>
        </w:rPr>
        <w:t> </w:t>
      </w:r>
      <w:r>
        <w:rPr>
          <w:sz w:val="24"/>
        </w:rPr>
        <w:t>granulation</w:t>
      </w:r>
      <w:r>
        <w:rPr>
          <w:spacing w:val="-2"/>
          <w:sz w:val="24"/>
        </w:rPr>
        <w:t> </w:t>
      </w:r>
      <w:r>
        <w:rPr>
          <w:sz w:val="24"/>
        </w:rPr>
        <w:t>methods in</w:t>
      </w:r>
      <w:r>
        <w:rPr>
          <w:spacing w:val="-2"/>
          <w:sz w:val="24"/>
        </w:rPr>
        <w:t> </w:t>
      </w:r>
      <w:r>
        <w:rPr>
          <w:sz w:val="24"/>
        </w:rPr>
        <w:t>order</w:t>
      </w:r>
      <w:r>
        <w:rPr>
          <w:spacing w:val="-3"/>
          <w:sz w:val="24"/>
        </w:rPr>
        <w:t> </w:t>
      </w:r>
      <w:r>
        <w:rPr>
          <w:sz w:val="24"/>
        </w:rPr>
        <w:t>to</w:t>
      </w:r>
      <w:r>
        <w:rPr>
          <w:spacing w:val="-2"/>
          <w:sz w:val="24"/>
        </w:rPr>
        <w:t> </w:t>
      </w:r>
      <w:r>
        <w:rPr>
          <w:sz w:val="24"/>
        </w:rPr>
        <w:t>determine</w:t>
      </w:r>
      <w:r>
        <w:rPr>
          <w:spacing w:val="-3"/>
          <w:sz w:val="24"/>
        </w:rPr>
        <w:t> </w:t>
      </w:r>
      <w:r>
        <w:rPr>
          <w:sz w:val="24"/>
        </w:rPr>
        <w:t>the</w:t>
      </w:r>
      <w:r>
        <w:rPr>
          <w:spacing w:val="-1"/>
          <w:sz w:val="24"/>
        </w:rPr>
        <w:t> </w:t>
      </w:r>
      <w:r>
        <w:rPr>
          <w:sz w:val="24"/>
        </w:rPr>
        <w:t>most suitable method of the preparation of tablets.</w:t>
      </w:r>
    </w:p>
    <w:p>
      <w:pPr>
        <w:pStyle w:val="ListParagraph"/>
        <w:numPr>
          <w:ilvl w:val="0"/>
          <w:numId w:val="33"/>
        </w:numPr>
        <w:tabs>
          <w:tab w:pos="1717" w:val="left" w:leader="none"/>
          <w:tab w:pos="1758" w:val="left" w:leader="none"/>
        </w:tabs>
        <w:spacing w:line="360" w:lineRule="auto" w:before="0" w:after="0"/>
        <w:ind w:left="1758" w:right="993" w:hanging="360"/>
        <w:jc w:val="both"/>
        <w:rPr>
          <w:sz w:val="24"/>
        </w:rPr>
      </w:pPr>
      <w:r>
        <w:rPr>
          <w:sz w:val="24"/>
        </w:rPr>
        <w:t>Assess the mechanical properties of tablets on </w:t>
      </w:r>
      <w:r>
        <w:rPr>
          <w:i/>
          <w:sz w:val="24"/>
        </w:rPr>
        <w:t>M. pruriens </w:t>
      </w:r>
      <w:r>
        <w:rPr>
          <w:sz w:val="24"/>
        </w:rPr>
        <w:t>tablets using crushing strength, friability and crushing strength - friability ratio as</w:t>
      </w:r>
      <w:r>
        <w:rPr>
          <w:spacing w:val="40"/>
          <w:sz w:val="24"/>
        </w:rPr>
        <w:t> </w:t>
      </w:r>
      <w:r>
        <w:rPr>
          <w:sz w:val="24"/>
        </w:rPr>
        <w:t>assessment parameters.</w:t>
      </w:r>
    </w:p>
    <w:p>
      <w:pPr>
        <w:pStyle w:val="ListParagraph"/>
        <w:numPr>
          <w:ilvl w:val="0"/>
          <w:numId w:val="33"/>
        </w:numPr>
        <w:tabs>
          <w:tab w:pos="1644" w:val="left" w:leader="none"/>
          <w:tab w:pos="1758" w:val="left" w:leader="none"/>
        </w:tabs>
        <w:spacing w:line="360" w:lineRule="auto" w:before="1" w:after="0"/>
        <w:ind w:left="1758" w:right="993" w:hanging="360"/>
        <w:jc w:val="both"/>
        <w:rPr>
          <w:sz w:val="24"/>
        </w:rPr>
      </w:pPr>
      <w:r>
        <w:rPr>
          <w:sz w:val="24"/>
        </w:rPr>
        <w:t>Study</w:t>
      </w:r>
      <w:r>
        <w:rPr>
          <w:spacing w:val="-4"/>
          <w:sz w:val="24"/>
        </w:rPr>
        <w:t> </w:t>
      </w:r>
      <w:r>
        <w:rPr>
          <w:sz w:val="24"/>
        </w:rPr>
        <w:t>the effects of the release properties of tablets on </w:t>
      </w:r>
      <w:r>
        <w:rPr>
          <w:i/>
          <w:sz w:val="24"/>
        </w:rPr>
        <w:t>M. pruriens </w:t>
      </w:r>
      <w:r>
        <w:rPr>
          <w:sz w:val="24"/>
        </w:rPr>
        <w:t>tablets using disintegration time and dissolution times (t</w:t>
      </w:r>
      <w:r>
        <w:rPr>
          <w:sz w:val="24"/>
          <w:vertAlign w:val="subscript"/>
        </w:rPr>
        <w:t>50</w:t>
      </w:r>
      <w:r>
        <w:rPr>
          <w:sz w:val="24"/>
          <w:vertAlign w:val="baseline"/>
        </w:rPr>
        <w:t>, t</w:t>
      </w:r>
      <w:r>
        <w:rPr>
          <w:sz w:val="24"/>
          <w:vertAlign w:val="subscript"/>
        </w:rPr>
        <w:t>80</w:t>
      </w:r>
      <w:r>
        <w:rPr>
          <w:sz w:val="24"/>
          <w:vertAlign w:val="baseline"/>
        </w:rPr>
        <w:t>) as assessment parameters.</w:t>
      </w:r>
    </w:p>
    <w:p>
      <w:pPr>
        <w:pStyle w:val="ListParagraph"/>
        <w:numPr>
          <w:ilvl w:val="0"/>
          <w:numId w:val="33"/>
        </w:numPr>
        <w:tabs>
          <w:tab w:pos="1683" w:val="left" w:leader="none"/>
          <w:tab w:pos="1758" w:val="left" w:leader="none"/>
        </w:tabs>
        <w:spacing w:line="360" w:lineRule="auto" w:before="0" w:after="0"/>
        <w:ind w:left="1758" w:right="1004" w:hanging="360"/>
        <w:jc w:val="both"/>
        <w:rPr>
          <w:sz w:val="24"/>
        </w:rPr>
      </w:pPr>
      <w:r>
        <w:rPr>
          <w:sz w:val="24"/>
        </w:rPr>
        <w:t>Examine the kinetics of glucose elimination after administration of different formulations of </w:t>
      </w:r>
      <w:r>
        <w:rPr>
          <w:i/>
          <w:sz w:val="24"/>
        </w:rPr>
        <w:t>M. pruriens </w:t>
      </w:r>
      <w:r>
        <w:rPr>
          <w:sz w:val="24"/>
        </w:rPr>
        <w:t>tablets to alloxan-induced diabetic rabbits.</w:t>
      </w:r>
    </w:p>
    <w:p>
      <w:pPr>
        <w:spacing w:after="0" w:line="360" w:lineRule="auto"/>
        <w:jc w:val="both"/>
        <w:rPr>
          <w:sz w:val="24"/>
        </w:rPr>
        <w:sectPr>
          <w:pgSz w:w="12240" w:h="15840"/>
          <w:pgMar w:header="0" w:footer="1056" w:top="1340" w:bottom="1240" w:left="1420" w:right="420"/>
        </w:sectPr>
      </w:pPr>
    </w:p>
    <w:p>
      <w:pPr>
        <w:spacing w:line="415" w:lineRule="auto" w:before="75"/>
        <w:ind w:left="3198" w:right="3525" w:firstLine="931"/>
        <w:jc w:val="left"/>
        <w:rPr>
          <w:b/>
          <w:sz w:val="24"/>
        </w:rPr>
      </w:pPr>
      <w:r>
        <w:rPr/>
        <mc:AlternateContent>
          <mc:Choice Requires="wps">
            <w:drawing>
              <wp:anchor distT="0" distB="0" distL="0" distR="0" allowOverlap="1" layoutInCell="1" locked="0" behindDoc="1" simplePos="0" relativeHeight="482961408">
                <wp:simplePos x="0" y="0"/>
                <wp:positionH relativeFrom="page">
                  <wp:posOffset>-1402226</wp:posOffset>
                </wp:positionH>
                <wp:positionV relativeFrom="page">
                  <wp:posOffset>4612234</wp:posOffset>
                </wp:positionV>
                <wp:extent cx="10685780" cy="91440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5072;rotation:306" type="#_x0000_t136" fillcolor="#ff5400" stroked="f">
                <o:extrusion v:ext="view" autorotationcenter="t"/>
                <v:textpath style="font-family:&quot;Arial MT&quot;;font-size:72pt;v-text-kern:t;mso-text-shadow:auto" string="UNIVERSITY OF IBADAN"/>
                <w10:wrap type="none"/>
              </v:shape>
            </w:pict>
          </mc:Fallback>
        </mc:AlternateContent>
      </w:r>
      <w:r>
        <w:rPr>
          <w:b/>
          <w:color w:val="404040"/>
          <w:sz w:val="24"/>
        </w:rPr>
        <w:t>CHAPTER TWO MATERIALS</w:t>
      </w:r>
      <w:r>
        <w:rPr>
          <w:b/>
          <w:color w:val="404040"/>
          <w:spacing w:val="-15"/>
          <w:sz w:val="24"/>
        </w:rPr>
        <w:t> </w:t>
      </w:r>
      <w:r>
        <w:rPr>
          <w:b/>
          <w:color w:val="404040"/>
          <w:sz w:val="24"/>
        </w:rPr>
        <w:t>AND</w:t>
      </w:r>
      <w:r>
        <w:rPr>
          <w:b/>
          <w:color w:val="404040"/>
          <w:spacing w:val="-15"/>
          <w:sz w:val="24"/>
        </w:rPr>
        <w:t> </w:t>
      </w:r>
      <w:r>
        <w:rPr>
          <w:b/>
          <w:color w:val="404040"/>
          <w:sz w:val="24"/>
        </w:rPr>
        <w:t>METHODS</w:t>
      </w:r>
    </w:p>
    <w:p>
      <w:pPr>
        <w:pStyle w:val="Heading2"/>
        <w:numPr>
          <w:ilvl w:val="1"/>
          <w:numId w:val="34"/>
        </w:numPr>
        <w:tabs>
          <w:tab w:pos="1338" w:val="left" w:leader="none"/>
        </w:tabs>
        <w:spacing w:line="240" w:lineRule="auto" w:before="75" w:after="0"/>
        <w:ind w:left="1338" w:right="0" w:hanging="660"/>
        <w:jc w:val="both"/>
      </w:pPr>
      <w:bookmarkStart w:name="_TOC_250051" w:id="82"/>
      <w:bookmarkEnd w:id="82"/>
      <w:r>
        <w:rPr>
          <w:spacing w:val="-2"/>
        </w:rPr>
        <w:t>Materials</w:t>
      </w:r>
    </w:p>
    <w:p>
      <w:pPr>
        <w:pStyle w:val="BodyText"/>
        <w:spacing w:line="360" w:lineRule="auto" w:before="134"/>
        <w:ind w:left="678" w:right="995" w:firstLine="720"/>
        <w:jc w:val="both"/>
      </w:pPr>
      <w:r>
        <w:rPr/>
        <w:t>The materials used in this study were alloxan monohydrate (Sigma Chemical Co., St. Louis, M.O., USA); lactose (DMV, Veghel, Netherlands); magnesium stearate (Hopkins and Williams, Chadwell, Health, Essex, UK);</w:t>
      </w:r>
      <w:r>
        <w:rPr>
          <w:spacing w:val="40"/>
        </w:rPr>
        <w:t> </w:t>
      </w:r>
      <w:r>
        <w:rPr/>
        <w:t>microcrystalline cellulose co- processed with α-lactose monohydrate, (Cellactose®) (Meggle Group, Wasserburg, Megglestrasse, Germany), corn starch B.P, absolute alcohol 96%</w:t>
      </w:r>
      <w:r>
        <w:rPr>
          <w:spacing w:val="80"/>
        </w:rPr>
        <w:t> </w:t>
      </w:r>
      <w:r>
        <w:rPr/>
        <w:t>(BDH Chemicals, Poole, BHI, London, UK), microcrystaline cellulose, (Avicel</w:t>
      </w:r>
      <w:r>
        <w:rPr>
          <w:vertAlign w:val="superscript"/>
        </w:rPr>
        <w:t>®</w:t>
      </w:r>
      <w:r>
        <w:rPr>
          <w:vertAlign w:val="baseline"/>
        </w:rPr>
        <w:t> RH 102) (FMC International Co. Cork, Ireland). All other chemicals and reagents used are of analytical </w:t>
      </w:r>
      <w:r>
        <w:rPr>
          <w:spacing w:val="-2"/>
          <w:vertAlign w:val="baseline"/>
        </w:rPr>
        <w:t>grade.</w:t>
      </w:r>
    </w:p>
    <w:p>
      <w:pPr>
        <w:pStyle w:val="BodyText"/>
        <w:spacing w:before="80"/>
      </w:pPr>
    </w:p>
    <w:p>
      <w:pPr>
        <w:pStyle w:val="Heading2"/>
        <w:numPr>
          <w:ilvl w:val="1"/>
          <w:numId w:val="34"/>
        </w:numPr>
        <w:tabs>
          <w:tab w:pos="1158" w:val="left" w:leader="none"/>
        </w:tabs>
        <w:spacing w:line="240" w:lineRule="auto" w:before="0" w:after="0"/>
        <w:ind w:left="1158" w:right="0" w:hanging="480"/>
        <w:jc w:val="left"/>
      </w:pPr>
      <w:bookmarkStart w:name="_TOC_250050" w:id="83"/>
      <w:bookmarkEnd w:id="83"/>
      <w:r>
        <w:rPr>
          <w:spacing w:val="-2"/>
        </w:rPr>
        <w:t>Methods</w:t>
      </w:r>
    </w:p>
    <w:p>
      <w:pPr>
        <w:pStyle w:val="ListParagraph"/>
        <w:numPr>
          <w:ilvl w:val="2"/>
          <w:numId w:val="34"/>
        </w:numPr>
        <w:tabs>
          <w:tab w:pos="1218" w:val="left" w:leader="none"/>
        </w:tabs>
        <w:spacing w:line="240" w:lineRule="auto" w:before="137" w:after="0"/>
        <w:ind w:left="1218" w:right="0" w:hanging="540"/>
        <w:jc w:val="left"/>
        <w:rPr>
          <w:b/>
          <w:sz w:val="24"/>
        </w:rPr>
      </w:pPr>
      <w:r>
        <w:rPr>
          <w:b/>
          <w:sz w:val="24"/>
        </w:rPr>
        <w:t>Collection</w:t>
      </w:r>
      <w:r>
        <w:rPr>
          <w:b/>
          <w:spacing w:val="-2"/>
          <w:sz w:val="24"/>
        </w:rPr>
        <w:t> </w:t>
      </w:r>
      <w:r>
        <w:rPr>
          <w:b/>
          <w:sz w:val="24"/>
        </w:rPr>
        <w:t>of plant</w:t>
      </w:r>
      <w:r>
        <w:rPr>
          <w:b/>
          <w:spacing w:val="-5"/>
          <w:sz w:val="24"/>
        </w:rPr>
        <w:t> </w:t>
      </w:r>
      <w:r>
        <w:rPr>
          <w:b/>
          <w:sz w:val="24"/>
        </w:rPr>
        <w:t>materials</w:t>
      </w:r>
      <w:r>
        <w:rPr>
          <w:b/>
          <w:spacing w:val="-2"/>
          <w:sz w:val="24"/>
        </w:rPr>
        <w:t> </w:t>
      </w:r>
      <w:r>
        <w:rPr>
          <w:b/>
          <w:sz w:val="24"/>
        </w:rPr>
        <w:t>and</w:t>
      </w:r>
      <w:r>
        <w:rPr>
          <w:b/>
          <w:spacing w:val="-1"/>
          <w:sz w:val="24"/>
        </w:rPr>
        <w:t> </w:t>
      </w:r>
      <w:r>
        <w:rPr>
          <w:b/>
          <w:sz w:val="24"/>
        </w:rPr>
        <w:t>extracts </w:t>
      </w:r>
      <w:r>
        <w:rPr>
          <w:b/>
          <w:spacing w:val="-2"/>
          <w:sz w:val="24"/>
        </w:rPr>
        <w:t>preparation</w:t>
      </w:r>
    </w:p>
    <w:p>
      <w:pPr>
        <w:pStyle w:val="BodyText"/>
        <w:spacing w:before="132"/>
        <w:ind w:left="1398"/>
      </w:pPr>
      <w:r>
        <w:rPr/>
        <w:t>Seeds</w:t>
      </w:r>
      <w:r>
        <w:rPr>
          <w:spacing w:val="-4"/>
        </w:rPr>
        <w:t> </w:t>
      </w:r>
      <w:r>
        <w:rPr/>
        <w:t>of</w:t>
      </w:r>
      <w:r>
        <w:rPr>
          <w:spacing w:val="-2"/>
        </w:rPr>
        <w:t> </w:t>
      </w:r>
      <w:r>
        <w:rPr>
          <w:i/>
        </w:rPr>
        <w:t>M.</w:t>
      </w:r>
      <w:r>
        <w:rPr>
          <w:i/>
          <w:spacing w:val="-1"/>
        </w:rPr>
        <w:t> </w:t>
      </w:r>
      <w:r>
        <w:rPr>
          <w:i/>
        </w:rPr>
        <w:t>pruriens</w:t>
      </w:r>
      <w:r>
        <w:rPr>
          <w:i/>
          <w:spacing w:val="-1"/>
        </w:rPr>
        <w:t> </w:t>
      </w:r>
      <w:r>
        <w:rPr/>
        <w:t>were</w:t>
      </w:r>
      <w:r>
        <w:rPr>
          <w:spacing w:val="-2"/>
        </w:rPr>
        <w:t> </w:t>
      </w:r>
      <w:r>
        <w:rPr/>
        <w:t>collected at</w:t>
      </w:r>
      <w:r>
        <w:rPr>
          <w:spacing w:val="-1"/>
        </w:rPr>
        <w:t> </w:t>
      </w:r>
      <w:r>
        <w:rPr/>
        <w:t>Tose</w:t>
      </w:r>
      <w:r>
        <w:rPr>
          <w:spacing w:val="-2"/>
        </w:rPr>
        <w:t> </w:t>
      </w:r>
      <w:r>
        <w:rPr/>
        <w:t>village,</w:t>
      </w:r>
      <w:r>
        <w:rPr>
          <w:spacing w:val="1"/>
        </w:rPr>
        <w:t> </w:t>
      </w:r>
      <w:r>
        <w:rPr/>
        <w:t>Ibadan,</w:t>
      </w:r>
      <w:r>
        <w:rPr>
          <w:spacing w:val="1"/>
        </w:rPr>
        <w:t> </w:t>
      </w:r>
      <w:r>
        <w:rPr/>
        <w:t>Nigeria</w:t>
      </w:r>
      <w:r>
        <w:rPr>
          <w:spacing w:val="-1"/>
        </w:rPr>
        <w:t> </w:t>
      </w:r>
      <w:r>
        <w:rPr>
          <w:spacing w:val="-5"/>
        </w:rPr>
        <w:t>and</w:t>
      </w:r>
    </w:p>
    <w:p>
      <w:pPr>
        <w:pStyle w:val="BodyText"/>
        <w:spacing w:line="360" w:lineRule="auto" w:before="260"/>
        <w:ind w:left="678" w:right="994"/>
        <w:jc w:val="both"/>
      </w:pPr>
      <w:r>
        <w:rPr/>
        <w:t>authenticated by the Herbarium Unit of the Department of Botany and Microbiology, University</w:t>
      </w:r>
      <w:r>
        <w:rPr>
          <w:spacing w:val="-6"/>
        </w:rPr>
        <w:t> </w:t>
      </w:r>
      <w:r>
        <w:rPr/>
        <w:t>of Ibadan, Ibadan,</w:t>
      </w:r>
      <w:r>
        <w:rPr>
          <w:spacing w:val="-1"/>
        </w:rPr>
        <w:t> </w:t>
      </w:r>
      <w:r>
        <w:rPr/>
        <w:t>Nigeria.</w:t>
      </w:r>
      <w:r>
        <w:rPr>
          <w:spacing w:val="-1"/>
        </w:rPr>
        <w:t> </w:t>
      </w:r>
      <w:r>
        <w:rPr/>
        <w:t>A</w:t>
      </w:r>
      <w:r>
        <w:rPr>
          <w:spacing w:val="-2"/>
        </w:rPr>
        <w:t> </w:t>
      </w:r>
      <w:r>
        <w:rPr/>
        <w:t>voucher</w:t>
      </w:r>
      <w:r>
        <w:rPr>
          <w:spacing w:val="-2"/>
        </w:rPr>
        <w:t> </w:t>
      </w:r>
      <w:r>
        <w:rPr/>
        <w:t>specimen</w:t>
      </w:r>
      <w:r>
        <w:rPr>
          <w:spacing w:val="-1"/>
        </w:rPr>
        <w:t> </w:t>
      </w:r>
      <w:r>
        <w:rPr/>
        <w:t>has</w:t>
      </w:r>
      <w:r>
        <w:rPr>
          <w:spacing w:val="-1"/>
        </w:rPr>
        <w:t> </w:t>
      </w:r>
      <w:r>
        <w:rPr/>
        <w:t>been</w:t>
      </w:r>
      <w:r>
        <w:rPr>
          <w:spacing w:val="-1"/>
        </w:rPr>
        <w:t> </w:t>
      </w:r>
      <w:r>
        <w:rPr/>
        <w:t>kept</w:t>
      </w:r>
      <w:r>
        <w:rPr>
          <w:spacing w:val="-1"/>
        </w:rPr>
        <w:t> </w:t>
      </w:r>
      <w:r>
        <w:rPr/>
        <w:t>in</w:t>
      </w:r>
      <w:r>
        <w:rPr>
          <w:spacing w:val="-1"/>
        </w:rPr>
        <w:t> </w:t>
      </w:r>
      <w:r>
        <w:rPr/>
        <w:t>the</w:t>
      </w:r>
      <w:r>
        <w:rPr>
          <w:spacing w:val="-2"/>
        </w:rPr>
        <w:t> </w:t>
      </w:r>
      <w:r>
        <w:rPr/>
        <w:t>herbarium of the Department (Voucher No. UITH 22305). Seeds of </w:t>
      </w:r>
      <w:r>
        <w:rPr>
          <w:i/>
        </w:rPr>
        <w:t>M. pruriens </w:t>
      </w:r>
      <w:r>
        <w:rPr/>
        <w:t>were dried under shade, powdered with a milling machine and then screened through sieve 180 µm. To prepare the fractions, 10 g of ground seed was successively extracted in n-hexane, chloroform, ethylacetate, methanol and ethanol. The fractions were dried, powdered and sieved (particle size ≤ 180 µm).</w:t>
      </w:r>
    </w:p>
    <w:p>
      <w:pPr>
        <w:pStyle w:val="BodyText"/>
        <w:spacing w:line="360" w:lineRule="auto" w:before="119"/>
        <w:ind w:left="678" w:right="996" w:firstLine="720"/>
        <w:jc w:val="both"/>
      </w:pPr>
      <w:r>
        <w:rPr/>
        <w:t>To</w:t>
      </w:r>
      <w:r>
        <w:rPr>
          <w:spacing w:val="-3"/>
        </w:rPr>
        <w:t> </w:t>
      </w:r>
      <w:r>
        <w:rPr/>
        <w:t>prepare</w:t>
      </w:r>
      <w:r>
        <w:rPr>
          <w:spacing w:val="-5"/>
        </w:rPr>
        <w:t> </w:t>
      </w:r>
      <w:r>
        <w:rPr/>
        <w:t>the</w:t>
      </w:r>
      <w:r>
        <w:rPr>
          <w:spacing w:val="-3"/>
        </w:rPr>
        <w:t> </w:t>
      </w:r>
      <w:r>
        <w:rPr/>
        <w:t>crude</w:t>
      </w:r>
      <w:r>
        <w:rPr>
          <w:spacing w:val="-3"/>
        </w:rPr>
        <w:t> </w:t>
      </w:r>
      <w:r>
        <w:rPr/>
        <w:t>ethanolic</w:t>
      </w:r>
      <w:r>
        <w:rPr>
          <w:spacing w:val="-4"/>
        </w:rPr>
        <w:t> </w:t>
      </w:r>
      <w:r>
        <w:rPr/>
        <w:t>extract,</w:t>
      </w:r>
      <w:r>
        <w:rPr>
          <w:spacing w:val="-3"/>
        </w:rPr>
        <w:t> </w:t>
      </w:r>
      <w:r>
        <w:rPr/>
        <w:t>100</w:t>
      </w:r>
      <w:r>
        <w:rPr>
          <w:spacing w:val="-3"/>
        </w:rPr>
        <w:t> </w:t>
      </w:r>
      <w:r>
        <w:rPr/>
        <w:t>g</w:t>
      </w:r>
      <w:r>
        <w:rPr>
          <w:spacing w:val="-5"/>
        </w:rPr>
        <w:t> </w:t>
      </w:r>
      <w:r>
        <w:rPr/>
        <w:t>of</w:t>
      </w:r>
      <w:r>
        <w:rPr>
          <w:spacing w:val="-3"/>
        </w:rPr>
        <w:t> </w:t>
      </w:r>
      <w:r>
        <w:rPr/>
        <w:t>the</w:t>
      </w:r>
      <w:r>
        <w:rPr>
          <w:spacing w:val="-4"/>
        </w:rPr>
        <w:t> </w:t>
      </w:r>
      <w:r>
        <w:rPr/>
        <w:t>ground</w:t>
      </w:r>
      <w:r>
        <w:rPr>
          <w:spacing w:val="-3"/>
        </w:rPr>
        <w:t> </w:t>
      </w:r>
      <w:r>
        <w:rPr/>
        <w:t>seed</w:t>
      </w:r>
      <w:r>
        <w:rPr>
          <w:spacing w:val="-1"/>
        </w:rPr>
        <w:t> </w:t>
      </w:r>
      <w:r>
        <w:rPr/>
        <w:t>was</w:t>
      </w:r>
      <w:r>
        <w:rPr>
          <w:spacing w:val="-3"/>
        </w:rPr>
        <w:t> </w:t>
      </w:r>
      <w:r>
        <w:rPr/>
        <w:t>extracted</w:t>
      </w:r>
      <w:r>
        <w:rPr>
          <w:spacing w:val="-3"/>
        </w:rPr>
        <w:t> </w:t>
      </w:r>
      <w:r>
        <w:rPr/>
        <w:t>with 500 mL of ethanol at room temperature. The extract (44 g) was dried as described for the crude fractions giving a weight of 44 g to obtain a yield of 44%.</w:t>
      </w:r>
    </w:p>
    <w:p>
      <w:pPr>
        <w:pStyle w:val="BodyText"/>
      </w:pPr>
    </w:p>
    <w:p>
      <w:pPr>
        <w:pStyle w:val="BodyText"/>
        <w:spacing w:before="155"/>
      </w:pPr>
    </w:p>
    <w:p>
      <w:pPr>
        <w:pStyle w:val="Heading2"/>
        <w:numPr>
          <w:ilvl w:val="1"/>
          <w:numId w:val="34"/>
        </w:numPr>
        <w:tabs>
          <w:tab w:pos="1038" w:val="left" w:leader="none"/>
        </w:tabs>
        <w:spacing w:line="240" w:lineRule="auto" w:before="1" w:after="0"/>
        <w:ind w:left="1038" w:right="0" w:hanging="360"/>
        <w:jc w:val="both"/>
      </w:pPr>
      <w:r>
        <w:rPr>
          <w:w w:val="105"/>
        </w:rPr>
        <w:t>Determination of</w:t>
      </w:r>
      <w:r>
        <w:rPr>
          <w:spacing w:val="-1"/>
          <w:w w:val="105"/>
        </w:rPr>
        <w:t> </w:t>
      </w:r>
      <w:r>
        <w:rPr>
          <w:w w:val="105"/>
        </w:rPr>
        <w:t>total</w:t>
      </w:r>
      <w:r>
        <w:rPr>
          <w:spacing w:val="-3"/>
          <w:w w:val="105"/>
        </w:rPr>
        <w:t> </w:t>
      </w:r>
      <w:r>
        <w:rPr>
          <w:w w:val="105"/>
        </w:rPr>
        <w:t>ash</w:t>
      </w:r>
      <w:r>
        <w:rPr>
          <w:spacing w:val="7"/>
          <w:w w:val="105"/>
        </w:rPr>
        <w:t> </w:t>
      </w:r>
      <w:r>
        <w:rPr>
          <w:w w:val="105"/>
        </w:rPr>
        <w:t>of</w:t>
      </w:r>
      <w:r>
        <w:rPr>
          <w:spacing w:val="-1"/>
          <w:w w:val="105"/>
        </w:rPr>
        <w:t> </w:t>
      </w:r>
      <w:r>
        <w:rPr>
          <w:w w:val="105"/>
        </w:rPr>
        <w:t>the</w:t>
      </w:r>
      <w:r>
        <w:rPr>
          <w:spacing w:val="-2"/>
          <w:w w:val="105"/>
        </w:rPr>
        <w:t> </w:t>
      </w:r>
      <w:r>
        <w:rPr>
          <w:spacing w:val="-4"/>
          <w:w w:val="105"/>
        </w:rPr>
        <w:t>seed</w:t>
      </w:r>
    </w:p>
    <w:p>
      <w:pPr>
        <w:pStyle w:val="BodyText"/>
        <w:spacing w:line="360" w:lineRule="auto" w:before="132"/>
        <w:ind w:left="678" w:right="1008" w:firstLine="720"/>
        <w:jc w:val="both"/>
      </w:pPr>
      <w:r>
        <w:rPr/>
        <w:t>The seeds of </w:t>
      </w:r>
      <w:r>
        <w:rPr>
          <w:i/>
        </w:rPr>
        <w:t>M. pruriens </w:t>
      </w:r>
      <w:r>
        <w:rPr/>
        <w:t>were dehulled (seed coat removed) and reduced to a moderately coarse powder. Ten different porcelain crucibles were thoroughly washed and rinsed</w:t>
      </w:r>
      <w:r>
        <w:rPr>
          <w:spacing w:val="17"/>
        </w:rPr>
        <w:t> </w:t>
      </w:r>
      <w:r>
        <w:rPr/>
        <w:t>before</w:t>
      </w:r>
      <w:r>
        <w:rPr>
          <w:spacing w:val="17"/>
        </w:rPr>
        <w:t> </w:t>
      </w:r>
      <w:r>
        <w:rPr/>
        <w:t>drying</w:t>
      </w:r>
      <w:r>
        <w:rPr>
          <w:spacing w:val="17"/>
        </w:rPr>
        <w:t> </w:t>
      </w:r>
      <w:r>
        <w:rPr/>
        <w:t>in</w:t>
      </w:r>
      <w:r>
        <w:rPr>
          <w:spacing w:val="22"/>
        </w:rPr>
        <w:t> </w:t>
      </w:r>
      <w:r>
        <w:rPr/>
        <w:t>hot</w:t>
      </w:r>
      <w:r>
        <w:rPr>
          <w:spacing w:val="18"/>
        </w:rPr>
        <w:t> </w:t>
      </w:r>
      <w:r>
        <w:rPr/>
        <w:t>air</w:t>
      </w:r>
      <w:r>
        <w:rPr>
          <w:spacing w:val="18"/>
        </w:rPr>
        <w:t> </w:t>
      </w:r>
      <w:r>
        <w:rPr/>
        <w:t>oven</w:t>
      </w:r>
      <w:r>
        <w:rPr>
          <w:spacing w:val="17"/>
        </w:rPr>
        <w:t> </w:t>
      </w:r>
      <w:r>
        <w:rPr/>
        <w:t>preheated</w:t>
      </w:r>
      <w:r>
        <w:rPr>
          <w:spacing w:val="18"/>
        </w:rPr>
        <w:t> </w:t>
      </w:r>
      <w:r>
        <w:rPr/>
        <w:t>to</w:t>
      </w:r>
      <w:r>
        <w:rPr>
          <w:spacing w:val="20"/>
        </w:rPr>
        <w:t> </w:t>
      </w:r>
      <w:r>
        <w:rPr/>
        <w:t>105</w:t>
      </w:r>
      <w:r>
        <w:rPr>
          <w:vertAlign w:val="superscript"/>
        </w:rPr>
        <w:t>o</w:t>
      </w:r>
      <w:r>
        <w:rPr>
          <w:vertAlign w:val="baseline"/>
        </w:rPr>
        <w:t>C</w:t>
      </w:r>
      <w:r>
        <w:rPr>
          <w:spacing w:val="19"/>
          <w:vertAlign w:val="baseline"/>
        </w:rPr>
        <w:t> </w:t>
      </w:r>
      <w:r>
        <w:rPr>
          <w:vertAlign w:val="baseline"/>
        </w:rPr>
        <w:t>for</w:t>
      </w:r>
      <w:r>
        <w:rPr>
          <w:spacing w:val="16"/>
          <w:vertAlign w:val="baseline"/>
        </w:rPr>
        <w:t> </w:t>
      </w:r>
      <w:r>
        <w:rPr>
          <w:vertAlign w:val="baseline"/>
        </w:rPr>
        <w:t>30</w:t>
      </w:r>
      <w:r>
        <w:rPr>
          <w:spacing w:val="18"/>
          <w:vertAlign w:val="baseline"/>
        </w:rPr>
        <w:t> </w:t>
      </w:r>
      <w:r>
        <w:rPr>
          <w:vertAlign w:val="baseline"/>
        </w:rPr>
        <w:t>minutes.</w:t>
      </w:r>
      <w:r>
        <w:rPr>
          <w:spacing w:val="17"/>
          <w:vertAlign w:val="baseline"/>
        </w:rPr>
        <w:t> </w:t>
      </w:r>
      <w:r>
        <w:rPr>
          <w:vertAlign w:val="baseline"/>
        </w:rPr>
        <w:t>On</w:t>
      </w:r>
      <w:r>
        <w:rPr>
          <w:spacing w:val="18"/>
          <w:vertAlign w:val="baseline"/>
        </w:rPr>
        <w:t> </w:t>
      </w:r>
      <w:r>
        <w:rPr>
          <w:vertAlign w:val="baseline"/>
        </w:rPr>
        <w:t>drying,</w:t>
      </w:r>
      <w:r>
        <w:rPr>
          <w:spacing w:val="20"/>
          <w:vertAlign w:val="baseline"/>
        </w:rPr>
        <w:t> </w:t>
      </w:r>
      <w:r>
        <w:rPr>
          <w:spacing w:val="-4"/>
          <w:vertAlign w:val="baseline"/>
        </w:rPr>
        <w:t>each</w:t>
      </w:r>
    </w:p>
    <w:p>
      <w:pPr>
        <w:spacing w:after="0" w:line="360" w:lineRule="auto"/>
        <w:jc w:val="both"/>
        <w:sectPr>
          <w:pgSz w:w="12240" w:h="15840"/>
          <w:pgMar w:header="0" w:footer="1056" w:top="1340" w:bottom="1240" w:left="1420" w:right="420"/>
        </w:sectPr>
      </w:pPr>
    </w:p>
    <w:p>
      <w:pPr>
        <w:pStyle w:val="BodyText"/>
        <w:spacing w:line="360" w:lineRule="auto" w:before="72"/>
        <w:ind w:left="678" w:right="1005"/>
        <w:jc w:val="both"/>
      </w:pPr>
      <w:r>
        <w:rPr/>
        <mc:AlternateContent>
          <mc:Choice Requires="wps">
            <w:drawing>
              <wp:anchor distT="0" distB="0" distL="0" distR="0" allowOverlap="1" layoutInCell="1" locked="0" behindDoc="1" simplePos="0" relativeHeight="482961920">
                <wp:simplePos x="0" y="0"/>
                <wp:positionH relativeFrom="page">
                  <wp:posOffset>-1402226</wp:posOffset>
                </wp:positionH>
                <wp:positionV relativeFrom="page">
                  <wp:posOffset>4612234</wp:posOffset>
                </wp:positionV>
                <wp:extent cx="10685780" cy="9144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4560;rotation:306" type="#_x0000_t136" fillcolor="#ff5400" stroked="f">
                <o:extrusion v:ext="view" autorotationcenter="t"/>
                <v:textpath style="font-family:&quot;Arial MT&quot;;font-size:72pt;v-text-kern:t;mso-text-shadow:auto" string="UNIVERSITY OF IBADAN"/>
                <w10:wrap type="none"/>
              </v:shape>
            </w:pict>
          </mc:Fallback>
        </mc:AlternateContent>
      </w:r>
      <w:r>
        <w:rPr/>
        <w:t>crucible was allowed to cool in a dessicator before weighing. To each crucible 2.5 g</w:t>
      </w:r>
      <w:r>
        <w:rPr>
          <w:spacing w:val="-1"/>
        </w:rPr>
        <w:t> </w:t>
      </w:r>
      <w:r>
        <w:rPr/>
        <w:t>of </w:t>
      </w:r>
      <w:r>
        <w:rPr>
          <w:i/>
        </w:rPr>
        <w:t>M</w:t>
      </w:r>
      <w:r>
        <w:rPr/>
        <w:t>. </w:t>
      </w:r>
      <w:r>
        <w:rPr>
          <w:i/>
        </w:rPr>
        <w:t>pruriens </w:t>
      </w:r>
      <w:r>
        <w:rPr/>
        <w:t>powder was added and transferred into the electric furnace fitted with a thermostat to regulate the rate of increase in the ignition temperature. The ignition temperature</w:t>
      </w:r>
      <w:r>
        <w:rPr>
          <w:spacing w:val="-4"/>
        </w:rPr>
        <w:t> </w:t>
      </w:r>
      <w:r>
        <w:rPr/>
        <w:t>was</w:t>
      </w:r>
      <w:r>
        <w:rPr>
          <w:spacing w:val="-3"/>
        </w:rPr>
        <w:t> </w:t>
      </w:r>
      <w:r>
        <w:rPr/>
        <w:t>maintained</w:t>
      </w:r>
      <w:r>
        <w:rPr>
          <w:spacing w:val="-3"/>
        </w:rPr>
        <w:t> </w:t>
      </w:r>
      <w:r>
        <w:rPr/>
        <w:t>at</w:t>
      </w:r>
      <w:r>
        <w:rPr>
          <w:spacing w:val="-3"/>
        </w:rPr>
        <w:t> </w:t>
      </w:r>
      <w:r>
        <w:rPr/>
        <w:t>500</w:t>
      </w:r>
      <w:r>
        <w:rPr>
          <w:vertAlign w:val="superscript"/>
        </w:rPr>
        <w:t>o</w:t>
      </w:r>
      <w:r>
        <w:rPr>
          <w:vertAlign w:val="baseline"/>
        </w:rPr>
        <w:t>C</w:t>
      </w:r>
      <w:r>
        <w:rPr>
          <w:spacing w:val="-3"/>
          <w:vertAlign w:val="baseline"/>
        </w:rPr>
        <w:t> </w:t>
      </w:r>
      <w:r>
        <w:rPr>
          <w:vertAlign w:val="baseline"/>
        </w:rPr>
        <w:t>to</w:t>
      </w:r>
      <w:r>
        <w:rPr>
          <w:spacing w:val="-3"/>
          <w:vertAlign w:val="baseline"/>
        </w:rPr>
        <w:t> </w:t>
      </w:r>
      <w:r>
        <w:rPr>
          <w:vertAlign w:val="baseline"/>
        </w:rPr>
        <w:t>600°C</w:t>
      </w:r>
      <w:r>
        <w:rPr>
          <w:spacing w:val="-3"/>
          <w:vertAlign w:val="baseline"/>
        </w:rPr>
        <w:t> </w:t>
      </w:r>
      <w:r>
        <w:rPr>
          <w:vertAlign w:val="baseline"/>
        </w:rPr>
        <w:t>for</w:t>
      </w:r>
      <w:r>
        <w:rPr>
          <w:spacing w:val="-3"/>
          <w:vertAlign w:val="baseline"/>
        </w:rPr>
        <w:t> </w:t>
      </w:r>
      <w:r>
        <w:rPr>
          <w:vertAlign w:val="baseline"/>
        </w:rPr>
        <w:t>eight</w:t>
      </w:r>
      <w:r>
        <w:rPr>
          <w:spacing w:val="-3"/>
          <w:vertAlign w:val="baseline"/>
        </w:rPr>
        <w:t> </w:t>
      </w:r>
      <w:r>
        <w:rPr>
          <w:vertAlign w:val="baseline"/>
        </w:rPr>
        <w:t>(8)</w:t>
      </w:r>
      <w:r>
        <w:rPr>
          <w:spacing w:val="-2"/>
          <w:vertAlign w:val="baseline"/>
        </w:rPr>
        <w:t> </w:t>
      </w:r>
      <w:r>
        <w:rPr>
          <w:vertAlign w:val="baseline"/>
        </w:rPr>
        <w:t>hour.</w:t>
      </w:r>
      <w:r>
        <w:rPr>
          <w:spacing w:val="-3"/>
          <w:vertAlign w:val="baseline"/>
        </w:rPr>
        <w:t> </w:t>
      </w:r>
      <w:r>
        <w:rPr>
          <w:vertAlign w:val="baseline"/>
        </w:rPr>
        <w:t>On</w:t>
      </w:r>
      <w:r>
        <w:rPr>
          <w:spacing w:val="26"/>
          <w:vertAlign w:val="baseline"/>
        </w:rPr>
        <w:t> </w:t>
      </w:r>
      <w:r>
        <w:rPr>
          <w:vertAlign w:val="baseline"/>
        </w:rPr>
        <w:t>ashing,</w:t>
      </w:r>
      <w:r>
        <w:rPr>
          <w:spacing w:val="-3"/>
          <w:vertAlign w:val="baseline"/>
        </w:rPr>
        <w:t> </w:t>
      </w:r>
      <w:r>
        <w:rPr>
          <w:vertAlign w:val="baseline"/>
        </w:rPr>
        <w:t>the</w:t>
      </w:r>
      <w:r>
        <w:rPr>
          <w:spacing w:val="-2"/>
          <w:vertAlign w:val="baseline"/>
        </w:rPr>
        <w:t> </w:t>
      </w:r>
      <w:r>
        <w:rPr>
          <w:vertAlign w:val="baseline"/>
        </w:rPr>
        <w:t>crucibles were transferred with the aid of tongs into a desiccant for cooling. After cooling, each crucible was</w:t>
      </w:r>
      <w:r>
        <w:rPr>
          <w:spacing w:val="-1"/>
          <w:vertAlign w:val="baseline"/>
        </w:rPr>
        <w:t> </w:t>
      </w:r>
      <w:r>
        <w:rPr>
          <w:vertAlign w:val="baseline"/>
        </w:rPr>
        <w:t>re-weighed until</w:t>
      </w:r>
      <w:r>
        <w:rPr>
          <w:spacing w:val="-1"/>
          <w:vertAlign w:val="baseline"/>
        </w:rPr>
        <w:t> </w:t>
      </w:r>
      <w:r>
        <w:rPr>
          <w:vertAlign w:val="baseline"/>
        </w:rPr>
        <w:t>a</w:t>
      </w:r>
      <w:r>
        <w:rPr>
          <w:spacing w:val="-2"/>
          <w:vertAlign w:val="baseline"/>
        </w:rPr>
        <w:t> </w:t>
      </w:r>
      <w:r>
        <w:rPr>
          <w:vertAlign w:val="baseline"/>
        </w:rPr>
        <w:t>constant</w:t>
      </w:r>
      <w:r>
        <w:rPr>
          <w:spacing w:val="-1"/>
          <w:vertAlign w:val="baseline"/>
        </w:rPr>
        <w:t> </w:t>
      </w:r>
      <w:r>
        <w:rPr>
          <w:vertAlign w:val="baseline"/>
        </w:rPr>
        <w:t>weight was</w:t>
      </w:r>
      <w:r>
        <w:rPr>
          <w:spacing w:val="-1"/>
          <w:vertAlign w:val="baseline"/>
        </w:rPr>
        <w:t> </w:t>
      </w:r>
      <w:r>
        <w:rPr>
          <w:vertAlign w:val="baseline"/>
        </w:rPr>
        <w:t>obtained.</w:t>
      </w:r>
      <w:r>
        <w:rPr>
          <w:spacing w:val="-1"/>
          <w:vertAlign w:val="baseline"/>
        </w:rPr>
        <w:t> </w:t>
      </w:r>
      <w:r>
        <w:rPr>
          <w:vertAlign w:val="baseline"/>
        </w:rPr>
        <w:t>The</w:t>
      </w:r>
      <w:r>
        <w:rPr>
          <w:spacing w:val="-2"/>
          <w:vertAlign w:val="baseline"/>
        </w:rPr>
        <w:t> </w:t>
      </w:r>
      <w:r>
        <w:rPr>
          <w:vertAlign w:val="baseline"/>
        </w:rPr>
        <w:t>weight of</w:t>
      </w:r>
      <w:r>
        <w:rPr>
          <w:spacing w:val="-2"/>
          <w:vertAlign w:val="baseline"/>
        </w:rPr>
        <w:t> </w:t>
      </w:r>
      <w:r>
        <w:rPr>
          <w:vertAlign w:val="baseline"/>
        </w:rPr>
        <w:t>total</w:t>
      </w:r>
      <w:r>
        <w:rPr>
          <w:spacing w:val="-1"/>
          <w:vertAlign w:val="baseline"/>
        </w:rPr>
        <w:t> </w:t>
      </w:r>
      <w:r>
        <w:rPr>
          <w:vertAlign w:val="baseline"/>
        </w:rPr>
        <w:t>ash</w:t>
      </w:r>
      <w:r>
        <w:rPr>
          <w:spacing w:val="-1"/>
          <w:vertAlign w:val="baseline"/>
        </w:rPr>
        <w:t> </w:t>
      </w:r>
      <w:r>
        <w:rPr>
          <w:vertAlign w:val="baseline"/>
        </w:rPr>
        <w:t>was determined by difference and using the following formula (BP, 1998):</w:t>
      </w:r>
    </w:p>
    <w:p>
      <w:pPr>
        <w:pStyle w:val="BodyText"/>
        <w:spacing w:before="139"/>
      </w:pPr>
    </w:p>
    <w:p>
      <w:pPr>
        <w:pStyle w:val="BodyText"/>
        <w:spacing w:line="580" w:lineRule="auto"/>
        <w:ind w:left="678" w:right="1037" w:firstLine="120"/>
        <w:jc w:val="both"/>
      </w:pPr>
      <w:r>
        <w:rPr/>
        <w:t>%</w:t>
      </w:r>
      <w:r>
        <w:rPr>
          <w:spacing w:val="-4"/>
        </w:rPr>
        <w:t> </w:t>
      </w:r>
      <w:r>
        <w:rPr/>
        <w:t>of</w:t>
      </w:r>
      <w:r>
        <w:rPr>
          <w:spacing w:val="-3"/>
        </w:rPr>
        <w:t> </w:t>
      </w:r>
      <w:r>
        <w:rPr/>
        <w:t>Total</w:t>
      </w:r>
      <w:r>
        <w:rPr>
          <w:spacing w:val="80"/>
        </w:rPr>
        <w:t> </w:t>
      </w:r>
      <w:r>
        <w:rPr/>
        <w:t>ash</w:t>
      </w:r>
      <w:r>
        <w:rPr>
          <w:spacing w:val="-3"/>
        </w:rPr>
        <w:t> </w:t>
      </w:r>
      <w:r>
        <w:rPr/>
        <w:t>=</w:t>
      </w:r>
      <w:r>
        <w:rPr>
          <w:spacing w:val="-3"/>
        </w:rPr>
        <w:t> </w:t>
      </w:r>
      <w:r>
        <w:rPr/>
        <w:t>100</w:t>
      </w:r>
      <w:r>
        <w:rPr>
          <w:spacing w:val="-1"/>
        </w:rPr>
        <w:t> </w:t>
      </w:r>
      <w:r>
        <w:rPr/>
        <w:t>(weight</w:t>
      </w:r>
      <w:r>
        <w:rPr>
          <w:spacing w:val="-3"/>
        </w:rPr>
        <w:t> </w:t>
      </w:r>
      <w:r>
        <w:rPr/>
        <w:t>of</w:t>
      </w:r>
      <w:r>
        <w:rPr>
          <w:spacing w:val="-2"/>
        </w:rPr>
        <w:t> </w:t>
      </w:r>
      <w:r>
        <w:rPr/>
        <w:t>total</w:t>
      </w:r>
      <w:r>
        <w:rPr>
          <w:spacing w:val="-3"/>
        </w:rPr>
        <w:t> </w:t>
      </w:r>
      <w:r>
        <w:rPr/>
        <w:t>ash/weight)/weight</w:t>
      </w:r>
      <w:r>
        <w:rPr>
          <w:spacing w:val="-3"/>
        </w:rPr>
        <w:t> </w:t>
      </w:r>
      <w:r>
        <w:rPr/>
        <w:t>of</w:t>
      </w:r>
      <w:r>
        <w:rPr>
          <w:spacing w:val="-2"/>
        </w:rPr>
        <w:t> </w:t>
      </w:r>
      <w:r>
        <w:rPr/>
        <w:t>air-dried</w:t>
      </w:r>
      <w:r>
        <w:rPr>
          <w:spacing w:val="-3"/>
        </w:rPr>
        <w:t> </w:t>
      </w:r>
      <w:r>
        <w:rPr/>
        <w:t>seed…….Eqn.</w:t>
      </w:r>
      <w:r>
        <w:rPr>
          <w:spacing w:val="-3"/>
        </w:rPr>
        <w:t> </w:t>
      </w:r>
      <w:r>
        <w:rPr/>
        <w:t>2.1 </w:t>
      </w:r>
      <w:r>
        <w:rPr>
          <w:w w:val="105"/>
        </w:rPr>
        <w:t>The</w:t>
      </w:r>
      <w:r>
        <w:rPr>
          <w:spacing w:val="35"/>
          <w:w w:val="105"/>
        </w:rPr>
        <w:t> </w:t>
      </w:r>
      <w:r>
        <w:rPr>
          <w:w w:val="105"/>
        </w:rPr>
        <w:t>mean</w:t>
      </w:r>
      <w:r>
        <w:rPr>
          <w:spacing w:val="38"/>
          <w:w w:val="105"/>
        </w:rPr>
        <w:t> </w:t>
      </w:r>
      <w:r>
        <w:rPr>
          <w:w w:val="105"/>
        </w:rPr>
        <w:t>of</w:t>
      </w:r>
      <w:r>
        <w:rPr>
          <w:spacing w:val="40"/>
          <w:w w:val="105"/>
        </w:rPr>
        <w:t> </w:t>
      </w:r>
      <w:r>
        <w:rPr>
          <w:w w:val="105"/>
        </w:rPr>
        <w:t>the</w:t>
      </w:r>
      <w:r>
        <w:rPr>
          <w:spacing w:val="37"/>
          <w:w w:val="105"/>
        </w:rPr>
        <w:t> </w:t>
      </w:r>
      <w:r>
        <w:rPr>
          <w:w w:val="105"/>
        </w:rPr>
        <w:t>10</w:t>
      </w:r>
      <w:r>
        <w:rPr>
          <w:spacing w:val="38"/>
          <w:w w:val="105"/>
        </w:rPr>
        <w:t> </w:t>
      </w:r>
      <w:r>
        <w:rPr>
          <w:w w:val="105"/>
        </w:rPr>
        <w:t>determinations</w:t>
      </w:r>
      <w:r>
        <w:rPr>
          <w:spacing w:val="38"/>
          <w:w w:val="105"/>
        </w:rPr>
        <w:t> </w:t>
      </w:r>
      <w:r>
        <w:rPr>
          <w:w w:val="105"/>
        </w:rPr>
        <w:t>gave</w:t>
      </w:r>
      <w:r>
        <w:rPr>
          <w:spacing w:val="40"/>
          <w:w w:val="105"/>
        </w:rPr>
        <w:t> </w:t>
      </w:r>
      <w:r>
        <w:rPr>
          <w:w w:val="105"/>
        </w:rPr>
        <w:t>the</w:t>
      </w:r>
      <w:r>
        <w:rPr>
          <w:spacing w:val="37"/>
          <w:w w:val="105"/>
        </w:rPr>
        <w:t> </w:t>
      </w:r>
      <w:r>
        <w:rPr>
          <w:w w:val="105"/>
        </w:rPr>
        <w:t>value</w:t>
      </w:r>
      <w:r>
        <w:rPr>
          <w:spacing w:val="37"/>
          <w:w w:val="105"/>
        </w:rPr>
        <w:t> </w:t>
      </w:r>
      <w:r>
        <w:rPr>
          <w:w w:val="105"/>
        </w:rPr>
        <w:t>of</w:t>
      </w:r>
      <w:r>
        <w:rPr>
          <w:spacing w:val="37"/>
          <w:w w:val="105"/>
        </w:rPr>
        <w:t> </w:t>
      </w:r>
      <w:r>
        <w:rPr>
          <w:w w:val="105"/>
        </w:rPr>
        <w:t>the</w:t>
      </w:r>
      <w:r>
        <w:rPr>
          <w:spacing w:val="40"/>
          <w:w w:val="105"/>
        </w:rPr>
        <w:t> </w:t>
      </w:r>
      <w:r>
        <w:rPr>
          <w:w w:val="105"/>
        </w:rPr>
        <w:t>total</w:t>
      </w:r>
      <w:r>
        <w:rPr>
          <w:spacing w:val="37"/>
          <w:w w:val="105"/>
        </w:rPr>
        <w:t> </w:t>
      </w:r>
      <w:r>
        <w:rPr>
          <w:w w:val="105"/>
        </w:rPr>
        <w:t>ash.</w:t>
      </w:r>
    </w:p>
    <w:p>
      <w:pPr>
        <w:pStyle w:val="Heading2"/>
        <w:numPr>
          <w:ilvl w:val="2"/>
          <w:numId w:val="34"/>
        </w:numPr>
        <w:tabs>
          <w:tab w:pos="1270" w:val="left" w:leader="none"/>
        </w:tabs>
        <w:spacing w:line="240" w:lineRule="auto" w:before="165" w:after="0"/>
        <w:ind w:left="1270" w:right="0" w:hanging="592"/>
        <w:jc w:val="both"/>
      </w:pPr>
      <w:r>
        <w:rPr>
          <w:w w:val="110"/>
        </w:rPr>
        <w:t>Determination</w:t>
      </w:r>
      <w:r>
        <w:rPr>
          <w:spacing w:val="-6"/>
          <w:w w:val="110"/>
        </w:rPr>
        <w:t> </w:t>
      </w:r>
      <w:r>
        <w:rPr>
          <w:w w:val="110"/>
        </w:rPr>
        <w:t>of</w:t>
      </w:r>
      <w:r>
        <w:rPr>
          <w:spacing w:val="-4"/>
          <w:w w:val="110"/>
        </w:rPr>
        <w:t> </w:t>
      </w:r>
      <w:r>
        <w:rPr>
          <w:w w:val="110"/>
        </w:rPr>
        <w:t>acid</w:t>
      </w:r>
      <w:r>
        <w:rPr>
          <w:spacing w:val="-1"/>
          <w:w w:val="110"/>
        </w:rPr>
        <w:t> </w:t>
      </w:r>
      <w:r>
        <w:rPr>
          <w:w w:val="110"/>
        </w:rPr>
        <w:t>–</w:t>
      </w:r>
      <w:r>
        <w:rPr>
          <w:spacing w:val="-7"/>
          <w:w w:val="110"/>
        </w:rPr>
        <w:t> </w:t>
      </w:r>
      <w:r>
        <w:rPr>
          <w:w w:val="110"/>
        </w:rPr>
        <w:t>insoluble</w:t>
      </w:r>
      <w:r>
        <w:rPr>
          <w:spacing w:val="-5"/>
          <w:w w:val="110"/>
        </w:rPr>
        <w:t> ash</w:t>
      </w:r>
    </w:p>
    <w:p>
      <w:pPr>
        <w:pStyle w:val="BodyText"/>
        <w:spacing w:line="360" w:lineRule="auto" w:before="132"/>
        <w:ind w:left="678" w:right="993" w:firstLine="720"/>
        <w:jc w:val="both"/>
      </w:pPr>
      <w:r>
        <w:rPr>
          <w:w w:val="110"/>
        </w:rPr>
        <w:t>The total ash obtained as described above was dissolved in 25 mL of dilute hydrochloric acid</w:t>
      </w:r>
      <w:r>
        <w:rPr>
          <w:spacing w:val="-1"/>
          <w:w w:val="110"/>
        </w:rPr>
        <w:t> </w:t>
      </w:r>
      <w:r>
        <w:rPr>
          <w:w w:val="110"/>
        </w:rPr>
        <w:t>and the crucible covered before boiling gently over a water bath for</w:t>
      </w:r>
      <w:r>
        <w:rPr>
          <w:w w:val="110"/>
        </w:rPr>
        <w:t> 30</w:t>
      </w:r>
      <w:r>
        <w:rPr>
          <w:w w:val="110"/>
        </w:rPr>
        <w:t> minutes.</w:t>
      </w:r>
      <w:r>
        <w:rPr>
          <w:w w:val="110"/>
        </w:rPr>
        <w:t> The</w:t>
      </w:r>
      <w:r>
        <w:rPr>
          <w:w w:val="110"/>
        </w:rPr>
        <w:t> mixture</w:t>
      </w:r>
      <w:r>
        <w:rPr>
          <w:w w:val="110"/>
        </w:rPr>
        <w:t> was</w:t>
      </w:r>
      <w:r>
        <w:rPr>
          <w:w w:val="110"/>
        </w:rPr>
        <w:t> well</w:t>
      </w:r>
      <w:r>
        <w:rPr>
          <w:w w:val="110"/>
        </w:rPr>
        <w:t> mixed</w:t>
      </w:r>
      <w:r>
        <w:rPr>
          <w:w w:val="110"/>
        </w:rPr>
        <w:t> with</w:t>
      </w:r>
      <w:r>
        <w:rPr>
          <w:w w:val="110"/>
        </w:rPr>
        <w:t> a</w:t>
      </w:r>
      <w:r>
        <w:rPr>
          <w:w w:val="110"/>
        </w:rPr>
        <w:t> glass</w:t>
      </w:r>
      <w:r>
        <w:rPr>
          <w:w w:val="110"/>
        </w:rPr>
        <w:t> rod</w:t>
      </w:r>
      <w:r>
        <w:rPr>
          <w:w w:val="110"/>
        </w:rPr>
        <w:t> and</w:t>
      </w:r>
      <w:r>
        <w:rPr>
          <w:w w:val="110"/>
        </w:rPr>
        <w:t> left</w:t>
      </w:r>
      <w:r>
        <w:rPr>
          <w:w w:val="110"/>
        </w:rPr>
        <w:t> to</w:t>
      </w:r>
      <w:r>
        <w:rPr>
          <w:w w:val="110"/>
        </w:rPr>
        <w:t> cool before filtering using ashless filter papers. Fresh distilled water was used to wash the residual ash in the filter paper until the filtrate was neutral to litmus.</w:t>
      </w:r>
      <w:r>
        <w:rPr>
          <w:w w:val="110"/>
        </w:rPr>
        <w:t> The wet residual acid-insoluble ash was returned to the crucible and dried at 105 </w:t>
      </w:r>
      <w:r>
        <w:rPr>
          <w:w w:val="110"/>
          <w:vertAlign w:val="superscript"/>
        </w:rPr>
        <w:t>o</w:t>
      </w:r>
      <w:r>
        <w:rPr>
          <w:w w:val="110"/>
          <w:vertAlign w:val="baseline"/>
        </w:rPr>
        <w:t>C for 30 minutes after which it was ignited in an electric furnace at a temperature between 500</w:t>
      </w:r>
      <w:r>
        <w:rPr>
          <w:w w:val="110"/>
          <w:vertAlign w:val="superscript"/>
        </w:rPr>
        <w:t>o</w:t>
      </w:r>
      <w:r>
        <w:rPr>
          <w:w w:val="110"/>
          <w:vertAlign w:val="baseline"/>
        </w:rPr>
        <w:t>C</w:t>
      </w:r>
      <w:r>
        <w:rPr>
          <w:w w:val="110"/>
          <w:vertAlign w:val="baseline"/>
        </w:rPr>
        <w:t> and</w:t>
      </w:r>
      <w:r>
        <w:rPr>
          <w:w w:val="110"/>
          <w:vertAlign w:val="baseline"/>
        </w:rPr>
        <w:t> 600</w:t>
      </w:r>
      <w:r>
        <w:rPr>
          <w:w w:val="110"/>
          <w:vertAlign w:val="superscript"/>
        </w:rPr>
        <w:t>o</w:t>
      </w:r>
      <w:r>
        <w:rPr>
          <w:w w:val="110"/>
          <w:vertAlign w:val="baseline"/>
        </w:rPr>
        <w:t>C.</w:t>
      </w:r>
      <w:r>
        <w:rPr>
          <w:w w:val="110"/>
          <w:vertAlign w:val="baseline"/>
        </w:rPr>
        <w:t> After</w:t>
      </w:r>
      <w:r>
        <w:rPr>
          <w:w w:val="110"/>
          <w:vertAlign w:val="baseline"/>
        </w:rPr>
        <w:t> ashing,</w:t>
      </w:r>
      <w:r>
        <w:rPr>
          <w:w w:val="110"/>
          <w:vertAlign w:val="baseline"/>
        </w:rPr>
        <w:t> cooling</w:t>
      </w:r>
      <w:r>
        <w:rPr>
          <w:w w:val="110"/>
          <w:vertAlign w:val="baseline"/>
        </w:rPr>
        <w:t> was</w:t>
      </w:r>
      <w:r>
        <w:rPr>
          <w:w w:val="110"/>
          <w:vertAlign w:val="baseline"/>
        </w:rPr>
        <w:t> done</w:t>
      </w:r>
      <w:r>
        <w:rPr>
          <w:w w:val="110"/>
          <w:vertAlign w:val="baseline"/>
        </w:rPr>
        <w:t> in</w:t>
      </w:r>
      <w:r>
        <w:rPr>
          <w:w w:val="110"/>
          <w:vertAlign w:val="baseline"/>
        </w:rPr>
        <w:t> a</w:t>
      </w:r>
      <w:r>
        <w:rPr>
          <w:w w:val="110"/>
          <w:vertAlign w:val="baseline"/>
        </w:rPr>
        <w:t> dessicator</w:t>
      </w:r>
      <w:r>
        <w:rPr>
          <w:w w:val="110"/>
          <w:vertAlign w:val="baseline"/>
        </w:rPr>
        <w:t> and</w:t>
      </w:r>
      <w:r>
        <w:rPr>
          <w:w w:val="110"/>
          <w:vertAlign w:val="baseline"/>
        </w:rPr>
        <w:t> each</w:t>
      </w:r>
      <w:r>
        <w:rPr>
          <w:spacing w:val="40"/>
          <w:w w:val="110"/>
          <w:vertAlign w:val="baseline"/>
        </w:rPr>
        <w:t> </w:t>
      </w:r>
      <w:r>
        <w:rPr>
          <w:w w:val="110"/>
          <w:vertAlign w:val="baseline"/>
        </w:rPr>
        <w:t>crucible</w:t>
      </w:r>
      <w:r>
        <w:rPr>
          <w:w w:val="110"/>
          <w:vertAlign w:val="baseline"/>
        </w:rPr>
        <w:t> was</w:t>
      </w:r>
      <w:r>
        <w:rPr>
          <w:w w:val="110"/>
          <w:vertAlign w:val="baseline"/>
        </w:rPr>
        <w:t> reweighed</w:t>
      </w:r>
      <w:r>
        <w:rPr>
          <w:w w:val="110"/>
          <w:vertAlign w:val="baseline"/>
        </w:rPr>
        <w:t> until</w:t>
      </w:r>
      <w:r>
        <w:rPr>
          <w:w w:val="110"/>
          <w:vertAlign w:val="baseline"/>
        </w:rPr>
        <w:t> a</w:t>
      </w:r>
      <w:r>
        <w:rPr>
          <w:w w:val="110"/>
          <w:vertAlign w:val="baseline"/>
        </w:rPr>
        <w:t> constant</w:t>
      </w:r>
      <w:r>
        <w:rPr>
          <w:w w:val="110"/>
          <w:vertAlign w:val="baseline"/>
        </w:rPr>
        <w:t> weight was</w:t>
      </w:r>
      <w:r>
        <w:rPr>
          <w:w w:val="110"/>
          <w:vertAlign w:val="baseline"/>
        </w:rPr>
        <w:t> obtained.</w:t>
      </w:r>
      <w:r>
        <w:rPr>
          <w:w w:val="110"/>
          <w:vertAlign w:val="baseline"/>
        </w:rPr>
        <w:t> The</w:t>
      </w:r>
      <w:r>
        <w:rPr>
          <w:w w:val="110"/>
          <w:vertAlign w:val="baseline"/>
        </w:rPr>
        <w:t> weight of</w:t>
      </w:r>
      <w:r>
        <w:rPr>
          <w:w w:val="110"/>
          <w:vertAlign w:val="baseline"/>
        </w:rPr>
        <w:t> the acid-insoluble</w:t>
      </w:r>
      <w:r>
        <w:rPr>
          <w:w w:val="110"/>
          <w:vertAlign w:val="baseline"/>
        </w:rPr>
        <w:t> ash</w:t>
      </w:r>
      <w:r>
        <w:rPr>
          <w:w w:val="110"/>
          <w:vertAlign w:val="baseline"/>
        </w:rPr>
        <w:t> was</w:t>
      </w:r>
      <w:r>
        <w:rPr>
          <w:w w:val="110"/>
          <w:vertAlign w:val="baseline"/>
        </w:rPr>
        <w:t> obtained</w:t>
      </w:r>
      <w:r>
        <w:rPr>
          <w:w w:val="110"/>
          <w:vertAlign w:val="baseline"/>
        </w:rPr>
        <w:t> from</w:t>
      </w:r>
      <w:r>
        <w:rPr>
          <w:w w:val="110"/>
          <w:vertAlign w:val="baseline"/>
        </w:rPr>
        <w:t> the</w:t>
      </w:r>
      <w:r>
        <w:rPr>
          <w:w w:val="110"/>
          <w:vertAlign w:val="baseline"/>
        </w:rPr>
        <w:t> difference</w:t>
      </w:r>
      <w:r>
        <w:rPr>
          <w:w w:val="110"/>
          <w:vertAlign w:val="baseline"/>
        </w:rPr>
        <w:t> between</w:t>
      </w:r>
      <w:r>
        <w:rPr>
          <w:w w:val="110"/>
          <w:vertAlign w:val="baseline"/>
        </w:rPr>
        <w:t> the</w:t>
      </w:r>
      <w:r>
        <w:rPr>
          <w:w w:val="110"/>
          <w:vertAlign w:val="baseline"/>
        </w:rPr>
        <w:t> weight</w:t>
      </w:r>
      <w:r>
        <w:rPr>
          <w:w w:val="110"/>
          <w:vertAlign w:val="baseline"/>
        </w:rPr>
        <w:t> of</w:t>
      </w:r>
      <w:r>
        <w:rPr>
          <w:w w:val="110"/>
          <w:vertAlign w:val="baseline"/>
        </w:rPr>
        <w:t> the crucible</w:t>
      </w:r>
      <w:r>
        <w:rPr>
          <w:w w:val="110"/>
          <w:vertAlign w:val="baseline"/>
        </w:rPr>
        <w:t> containing</w:t>
      </w:r>
      <w:r>
        <w:rPr>
          <w:w w:val="110"/>
          <w:vertAlign w:val="baseline"/>
        </w:rPr>
        <w:t> the</w:t>
      </w:r>
      <w:r>
        <w:rPr>
          <w:w w:val="110"/>
          <w:vertAlign w:val="baseline"/>
        </w:rPr>
        <w:t> ash</w:t>
      </w:r>
      <w:r>
        <w:rPr>
          <w:w w:val="110"/>
          <w:vertAlign w:val="baseline"/>
        </w:rPr>
        <w:t> and</w:t>
      </w:r>
      <w:r>
        <w:rPr>
          <w:w w:val="110"/>
          <w:vertAlign w:val="baseline"/>
        </w:rPr>
        <w:t> the</w:t>
      </w:r>
      <w:r>
        <w:rPr>
          <w:w w:val="110"/>
          <w:vertAlign w:val="baseline"/>
        </w:rPr>
        <w:t> crucible</w:t>
      </w:r>
      <w:r>
        <w:rPr>
          <w:w w:val="110"/>
          <w:vertAlign w:val="baseline"/>
        </w:rPr>
        <w:t> and</w:t>
      </w:r>
      <w:r>
        <w:rPr>
          <w:w w:val="110"/>
          <w:vertAlign w:val="baseline"/>
        </w:rPr>
        <w:t> the</w:t>
      </w:r>
      <w:r>
        <w:rPr>
          <w:w w:val="110"/>
          <w:vertAlign w:val="baseline"/>
        </w:rPr>
        <w:t> calculation</w:t>
      </w:r>
      <w:r>
        <w:rPr>
          <w:w w:val="110"/>
          <w:vertAlign w:val="baseline"/>
        </w:rPr>
        <w:t> was</w:t>
      </w:r>
      <w:r>
        <w:rPr>
          <w:w w:val="110"/>
          <w:vertAlign w:val="baseline"/>
        </w:rPr>
        <w:t> as</w:t>
      </w:r>
      <w:r>
        <w:rPr>
          <w:w w:val="110"/>
          <w:vertAlign w:val="baseline"/>
        </w:rPr>
        <w:t> follows</w:t>
      </w:r>
      <w:r>
        <w:rPr>
          <w:spacing w:val="40"/>
          <w:w w:val="110"/>
          <w:vertAlign w:val="baseline"/>
        </w:rPr>
        <w:t> </w:t>
      </w:r>
      <w:r>
        <w:rPr>
          <w:w w:val="110"/>
          <w:vertAlign w:val="baseline"/>
        </w:rPr>
        <w:t>(BP 1998):</w:t>
      </w:r>
    </w:p>
    <w:p>
      <w:pPr>
        <w:pStyle w:val="BodyText"/>
        <w:tabs>
          <w:tab w:pos="8493" w:val="left" w:leader="dot"/>
        </w:tabs>
        <w:spacing w:line="362" w:lineRule="auto" w:before="255"/>
        <w:ind w:left="678" w:right="992"/>
        <w:jc w:val="both"/>
      </w:pPr>
      <w:r>
        <w:rPr>
          <w:w w:val="110"/>
        </w:rPr>
        <w:t>%</w:t>
      </w:r>
      <w:r>
        <w:rPr>
          <w:w w:val="110"/>
        </w:rPr>
        <w:t> Acid-insoluble</w:t>
      </w:r>
      <w:r>
        <w:rPr>
          <w:w w:val="110"/>
        </w:rPr>
        <w:t> ash</w:t>
      </w:r>
      <w:r>
        <w:rPr>
          <w:w w:val="110"/>
        </w:rPr>
        <w:t> =</w:t>
      </w:r>
      <w:r>
        <w:rPr>
          <w:w w:val="110"/>
        </w:rPr>
        <w:t> Weight</w:t>
      </w:r>
      <w:r>
        <w:rPr>
          <w:w w:val="110"/>
        </w:rPr>
        <w:t> of</w:t>
      </w:r>
      <w:r>
        <w:rPr>
          <w:w w:val="110"/>
        </w:rPr>
        <w:t> acid</w:t>
      </w:r>
      <w:r>
        <w:rPr>
          <w:w w:val="110"/>
        </w:rPr>
        <w:t> –</w:t>
      </w:r>
      <w:r>
        <w:rPr>
          <w:w w:val="110"/>
        </w:rPr>
        <w:t> insoluble</w:t>
      </w:r>
      <w:r>
        <w:rPr>
          <w:w w:val="110"/>
        </w:rPr>
        <w:t> /</w:t>
      </w:r>
      <w:r>
        <w:rPr>
          <w:w w:val="110"/>
        </w:rPr>
        <w:t> Weight</w:t>
      </w:r>
      <w:r>
        <w:rPr>
          <w:w w:val="110"/>
        </w:rPr>
        <w:t> of</w:t>
      </w:r>
      <w:r>
        <w:rPr>
          <w:w w:val="110"/>
        </w:rPr>
        <w:t> air-</w:t>
      </w:r>
      <w:r>
        <w:rPr>
          <w:w w:val="110"/>
        </w:rPr>
        <w:t> dried powdered</w:t>
      </w:r>
      <w:r>
        <w:rPr>
          <w:spacing w:val="-2"/>
          <w:w w:val="110"/>
        </w:rPr>
        <w:t> </w:t>
      </w:r>
      <w:r>
        <w:rPr>
          <w:w w:val="110"/>
        </w:rPr>
        <w:t>seeds x</w:t>
      </w:r>
      <w:r>
        <w:rPr>
          <w:spacing w:val="-2"/>
          <w:w w:val="110"/>
        </w:rPr>
        <w:t> </w:t>
      </w:r>
      <w:r>
        <w:rPr>
          <w:spacing w:val="-5"/>
          <w:w w:val="110"/>
        </w:rPr>
        <w:t>100</w:t>
      </w:r>
      <w:r>
        <w:rPr/>
        <w:tab/>
      </w:r>
      <w:r>
        <w:rPr>
          <w:w w:val="110"/>
        </w:rPr>
        <w:t>Eqn.</w:t>
      </w:r>
      <w:r>
        <w:rPr>
          <w:spacing w:val="-1"/>
          <w:w w:val="110"/>
        </w:rPr>
        <w:t> </w:t>
      </w:r>
      <w:r>
        <w:rPr>
          <w:spacing w:val="-5"/>
          <w:w w:val="110"/>
        </w:rPr>
        <w:t>2.2</w:t>
      </w:r>
    </w:p>
    <w:p>
      <w:pPr>
        <w:pStyle w:val="BodyText"/>
        <w:spacing w:line="271" w:lineRule="exact"/>
        <w:ind w:left="678"/>
        <w:jc w:val="both"/>
      </w:pPr>
      <w:r>
        <w:rPr>
          <w:w w:val="110"/>
        </w:rPr>
        <w:t>The</w:t>
      </w:r>
      <w:r>
        <w:rPr>
          <w:spacing w:val="-6"/>
          <w:w w:val="110"/>
        </w:rPr>
        <w:t> </w:t>
      </w:r>
      <w:r>
        <w:rPr>
          <w:w w:val="110"/>
        </w:rPr>
        <w:t>mean</w:t>
      </w:r>
      <w:r>
        <w:rPr>
          <w:spacing w:val="-2"/>
          <w:w w:val="110"/>
        </w:rPr>
        <w:t> </w:t>
      </w:r>
      <w:r>
        <w:rPr>
          <w:w w:val="110"/>
        </w:rPr>
        <w:t>of</w:t>
      </w:r>
      <w:r>
        <w:rPr>
          <w:spacing w:val="-1"/>
          <w:w w:val="110"/>
        </w:rPr>
        <w:t> </w:t>
      </w:r>
      <w:r>
        <w:rPr>
          <w:w w:val="110"/>
        </w:rPr>
        <w:t>six</w:t>
      </w:r>
      <w:r>
        <w:rPr>
          <w:spacing w:val="-3"/>
          <w:w w:val="110"/>
        </w:rPr>
        <w:t> </w:t>
      </w:r>
      <w:r>
        <w:rPr>
          <w:w w:val="110"/>
        </w:rPr>
        <w:t>determinations</w:t>
      </w:r>
      <w:r>
        <w:rPr>
          <w:spacing w:val="-1"/>
          <w:w w:val="110"/>
        </w:rPr>
        <w:t> </w:t>
      </w:r>
      <w:r>
        <w:rPr>
          <w:w w:val="110"/>
        </w:rPr>
        <w:t>was </w:t>
      </w:r>
      <w:r>
        <w:rPr>
          <w:spacing w:val="-2"/>
          <w:w w:val="110"/>
        </w:rPr>
        <w:t>taken.</w:t>
      </w:r>
    </w:p>
    <w:p>
      <w:pPr>
        <w:pStyle w:val="BodyText"/>
      </w:pPr>
    </w:p>
    <w:p>
      <w:pPr>
        <w:pStyle w:val="BodyText"/>
        <w:spacing w:before="5"/>
      </w:pPr>
    </w:p>
    <w:p>
      <w:pPr>
        <w:pStyle w:val="Heading2"/>
        <w:numPr>
          <w:ilvl w:val="2"/>
          <w:numId w:val="34"/>
        </w:numPr>
        <w:tabs>
          <w:tab w:pos="1269" w:val="left" w:leader="none"/>
        </w:tabs>
        <w:spacing w:line="240" w:lineRule="auto" w:before="0" w:after="0"/>
        <w:ind w:left="1269" w:right="0" w:hanging="591"/>
        <w:jc w:val="both"/>
      </w:pPr>
      <w:bookmarkStart w:name="_TOC_250049" w:id="84"/>
      <w:r>
        <w:rPr>
          <w:w w:val="110"/>
        </w:rPr>
        <w:t>Determination</w:t>
      </w:r>
      <w:r>
        <w:rPr>
          <w:spacing w:val="-8"/>
          <w:w w:val="110"/>
        </w:rPr>
        <w:t> </w:t>
      </w:r>
      <w:r>
        <w:rPr>
          <w:w w:val="110"/>
        </w:rPr>
        <w:t>of</w:t>
      </w:r>
      <w:r>
        <w:rPr>
          <w:spacing w:val="-7"/>
          <w:w w:val="110"/>
        </w:rPr>
        <w:t> </w:t>
      </w:r>
      <w:r>
        <w:rPr>
          <w:w w:val="110"/>
        </w:rPr>
        <w:t>water-soluble</w:t>
      </w:r>
      <w:r>
        <w:rPr>
          <w:spacing w:val="-7"/>
          <w:w w:val="110"/>
        </w:rPr>
        <w:t> </w:t>
      </w:r>
      <w:bookmarkEnd w:id="84"/>
      <w:r>
        <w:rPr>
          <w:spacing w:val="-5"/>
          <w:w w:val="110"/>
        </w:rPr>
        <w:t>ash</w:t>
      </w:r>
    </w:p>
    <w:p>
      <w:pPr>
        <w:pStyle w:val="BodyText"/>
        <w:spacing w:before="134"/>
        <w:ind w:left="1398"/>
      </w:pPr>
      <w:r>
        <w:rPr>
          <w:w w:val="110"/>
        </w:rPr>
        <w:t>The</w:t>
      </w:r>
      <w:r>
        <w:rPr>
          <w:spacing w:val="3"/>
          <w:w w:val="110"/>
        </w:rPr>
        <w:t> </w:t>
      </w:r>
      <w:r>
        <w:rPr>
          <w:w w:val="110"/>
        </w:rPr>
        <w:t>total</w:t>
      </w:r>
      <w:r>
        <w:rPr>
          <w:spacing w:val="5"/>
          <w:w w:val="110"/>
        </w:rPr>
        <w:t> </w:t>
      </w:r>
      <w:r>
        <w:rPr>
          <w:w w:val="110"/>
        </w:rPr>
        <w:t>ash</w:t>
      </w:r>
      <w:r>
        <w:rPr>
          <w:spacing w:val="9"/>
          <w:w w:val="110"/>
        </w:rPr>
        <w:t> </w:t>
      </w:r>
      <w:r>
        <w:rPr>
          <w:w w:val="110"/>
        </w:rPr>
        <w:t>obtained</w:t>
      </w:r>
      <w:r>
        <w:rPr>
          <w:spacing w:val="8"/>
          <w:w w:val="110"/>
        </w:rPr>
        <w:t> </w:t>
      </w:r>
      <w:r>
        <w:rPr>
          <w:w w:val="110"/>
        </w:rPr>
        <w:t>previously</w:t>
      </w:r>
      <w:r>
        <w:rPr>
          <w:spacing w:val="7"/>
          <w:w w:val="110"/>
        </w:rPr>
        <w:t> </w:t>
      </w:r>
      <w:r>
        <w:rPr>
          <w:w w:val="110"/>
        </w:rPr>
        <w:t>was</w:t>
      </w:r>
      <w:r>
        <w:rPr>
          <w:spacing w:val="7"/>
          <w:w w:val="110"/>
        </w:rPr>
        <w:t> </w:t>
      </w:r>
      <w:r>
        <w:rPr>
          <w:w w:val="110"/>
        </w:rPr>
        <w:t>dissolved</w:t>
      </w:r>
      <w:r>
        <w:rPr>
          <w:spacing w:val="6"/>
          <w:w w:val="110"/>
        </w:rPr>
        <w:t> </w:t>
      </w:r>
      <w:r>
        <w:rPr>
          <w:w w:val="110"/>
        </w:rPr>
        <w:t>in</w:t>
      </w:r>
      <w:r>
        <w:rPr>
          <w:spacing w:val="7"/>
          <w:w w:val="110"/>
        </w:rPr>
        <w:t> </w:t>
      </w:r>
      <w:r>
        <w:rPr>
          <w:w w:val="110"/>
        </w:rPr>
        <w:t>25</w:t>
      </w:r>
      <w:r>
        <w:rPr>
          <w:spacing w:val="9"/>
          <w:w w:val="110"/>
        </w:rPr>
        <w:t> </w:t>
      </w:r>
      <w:r>
        <w:rPr>
          <w:w w:val="110"/>
        </w:rPr>
        <w:t>mL</w:t>
      </w:r>
      <w:r>
        <w:rPr>
          <w:spacing w:val="6"/>
          <w:w w:val="110"/>
        </w:rPr>
        <w:t> </w:t>
      </w:r>
      <w:r>
        <w:rPr>
          <w:w w:val="110"/>
        </w:rPr>
        <w:t>of</w:t>
      </w:r>
      <w:r>
        <w:rPr>
          <w:spacing w:val="7"/>
          <w:w w:val="110"/>
        </w:rPr>
        <w:t> </w:t>
      </w:r>
      <w:r>
        <w:rPr>
          <w:w w:val="110"/>
        </w:rPr>
        <w:t>freshly</w:t>
      </w:r>
      <w:r>
        <w:rPr>
          <w:spacing w:val="7"/>
          <w:w w:val="110"/>
        </w:rPr>
        <w:t> </w:t>
      </w:r>
      <w:r>
        <w:rPr>
          <w:spacing w:val="-2"/>
          <w:w w:val="110"/>
        </w:rPr>
        <w:t>boiled</w:t>
      </w:r>
    </w:p>
    <w:p>
      <w:pPr>
        <w:spacing w:after="0"/>
        <w:sectPr>
          <w:pgSz w:w="12240" w:h="15840"/>
          <w:pgMar w:header="0" w:footer="1056" w:top="1340" w:bottom="1240" w:left="1420" w:right="420"/>
        </w:sectPr>
      </w:pPr>
    </w:p>
    <w:p>
      <w:pPr>
        <w:pStyle w:val="BodyText"/>
        <w:spacing w:line="360" w:lineRule="auto" w:before="72"/>
        <w:ind w:left="678" w:right="995"/>
        <w:jc w:val="both"/>
      </w:pPr>
      <w:r>
        <w:rPr/>
        <mc:AlternateContent>
          <mc:Choice Requires="wps">
            <w:drawing>
              <wp:anchor distT="0" distB="0" distL="0" distR="0" allowOverlap="1" layoutInCell="1" locked="0" behindDoc="1" simplePos="0" relativeHeight="482962432">
                <wp:simplePos x="0" y="0"/>
                <wp:positionH relativeFrom="page">
                  <wp:posOffset>-1402226</wp:posOffset>
                </wp:positionH>
                <wp:positionV relativeFrom="page">
                  <wp:posOffset>4612234</wp:posOffset>
                </wp:positionV>
                <wp:extent cx="10685780" cy="9144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4048;rotation:306" type="#_x0000_t136" fillcolor="#ff5400" stroked="f">
                <o:extrusion v:ext="view" autorotationcenter="t"/>
                <v:textpath style="font-family:&quot;Arial MT&quot;;font-size:72pt;v-text-kern:t;mso-text-shadow:auto" string="UNIVERSITY OF IBADAN"/>
                <w10:wrap type="none"/>
              </v:shape>
            </w:pict>
          </mc:Fallback>
        </mc:AlternateContent>
      </w:r>
      <w:r>
        <w:rPr>
          <w:w w:val="110"/>
        </w:rPr>
        <w:t>and</w:t>
      </w:r>
      <w:r>
        <w:rPr>
          <w:w w:val="110"/>
        </w:rPr>
        <w:t> cooled</w:t>
      </w:r>
      <w:r>
        <w:rPr>
          <w:w w:val="110"/>
        </w:rPr>
        <w:t> distilled</w:t>
      </w:r>
      <w:r>
        <w:rPr>
          <w:w w:val="110"/>
        </w:rPr>
        <w:t> water.</w:t>
      </w:r>
      <w:r>
        <w:rPr>
          <w:w w:val="110"/>
        </w:rPr>
        <w:t> After</w:t>
      </w:r>
      <w:r>
        <w:rPr>
          <w:w w:val="110"/>
        </w:rPr>
        <w:t> covering</w:t>
      </w:r>
      <w:r>
        <w:rPr>
          <w:w w:val="110"/>
        </w:rPr>
        <w:t> each</w:t>
      </w:r>
      <w:r>
        <w:rPr>
          <w:w w:val="110"/>
        </w:rPr>
        <w:t> crucible,</w:t>
      </w:r>
      <w:r>
        <w:rPr>
          <w:w w:val="110"/>
        </w:rPr>
        <w:t> the</w:t>
      </w:r>
      <w:r>
        <w:rPr>
          <w:w w:val="110"/>
        </w:rPr>
        <w:t> ash-water</w:t>
      </w:r>
      <w:r>
        <w:rPr>
          <w:w w:val="110"/>
        </w:rPr>
        <w:t> mixture was gently boiled for 30 minutes over a water bath. The crucibles were removed and</w:t>
      </w:r>
      <w:r>
        <w:rPr>
          <w:w w:val="110"/>
        </w:rPr>
        <w:t> left</w:t>
      </w:r>
      <w:r>
        <w:rPr>
          <w:w w:val="110"/>
        </w:rPr>
        <w:t> to</w:t>
      </w:r>
      <w:r>
        <w:rPr>
          <w:w w:val="110"/>
        </w:rPr>
        <w:t> cool</w:t>
      </w:r>
      <w:r>
        <w:rPr>
          <w:w w:val="110"/>
        </w:rPr>
        <w:t> before</w:t>
      </w:r>
      <w:r>
        <w:rPr>
          <w:w w:val="110"/>
        </w:rPr>
        <w:t> filtering</w:t>
      </w:r>
      <w:r>
        <w:rPr>
          <w:w w:val="110"/>
        </w:rPr>
        <w:t> through</w:t>
      </w:r>
      <w:r>
        <w:rPr>
          <w:w w:val="110"/>
        </w:rPr>
        <w:t> an</w:t>
      </w:r>
      <w:r>
        <w:rPr>
          <w:w w:val="110"/>
        </w:rPr>
        <w:t> ashless</w:t>
      </w:r>
      <w:r>
        <w:rPr>
          <w:w w:val="110"/>
        </w:rPr>
        <w:t> filter</w:t>
      </w:r>
      <w:r>
        <w:rPr>
          <w:w w:val="110"/>
        </w:rPr>
        <w:t> paper.</w:t>
      </w:r>
      <w:r>
        <w:rPr>
          <w:w w:val="110"/>
        </w:rPr>
        <w:t> The</w:t>
      </w:r>
      <w:r>
        <w:rPr>
          <w:w w:val="110"/>
        </w:rPr>
        <w:t> residual</w:t>
      </w:r>
      <w:r>
        <w:rPr>
          <w:w w:val="110"/>
        </w:rPr>
        <w:t> ash retained by the filter was returned to the crucible and dried at 105</w:t>
      </w:r>
      <w:r>
        <w:rPr>
          <w:w w:val="110"/>
          <w:vertAlign w:val="superscript"/>
        </w:rPr>
        <w:t>o</w:t>
      </w:r>
      <w:r>
        <w:rPr>
          <w:w w:val="110"/>
          <w:vertAlign w:val="baseline"/>
        </w:rPr>
        <w:t>C for 1 hour in</w:t>
      </w:r>
      <w:r>
        <w:rPr>
          <w:spacing w:val="40"/>
          <w:w w:val="110"/>
          <w:vertAlign w:val="baseline"/>
        </w:rPr>
        <w:t> </w:t>
      </w:r>
      <w:r>
        <w:rPr>
          <w:w w:val="110"/>
          <w:vertAlign w:val="baseline"/>
        </w:rPr>
        <w:t>a</w:t>
      </w:r>
      <w:r>
        <w:rPr>
          <w:w w:val="110"/>
          <w:vertAlign w:val="baseline"/>
        </w:rPr>
        <w:t> hot</w:t>
      </w:r>
      <w:r>
        <w:rPr>
          <w:w w:val="110"/>
          <w:vertAlign w:val="baseline"/>
        </w:rPr>
        <w:t> air</w:t>
      </w:r>
      <w:r>
        <w:rPr>
          <w:w w:val="110"/>
          <w:vertAlign w:val="baseline"/>
        </w:rPr>
        <w:t> oven.</w:t>
      </w:r>
      <w:r>
        <w:rPr>
          <w:w w:val="110"/>
          <w:vertAlign w:val="baseline"/>
        </w:rPr>
        <w:t> Then</w:t>
      </w:r>
      <w:r>
        <w:rPr>
          <w:w w:val="110"/>
          <w:vertAlign w:val="baseline"/>
        </w:rPr>
        <w:t> the</w:t>
      </w:r>
      <w:r>
        <w:rPr>
          <w:w w:val="110"/>
          <w:vertAlign w:val="baseline"/>
        </w:rPr>
        <w:t> crucible</w:t>
      </w:r>
      <w:r>
        <w:rPr>
          <w:w w:val="110"/>
          <w:vertAlign w:val="baseline"/>
        </w:rPr>
        <w:t> and</w:t>
      </w:r>
      <w:r>
        <w:rPr>
          <w:w w:val="110"/>
          <w:vertAlign w:val="baseline"/>
        </w:rPr>
        <w:t> its</w:t>
      </w:r>
      <w:r>
        <w:rPr>
          <w:w w:val="110"/>
          <w:vertAlign w:val="baseline"/>
        </w:rPr>
        <w:t> contents</w:t>
      </w:r>
      <w:r>
        <w:rPr>
          <w:w w:val="110"/>
          <w:vertAlign w:val="baseline"/>
        </w:rPr>
        <w:t> were</w:t>
      </w:r>
      <w:r>
        <w:rPr>
          <w:w w:val="110"/>
          <w:vertAlign w:val="baseline"/>
        </w:rPr>
        <w:t> ignited</w:t>
      </w:r>
      <w:r>
        <w:rPr>
          <w:w w:val="110"/>
          <w:vertAlign w:val="baseline"/>
        </w:rPr>
        <w:t> at</w:t>
      </w:r>
      <w:r>
        <w:rPr>
          <w:w w:val="110"/>
          <w:vertAlign w:val="baseline"/>
        </w:rPr>
        <w:t> a</w:t>
      </w:r>
      <w:r>
        <w:rPr>
          <w:w w:val="110"/>
          <w:vertAlign w:val="baseline"/>
        </w:rPr>
        <w:t> temperature between</w:t>
      </w:r>
      <w:r>
        <w:rPr>
          <w:w w:val="110"/>
          <w:vertAlign w:val="baseline"/>
        </w:rPr>
        <w:t> 500</w:t>
      </w:r>
      <w:r>
        <w:rPr>
          <w:w w:val="110"/>
          <w:vertAlign w:val="superscript"/>
        </w:rPr>
        <w:t>o</w:t>
      </w:r>
      <w:r>
        <w:rPr>
          <w:w w:val="110"/>
          <w:vertAlign w:val="baseline"/>
        </w:rPr>
        <w:t>C</w:t>
      </w:r>
      <w:r>
        <w:rPr>
          <w:w w:val="110"/>
          <w:vertAlign w:val="baseline"/>
        </w:rPr>
        <w:t> and</w:t>
      </w:r>
      <w:r>
        <w:rPr>
          <w:w w:val="110"/>
          <w:vertAlign w:val="baseline"/>
        </w:rPr>
        <w:t> 600</w:t>
      </w:r>
      <w:r>
        <w:rPr>
          <w:w w:val="110"/>
          <w:vertAlign w:val="superscript"/>
        </w:rPr>
        <w:t>o</w:t>
      </w:r>
      <w:r>
        <w:rPr>
          <w:w w:val="110"/>
          <w:vertAlign w:val="baseline"/>
        </w:rPr>
        <w:t>C</w:t>
      </w:r>
      <w:r>
        <w:rPr>
          <w:w w:val="110"/>
          <w:vertAlign w:val="baseline"/>
        </w:rPr>
        <w:t> in</w:t>
      </w:r>
      <w:r>
        <w:rPr>
          <w:w w:val="110"/>
          <w:vertAlign w:val="baseline"/>
        </w:rPr>
        <w:t> an</w:t>
      </w:r>
      <w:r>
        <w:rPr>
          <w:w w:val="110"/>
          <w:vertAlign w:val="baseline"/>
        </w:rPr>
        <w:t> electric</w:t>
      </w:r>
      <w:r>
        <w:rPr>
          <w:w w:val="110"/>
          <w:vertAlign w:val="baseline"/>
        </w:rPr>
        <w:t> furnace.</w:t>
      </w:r>
      <w:r>
        <w:rPr>
          <w:w w:val="110"/>
          <w:vertAlign w:val="baseline"/>
        </w:rPr>
        <w:t> After</w:t>
      </w:r>
      <w:r>
        <w:rPr>
          <w:w w:val="110"/>
          <w:vertAlign w:val="baseline"/>
        </w:rPr>
        <w:t> complete</w:t>
      </w:r>
      <w:r>
        <w:rPr>
          <w:w w:val="110"/>
          <w:vertAlign w:val="baseline"/>
        </w:rPr>
        <w:t> ashing,</w:t>
      </w:r>
      <w:r>
        <w:rPr>
          <w:w w:val="110"/>
          <w:vertAlign w:val="baseline"/>
        </w:rPr>
        <w:t> the crucible</w:t>
      </w:r>
      <w:r>
        <w:rPr>
          <w:w w:val="110"/>
          <w:vertAlign w:val="baseline"/>
        </w:rPr>
        <w:t> was</w:t>
      </w:r>
      <w:r>
        <w:rPr>
          <w:w w:val="110"/>
          <w:vertAlign w:val="baseline"/>
        </w:rPr>
        <w:t> weighed</w:t>
      </w:r>
      <w:r>
        <w:rPr>
          <w:w w:val="110"/>
          <w:vertAlign w:val="baseline"/>
        </w:rPr>
        <w:t> and</w:t>
      </w:r>
      <w:r>
        <w:rPr>
          <w:w w:val="110"/>
          <w:vertAlign w:val="baseline"/>
        </w:rPr>
        <w:t> the</w:t>
      </w:r>
      <w:r>
        <w:rPr>
          <w:w w:val="110"/>
          <w:vertAlign w:val="baseline"/>
        </w:rPr>
        <w:t> process</w:t>
      </w:r>
      <w:r>
        <w:rPr>
          <w:w w:val="110"/>
          <w:vertAlign w:val="baseline"/>
        </w:rPr>
        <w:t> repeated</w:t>
      </w:r>
      <w:r>
        <w:rPr>
          <w:w w:val="110"/>
          <w:vertAlign w:val="baseline"/>
        </w:rPr>
        <w:t> until</w:t>
      </w:r>
      <w:r>
        <w:rPr>
          <w:w w:val="110"/>
          <w:vertAlign w:val="baseline"/>
        </w:rPr>
        <w:t> a</w:t>
      </w:r>
      <w:r>
        <w:rPr>
          <w:w w:val="110"/>
          <w:vertAlign w:val="baseline"/>
        </w:rPr>
        <w:t> constant</w:t>
      </w:r>
      <w:r>
        <w:rPr>
          <w:w w:val="110"/>
          <w:vertAlign w:val="baseline"/>
        </w:rPr>
        <w:t> weight</w:t>
      </w:r>
      <w:r>
        <w:rPr>
          <w:w w:val="110"/>
          <w:vertAlign w:val="baseline"/>
        </w:rPr>
        <w:t> was obtained.</w:t>
      </w:r>
      <w:r>
        <w:rPr>
          <w:w w:val="110"/>
          <w:vertAlign w:val="baseline"/>
        </w:rPr>
        <w:t> The</w:t>
      </w:r>
      <w:r>
        <w:rPr>
          <w:w w:val="110"/>
          <w:vertAlign w:val="baseline"/>
        </w:rPr>
        <w:t> difference</w:t>
      </w:r>
      <w:r>
        <w:rPr>
          <w:w w:val="110"/>
          <w:vertAlign w:val="baseline"/>
        </w:rPr>
        <w:t> between</w:t>
      </w:r>
      <w:r>
        <w:rPr>
          <w:w w:val="110"/>
          <w:vertAlign w:val="baseline"/>
        </w:rPr>
        <w:t> the</w:t>
      </w:r>
      <w:r>
        <w:rPr>
          <w:w w:val="110"/>
          <w:vertAlign w:val="baseline"/>
        </w:rPr>
        <w:t> total</w:t>
      </w:r>
      <w:r>
        <w:rPr>
          <w:w w:val="110"/>
          <w:vertAlign w:val="baseline"/>
        </w:rPr>
        <w:t> ash</w:t>
      </w:r>
      <w:r>
        <w:rPr>
          <w:w w:val="110"/>
          <w:vertAlign w:val="baseline"/>
        </w:rPr>
        <w:t> and</w:t>
      </w:r>
      <w:r>
        <w:rPr>
          <w:w w:val="110"/>
          <w:vertAlign w:val="baseline"/>
        </w:rPr>
        <w:t> the</w:t>
      </w:r>
      <w:r>
        <w:rPr>
          <w:w w:val="110"/>
          <w:vertAlign w:val="baseline"/>
        </w:rPr>
        <w:t> water</w:t>
      </w:r>
      <w:r>
        <w:rPr>
          <w:w w:val="110"/>
          <w:vertAlign w:val="baseline"/>
        </w:rPr>
        <w:t> insoluble</w:t>
      </w:r>
      <w:r>
        <w:rPr>
          <w:w w:val="110"/>
          <w:vertAlign w:val="baseline"/>
        </w:rPr>
        <w:t> ash</w:t>
      </w:r>
      <w:r>
        <w:rPr>
          <w:w w:val="110"/>
          <w:vertAlign w:val="baseline"/>
        </w:rPr>
        <w:t> gave</w:t>
      </w:r>
      <w:r>
        <w:rPr>
          <w:spacing w:val="40"/>
          <w:w w:val="110"/>
          <w:vertAlign w:val="baseline"/>
        </w:rPr>
        <w:t> </w:t>
      </w:r>
      <w:r>
        <w:rPr>
          <w:w w:val="110"/>
          <w:vertAlign w:val="baseline"/>
        </w:rPr>
        <w:t>the weight of the water-soluble ash. Percentage water-soluble ash was calculated as follows (BP, 1998):</w:t>
      </w:r>
    </w:p>
    <w:p>
      <w:pPr>
        <w:pStyle w:val="BodyText"/>
      </w:pPr>
    </w:p>
    <w:p>
      <w:pPr>
        <w:pStyle w:val="BodyText"/>
      </w:pPr>
    </w:p>
    <w:p>
      <w:pPr>
        <w:pStyle w:val="BodyText"/>
        <w:spacing w:before="95"/>
      </w:pPr>
    </w:p>
    <w:p>
      <w:pPr>
        <w:pStyle w:val="BodyText"/>
        <w:tabs>
          <w:tab w:pos="8484" w:val="left" w:leader="dot"/>
        </w:tabs>
        <w:spacing w:line="360" w:lineRule="auto"/>
        <w:ind w:left="1398" w:right="997"/>
      </w:pPr>
      <w:r>
        <w:rPr>
          <w:w w:val="110"/>
        </w:rPr>
        <w:t>%</w:t>
      </w:r>
      <w:r>
        <w:rPr>
          <w:w w:val="110"/>
        </w:rPr>
        <w:t> Water-soluble</w:t>
      </w:r>
      <w:r>
        <w:rPr>
          <w:w w:val="110"/>
        </w:rPr>
        <w:t> ash</w:t>
      </w:r>
      <w:r>
        <w:rPr>
          <w:w w:val="110"/>
        </w:rPr>
        <w:t> =</w:t>
      </w:r>
      <w:r>
        <w:rPr>
          <w:w w:val="110"/>
        </w:rPr>
        <w:t> Weight</w:t>
      </w:r>
      <w:r>
        <w:rPr>
          <w:w w:val="110"/>
        </w:rPr>
        <w:t> of</w:t>
      </w:r>
      <w:r>
        <w:rPr>
          <w:w w:val="110"/>
        </w:rPr>
        <w:t> water-soluble</w:t>
      </w:r>
      <w:r>
        <w:rPr>
          <w:w w:val="110"/>
        </w:rPr>
        <w:t> ash</w:t>
      </w:r>
      <w:r>
        <w:rPr>
          <w:w w:val="110"/>
        </w:rPr>
        <w:t> /</w:t>
      </w:r>
      <w:r>
        <w:rPr>
          <w:w w:val="110"/>
        </w:rPr>
        <w:t> Weight</w:t>
      </w:r>
      <w:r>
        <w:rPr>
          <w:w w:val="110"/>
        </w:rPr>
        <w:t> of</w:t>
      </w:r>
      <w:r>
        <w:rPr>
          <w:w w:val="110"/>
        </w:rPr>
        <w:t> air-dried</w:t>
      </w:r>
      <w:r>
        <w:rPr>
          <w:spacing w:val="80"/>
          <w:w w:val="110"/>
        </w:rPr>
        <w:t> </w:t>
      </w:r>
      <w:r>
        <w:rPr>
          <w:w w:val="110"/>
        </w:rPr>
        <w:t>powdered</w:t>
      </w:r>
      <w:r>
        <w:rPr>
          <w:spacing w:val="-2"/>
          <w:w w:val="110"/>
        </w:rPr>
        <w:t> </w:t>
      </w:r>
      <w:r>
        <w:rPr>
          <w:w w:val="110"/>
        </w:rPr>
        <w:t>seeds x</w:t>
      </w:r>
      <w:r>
        <w:rPr>
          <w:spacing w:val="-2"/>
          <w:w w:val="110"/>
        </w:rPr>
        <w:t> </w:t>
      </w:r>
      <w:r>
        <w:rPr>
          <w:spacing w:val="-5"/>
          <w:w w:val="110"/>
        </w:rPr>
        <w:t>100</w:t>
      </w:r>
      <w:r>
        <w:rPr/>
        <w:tab/>
      </w:r>
      <w:r>
        <w:rPr>
          <w:w w:val="110"/>
        </w:rPr>
        <w:t>Eqn.</w:t>
      </w:r>
      <w:r>
        <w:rPr>
          <w:spacing w:val="-2"/>
          <w:w w:val="110"/>
        </w:rPr>
        <w:t> </w:t>
      </w:r>
      <w:r>
        <w:rPr>
          <w:spacing w:val="-5"/>
          <w:w w:val="110"/>
        </w:rPr>
        <w:t>2.3</w:t>
      </w:r>
    </w:p>
    <w:p>
      <w:pPr>
        <w:pStyle w:val="BodyText"/>
      </w:pPr>
    </w:p>
    <w:p>
      <w:pPr>
        <w:pStyle w:val="BodyText"/>
      </w:pPr>
    </w:p>
    <w:p>
      <w:pPr>
        <w:pStyle w:val="BodyText"/>
        <w:spacing w:before="94"/>
      </w:pPr>
    </w:p>
    <w:p>
      <w:pPr>
        <w:pStyle w:val="BodyText"/>
        <w:ind w:left="678"/>
        <w:jc w:val="both"/>
      </w:pPr>
      <w:r>
        <w:rPr>
          <w:w w:val="110"/>
        </w:rPr>
        <w:t>The</w:t>
      </w:r>
      <w:r>
        <w:rPr>
          <w:spacing w:val="-6"/>
          <w:w w:val="110"/>
        </w:rPr>
        <w:t> </w:t>
      </w:r>
      <w:r>
        <w:rPr>
          <w:w w:val="110"/>
        </w:rPr>
        <w:t>mean</w:t>
      </w:r>
      <w:r>
        <w:rPr>
          <w:spacing w:val="-2"/>
          <w:w w:val="110"/>
        </w:rPr>
        <w:t> </w:t>
      </w:r>
      <w:r>
        <w:rPr>
          <w:w w:val="110"/>
        </w:rPr>
        <w:t>of</w:t>
      </w:r>
      <w:r>
        <w:rPr>
          <w:spacing w:val="-3"/>
          <w:w w:val="110"/>
        </w:rPr>
        <w:t> </w:t>
      </w:r>
      <w:r>
        <w:rPr>
          <w:w w:val="110"/>
        </w:rPr>
        <w:t>six</w:t>
      </w:r>
      <w:r>
        <w:rPr>
          <w:spacing w:val="-3"/>
          <w:w w:val="110"/>
        </w:rPr>
        <w:t> </w:t>
      </w:r>
      <w:r>
        <w:rPr>
          <w:w w:val="110"/>
        </w:rPr>
        <w:t>determinations</w:t>
      </w:r>
      <w:r>
        <w:rPr>
          <w:spacing w:val="-1"/>
          <w:w w:val="110"/>
        </w:rPr>
        <w:t> </w:t>
      </w:r>
      <w:r>
        <w:rPr>
          <w:w w:val="110"/>
        </w:rPr>
        <w:t>was </w:t>
      </w:r>
      <w:r>
        <w:rPr>
          <w:spacing w:val="-2"/>
          <w:w w:val="110"/>
        </w:rPr>
        <w:t>taken.</w:t>
      </w:r>
    </w:p>
    <w:p>
      <w:pPr>
        <w:pStyle w:val="BodyText"/>
      </w:pPr>
    </w:p>
    <w:p>
      <w:pPr>
        <w:pStyle w:val="BodyText"/>
        <w:spacing w:before="5"/>
      </w:pPr>
    </w:p>
    <w:p>
      <w:pPr>
        <w:pStyle w:val="Heading2"/>
        <w:numPr>
          <w:ilvl w:val="1"/>
          <w:numId w:val="34"/>
        </w:numPr>
        <w:tabs>
          <w:tab w:pos="1271" w:val="left" w:leader="none"/>
        </w:tabs>
        <w:spacing w:line="240" w:lineRule="auto" w:before="0" w:after="0"/>
        <w:ind w:left="1271" w:right="0" w:hanging="593"/>
        <w:jc w:val="both"/>
      </w:pPr>
      <w:bookmarkStart w:name="_TOC_250048" w:id="85"/>
      <w:r>
        <w:rPr>
          <w:w w:val="110"/>
        </w:rPr>
        <w:t>Determination</w:t>
      </w:r>
      <w:r>
        <w:rPr>
          <w:spacing w:val="-8"/>
          <w:w w:val="110"/>
        </w:rPr>
        <w:t> </w:t>
      </w:r>
      <w:r>
        <w:rPr>
          <w:w w:val="110"/>
        </w:rPr>
        <w:t>of</w:t>
      </w:r>
      <w:r>
        <w:rPr>
          <w:spacing w:val="-6"/>
          <w:w w:val="110"/>
        </w:rPr>
        <w:t> </w:t>
      </w:r>
      <w:r>
        <w:rPr>
          <w:w w:val="110"/>
        </w:rPr>
        <w:t>soluble</w:t>
      </w:r>
      <w:r>
        <w:rPr>
          <w:spacing w:val="-8"/>
          <w:w w:val="110"/>
        </w:rPr>
        <w:t> </w:t>
      </w:r>
      <w:bookmarkEnd w:id="85"/>
      <w:r>
        <w:rPr>
          <w:spacing w:val="-2"/>
          <w:w w:val="110"/>
        </w:rPr>
        <w:t>extractives</w:t>
      </w:r>
    </w:p>
    <w:p>
      <w:pPr>
        <w:pStyle w:val="Heading2"/>
        <w:numPr>
          <w:ilvl w:val="2"/>
          <w:numId w:val="34"/>
        </w:numPr>
        <w:tabs>
          <w:tab w:pos="1270" w:val="left" w:leader="none"/>
        </w:tabs>
        <w:spacing w:line="240" w:lineRule="auto" w:before="137" w:after="0"/>
        <w:ind w:left="1270" w:right="0" w:hanging="592"/>
        <w:jc w:val="both"/>
      </w:pPr>
      <w:bookmarkStart w:name="_TOC_250047" w:id="86"/>
      <w:r>
        <w:rPr>
          <w:w w:val="110"/>
        </w:rPr>
        <w:t>Water-soluble</w:t>
      </w:r>
      <w:r>
        <w:rPr>
          <w:spacing w:val="-13"/>
          <w:w w:val="110"/>
        </w:rPr>
        <w:t> </w:t>
      </w:r>
      <w:bookmarkEnd w:id="86"/>
      <w:r>
        <w:rPr>
          <w:spacing w:val="-2"/>
          <w:w w:val="110"/>
        </w:rPr>
        <w:t>extractives</w:t>
      </w:r>
    </w:p>
    <w:p>
      <w:pPr>
        <w:pStyle w:val="BodyText"/>
        <w:spacing w:line="360" w:lineRule="auto" w:before="135"/>
        <w:ind w:left="678" w:right="995" w:firstLine="720"/>
        <w:jc w:val="both"/>
      </w:pPr>
      <w:r>
        <w:rPr>
          <w:w w:val="110"/>
        </w:rPr>
        <w:t>Into a clean conical flask was accurately weighed 2.5 g of powdered seeds and 100 mL of 0.5% chloroform water B.P was added. Each flask was stoppered and</w:t>
      </w:r>
      <w:r>
        <w:rPr>
          <w:w w:val="110"/>
        </w:rPr>
        <w:t> shaken</w:t>
      </w:r>
      <w:r>
        <w:rPr>
          <w:w w:val="110"/>
        </w:rPr>
        <w:t> intermittently</w:t>
      </w:r>
      <w:r>
        <w:rPr>
          <w:w w:val="110"/>
        </w:rPr>
        <w:t> over</w:t>
      </w:r>
      <w:r>
        <w:rPr>
          <w:w w:val="110"/>
        </w:rPr>
        <w:t> a</w:t>
      </w:r>
      <w:r>
        <w:rPr>
          <w:w w:val="110"/>
        </w:rPr>
        <w:t> period</w:t>
      </w:r>
      <w:r>
        <w:rPr>
          <w:w w:val="110"/>
        </w:rPr>
        <w:t> of</w:t>
      </w:r>
      <w:r>
        <w:rPr>
          <w:w w:val="110"/>
        </w:rPr>
        <w:t> 6</w:t>
      </w:r>
      <w:r>
        <w:rPr>
          <w:w w:val="110"/>
        </w:rPr>
        <w:t> hours</w:t>
      </w:r>
      <w:r>
        <w:rPr>
          <w:w w:val="110"/>
        </w:rPr>
        <w:t> after</w:t>
      </w:r>
      <w:r>
        <w:rPr>
          <w:w w:val="110"/>
        </w:rPr>
        <w:t> which</w:t>
      </w:r>
      <w:r>
        <w:rPr>
          <w:w w:val="110"/>
        </w:rPr>
        <w:t> the</w:t>
      </w:r>
      <w:r>
        <w:rPr>
          <w:w w:val="110"/>
        </w:rPr>
        <w:t> flask</w:t>
      </w:r>
      <w:r>
        <w:rPr>
          <w:w w:val="110"/>
        </w:rPr>
        <w:t> and</w:t>
      </w:r>
      <w:r>
        <w:rPr>
          <w:w w:val="110"/>
        </w:rPr>
        <w:t> its contents</w:t>
      </w:r>
      <w:r>
        <w:rPr>
          <w:w w:val="110"/>
        </w:rPr>
        <w:t> were</w:t>
      </w:r>
      <w:r>
        <w:rPr>
          <w:w w:val="110"/>
        </w:rPr>
        <w:t> allowed</w:t>
      </w:r>
      <w:r>
        <w:rPr>
          <w:w w:val="110"/>
        </w:rPr>
        <w:t> to</w:t>
      </w:r>
      <w:r>
        <w:rPr>
          <w:w w:val="110"/>
        </w:rPr>
        <w:t> stand</w:t>
      </w:r>
      <w:r>
        <w:rPr>
          <w:w w:val="110"/>
        </w:rPr>
        <w:t> for</w:t>
      </w:r>
      <w:r>
        <w:rPr>
          <w:w w:val="110"/>
        </w:rPr>
        <w:t> 18</w:t>
      </w:r>
      <w:r>
        <w:rPr>
          <w:w w:val="110"/>
        </w:rPr>
        <w:t> hours.</w:t>
      </w:r>
      <w:r>
        <w:rPr>
          <w:w w:val="110"/>
        </w:rPr>
        <w:t> The</w:t>
      </w:r>
      <w:r>
        <w:rPr>
          <w:w w:val="110"/>
        </w:rPr>
        <w:t> mixture</w:t>
      </w:r>
      <w:r>
        <w:rPr>
          <w:w w:val="110"/>
        </w:rPr>
        <w:t> was</w:t>
      </w:r>
      <w:r>
        <w:rPr>
          <w:w w:val="110"/>
        </w:rPr>
        <w:t> filtered</w:t>
      </w:r>
      <w:r>
        <w:rPr>
          <w:w w:val="110"/>
        </w:rPr>
        <w:t> under suction</w:t>
      </w:r>
      <w:r>
        <w:rPr>
          <w:w w:val="110"/>
        </w:rPr>
        <w:t> through</w:t>
      </w:r>
      <w:r>
        <w:rPr>
          <w:w w:val="110"/>
        </w:rPr>
        <w:t> a Buchner</w:t>
      </w:r>
      <w:r>
        <w:rPr>
          <w:w w:val="110"/>
        </w:rPr>
        <w:t> funnel</w:t>
      </w:r>
      <w:r>
        <w:rPr>
          <w:w w:val="110"/>
        </w:rPr>
        <w:t> and the</w:t>
      </w:r>
      <w:r>
        <w:rPr>
          <w:w w:val="110"/>
        </w:rPr>
        <w:t> filtrate</w:t>
      </w:r>
      <w:r>
        <w:rPr>
          <w:w w:val="110"/>
        </w:rPr>
        <w:t> was</w:t>
      </w:r>
      <w:r>
        <w:rPr>
          <w:w w:val="110"/>
        </w:rPr>
        <w:t> measured out in</w:t>
      </w:r>
      <w:r>
        <w:rPr>
          <w:w w:val="110"/>
        </w:rPr>
        <w:t> 20mL portions into clean, dried and pre-weighed porcelain crucibles. The crucibles and their</w:t>
      </w:r>
      <w:r>
        <w:rPr>
          <w:w w:val="110"/>
        </w:rPr>
        <w:t> contents</w:t>
      </w:r>
      <w:r>
        <w:rPr>
          <w:w w:val="110"/>
        </w:rPr>
        <w:t> were</w:t>
      </w:r>
      <w:r>
        <w:rPr>
          <w:w w:val="110"/>
        </w:rPr>
        <w:t> arranged</w:t>
      </w:r>
      <w:r>
        <w:rPr>
          <w:w w:val="110"/>
        </w:rPr>
        <w:t> on</w:t>
      </w:r>
      <w:r>
        <w:rPr>
          <w:w w:val="110"/>
        </w:rPr>
        <w:t> a</w:t>
      </w:r>
      <w:r>
        <w:rPr>
          <w:w w:val="110"/>
        </w:rPr>
        <w:t> porcelain</w:t>
      </w:r>
      <w:r>
        <w:rPr>
          <w:w w:val="110"/>
        </w:rPr>
        <w:t> tile,</w:t>
      </w:r>
      <w:r>
        <w:rPr>
          <w:w w:val="110"/>
        </w:rPr>
        <w:t> which</w:t>
      </w:r>
      <w:r>
        <w:rPr>
          <w:w w:val="110"/>
        </w:rPr>
        <w:t> was</w:t>
      </w:r>
      <w:r>
        <w:rPr>
          <w:w w:val="110"/>
        </w:rPr>
        <w:t> transferred</w:t>
      </w:r>
      <w:r>
        <w:rPr>
          <w:w w:val="110"/>
        </w:rPr>
        <w:t> into</w:t>
      </w:r>
      <w:r>
        <w:rPr>
          <w:w w:val="110"/>
        </w:rPr>
        <w:t> an electric</w:t>
      </w:r>
      <w:r>
        <w:rPr>
          <w:w w:val="110"/>
        </w:rPr>
        <w:t> hot-air</w:t>
      </w:r>
      <w:r>
        <w:rPr>
          <w:w w:val="110"/>
        </w:rPr>
        <w:t> oven</w:t>
      </w:r>
      <w:r>
        <w:rPr>
          <w:w w:val="110"/>
        </w:rPr>
        <w:t> and</w:t>
      </w:r>
      <w:r>
        <w:rPr>
          <w:w w:val="110"/>
        </w:rPr>
        <w:t> dried</w:t>
      </w:r>
      <w:r>
        <w:rPr>
          <w:w w:val="110"/>
        </w:rPr>
        <w:t> at</w:t>
      </w:r>
      <w:r>
        <w:rPr>
          <w:w w:val="110"/>
        </w:rPr>
        <w:t> a</w:t>
      </w:r>
      <w:r>
        <w:rPr>
          <w:w w:val="110"/>
        </w:rPr>
        <w:t> temperature</w:t>
      </w:r>
      <w:r>
        <w:rPr>
          <w:w w:val="110"/>
        </w:rPr>
        <w:t> of</w:t>
      </w:r>
      <w:r>
        <w:rPr>
          <w:w w:val="110"/>
        </w:rPr>
        <w:t> 60</w:t>
      </w:r>
      <w:r>
        <w:rPr>
          <w:w w:val="110"/>
          <w:vertAlign w:val="superscript"/>
        </w:rPr>
        <w:t>o</w:t>
      </w:r>
      <w:r>
        <w:rPr>
          <w:w w:val="110"/>
          <w:vertAlign w:val="baseline"/>
        </w:rPr>
        <w:t>C</w:t>
      </w:r>
      <w:r>
        <w:rPr>
          <w:w w:val="110"/>
          <w:vertAlign w:val="baseline"/>
        </w:rPr>
        <w:t> for</w:t>
      </w:r>
      <w:r>
        <w:rPr>
          <w:w w:val="110"/>
          <w:vertAlign w:val="baseline"/>
        </w:rPr>
        <w:t> 90</w:t>
      </w:r>
      <w:r>
        <w:rPr>
          <w:w w:val="110"/>
          <w:vertAlign w:val="baseline"/>
        </w:rPr>
        <w:t> minutes.</w:t>
      </w:r>
      <w:r>
        <w:rPr>
          <w:w w:val="110"/>
          <w:vertAlign w:val="baseline"/>
        </w:rPr>
        <w:t> Each crucible</w:t>
      </w:r>
      <w:r>
        <w:rPr>
          <w:w w:val="110"/>
          <w:vertAlign w:val="baseline"/>
        </w:rPr>
        <w:t> (together</w:t>
      </w:r>
      <w:r>
        <w:rPr>
          <w:w w:val="110"/>
          <w:vertAlign w:val="baseline"/>
        </w:rPr>
        <w:t> with</w:t>
      </w:r>
      <w:r>
        <w:rPr>
          <w:w w:val="110"/>
          <w:vertAlign w:val="baseline"/>
        </w:rPr>
        <w:t> its</w:t>
      </w:r>
      <w:r>
        <w:rPr>
          <w:w w:val="110"/>
          <w:vertAlign w:val="baseline"/>
        </w:rPr>
        <w:t> contents)</w:t>
      </w:r>
      <w:r>
        <w:rPr>
          <w:w w:val="110"/>
          <w:vertAlign w:val="baseline"/>
        </w:rPr>
        <w:t> was</w:t>
      </w:r>
      <w:r>
        <w:rPr>
          <w:w w:val="110"/>
          <w:vertAlign w:val="baseline"/>
        </w:rPr>
        <w:t> allowed</w:t>
      </w:r>
      <w:r>
        <w:rPr>
          <w:w w:val="110"/>
          <w:vertAlign w:val="baseline"/>
        </w:rPr>
        <w:t> to</w:t>
      </w:r>
      <w:r>
        <w:rPr>
          <w:w w:val="110"/>
          <w:vertAlign w:val="baseline"/>
        </w:rPr>
        <w:t> cool</w:t>
      </w:r>
      <w:r>
        <w:rPr>
          <w:w w:val="110"/>
          <w:vertAlign w:val="baseline"/>
        </w:rPr>
        <w:t> in</w:t>
      </w:r>
      <w:r>
        <w:rPr>
          <w:w w:val="110"/>
          <w:vertAlign w:val="baseline"/>
        </w:rPr>
        <w:t> a</w:t>
      </w:r>
      <w:r>
        <w:rPr>
          <w:w w:val="110"/>
          <w:vertAlign w:val="baseline"/>
        </w:rPr>
        <w:t> dessicator</w:t>
      </w:r>
      <w:r>
        <w:rPr>
          <w:w w:val="110"/>
          <w:vertAlign w:val="baseline"/>
        </w:rPr>
        <w:t> and weighed.</w:t>
      </w:r>
      <w:r>
        <w:rPr>
          <w:spacing w:val="-3"/>
          <w:w w:val="110"/>
          <w:vertAlign w:val="baseline"/>
        </w:rPr>
        <w:t> </w:t>
      </w:r>
      <w:r>
        <w:rPr>
          <w:w w:val="110"/>
          <w:vertAlign w:val="baseline"/>
        </w:rPr>
        <w:t>Then the</w:t>
      </w:r>
      <w:r>
        <w:rPr>
          <w:spacing w:val="-2"/>
          <w:w w:val="110"/>
          <w:vertAlign w:val="baseline"/>
        </w:rPr>
        <w:t> </w:t>
      </w:r>
      <w:r>
        <w:rPr>
          <w:w w:val="110"/>
          <w:vertAlign w:val="baseline"/>
        </w:rPr>
        <w:t>process</w:t>
      </w:r>
      <w:r>
        <w:rPr>
          <w:spacing w:val="-2"/>
          <w:w w:val="110"/>
          <w:vertAlign w:val="baseline"/>
        </w:rPr>
        <w:t> </w:t>
      </w:r>
      <w:r>
        <w:rPr>
          <w:w w:val="110"/>
          <w:vertAlign w:val="baseline"/>
        </w:rPr>
        <w:t>was</w:t>
      </w:r>
      <w:r>
        <w:rPr>
          <w:spacing w:val="-2"/>
          <w:w w:val="110"/>
          <w:vertAlign w:val="baseline"/>
        </w:rPr>
        <w:t> </w:t>
      </w:r>
      <w:r>
        <w:rPr>
          <w:w w:val="110"/>
          <w:vertAlign w:val="baseline"/>
        </w:rPr>
        <w:t>repeated</w:t>
      </w:r>
      <w:r>
        <w:rPr>
          <w:spacing w:val="-2"/>
          <w:w w:val="110"/>
          <w:vertAlign w:val="baseline"/>
        </w:rPr>
        <w:t> </w:t>
      </w:r>
      <w:r>
        <w:rPr>
          <w:w w:val="110"/>
          <w:vertAlign w:val="baseline"/>
        </w:rPr>
        <w:t>until</w:t>
      </w:r>
      <w:r>
        <w:rPr>
          <w:spacing w:val="-2"/>
          <w:w w:val="110"/>
          <w:vertAlign w:val="baseline"/>
        </w:rPr>
        <w:t> </w:t>
      </w:r>
      <w:r>
        <w:rPr>
          <w:w w:val="110"/>
          <w:vertAlign w:val="baseline"/>
        </w:rPr>
        <w:t>a</w:t>
      </w:r>
      <w:r>
        <w:rPr>
          <w:spacing w:val="-2"/>
          <w:w w:val="110"/>
          <w:vertAlign w:val="baseline"/>
        </w:rPr>
        <w:t> </w:t>
      </w:r>
      <w:r>
        <w:rPr>
          <w:w w:val="110"/>
          <w:vertAlign w:val="baseline"/>
        </w:rPr>
        <w:t>constant</w:t>
      </w:r>
      <w:r>
        <w:rPr>
          <w:spacing w:val="-3"/>
          <w:w w:val="110"/>
          <w:vertAlign w:val="baseline"/>
        </w:rPr>
        <w:t> </w:t>
      </w:r>
      <w:r>
        <w:rPr>
          <w:w w:val="110"/>
          <w:vertAlign w:val="baseline"/>
        </w:rPr>
        <w:t>weight</w:t>
      </w:r>
      <w:r>
        <w:rPr>
          <w:spacing w:val="-4"/>
          <w:w w:val="110"/>
          <w:vertAlign w:val="baseline"/>
        </w:rPr>
        <w:t> </w:t>
      </w:r>
      <w:r>
        <w:rPr>
          <w:w w:val="110"/>
          <w:vertAlign w:val="baseline"/>
        </w:rPr>
        <w:t>was obtained.</w:t>
      </w:r>
      <w:r>
        <w:rPr>
          <w:spacing w:val="-3"/>
          <w:w w:val="110"/>
          <w:vertAlign w:val="baseline"/>
        </w:rPr>
        <w:t> </w:t>
      </w:r>
      <w:r>
        <w:rPr>
          <w:w w:val="110"/>
          <w:vertAlign w:val="baseline"/>
        </w:rPr>
        <w:t>The value</w:t>
      </w:r>
      <w:r>
        <w:rPr>
          <w:spacing w:val="33"/>
          <w:w w:val="110"/>
          <w:vertAlign w:val="baseline"/>
        </w:rPr>
        <w:t> </w:t>
      </w:r>
      <w:r>
        <w:rPr>
          <w:w w:val="110"/>
          <w:vertAlign w:val="baseline"/>
        </w:rPr>
        <w:t>of</w:t>
      </w:r>
      <w:r>
        <w:rPr>
          <w:spacing w:val="35"/>
          <w:w w:val="110"/>
          <w:vertAlign w:val="baseline"/>
        </w:rPr>
        <w:t> </w:t>
      </w:r>
      <w:r>
        <w:rPr>
          <w:w w:val="110"/>
          <w:vertAlign w:val="baseline"/>
        </w:rPr>
        <w:t>the</w:t>
      </w:r>
      <w:r>
        <w:rPr>
          <w:spacing w:val="37"/>
          <w:w w:val="110"/>
          <w:vertAlign w:val="baseline"/>
        </w:rPr>
        <w:t> </w:t>
      </w:r>
      <w:r>
        <w:rPr>
          <w:w w:val="110"/>
          <w:vertAlign w:val="baseline"/>
        </w:rPr>
        <w:t>water-soluble</w:t>
      </w:r>
      <w:r>
        <w:rPr>
          <w:spacing w:val="35"/>
          <w:w w:val="110"/>
          <w:vertAlign w:val="baseline"/>
        </w:rPr>
        <w:t> </w:t>
      </w:r>
      <w:r>
        <w:rPr>
          <w:w w:val="110"/>
          <w:vertAlign w:val="baseline"/>
        </w:rPr>
        <w:t>extractive</w:t>
      </w:r>
      <w:r>
        <w:rPr>
          <w:spacing w:val="35"/>
          <w:w w:val="110"/>
          <w:vertAlign w:val="baseline"/>
        </w:rPr>
        <w:t> </w:t>
      </w:r>
      <w:r>
        <w:rPr>
          <w:w w:val="110"/>
          <w:vertAlign w:val="baseline"/>
        </w:rPr>
        <w:t>was</w:t>
      </w:r>
      <w:r>
        <w:rPr>
          <w:spacing w:val="35"/>
          <w:w w:val="110"/>
          <w:vertAlign w:val="baseline"/>
        </w:rPr>
        <w:t> </w:t>
      </w:r>
      <w:r>
        <w:rPr>
          <w:w w:val="110"/>
          <w:vertAlign w:val="baseline"/>
        </w:rPr>
        <w:t>obtained</w:t>
      </w:r>
      <w:r>
        <w:rPr>
          <w:spacing w:val="35"/>
          <w:w w:val="110"/>
          <w:vertAlign w:val="baseline"/>
        </w:rPr>
        <w:t> </w:t>
      </w:r>
      <w:r>
        <w:rPr>
          <w:w w:val="110"/>
          <w:vertAlign w:val="baseline"/>
        </w:rPr>
        <w:t>from</w:t>
      </w:r>
      <w:r>
        <w:rPr>
          <w:spacing w:val="40"/>
          <w:w w:val="110"/>
          <w:vertAlign w:val="baseline"/>
        </w:rPr>
        <w:t> </w:t>
      </w:r>
      <w:r>
        <w:rPr>
          <w:w w:val="110"/>
          <w:vertAlign w:val="baseline"/>
        </w:rPr>
        <w:t>the</w:t>
      </w:r>
      <w:r>
        <w:rPr>
          <w:spacing w:val="35"/>
          <w:w w:val="110"/>
          <w:vertAlign w:val="baseline"/>
        </w:rPr>
        <w:t> </w:t>
      </w:r>
      <w:r>
        <w:rPr>
          <w:w w:val="110"/>
          <w:vertAlign w:val="baseline"/>
        </w:rPr>
        <w:t>following</w:t>
      </w:r>
      <w:r>
        <w:rPr>
          <w:spacing w:val="35"/>
          <w:w w:val="110"/>
          <w:vertAlign w:val="baseline"/>
        </w:rPr>
        <w:t> </w:t>
      </w:r>
      <w:r>
        <w:rPr>
          <w:spacing w:val="-2"/>
          <w:w w:val="110"/>
          <w:vertAlign w:val="baseline"/>
        </w:rPr>
        <w:t>equation</w:t>
      </w:r>
    </w:p>
    <w:p>
      <w:pPr>
        <w:spacing w:after="0" w:line="360" w:lineRule="auto"/>
        <w:jc w:val="both"/>
        <w:sectPr>
          <w:pgSz w:w="12240" w:h="15840"/>
          <w:pgMar w:header="0" w:footer="1056" w:top="1340" w:bottom="1240" w:left="1420" w:right="420"/>
        </w:sectPr>
      </w:pPr>
    </w:p>
    <w:p>
      <w:pPr>
        <w:pStyle w:val="BodyText"/>
        <w:spacing w:before="72"/>
        <w:ind w:left="678"/>
      </w:pPr>
      <w:r>
        <w:rPr/>
        <mc:AlternateContent>
          <mc:Choice Requires="wps">
            <w:drawing>
              <wp:anchor distT="0" distB="0" distL="0" distR="0" allowOverlap="1" layoutInCell="1" locked="0" behindDoc="1" simplePos="0" relativeHeight="482962944">
                <wp:simplePos x="0" y="0"/>
                <wp:positionH relativeFrom="page">
                  <wp:posOffset>-1402226</wp:posOffset>
                </wp:positionH>
                <wp:positionV relativeFrom="page">
                  <wp:posOffset>4612234</wp:posOffset>
                </wp:positionV>
                <wp:extent cx="10685780" cy="9144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3536;rotation:306" type="#_x0000_t136" fillcolor="#ff5400" stroked="f">
                <o:extrusion v:ext="view" autorotationcenter="t"/>
                <v:textpath style="font-family:&quot;Arial MT&quot;;font-size:72pt;v-text-kern:t;mso-text-shadow:auto" string="UNIVERSITY OF IBADAN"/>
                <w10:wrap type="none"/>
              </v:shape>
            </w:pict>
          </mc:Fallback>
        </mc:AlternateContent>
      </w:r>
      <w:r>
        <w:rPr>
          <w:w w:val="110"/>
        </w:rPr>
        <w:t>(BP,</w:t>
      </w:r>
      <w:r>
        <w:rPr>
          <w:spacing w:val="-6"/>
          <w:w w:val="110"/>
        </w:rPr>
        <w:t> </w:t>
      </w:r>
      <w:r>
        <w:rPr>
          <w:spacing w:val="-2"/>
          <w:w w:val="110"/>
        </w:rPr>
        <w:t>1998):</w:t>
      </w:r>
    </w:p>
    <w:p>
      <w:pPr>
        <w:pStyle w:val="BodyText"/>
      </w:pPr>
    </w:p>
    <w:p>
      <w:pPr>
        <w:pStyle w:val="BodyText"/>
        <w:spacing w:before="1"/>
      </w:pPr>
    </w:p>
    <w:p>
      <w:pPr>
        <w:pStyle w:val="BodyText"/>
        <w:tabs>
          <w:tab w:pos="8456" w:val="left" w:leader="dot"/>
        </w:tabs>
        <w:spacing w:line="360" w:lineRule="auto"/>
        <w:ind w:left="678" w:right="997"/>
      </w:pPr>
      <w:r>
        <w:rPr>
          <w:w w:val="110"/>
        </w:rPr>
        <w:t>% Water-soluble extractives = 100 ×</w:t>
      </w:r>
      <w:r>
        <w:rPr>
          <w:spacing w:val="40"/>
          <w:w w:val="110"/>
        </w:rPr>
        <w:t>  </w:t>
      </w:r>
      <w:r>
        <w:rPr>
          <w:w w:val="110"/>
        </w:rPr>
        <w:t>Wt. of Extract (g) × Vol. of solvent / Vol. of Ext. (20mL) × Wt. of dried seed</w:t>
      </w:r>
      <w:r>
        <w:rPr/>
        <w:tab/>
      </w:r>
      <w:r>
        <w:rPr>
          <w:w w:val="110"/>
        </w:rPr>
        <w:t>Eqn. 2.4</w:t>
      </w:r>
    </w:p>
    <w:p>
      <w:pPr>
        <w:pStyle w:val="BodyText"/>
        <w:spacing w:before="137"/>
      </w:pPr>
    </w:p>
    <w:p>
      <w:pPr>
        <w:pStyle w:val="BodyText"/>
        <w:ind w:left="678"/>
      </w:pPr>
      <w:r>
        <w:rPr>
          <w:w w:val="110"/>
        </w:rPr>
        <w:t>The</w:t>
      </w:r>
      <w:r>
        <w:rPr>
          <w:spacing w:val="-6"/>
          <w:w w:val="110"/>
        </w:rPr>
        <w:t> </w:t>
      </w:r>
      <w:r>
        <w:rPr>
          <w:w w:val="110"/>
        </w:rPr>
        <w:t>mean</w:t>
      </w:r>
      <w:r>
        <w:rPr>
          <w:spacing w:val="-1"/>
          <w:w w:val="110"/>
        </w:rPr>
        <w:t> </w:t>
      </w:r>
      <w:r>
        <w:rPr>
          <w:w w:val="110"/>
        </w:rPr>
        <w:t>of</w:t>
      </w:r>
      <w:r>
        <w:rPr>
          <w:spacing w:val="-3"/>
          <w:w w:val="110"/>
        </w:rPr>
        <w:t> </w:t>
      </w:r>
      <w:r>
        <w:rPr>
          <w:w w:val="110"/>
        </w:rPr>
        <w:t>six</w:t>
      </w:r>
      <w:r>
        <w:rPr>
          <w:spacing w:val="-3"/>
          <w:w w:val="110"/>
        </w:rPr>
        <w:t> </w:t>
      </w:r>
      <w:r>
        <w:rPr>
          <w:w w:val="110"/>
        </w:rPr>
        <w:t>determinations</w:t>
      </w:r>
      <w:r>
        <w:rPr>
          <w:spacing w:val="-1"/>
          <w:w w:val="110"/>
        </w:rPr>
        <w:t> </w:t>
      </w:r>
      <w:r>
        <w:rPr>
          <w:w w:val="110"/>
        </w:rPr>
        <w:t>was</w:t>
      </w:r>
      <w:r>
        <w:rPr>
          <w:spacing w:val="2"/>
          <w:w w:val="110"/>
        </w:rPr>
        <w:t> </w:t>
      </w:r>
      <w:r>
        <w:rPr>
          <w:spacing w:val="-2"/>
          <w:w w:val="110"/>
        </w:rPr>
        <w:t>taken.</w:t>
      </w:r>
    </w:p>
    <w:p>
      <w:pPr>
        <w:pStyle w:val="BodyText"/>
      </w:pPr>
    </w:p>
    <w:p>
      <w:pPr>
        <w:pStyle w:val="BodyText"/>
        <w:spacing w:before="4"/>
      </w:pPr>
    </w:p>
    <w:p>
      <w:pPr>
        <w:pStyle w:val="Heading2"/>
        <w:numPr>
          <w:ilvl w:val="2"/>
          <w:numId w:val="34"/>
        </w:numPr>
        <w:tabs>
          <w:tab w:pos="1270" w:val="left" w:leader="none"/>
        </w:tabs>
        <w:spacing w:line="240" w:lineRule="auto" w:before="1" w:after="0"/>
        <w:ind w:left="1270" w:right="0" w:hanging="592"/>
        <w:jc w:val="both"/>
      </w:pPr>
      <w:bookmarkStart w:name="_TOC_250046" w:id="87"/>
      <w:r>
        <w:rPr>
          <w:w w:val="110"/>
        </w:rPr>
        <w:t>Alcohol-soluble</w:t>
      </w:r>
      <w:r>
        <w:rPr>
          <w:spacing w:val="-13"/>
          <w:w w:val="110"/>
        </w:rPr>
        <w:t> </w:t>
      </w:r>
      <w:bookmarkEnd w:id="87"/>
      <w:r>
        <w:rPr>
          <w:spacing w:val="-2"/>
          <w:w w:val="110"/>
        </w:rPr>
        <w:t>extractives</w:t>
      </w:r>
    </w:p>
    <w:p>
      <w:pPr>
        <w:pStyle w:val="BodyText"/>
        <w:spacing w:line="360" w:lineRule="auto" w:before="134"/>
        <w:ind w:left="678" w:right="993" w:firstLine="720"/>
        <w:jc w:val="both"/>
      </w:pPr>
      <w:r>
        <w:rPr>
          <w:w w:val="110"/>
        </w:rPr>
        <w:t>Six</w:t>
      </w:r>
      <w:r>
        <w:rPr>
          <w:w w:val="110"/>
        </w:rPr>
        <w:t> conical</w:t>
      </w:r>
      <w:r>
        <w:rPr>
          <w:w w:val="110"/>
        </w:rPr>
        <w:t> flasks</w:t>
      </w:r>
      <w:r>
        <w:rPr>
          <w:w w:val="110"/>
        </w:rPr>
        <w:t> were</w:t>
      </w:r>
      <w:r>
        <w:rPr>
          <w:w w:val="110"/>
        </w:rPr>
        <w:t> washed,</w:t>
      </w:r>
      <w:r>
        <w:rPr>
          <w:w w:val="110"/>
        </w:rPr>
        <w:t> dried</w:t>
      </w:r>
      <w:r>
        <w:rPr>
          <w:w w:val="110"/>
        </w:rPr>
        <w:t> and</w:t>
      </w:r>
      <w:r>
        <w:rPr>
          <w:w w:val="110"/>
        </w:rPr>
        <w:t> weighed.</w:t>
      </w:r>
      <w:r>
        <w:rPr>
          <w:w w:val="110"/>
        </w:rPr>
        <w:t> A</w:t>
      </w:r>
      <w:r>
        <w:rPr>
          <w:w w:val="110"/>
        </w:rPr>
        <w:t> 100</w:t>
      </w:r>
      <w:r>
        <w:rPr>
          <w:w w:val="110"/>
        </w:rPr>
        <w:t> mL</w:t>
      </w:r>
      <w:r>
        <w:rPr>
          <w:w w:val="110"/>
        </w:rPr>
        <w:t> volume portion</w:t>
      </w:r>
      <w:r>
        <w:rPr>
          <w:w w:val="110"/>
        </w:rPr>
        <w:t> of</w:t>
      </w:r>
      <w:r>
        <w:rPr>
          <w:w w:val="110"/>
        </w:rPr>
        <w:t> 80%</w:t>
      </w:r>
      <w:r>
        <w:rPr>
          <w:w w:val="110"/>
        </w:rPr>
        <w:t> of</w:t>
      </w:r>
      <w:r>
        <w:rPr>
          <w:w w:val="110"/>
        </w:rPr>
        <w:t> ethanol</w:t>
      </w:r>
      <w:r>
        <w:rPr>
          <w:w w:val="110"/>
        </w:rPr>
        <w:t> was</w:t>
      </w:r>
      <w:r>
        <w:rPr>
          <w:w w:val="110"/>
        </w:rPr>
        <w:t> added</w:t>
      </w:r>
      <w:r>
        <w:rPr>
          <w:w w:val="110"/>
        </w:rPr>
        <w:t> into</w:t>
      </w:r>
      <w:r>
        <w:rPr>
          <w:w w:val="110"/>
        </w:rPr>
        <w:t> each</w:t>
      </w:r>
      <w:r>
        <w:rPr>
          <w:w w:val="110"/>
        </w:rPr>
        <w:t> flask</w:t>
      </w:r>
      <w:r>
        <w:rPr>
          <w:w w:val="110"/>
        </w:rPr>
        <w:t> before</w:t>
      </w:r>
      <w:r>
        <w:rPr>
          <w:w w:val="110"/>
        </w:rPr>
        <w:t> 2.5</w:t>
      </w:r>
      <w:r>
        <w:rPr>
          <w:w w:val="110"/>
        </w:rPr>
        <w:t> g</w:t>
      </w:r>
      <w:r>
        <w:rPr>
          <w:w w:val="110"/>
        </w:rPr>
        <w:t> of</w:t>
      </w:r>
      <w:r>
        <w:rPr>
          <w:w w:val="110"/>
        </w:rPr>
        <w:t> powdered</w:t>
      </w:r>
      <w:r>
        <w:rPr>
          <w:spacing w:val="40"/>
          <w:w w:val="110"/>
        </w:rPr>
        <w:t> </w:t>
      </w:r>
      <w:r>
        <w:rPr>
          <w:w w:val="110"/>
        </w:rPr>
        <w:t>seed</w:t>
      </w:r>
      <w:r>
        <w:rPr>
          <w:w w:val="110"/>
        </w:rPr>
        <w:t> was</w:t>
      </w:r>
      <w:r>
        <w:rPr>
          <w:w w:val="110"/>
        </w:rPr>
        <w:t> added</w:t>
      </w:r>
      <w:r>
        <w:rPr>
          <w:w w:val="110"/>
        </w:rPr>
        <w:t> into</w:t>
      </w:r>
      <w:r>
        <w:rPr>
          <w:w w:val="110"/>
        </w:rPr>
        <w:t> each</w:t>
      </w:r>
      <w:r>
        <w:rPr>
          <w:w w:val="110"/>
        </w:rPr>
        <w:t> of</w:t>
      </w:r>
      <w:r>
        <w:rPr>
          <w:w w:val="110"/>
        </w:rPr>
        <w:t> the</w:t>
      </w:r>
      <w:r>
        <w:rPr>
          <w:w w:val="110"/>
        </w:rPr>
        <w:t> flask.</w:t>
      </w:r>
      <w:r>
        <w:rPr>
          <w:w w:val="110"/>
        </w:rPr>
        <w:t> The</w:t>
      </w:r>
      <w:r>
        <w:rPr>
          <w:w w:val="110"/>
        </w:rPr>
        <w:t> flask</w:t>
      </w:r>
      <w:r>
        <w:rPr>
          <w:w w:val="110"/>
        </w:rPr>
        <w:t> was</w:t>
      </w:r>
      <w:r>
        <w:rPr>
          <w:w w:val="110"/>
        </w:rPr>
        <w:t> stoppered</w:t>
      </w:r>
      <w:r>
        <w:rPr>
          <w:w w:val="110"/>
        </w:rPr>
        <w:t> and</w:t>
      </w:r>
      <w:r>
        <w:rPr>
          <w:w w:val="110"/>
        </w:rPr>
        <w:t> shaken intermittently</w:t>
      </w:r>
      <w:r>
        <w:rPr>
          <w:w w:val="110"/>
        </w:rPr>
        <w:t> over</w:t>
      </w:r>
      <w:r>
        <w:rPr>
          <w:w w:val="110"/>
        </w:rPr>
        <w:t> a</w:t>
      </w:r>
      <w:r>
        <w:rPr>
          <w:w w:val="110"/>
        </w:rPr>
        <w:t> period</w:t>
      </w:r>
      <w:r>
        <w:rPr>
          <w:w w:val="110"/>
        </w:rPr>
        <w:t> of</w:t>
      </w:r>
      <w:r>
        <w:rPr>
          <w:w w:val="110"/>
        </w:rPr>
        <w:t> 6</w:t>
      </w:r>
      <w:r>
        <w:rPr>
          <w:w w:val="110"/>
        </w:rPr>
        <w:t> hours</w:t>
      </w:r>
      <w:r>
        <w:rPr>
          <w:w w:val="110"/>
        </w:rPr>
        <w:t> after which</w:t>
      </w:r>
      <w:r>
        <w:rPr>
          <w:w w:val="110"/>
        </w:rPr>
        <w:t> the</w:t>
      </w:r>
      <w:r>
        <w:rPr>
          <w:w w:val="110"/>
        </w:rPr>
        <w:t> contents</w:t>
      </w:r>
      <w:r>
        <w:rPr>
          <w:w w:val="110"/>
        </w:rPr>
        <w:t> were</w:t>
      </w:r>
      <w:r>
        <w:rPr>
          <w:w w:val="110"/>
        </w:rPr>
        <w:t> allowed</w:t>
      </w:r>
      <w:r>
        <w:rPr>
          <w:w w:val="110"/>
        </w:rPr>
        <w:t> to stand</w:t>
      </w:r>
      <w:r>
        <w:rPr>
          <w:spacing w:val="-2"/>
          <w:w w:val="110"/>
        </w:rPr>
        <w:t> </w:t>
      </w:r>
      <w:r>
        <w:rPr>
          <w:w w:val="110"/>
        </w:rPr>
        <w:t>for</w:t>
      </w:r>
      <w:r>
        <w:rPr>
          <w:spacing w:val="-2"/>
          <w:w w:val="110"/>
        </w:rPr>
        <w:t> </w:t>
      </w:r>
      <w:r>
        <w:rPr>
          <w:w w:val="110"/>
        </w:rPr>
        <w:t>18</w:t>
      </w:r>
      <w:r>
        <w:rPr>
          <w:spacing w:val="-2"/>
          <w:w w:val="110"/>
        </w:rPr>
        <w:t> </w:t>
      </w:r>
      <w:r>
        <w:rPr>
          <w:w w:val="110"/>
        </w:rPr>
        <w:t>hours.</w:t>
      </w:r>
      <w:r>
        <w:rPr>
          <w:spacing w:val="-3"/>
          <w:w w:val="110"/>
        </w:rPr>
        <w:t> </w:t>
      </w:r>
      <w:r>
        <w:rPr>
          <w:w w:val="110"/>
        </w:rPr>
        <w:t>The</w:t>
      </w:r>
      <w:r>
        <w:rPr>
          <w:spacing w:val="-2"/>
          <w:w w:val="110"/>
        </w:rPr>
        <w:t> </w:t>
      </w:r>
      <w:r>
        <w:rPr>
          <w:w w:val="110"/>
        </w:rPr>
        <w:t>mixture</w:t>
      </w:r>
      <w:r>
        <w:rPr>
          <w:spacing w:val="-2"/>
          <w:w w:val="110"/>
        </w:rPr>
        <w:t> </w:t>
      </w:r>
      <w:r>
        <w:rPr>
          <w:w w:val="110"/>
        </w:rPr>
        <w:t>was</w:t>
      </w:r>
      <w:r>
        <w:rPr>
          <w:spacing w:val="-2"/>
          <w:w w:val="110"/>
        </w:rPr>
        <w:t> </w:t>
      </w:r>
      <w:r>
        <w:rPr>
          <w:w w:val="110"/>
        </w:rPr>
        <w:t>filtered.</w:t>
      </w:r>
      <w:r>
        <w:rPr>
          <w:spacing w:val="-1"/>
          <w:w w:val="110"/>
        </w:rPr>
        <w:t> </w:t>
      </w:r>
      <w:r>
        <w:rPr>
          <w:w w:val="110"/>
        </w:rPr>
        <w:t>Then</w:t>
      </w:r>
      <w:r>
        <w:rPr>
          <w:spacing w:val="-3"/>
          <w:w w:val="110"/>
        </w:rPr>
        <w:t> </w:t>
      </w:r>
      <w:r>
        <w:rPr>
          <w:w w:val="110"/>
        </w:rPr>
        <w:t>the filtrate</w:t>
      </w:r>
      <w:r>
        <w:rPr>
          <w:spacing w:val="-2"/>
          <w:w w:val="110"/>
        </w:rPr>
        <w:t> </w:t>
      </w:r>
      <w:r>
        <w:rPr>
          <w:w w:val="110"/>
        </w:rPr>
        <w:t>was</w:t>
      </w:r>
      <w:r>
        <w:rPr>
          <w:spacing w:val="-2"/>
          <w:w w:val="110"/>
        </w:rPr>
        <w:t> </w:t>
      </w:r>
      <w:r>
        <w:rPr>
          <w:w w:val="110"/>
        </w:rPr>
        <w:t>measured</w:t>
      </w:r>
      <w:r>
        <w:rPr>
          <w:spacing w:val="-2"/>
          <w:w w:val="110"/>
        </w:rPr>
        <w:t> </w:t>
      </w:r>
      <w:r>
        <w:rPr>
          <w:w w:val="110"/>
        </w:rPr>
        <w:t>out</w:t>
      </w:r>
      <w:r>
        <w:rPr>
          <w:spacing w:val="-4"/>
          <w:w w:val="110"/>
        </w:rPr>
        <w:t> </w:t>
      </w:r>
      <w:r>
        <w:rPr>
          <w:w w:val="110"/>
        </w:rPr>
        <w:t>in 2 mL portions into six clean, dried and pre-weighed beakers. The contents of the beakers</w:t>
      </w:r>
      <w:r>
        <w:rPr>
          <w:spacing w:val="-1"/>
          <w:w w:val="110"/>
        </w:rPr>
        <w:t> </w:t>
      </w:r>
      <w:r>
        <w:rPr>
          <w:w w:val="110"/>
        </w:rPr>
        <w:t>were</w:t>
      </w:r>
      <w:r>
        <w:rPr>
          <w:spacing w:val="-1"/>
          <w:w w:val="110"/>
        </w:rPr>
        <w:t> </w:t>
      </w:r>
      <w:r>
        <w:rPr>
          <w:w w:val="110"/>
        </w:rPr>
        <w:t>evaporated</w:t>
      </w:r>
      <w:r>
        <w:rPr>
          <w:spacing w:val="-1"/>
          <w:w w:val="110"/>
        </w:rPr>
        <w:t> </w:t>
      </w:r>
      <w:r>
        <w:rPr>
          <w:w w:val="110"/>
        </w:rPr>
        <w:t>in</w:t>
      </w:r>
      <w:r>
        <w:rPr>
          <w:spacing w:val="-1"/>
          <w:w w:val="110"/>
        </w:rPr>
        <w:t> </w:t>
      </w:r>
      <w:r>
        <w:rPr>
          <w:w w:val="110"/>
        </w:rPr>
        <w:t>a</w:t>
      </w:r>
      <w:r>
        <w:rPr>
          <w:spacing w:val="-1"/>
          <w:w w:val="110"/>
        </w:rPr>
        <w:t> </w:t>
      </w:r>
      <w:r>
        <w:rPr>
          <w:w w:val="110"/>
        </w:rPr>
        <w:t>hot</w:t>
      </w:r>
      <w:r>
        <w:rPr>
          <w:spacing w:val="-3"/>
          <w:w w:val="110"/>
        </w:rPr>
        <w:t> </w:t>
      </w:r>
      <w:r>
        <w:rPr>
          <w:w w:val="110"/>
        </w:rPr>
        <w:t>air</w:t>
      </w:r>
      <w:r>
        <w:rPr>
          <w:spacing w:val="-1"/>
          <w:w w:val="110"/>
        </w:rPr>
        <w:t> </w:t>
      </w:r>
      <w:r>
        <w:rPr>
          <w:w w:val="110"/>
        </w:rPr>
        <w:t>oven</w:t>
      </w:r>
      <w:r>
        <w:rPr>
          <w:spacing w:val="-1"/>
          <w:w w:val="110"/>
        </w:rPr>
        <w:t> </w:t>
      </w:r>
      <w:r>
        <w:rPr>
          <w:w w:val="110"/>
        </w:rPr>
        <w:t>at a</w:t>
      </w:r>
      <w:r>
        <w:rPr>
          <w:spacing w:val="-1"/>
          <w:w w:val="110"/>
        </w:rPr>
        <w:t> </w:t>
      </w:r>
      <w:r>
        <w:rPr>
          <w:w w:val="110"/>
        </w:rPr>
        <w:t>temperature</w:t>
      </w:r>
      <w:r>
        <w:rPr>
          <w:spacing w:val="-1"/>
          <w:w w:val="110"/>
        </w:rPr>
        <w:t> </w:t>
      </w:r>
      <w:r>
        <w:rPr>
          <w:w w:val="110"/>
        </w:rPr>
        <w:t>of</w:t>
      </w:r>
      <w:r>
        <w:rPr>
          <w:spacing w:val="-1"/>
          <w:w w:val="110"/>
        </w:rPr>
        <w:t> </w:t>
      </w:r>
      <w:r>
        <w:rPr>
          <w:w w:val="110"/>
        </w:rPr>
        <w:t>60</w:t>
      </w:r>
      <w:r>
        <w:rPr>
          <w:w w:val="110"/>
          <w:vertAlign w:val="superscript"/>
        </w:rPr>
        <w:t>o</w:t>
      </w:r>
      <w:r>
        <w:rPr>
          <w:w w:val="110"/>
          <w:vertAlign w:val="baseline"/>
        </w:rPr>
        <w:t>C for</w:t>
      </w:r>
      <w:r>
        <w:rPr>
          <w:spacing w:val="-1"/>
          <w:w w:val="110"/>
          <w:vertAlign w:val="baseline"/>
        </w:rPr>
        <w:t> </w:t>
      </w:r>
      <w:r>
        <w:rPr>
          <w:w w:val="110"/>
          <w:vertAlign w:val="baseline"/>
        </w:rPr>
        <w:t>1</w:t>
      </w:r>
      <w:r>
        <w:rPr>
          <w:spacing w:val="-1"/>
          <w:w w:val="110"/>
          <w:vertAlign w:val="baseline"/>
        </w:rPr>
        <w:t> </w:t>
      </w:r>
      <w:r>
        <w:rPr>
          <w:w w:val="110"/>
          <w:vertAlign w:val="baseline"/>
        </w:rPr>
        <w:t>hour.</w:t>
      </w:r>
      <w:r>
        <w:rPr>
          <w:spacing w:val="-3"/>
          <w:w w:val="110"/>
          <w:vertAlign w:val="baseline"/>
        </w:rPr>
        <w:t> </w:t>
      </w:r>
      <w:r>
        <w:rPr>
          <w:w w:val="110"/>
          <w:vertAlign w:val="baseline"/>
        </w:rPr>
        <w:t>The beakers</w:t>
      </w:r>
      <w:r>
        <w:rPr>
          <w:w w:val="110"/>
          <w:vertAlign w:val="baseline"/>
        </w:rPr>
        <w:t> were</w:t>
      </w:r>
      <w:r>
        <w:rPr>
          <w:w w:val="110"/>
          <w:vertAlign w:val="baseline"/>
        </w:rPr>
        <w:t> cooled</w:t>
      </w:r>
      <w:r>
        <w:rPr>
          <w:w w:val="110"/>
          <w:vertAlign w:val="baseline"/>
        </w:rPr>
        <w:t> in</w:t>
      </w:r>
      <w:r>
        <w:rPr>
          <w:w w:val="110"/>
          <w:vertAlign w:val="baseline"/>
        </w:rPr>
        <w:t> a</w:t>
      </w:r>
      <w:r>
        <w:rPr>
          <w:w w:val="110"/>
          <w:vertAlign w:val="baseline"/>
        </w:rPr>
        <w:t> dessicator</w:t>
      </w:r>
      <w:r>
        <w:rPr>
          <w:w w:val="110"/>
          <w:vertAlign w:val="baseline"/>
        </w:rPr>
        <w:t> and</w:t>
      </w:r>
      <w:r>
        <w:rPr>
          <w:w w:val="110"/>
          <w:vertAlign w:val="baseline"/>
        </w:rPr>
        <w:t> weighed.</w:t>
      </w:r>
      <w:r>
        <w:rPr>
          <w:w w:val="110"/>
          <w:vertAlign w:val="baseline"/>
        </w:rPr>
        <w:t> Percentage</w:t>
      </w:r>
      <w:r>
        <w:rPr>
          <w:w w:val="110"/>
          <w:vertAlign w:val="baseline"/>
        </w:rPr>
        <w:t> alcohol-soluble extractive was calculated as follows (AOAC, 1980):</w:t>
      </w:r>
    </w:p>
    <w:p>
      <w:pPr>
        <w:pStyle w:val="BodyText"/>
      </w:pPr>
    </w:p>
    <w:p>
      <w:pPr>
        <w:pStyle w:val="BodyText"/>
        <w:spacing w:before="115"/>
      </w:pPr>
    </w:p>
    <w:p>
      <w:pPr>
        <w:pStyle w:val="BodyText"/>
        <w:spacing w:line="360" w:lineRule="auto"/>
        <w:ind w:left="678" w:right="997"/>
      </w:pPr>
      <w:r>
        <w:rPr>
          <w:w w:val="105"/>
        </w:rPr>
        <w:t>%</w:t>
      </w:r>
      <w:r>
        <w:rPr>
          <w:spacing w:val="79"/>
          <w:w w:val="105"/>
        </w:rPr>
        <w:t> </w:t>
      </w:r>
      <w:r>
        <w:rPr>
          <w:w w:val="105"/>
        </w:rPr>
        <w:t>of</w:t>
      </w:r>
      <w:r>
        <w:rPr>
          <w:spacing w:val="80"/>
          <w:w w:val="105"/>
        </w:rPr>
        <w:t> </w:t>
      </w:r>
      <w:r>
        <w:rPr>
          <w:w w:val="105"/>
        </w:rPr>
        <w:t>Alcohol-soluble</w:t>
      </w:r>
      <w:r>
        <w:rPr>
          <w:spacing w:val="80"/>
          <w:w w:val="105"/>
        </w:rPr>
        <w:t> </w:t>
      </w:r>
      <w:r>
        <w:rPr>
          <w:w w:val="105"/>
        </w:rPr>
        <w:t>extractives</w:t>
      </w:r>
      <w:r>
        <w:rPr>
          <w:spacing w:val="80"/>
          <w:w w:val="105"/>
        </w:rPr>
        <w:t> </w:t>
      </w:r>
      <w:r>
        <w:rPr>
          <w:w w:val="105"/>
        </w:rPr>
        <w:t>=</w:t>
      </w:r>
      <w:r>
        <w:rPr>
          <w:spacing w:val="80"/>
          <w:w w:val="105"/>
        </w:rPr>
        <w:t> </w:t>
      </w:r>
      <w:r>
        <w:rPr>
          <w:w w:val="105"/>
        </w:rPr>
        <w:t>100</w:t>
      </w:r>
      <w:r>
        <w:rPr>
          <w:spacing w:val="80"/>
          <w:w w:val="105"/>
        </w:rPr>
        <w:t> </w:t>
      </w:r>
      <w:r>
        <w:rPr>
          <w:w w:val="105"/>
        </w:rPr>
        <w:t>×</w:t>
      </w:r>
      <w:r>
        <w:rPr>
          <w:spacing w:val="80"/>
          <w:w w:val="105"/>
        </w:rPr>
        <w:t> </w:t>
      </w:r>
      <w:r>
        <w:rPr>
          <w:w w:val="105"/>
        </w:rPr>
        <w:t>Wt.</w:t>
      </w:r>
      <w:r>
        <w:rPr>
          <w:spacing w:val="79"/>
          <w:w w:val="105"/>
        </w:rPr>
        <w:t> </w:t>
      </w:r>
      <w:r>
        <w:rPr>
          <w:w w:val="105"/>
        </w:rPr>
        <w:t>of</w:t>
      </w:r>
      <w:r>
        <w:rPr>
          <w:spacing w:val="80"/>
          <w:w w:val="105"/>
        </w:rPr>
        <w:t> </w:t>
      </w:r>
      <w:r>
        <w:rPr>
          <w:w w:val="105"/>
        </w:rPr>
        <w:t>extract</w:t>
      </w:r>
      <w:r>
        <w:rPr>
          <w:spacing w:val="80"/>
          <w:w w:val="105"/>
        </w:rPr>
        <w:t> </w:t>
      </w:r>
      <w:r>
        <w:rPr>
          <w:w w:val="105"/>
        </w:rPr>
        <w:t>×</w:t>
      </w:r>
      <w:r>
        <w:rPr>
          <w:spacing w:val="80"/>
          <w:w w:val="105"/>
        </w:rPr>
        <w:t> </w:t>
      </w:r>
      <w:r>
        <w:rPr>
          <w:w w:val="105"/>
        </w:rPr>
        <w:t>Vol.</w:t>
      </w:r>
      <w:r>
        <w:rPr>
          <w:spacing w:val="79"/>
          <w:w w:val="105"/>
        </w:rPr>
        <w:t> </w:t>
      </w:r>
      <w:r>
        <w:rPr>
          <w:w w:val="105"/>
        </w:rPr>
        <w:t>of</w:t>
      </w:r>
      <w:r>
        <w:rPr>
          <w:spacing w:val="80"/>
          <w:w w:val="105"/>
        </w:rPr>
        <w:t> </w:t>
      </w:r>
      <w:r>
        <w:rPr>
          <w:w w:val="105"/>
        </w:rPr>
        <w:t>solvent</w:t>
      </w:r>
      <w:r>
        <w:rPr>
          <w:spacing w:val="80"/>
          <w:w w:val="105"/>
        </w:rPr>
        <w:t> </w:t>
      </w:r>
      <w:r>
        <w:rPr>
          <w:w w:val="105"/>
        </w:rPr>
        <w:t>/ </w:t>
      </w:r>
      <w:r>
        <w:rPr/>
        <w:t>Vol. of extract (20mL) × Wt. of seeds………………………………………….Eqn. 2.5</w:t>
      </w:r>
    </w:p>
    <w:p>
      <w:pPr>
        <w:pStyle w:val="BodyText"/>
        <w:spacing w:before="140"/>
      </w:pPr>
    </w:p>
    <w:p>
      <w:pPr>
        <w:pStyle w:val="BodyText"/>
        <w:ind w:left="678"/>
      </w:pPr>
      <w:r>
        <w:rPr/>
        <w:t>The</w:t>
      </w:r>
      <w:r>
        <w:rPr>
          <w:spacing w:val="-3"/>
        </w:rPr>
        <w:t> </w:t>
      </w:r>
      <w:r>
        <w:rPr/>
        <w:t>mean</w:t>
      </w:r>
      <w:r>
        <w:rPr>
          <w:spacing w:val="-1"/>
        </w:rPr>
        <w:t> </w:t>
      </w:r>
      <w:r>
        <w:rPr/>
        <w:t>of</w:t>
      </w:r>
      <w:r>
        <w:rPr>
          <w:spacing w:val="-2"/>
        </w:rPr>
        <w:t> </w:t>
      </w:r>
      <w:r>
        <w:rPr/>
        <w:t>six</w:t>
      </w:r>
      <w:r>
        <w:rPr>
          <w:spacing w:val="1"/>
        </w:rPr>
        <w:t> </w:t>
      </w:r>
      <w:r>
        <w:rPr/>
        <w:t>determinations</w:t>
      </w:r>
      <w:r>
        <w:rPr>
          <w:spacing w:val="-1"/>
        </w:rPr>
        <w:t> </w:t>
      </w:r>
      <w:r>
        <w:rPr/>
        <w:t>was </w:t>
      </w:r>
      <w:r>
        <w:rPr>
          <w:spacing w:val="-2"/>
        </w:rPr>
        <w:t>taken.</w:t>
      </w:r>
    </w:p>
    <w:p>
      <w:pPr>
        <w:pStyle w:val="BodyText"/>
      </w:pPr>
    </w:p>
    <w:p>
      <w:pPr>
        <w:pStyle w:val="BodyText"/>
        <w:spacing w:before="4"/>
      </w:pPr>
    </w:p>
    <w:p>
      <w:pPr>
        <w:pStyle w:val="Heading2"/>
        <w:numPr>
          <w:ilvl w:val="1"/>
          <w:numId w:val="34"/>
        </w:numPr>
        <w:tabs>
          <w:tab w:pos="1038" w:val="left" w:leader="none"/>
        </w:tabs>
        <w:spacing w:line="240" w:lineRule="auto" w:before="1" w:after="0"/>
        <w:ind w:left="1038" w:right="0" w:hanging="360"/>
        <w:jc w:val="both"/>
      </w:pPr>
      <w:r>
        <w:rPr/>
        <w:t>Determination</w:t>
      </w:r>
      <w:r>
        <w:rPr>
          <w:spacing w:val="-2"/>
        </w:rPr>
        <w:t> </w:t>
      </w:r>
      <w:r>
        <w:rPr/>
        <w:t>of</w:t>
      </w:r>
      <w:r>
        <w:rPr>
          <w:spacing w:val="-1"/>
        </w:rPr>
        <w:t> </w:t>
      </w:r>
      <w:r>
        <w:rPr/>
        <w:t>moisture</w:t>
      </w:r>
      <w:r>
        <w:rPr>
          <w:spacing w:val="-3"/>
        </w:rPr>
        <w:t> </w:t>
      </w:r>
      <w:r>
        <w:rPr>
          <w:spacing w:val="-2"/>
        </w:rPr>
        <w:t>content</w:t>
      </w:r>
    </w:p>
    <w:p>
      <w:pPr>
        <w:pStyle w:val="BodyText"/>
        <w:spacing w:line="360" w:lineRule="auto" w:before="132"/>
        <w:ind w:left="678" w:right="996" w:firstLine="720"/>
        <w:jc w:val="both"/>
      </w:pPr>
      <w:r>
        <w:rPr/>
        <w:t>Volatile matter content: Six evaporating dishes were thoroughly washed and dried in the hot air oven at 105</w:t>
      </w:r>
      <w:r>
        <w:rPr>
          <w:vertAlign w:val="superscript"/>
        </w:rPr>
        <w:t>o</w:t>
      </w:r>
      <w:r>
        <w:rPr>
          <w:vertAlign w:val="baseline"/>
        </w:rPr>
        <w:t>C for 1 hour, then cooled in a dessicator before weighing. Two grams of the powdered seeds was then added to each evaporating</w:t>
      </w:r>
      <w:r>
        <w:rPr>
          <w:spacing w:val="-1"/>
          <w:vertAlign w:val="baseline"/>
        </w:rPr>
        <w:t> </w:t>
      </w:r>
      <w:r>
        <w:rPr>
          <w:vertAlign w:val="baseline"/>
        </w:rPr>
        <w:t>dish and dried in the hot air oven at 105</w:t>
      </w:r>
      <w:r>
        <w:rPr>
          <w:vertAlign w:val="superscript"/>
        </w:rPr>
        <w:t>o</w:t>
      </w:r>
      <w:r>
        <w:rPr>
          <w:vertAlign w:val="baseline"/>
        </w:rPr>
        <w:t>C for 6 hours. Then the evaporating dish were cooled in a dessicator and weighed immediately. The dishes were dried again for another 1 hour and cooled, then re- weighed. This was continued until the difference in the weights was less than 0.5 mg. The difference</w:t>
      </w:r>
      <w:r>
        <w:rPr>
          <w:spacing w:val="19"/>
          <w:vertAlign w:val="baseline"/>
        </w:rPr>
        <w:t> </w:t>
      </w:r>
      <w:r>
        <w:rPr>
          <w:vertAlign w:val="baseline"/>
        </w:rPr>
        <w:t>between</w:t>
      </w:r>
      <w:r>
        <w:rPr>
          <w:spacing w:val="20"/>
          <w:vertAlign w:val="baseline"/>
        </w:rPr>
        <w:t> </w:t>
      </w:r>
      <w:r>
        <w:rPr>
          <w:vertAlign w:val="baseline"/>
        </w:rPr>
        <w:t>the</w:t>
      </w:r>
      <w:r>
        <w:rPr>
          <w:spacing w:val="22"/>
          <w:vertAlign w:val="baseline"/>
        </w:rPr>
        <w:t> </w:t>
      </w:r>
      <w:r>
        <w:rPr>
          <w:vertAlign w:val="baseline"/>
        </w:rPr>
        <w:t>weight</w:t>
      </w:r>
      <w:r>
        <w:rPr>
          <w:spacing w:val="21"/>
          <w:vertAlign w:val="baseline"/>
        </w:rPr>
        <w:t> </w:t>
      </w:r>
      <w:r>
        <w:rPr>
          <w:vertAlign w:val="baseline"/>
        </w:rPr>
        <w:t>of</w:t>
      </w:r>
      <w:r>
        <w:rPr>
          <w:spacing w:val="19"/>
          <w:vertAlign w:val="baseline"/>
        </w:rPr>
        <w:t> </w:t>
      </w:r>
      <w:r>
        <w:rPr>
          <w:vertAlign w:val="baseline"/>
        </w:rPr>
        <w:t>the</w:t>
      </w:r>
      <w:r>
        <w:rPr>
          <w:spacing w:val="19"/>
          <w:vertAlign w:val="baseline"/>
        </w:rPr>
        <w:t> </w:t>
      </w:r>
      <w:r>
        <w:rPr>
          <w:vertAlign w:val="baseline"/>
        </w:rPr>
        <w:t>dish</w:t>
      </w:r>
      <w:r>
        <w:rPr>
          <w:spacing w:val="21"/>
          <w:vertAlign w:val="baseline"/>
        </w:rPr>
        <w:t> </w:t>
      </w:r>
      <w:r>
        <w:rPr>
          <w:vertAlign w:val="baseline"/>
        </w:rPr>
        <w:t>and</w:t>
      </w:r>
      <w:r>
        <w:rPr>
          <w:spacing w:val="21"/>
          <w:vertAlign w:val="baseline"/>
        </w:rPr>
        <w:t> </w:t>
      </w:r>
      <w:r>
        <w:rPr>
          <w:vertAlign w:val="baseline"/>
        </w:rPr>
        <w:t>seeds</w:t>
      </w:r>
      <w:r>
        <w:rPr>
          <w:spacing w:val="20"/>
          <w:vertAlign w:val="baseline"/>
        </w:rPr>
        <w:t> </w:t>
      </w:r>
      <w:r>
        <w:rPr>
          <w:vertAlign w:val="baseline"/>
        </w:rPr>
        <w:t>before</w:t>
      </w:r>
      <w:r>
        <w:rPr>
          <w:spacing w:val="18"/>
          <w:vertAlign w:val="baseline"/>
        </w:rPr>
        <w:t> </w:t>
      </w:r>
      <w:r>
        <w:rPr>
          <w:vertAlign w:val="baseline"/>
        </w:rPr>
        <w:t>drying</w:t>
      </w:r>
      <w:r>
        <w:rPr>
          <w:spacing w:val="17"/>
          <w:vertAlign w:val="baseline"/>
        </w:rPr>
        <w:t> </w:t>
      </w:r>
      <w:r>
        <w:rPr>
          <w:vertAlign w:val="baseline"/>
        </w:rPr>
        <w:t>and</w:t>
      </w:r>
      <w:r>
        <w:rPr>
          <w:spacing w:val="21"/>
          <w:vertAlign w:val="baseline"/>
        </w:rPr>
        <w:t> </w:t>
      </w:r>
      <w:r>
        <w:rPr>
          <w:vertAlign w:val="baseline"/>
        </w:rPr>
        <w:t>the</w:t>
      </w:r>
      <w:r>
        <w:rPr>
          <w:spacing w:val="19"/>
          <w:vertAlign w:val="baseline"/>
        </w:rPr>
        <w:t> </w:t>
      </w:r>
      <w:r>
        <w:rPr>
          <w:vertAlign w:val="baseline"/>
        </w:rPr>
        <w:t>weight</w:t>
      </w:r>
      <w:r>
        <w:rPr>
          <w:spacing w:val="20"/>
          <w:vertAlign w:val="baseline"/>
        </w:rPr>
        <w:t> </w:t>
      </w:r>
      <w:r>
        <w:rPr>
          <w:vertAlign w:val="baseline"/>
        </w:rPr>
        <w:t>of</w:t>
      </w:r>
      <w:r>
        <w:rPr>
          <w:spacing w:val="20"/>
          <w:vertAlign w:val="baseline"/>
        </w:rPr>
        <w:t> </w:t>
      </w:r>
      <w:r>
        <w:rPr>
          <w:spacing w:val="-5"/>
          <w:vertAlign w:val="baseline"/>
        </w:rPr>
        <w:t>the</w:t>
      </w:r>
    </w:p>
    <w:p>
      <w:pPr>
        <w:spacing w:after="0" w:line="360" w:lineRule="auto"/>
        <w:jc w:val="both"/>
        <w:sectPr>
          <w:pgSz w:w="12240" w:h="15840"/>
          <w:pgMar w:header="0" w:footer="1056" w:top="1340" w:bottom="1240" w:left="1420" w:right="420"/>
        </w:sectPr>
      </w:pPr>
    </w:p>
    <w:p>
      <w:pPr>
        <w:pStyle w:val="BodyText"/>
        <w:spacing w:line="360" w:lineRule="auto" w:before="72"/>
        <w:ind w:left="678" w:right="998"/>
        <w:jc w:val="both"/>
      </w:pPr>
      <w:r>
        <w:rPr/>
        <mc:AlternateContent>
          <mc:Choice Requires="wps">
            <w:drawing>
              <wp:anchor distT="0" distB="0" distL="0" distR="0" allowOverlap="1" layoutInCell="1" locked="0" behindDoc="1" simplePos="0" relativeHeight="482963456">
                <wp:simplePos x="0" y="0"/>
                <wp:positionH relativeFrom="page">
                  <wp:posOffset>-1402226</wp:posOffset>
                </wp:positionH>
                <wp:positionV relativeFrom="page">
                  <wp:posOffset>4612234</wp:posOffset>
                </wp:positionV>
                <wp:extent cx="10685780" cy="91440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3024;rotation:306" type="#_x0000_t136" fillcolor="#ff5400" stroked="f">
                <o:extrusion v:ext="view" autorotationcenter="t"/>
                <v:textpath style="font-family:&quot;Arial MT&quot;;font-size:72pt;v-text-kern:t;mso-text-shadow:auto" string="UNIVERSITY OF IBADAN"/>
                <w10:wrap type="none"/>
              </v:shape>
            </w:pict>
          </mc:Fallback>
        </mc:AlternateContent>
      </w:r>
      <w:r>
        <w:rPr/>
        <w:t>dish and seeds after drying to constant weight gave the loss on weight on drying. Percentage loss on drying was calculated as follows (BP, 1998).</w:t>
      </w:r>
    </w:p>
    <w:p>
      <w:pPr>
        <w:pStyle w:val="BodyText"/>
        <w:spacing w:before="138"/>
      </w:pPr>
    </w:p>
    <w:p>
      <w:pPr>
        <w:pStyle w:val="BodyText"/>
        <w:tabs>
          <w:tab w:pos="8179" w:val="left" w:leader="dot"/>
        </w:tabs>
        <w:spacing w:line="360" w:lineRule="auto"/>
        <w:ind w:left="678" w:right="993"/>
        <w:jc w:val="both"/>
      </w:pPr>
      <w:r>
        <w:rPr>
          <w:w w:val="105"/>
        </w:rPr>
        <w:t>% Loss on drying</w:t>
      </w:r>
      <w:r>
        <w:rPr>
          <w:spacing w:val="80"/>
          <w:w w:val="150"/>
        </w:rPr>
        <w:t> </w:t>
      </w:r>
      <w:r>
        <w:rPr>
          <w:w w:val="105"/>
        </w:rPr>
        <w:t>= 100 x (Wt. of seed before drying – Wt. of seed after drying) /</w:t>
      </w:r>
      <w:r>
        <w:rPr>
          <w:spacing w:val="40"/>
          <w:w w:val="105"/>
        </w:rPr>
        <w:t> </w:t>
      </w:r>
      <w:r>
        <w:rPr>
          <w:w w:val="105"/>
        </w:rPr>
        <w:t>Wt. of seed before drying</w:t>
      </w:r>
      <w:r>
        <w:rPr/>
        <w:tab/>
      </w:r>
      <w:r>
        <w:rPr>
          <w:w w:val="105"/>
        </w:rPr>
        <w:t>Eqn. 2.6</w:t>
      </w:r>
    </w:p>
    <w:p>
      <w:pPr>
        <w:pStyle w:val="BodyText"/>
        <w:spacing w:before="144"/>
      </w:pPr>
    </w:p>
    <w:p>
      <w:pPr>
        <w:pStyle w:val="ListParagraph"/>
        <w:numPr>
          <w:ilvl w:val="1"/>
          <w:numId w:val="34"/>
        </w:numPr>
        <w:tabs>
          <w:tab w:pos="1218" w:val="left" w:leader="none"/>
        </w:tabs>
        <w:spacing w:line="240" w:lineRule="auto" w:before="0" w:after="0"/>
        <w:ind w:left="1218" w:right="0" w:hanging="540"/>
        <w:jc w:val="both"/>
        <w:rPr>
          <w:b/>
          <w:i/>
          <w:sz w:val="24"/>
        </w:rPr>
      </w:pPr>
      <w:r>
        <w:rPr>
          <w:b/>
          <w:sz w:val="24"/>
        </w:rPr>
        <w:t>Phytochemical</w:t>
      </w:r>
      <w:r>
        <w:rPr>
          <w:b/>
          <w:spacing w:val="-5"/>
          <w:sz w:val="24"/>
        </w:rPr>
        <w:t> </w:t>
      </w:r>
      <w:r>
        <w:rPr>
          <w:b/>
          <w:sz w:val="24"/>
        </w:rPr>
        <w:t>screening</w:t>
      </w:r>
      <w:r>
        <w:rPr>
          <w:b/>
          <w:spacing w:val="-2"/>
          <w:sz w:val="24"/>
        </w:rPr>
        <w:t> </w:t>
      </w:r>
      <w:r>
        <w:rPr>
          <w:b/>
          <w:sz w:val="24"/>
        </w:rPr>
        <w:t>of</w:t>
      </w:r>
      <w:r>
        <w:rPr>
          <w:b/>
          <w:spacing w:val="1"/>
          <w:sz w:val="24"/>
        </w:rPr>
        <w:t> </w:t>
      </w:r>
      <w:r>
        <w:rPr>
          <w:b/>
          <w:i/>
          <w:sz w:val="24"/>
        </w:rPr>
        <w:t>Mucuna</w:t>
      </w:r>
      <w:r>
        <w:rPr>
          <w:b/>
          <w:i/>
          <w:spacing w:val="-2"/>
          <w:sz w:val="24"/>
        </w:rPr>
        <w:t> pruriens</w:t>
      </w:r>
    </w:p>
    <w:p>
      <w:pPr>
        <w:pStyle w:val="BodyText"/>
        <w:spacing w:line="360" w:lineRule="auto" w:before="132"/>
        <w:ind w:left="678" w:right="994" w:firstLine="720"/>
        <w:jc w:val="both"/>
      </w:pPr>
      <w:r>
        <w:rPr/>
        <w:t>The ethanol extract, found to be the most active extract biologically, was screened for the presence of secondary metabolites using conventional chemical test procedures (Yen and Yung, 1971, BP 1998 and Trease and Evans 1989).</w:t>
      </w:r>
    </w:p>
    <w:p>
      <w:pPr>
        <w:pStyle w:val="BodyText"/>
        <w:spacing w:before="143"/>
      </w:pPr>
    </w:p>
    <w:p>
      <w:pPr>
        <w:pStyle w:val="Heading2"/>
        <w:numPr>
          <w:ilvl w:val="2"/>
          <w:numId w:val="34"/>
        </w:numPr>
        <w:tabs>
          <w:tab w:pos="1338" w:val="left" w:leader="none"/>
        </w:tabs>
        <w:spacing w:line="240" w:lineRule="auto" w:before="0" w:after="0"/>
        <w:ind w:left="1338" w:right="0" w:hanging="660"/>
        <w:jc w:val="both"/>
      </w:pPr>
      <w:bookmarkStart w:name="_TOC_250045" w:id="88"/>
      <w:r>
        <w:rPr/>
        <w:t>Test</w:t>
      </w:r>
      <w:r>
        <w:rPr>
          <w:spacing w:val="-1"/>
        </w:rPr>
        <w:t> </w:t>
      </w:r>
      <w:r>
        <w:rPr/>
        <w:t>for</w:t>
      </w:r>
      <w:r>
        <w:rPr>
          <w:spacing w:val="-1"/>
        </w:rPr>
        <w:t> </w:t>
      </w:r>
      <w:bookmarkEnd w:id="88"/>
      <w:r>
        <w:rPr>
          <w:spacing w:val="-2"/>
        </w:rPr>
        <w:t>alkaloids</w:t>
      </w:r>
    </w:p>
    <w:p>
      <w:pPr>
        <w:pStyle w:val="BodyText"/>
        <w:spacing w:line="360" w:lineRule="auto" w:before="135"/>
        <w:ind w:left="678" w:right="993" w:firstLine="780"/>
        <w:jc w:val="both"/>
      </w:pPr>
      <w:r>
        <w:rPr>
          <w:i/>
        </w:rPr>
        <w:t>Mucuna pruriens </w:t>
      </w:r>
      <w:r>
        <w:rPr/>
        <w:t>ethanol extract (1 g) was dissolved in 1 mL</w:t>
      </w:r>
      <w:r>
        <w:rPr>
          <w:spacing w:val="-1"/>
        </w:rPr>
        <w:t> </w:t>
      </w:r>
      <w:r>
        <w:rPr/>
        <w:t>of 10% of HCl on a water bath.</w:t>
      </w:r>
      <w:r>
        <w:rPr>
          <w:spacing w:val="2"/>
        </w:rPr>
        <w:t> </w:t>
      </w:r>
      <w:r>
        <w:rPr/>
        <w:t>The</w:t>
      </w:r>
      <w:r>
        <w:rPr>
          <w:spacing w:val="1"/>
        </w:rPr>
        <w:t> </w:t>
      </w:r>
      <w:r>
        <w:rPr/>
        <w:t>extract</w:t>
      </w:r>
      <w:r>
        <w:rPr>
          <w:spacing w:val="2"/>
        </w:rPr>
        <w:t> </w:t>
      </w:r>
      <w:r>
        <w:rPr/>
        <w:t>was</w:t>
      </w:r>
      <w:r>
        <w:rPr>
          <w:spacing w:val="2"/>
        </w:rPr>
        <w:t> </w:t>
      </w:r>
      <w:r>
        <w:rPr/>
        <w:t>filtered</w:t>
      </w:r>
      <w:r>
        <w:rPr>
          <w:spacing w:val="2"/>
        </w:rPr>
        <w:t> </w:t>
      </w:r>
      <w:r>
        <w:rPr/>
        <w:t>and</w:t>
      </w:r>
      <w:r>
        <w:rPr>
          <w:spacing w:val="2"/>
        </w:rPr>
        <w:t> </w:t>
      </w:r>
      <w:r>
        <w:rPr/>
        <w:t>the</w:t>
      </w:r>
      <w:r>
        <w:rPr>
          <w:spacing w:val="1"/>
        </w:rPr>
        <w:t> </w:t>
      </w:r>
      <w:r>
        <w:rPr/>
        <w:t>pH</w:t>
      </w:r>
      <w:r>
        <w:rPr>
          <w:spacing w:val="1"/>
        </w:rPr>
        <w:t> </w:t>
      </w:r>
      <w:r>
        <w:rPr/>
        <w:t>of</w:t>
      </w:r>
      <w:r>
        <w:rPr>
          <w:spacing w:val="3"/>
        </w:rPr>
        <w:t> </w:t>
      </w:r>
      <w:r>
        <w:rPr/>
        <w:t>the</w:t>
      </w:r>
      <w:r>
        <w:rPr>
          <w:spacing w:val="1"/>
        </w:rPr>
        <w:t> </w:t>
      </w:r>
      <w:r>
        <w:rPr/>
        <w:t>filtrate</w:t>
      </w:r>
      <w:r>
        <w:rPr>
          <w:spacing w:val="1"/>
        </w:rPr>
        <w:t> </w:t>
      </w:r>
      <w:r>
        <w:rPr/>
        <w:t>adjusted</w:t>
      </w:r>
      <w:r>
        <w:rPr>
          <w:spacing w:val="1"/>
        </w:rPr>
        <w:t> </w:t>
      </w:r>
      <w:r>
        <w:rPr/>
        <w:t>to</w:t>
      </w:r>
      <w:r>
        <w:rPr>
          <w:spacing w:val="2"/>
        </w:rPr>
        <w:t> </w:t>
      </w:r>
      <w:r>
        <w:rPr/>
        <w:t>about</w:t>
      </w:r>
      <w:r>
        <w:rPr>
          <w:spacing w:val="2"/>
        </w:rPr>
        <w:t> </w:t>
      </w:r>
      <w:r>
        <w:rPr/>
        <w:t>6.</w:t>
      </w:r>
      <w:r>
        <w:rPr>
          <w:spacing w:val="4"/>
        </w:rPr>
        <w:t> </w:t>
      </w:r>
      <w:r>
        <w:rPr/>
        <w:t>To</w:t>
      </w:r>
      <w:r>
        <w:rPr>
          <w:spacing w:val="1"/>
        </w:rPr>
        <w:t> </w:t>
      </w:r>
      <w:r>
        <w:rPr>
          <w:spacing w:val="-2"/>
        </w:rPr>
        <w:t>about</w:t>
      </w:r>
    </w:p>
    <w:p>
      <w:pPr>
        <w:pStyle w:val="BodyText"/>
        <w:spacing w:line="360" w:lineRule="auto"/>
        <w:ind w:left="678" w:right="992"/>
        <w:jc w:val="both"/>
      </w:pPr>
      <w:r>
        <w:rPr/>
        <w:t>0.5 mL of filtrate small quantity of Meyer‘s reagent (potassium mercuric iodide solution) and Wagner‘s reagent (iodine in potassium iodide solution) were each added drop wise in a test-tube and mixed and observed for the formation of</w:t>
      </w:r>
      <w:r>
        <w:rPr>
          <w:spacing w:val="40"/>
        </w:rPr>
        <w:t> </w:t>
      </w:r>
      <w:r>
        <w:rPr/>
        <w:t>a precipitate.</w:t>
      </w:r>
    </w:p>
    <w:p>
      <w:pPr>
        <w:pStyle w:val="BodyText"/>
        <w:spacing w:before="263"/>
      </w:pPr>
    </w:p>
    <w:p>
      <w:pPr>
        <w:pStyle w:val="Heading2"/>
        <w:numPr>
          <w:ilvl w:val="2"/>
          <w:numId w:val="34"/>
        </w:numPr>
        <w:tabs>
          <w:tab w:pos="1218" w:val="left" w:leader="none"/>
        </w:tabs>
        <w:spacing w:line="240" w:lineRule="auto" w:before="0" w:after="0"/>
        <w:ind w:left="1218" w:right="0" w:hanging="540"/>
        <w:jc w:val="both"/>
      </w:pPr>
      <w:bookmarkStart w:name="_TOC_250044" w:id="89"/>
      <w:r>
        <w:rPr/>
        <w:t>Test</w:t>
      </w:r>
      <w:r>
        <w:rPr>
          <w:spacing w:val="-1"/>
        </w:rPr>
        <w:t> </w:t>
      </w:r>
      <w:r>
        <w:rPr/>
        <w:t>for </w:t>
      </w:r>
      <w:bookmarkEnd w:id="89"/>
      <w:r>
        <w:rPr>
          <w:spacing w:val="-2"/>
        </w:rPr>
        <w:t>cardenolides</w:t>
      </w:r>
    </w:p>
    <w:p>
      <w:pPr>
        <w:pStyle w:val="BodyText"/>
        <w:spacing w:line="360" w:lineRule="auto" w:before="132"/>
        <w:ind w:left="678" w:right="996" w:firstLine="780"/>
        <w:jc w:val="both"/>
      </w:pPr>
      <w:r>
        <w:rPr>
          <w:i/>
        </w:rPr>
        <w:t>M. pruriens </w:t>
      </w:r>
      <w:r>
        <w:rPr/>
        <w:t>ethanol extract (1 g) was mixed with 80 mL of 80% alcohol for 5 minutes on a steam bath. The extract was filtered and diluted with an equal volume of distilled water.</w:t>
      </w:r>
      <w:r>
        <w:rPr>
          <w:spacing w:val="40"/>
        </w:rPr>
        <w:t> </w:t>
      </w:r>
      <w:r>
        <w:rPr/>
        <w:t>A few drops of lead acetate solution was added, shaken and filtered after standing for a few minutes. The filtrate was extracted with aliquots of methylene chloride (dichloromethane) (2 volumes). The methylene chloride extracts were combined. The combined methylene chloride was divided into two portions in a clean Petri dish. Each portion was evaporated on a steam bath to dryness.</w:t>
      </w:r>
    </w:p>
    <w:p>
      <w:pPr>
        <w:pStyle w:val="BodyText"/>
        <w:spacing w:line="276" w:lineRule="exact"/>
        <w:ind w:left="678"/>
        <w:jc w:val="both"/>
      </w:pPr>
      <w:r>
        <w:rPr/>
        <w:t>The</w:t>
      </w:r>
      <w:r>
        <w:rPr>
          <w:spacing w:val="-4"/>
        </w:rPr>
        <w:t> </w:t>
      </w:r>
      <w:r>
        <w:rPr/>
        <w:t>following</w:t>
      </w:r>
      <w:r>
        <w:rPr>
          <w:spacing w:val="-4"/>
        </w:rPr>
        <w:t> </w:t>
      </w:r>
      <w:r>
        <w:rPr/>
        <w:t>tests</w:t>
      </w:r>
      <w:r>
        <w:rPr>
          <w:spacing w:val="-1"/>
        </w:rPr>
        <w:t> </w:t>
      </w:r>
      <w:r>
        <w:rPr/>
        <w:t>were</w:t>
      </w:r>
      <w:r>
        <w:rPr>
          <w:spacing w:val="-2"/>
        </w:rPr>
        <w:t> </w:t>
      </w:r>
      <w:r>
        <w:rPr/>
        <w:t>performed as</w:t>
      </w:r>
      <w:r>
        <w:rPr>
          <w:spacing w:val="-1"/>
        </w:rPr>
        <w:t> </w:t>
      </w:r>
      <w:r>
        <w:rPr/>
        <w:t>described</w:t>
      </w:r>
      <w:r>
        <w:rPr>
          <w:spacing w:val="-1"/>
        </w:rPr>
        <w:t> </w:t>
      </w:r>
      <w:r>
        <w:rPr>
          <w:spacing w:val="-2"/>
        </w:rPr>
        <w:t>below:</w:t>
      </w:r>
    </w:p>
    <w:p>
      <w:pPr>
        <w:pStyle w:val="ListParagraph"/>
        <w:numPr>
          <w:ilvl w:val="0"/>
          <w:numId w:val="35"/>
        </w:numPr>
        <w:tabs>
          <w:tab w:pos="2663" w:val="left" w:leader="none"/>
        </w:tabs>
        <w:spacing w:line="240" w:lineRule="auto" w:before="139" w:after="0"/>
        <w:ind w:left="2663" w:right="0" w:hanging="485"/>
        <w:jc w:val="both"/>
        <w:rPr>
          <w:sz w:val="24"/>
        </w:rPr>
      </w:pPr>
      <w:r>
        <w:rPr>
          <w:sz w:val="24"/>
        </w:rPr>
        <w:t>Keller-Killiani</w:t>
      </w:r>
      <w:r>
        <w:rPr>
          <w:spacing w:val="-3"/>
          <w:sz w:val="24"/>
        </w:rPr>
        <w:t> </w:t>
      </w:r>
      <w:r>
        <w:rPr>
          <w:spacing w:val="-4"/>
          <w:sz w:val="24"/>
        </w:rPr>
        <w:t>test</w:t>
      </w:r>
    </w:p>
    <w:p>
      <w:pPr>
        <w:pStyle w:val="BodyText"/>
        <w:spacing w:line="360" w:lineRule="auto" w:before="137"/>
        <w:ind w:left="678" w:right="992" w:firstLine="720"/>
        <w:jc w:val="both"/>
      </w:pPr>
      <w:r>
        <w:rPr/>
        <w:t>The cooled residue was dissolved in 3 mL of ferric chloride reagent (0.3 mL of 10%</w:t>
      </w:r>
      <w:r>
        <w:rPr>
          <w:spacing w:val="-1"/>
        </w:rPr>
        <w:t> </w:t>
      </w:r>
      <w:r>
        <w:rPr/>
        <w:t>ferric</w:t>
      </w:r>
      <w:r>
        <w:rPr>
          <w:spacing w:val="-1"/>
        </w:rPr>
        <w:t> </w:t>
      </w:r>
      <w:r>
        <w:rPr/>
        <w:t>chloride</w:t>
      </w:r>
      <w:r>
        <w:rPr>
          <w:spacing w:val="-1"/>
        </w:rPr>
        <w:t> </w:t>
      </w:r>
      <w:r>
        <w:rPr/>
        <w:t>(FeCl</w:t>
      </w:r>
      <w:r>
        <w:rPr>
          <w:vertAlign w:val="subscript"/>
        </w:rPr>
        <w:t>3</w:t>
      </w:r>
      <w:r>
        <w:rPr>
          <w:vertAlign w:val="baseline"/>
        </w:rPr>
        <w:t>)</w:t>
      </w:r>
      <w:r>
        <w:rPr>
          <w:spacing w:val="-1"/>
          <w:vertAlign w:val="baseline"/>
        </w:rPr>
        <w:t> </w:t>
      </w:r>
      <w:r>
        <w:rPr>
          <w:vertAlign w:val="baseline"/>
        </w:rPr>
        <w:t>in 50 mL</w:t>
      </w:r>
      <w:r>
        <w:rPr>
          <w:spacing w:val="-5"/>
          <w:vertAlign w:val="baseline"/>
        </w:rPr>
        <w:t> </w:t>
      </w:r>
      <w:r>
        <w:rPr>
          <w:vertAlign w:val="baseline"/>
        </w:rPr>
        <w:t>glacial acetic</w:t>
      </w:r>
      <w:r>
        <w:rPr>
          <w:spacing w:val="-1"/>
          <w:vertAlign w:val="baseline"/>
        </w:rPr>
        <w:t> </w:t>
      </w:r>
      <w:r>
        <w:rPr>
          <w:vertAlign w:val="baseline"/>
        </w:rPr>
        <w:t>acid in a</w:t>
      </w:r>
      <w:r>
        <w:rPr>
          <w:spacing w:val="-1"/>
          <w:vertAlign w:val="baseline"/>
        </w:rPr>
        <w:t> </w:t>
      </w:r>
      <w:r>
        <w:rPr>
          <w:vertAlign w:val="baseline"/>
        </w:rPr>
        <w:t>clean test-tube. On</w:t>
      </w:r>
      <w:r>
        <w:rPr>
          <w:spacing w:val="-1"/>
          <w:vertAlign w:val="baseline"/>
        </w:rPr>
        <w:t> </w:t>
      </w:r>
      <w:r>
        <w:rPr>
          <w:vertAlign w:val="baseline"/>
        </w:rPr>
        <w:t>the</w:t>
      </w:r>
      <w:r>
        <w:rPr>
          <w:spacing w:val="-1"/>
          <w:vertAlign w:val="baseline"/>
        </w:rPr>
        <w:t> </w:t>
      </w:r>
      <w:r>
        <w:rPr>
          <w:vertAlign w:val="baseline"/>
        </w:rPr>
        <w:t>side</w:t>
      </w:r>
      <w:r>
        <w:rPr>
          <w:spacing w:val="-1"/>
          <w:vertAlign w:val="baseline"/>
        </w:rPr>
        <w:t> </w:t>
      </w:r>
      <w:r>
        <w:rPr>
          <w:vertAlign w:val="baseline"/>
        </w:rPr>
        <w:t>of the</w:t>
      </w:r>
      <w:r>
        <w:rPr>
          <w:spacing w:val="13"/>
          <w:vertAlign w:val="baseline"/>
        </w:rPr>
        <w:t> </w:t>
      </w:r>
      <w:r>
        <w:rPr>
          <w:vertAlign w:val="baseline"/>
        </w:rPr>
        <w:t>test</w:t>
      </w:r>
      <w:r>
        <w:rPr>
          <w:spacing w:val="14"/>
          <w:vertAlign w:val="baseline"/>
        </w:rPr>
        <w:t> </w:t>
      </w:r>
      <w:r>
        <w:rPr>
          <w:vertAlign w:val="baseline"/>
        </w:rPr>
        <w:t>tube</w:t>
      </w:r>
      <w:r>
        <w:rPr>
          <w:spacing w:val="13"/>
          <w:vertAlign w:val="baseline"/>
        </w:rPr>
        <w:t> </w:t>
      </w:r>
      <w:r>
        <w:rPr>
          <w:vertAlign w:val="baseline"/>
        </w:rPr>
        <w:t>was</w:t>
      </w:r>
      <w:r>
        <w:rPr>
          <w:spacing w:val="14"/>
          <w:vertAlign w:val="baseline"/>
        </w:rPr>
        <w:t> </w:t>
      </w:r>
      <w:r>
        <w:rPr>
          <w:vertAlign w:val="baseline"/>
        </w:rPr>
        <w:t>carefully</w:t>
      </w:r>
      <w:r>
        <w:rPr>
          <w:spacing w:val="11"/>
          <w:vertAlign w:val="baseline"/>
        </w:rPr>
        <w:t> </w:t>
      </w:r>
      <w:r>
        <w:rPr>
          <w:vertAlign w:val="baseline"/>
        </w:rPr>
        <w:t>poured</w:t>
      </w:r>
      <w:r>
        <w:rPr>
          <w:spacing w:val="14"/>
          <w:vertAlign w:val="baseline"/>
        </w:rPr>
        <w:t> </w:t>
      </w:r>
      <w:r>
        <w:rPr>
          <w:vertAlign w:val="baseline"/>
        </w:rPr>
        <w:t>2</w:t>
      </w:r>
      <w:r>
        <w:rPr>
          <w:spacing w:val="17"/>
          <w:vertAlign w:val="baseline"/>
        </w:rPr>
        <w:t> </w:t>
      </w:r>
      <w:r>
        <w:rPr>
          <w:vertAlign w:val="baseline"/>
        </w:rPr>
        <w:t>mL</w:t>
      </w:r>
      <w:r>
        <w:rPr>
          <w:spacing w:val="9"/>
          <w:vertAlign w:val="baseline"/>
        </w:rPr>
        <w:t> </w:t>
      </w:r>
      <w:r>
        <w:rPr>
          <w:vertAlign w:val="baseline"/>
        </w:rPr>
        <w:t>of</w:t>
      </w:r>
      <w:r>
        <w:rPr>
          <w:spacing w:val="15"/>
          <w:vertAlign w:val="baseline"/>
        </w:rPr>
        <w:t> </w:t>
      </w:r>
      <w:r>
        <w:rPr>
          <w:vertAlign w:val="baseline"/>
        </w:rPr>
        <w:t>conc.</w:t>
      </w:r>
      <w:r>
        <w:rPr>
          <w:spacing w:val="16"/>
          <w:vertAlign w:val="baseline"/>
        </w:rPr>
        <w:t> </w:t>
      </w:r>
      <w:r>
        <w:rPr>
          <w:vertAlign w:val="baseline"/>
        </w:rPr>
        <w:t>H</w:t>
      </w:r>
      <w:r>
        <w:rPr>
          <w:vertAlign w:val="subscript"/>
        </w:rPr>
        <w:t>2</w:t>
      </w:r>
      <w:r>
        <w:rPr>
          <w:vertAlign w:val="baseline"/>
        </w:rPr>
        <w:t>SO4.</w:t>
      </w:r>
      <w:r>
        <w:rPr>
          <w:spacing w:val="14"/>
          <w:vertAlign w:val="baseline"/>
        </w:rPr>
        <w:t> </w:t>
      </w:r>
      <w:r>
        <w:rPr>
          <w:vertAlign w:val="baseline"/>
        </w:rPr>
        <w:t>A</w:t>
      </w:r>
      <w:r>
        <w:rPr>
          <w:spacing w:val="13"/>
          <w:vertAlign w:val="baseline"/>
        </w:rPr>
        <w:t> </w:t>
      </w:r>
      <w:r>
        <w:rPr>
          <w:vertAlign w:val="baseline"/>
        </w:rPr>
        <w:t>purple</w:t>
      </w:r>
      <w:r>
        <w:rPr>
          <w:spacing w:val="12"/>
          <w:vertAlign w:val="baseline"/>
        </w:rPr>
        <w:t> </w:t>
      </w:r>
      <w:r>
        <w:rPr>
          <w:vertAlign w:val="baseline"/>
        </w:rPr>
        <w:t>or</w:t>
      </w:r>
      <w:r>
        <w:rPr>
          <w:spacing w:val="13"/>
          <w:vertAlign w:val="baseline"/>
        </w:rPr>
        <w:t> </w:t>
      </w:r>
      <w:r>
        <w:rPr>
          <w:vertAlign w:val="baseline"/>
        </w:rPr>
        <w:t>reddish-brown</w:t>
      </w:r>
      <w:r>
        <w:rPr>
          <w:spacing w:val="13"/>
          <w:vertAlign w:val="baseline"/>
        </w:rPr>
        <w:t> </w:t>
      </w:r>
      <w:r>
        <w:rPr>
          <w:spacing w:val="-4"/>
          <w:vertAlign w:val="baseline"/>
        </w:rPr>
        <w:t>ring</w:t>
      </w:r>
    </w:p>
    <w:p>
      <w:pPr>
        <w:spacing w:after="0" w:line="360" w:lineRule="auto"/>
        <w:jc w:val="both"/>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63968">
                <wp:simplePos x="0" y="0"/>
                <wp:positionH relativeFrom="page">
                  <wp:posOffset>-1402226</wp:posOffset>
                </wp:positionH>
                <wp:positionV relativeFrom="page">
                  <wp:posOffset>4612234</wp:posOffset>
                </wp:positionV>
                <wp:extent cx="10685780" cy="9144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2512;rotation:306" type="#_x0000_t136" fillcolor="#ff5400" stroked="f">
                <o:extrusion v:ext="view" autorotationcenter="t"/>
                <v:textpath style="font-family:&quot;Arial MT&quot;;font-size:72pt;v-text-kern:t;mso-text-shadow:auto" string="UNIVERSITY OF IBADAN"/>
                <w10:wrap type="none"/>
              </v:shape>
            </w:pict>
          </mc:Fallback>
        </mc:AlternateContent>
      </w:r>
      <w:r>
        <w:rPr/>
        <w:t>at the interface and green colour in the acetic acid layer indicates the presence of 2-deoxy </w:t>
      </w:r>
      <w:r>
        <w:rPr>
          <w:spacing w:val="-2"/>
        </w:rPr>
        <w:t>sugars.</w:t>
      </w:r>
    </w:p>
    <w:p>
      <w:pPr>
        <w:pStyle w:val="ListParagraph"/>
        <w:numPr>
          <w:ilvl w:val="0"/>
          <w:numId w:val="35"/>
        </w:numPr>
        <w:tabs>
          <w:tab w:pos="2736" w:val="left" w:leader="none"/>
        </w:tabs>
        <w:spacing w:line="240" w:lineRule="auto" w:before="1" w:after="0"/>
        <w:ind w:left="2736" w:right="0" w:hanging="498"/>
        <w:jc w:val="both"/>
        <w:rPr>
          <w:sz w:val="24"/>
        </w:rPr>
      </w:pPr>
      <w:r>
        <w:rPr>
          <w:sz w:val="24"/>
        </w:rPr>
        <w:t>Kedde</w:t>
      </w:r>
      <w:r>
        <w:rPr>
          <w:spacing w:val="-3"/>
          <w:sz w:val="24"/>
        </w:rPr>
        <w:t> </w:t>
      </w:r>
      <w:r>
        <w:rPr>
          <w:spacing w:val="-4"/>
          <w:sz w:val="24"/>
        </w:rPr>
        <w:t>test</w:t>
      </w:r>
    </w:p>
    <w:p>
      <w:pPr>
        <w:pStyle w:val="BodyText"/>
        <w:spacing w:line="360" w:lineRule="auto" w:before="137"/>
        <w:ind w:left="678" w:right="996" w:firstLine="720"/>
        <w:jc w:val="both"/>
      </w:pPr>
      <w:r>
        <w:rPr/>
        <w:t>The dry residue was mixed with 1 mL of 2% 3,5- dinitrobenzoic acid in ethanol. The solution was then made alkaline with 5% NaOH after mixing. A brown-purple colour indicates the presence of unsaturated lactones in cardenolides.</w:t>
      </w:r>
    </w:p>
    <w:p>
      <w:pPr>
        <w:pStyle w:val="BodyText"/>
        <w:spacing w:before="142"/>
      </w:pPr>
    </w:p>
    <w:p>
      <w:pPr>
        <w:pStyle w:val="Heading2"/>
        <w:numPr>
          <w:ilvl w:val="2"/>
          <w:numId w:val="34"/>
        </w:numPr>
        <w:tabs>
          <w:tab w:pos="1218" w:val="left" w:leader="none"/>
        </w:tabs>
        <w:spacing w:line="240" w:lineRule="auto" w:before="1" w:after="0"/>
        <w:ind w:left="1218" w:right="0" w:hanging="540"/>
        <w:jc w:val="both"/>
      </w:pPr>
      <w:bookmarkStart w:name="_TOC_250043" w:id="90"/>
      <w:r>
        <w:rPr/>
        <w:t>Test</w:t>
      </w:r>
      <w:r>
        <w:rPr>
          <w:spacing w:val="-1"/>
        </w:rPr>
        <w:t> </w:t>
      </w:r>
      <w:r>
        <w:rPr/>
        <w:t>for </w:t>
      </w:r>
      <w:bookmarkEnd w:id="90"/>
      <w:r>
        <w:rPr>
          <w:spacing w:val="-2"/>
        </w:rPr>
        <w:t>anthraquinones</w:t>
      </w:r>
    </w:p>
    <w:p>
      <w:pPr>
        <w:pStyle w:val="BodyText"/>
        <w:spacing w:line="360" w:lineRule="auto" w:before="134"/>
        <w:ind w:left="769" w:right="994" w:firstLine="628"/>
        <w:jc w:val="both"/>
      </w:pPr>
      <w:r>
        <w:rPr/>
        <w:t>Extract (1 g) was boiled with 2 mL</w:t>
      </w:r>
      <w:r>
        <w:rPr>
          <w:spacing w:val="-3"/>
        </w:rPr>
        <w:t> </w:t>
      </w:r>
      <w:r>
        <w:rPr/>
        <w:t>of 10% HCl for 5 min. The extract was filtered while still hot and the filtrate allowed to cool. The cooled filtrate was partitioned against equal volumes of chloroform (2 volumes) avoiding vigorous shaking. The lower part of the chloroform layer was transferred to a clean test tube using a clean pipette. Care was taken not to include the aqueous (upper, highly coloured layer) phase. To the chloroform layer an equal volume of 10% ammonia solution was added and shaken. The layers were allowed to separate. The absence of delicate rose – pink colour indicates the absence of combined anthraquinones.</w:t>
      </w:r>
    </w:p>
    <w:p>
      <w:pPr>
        <w:pStyle w:val="BodyText"/>
        <w:spacing w:before="263"/>
      </w:pPr>
    </w:p>
    <w:p>
      <w:pPr>
        <w:pStyle w:val="Heading2"/>
        <w:numPr>
          <w:ilvl w:val="2"/>
          <w:numId w:val="34"/>
        </w:numPr>
        <w:tabs>
          <w:tab w:pos="1218" w:val="left" w:leader="none"/>
        </w:tabs>
        <w:spacing w:line="240" w:lineRule="auto" w:before="0" w:after="0"/>
        <w:ind w:left="1218" w:right="0" w:hanging="540"/>
        <w:jc w:val="both"/>
      </w:pPr>
      <w:bookmarkStart w:name="_TOC_250042" w:id="91"/>
      <w:r>
        <w:rPr/>
        <w:t>Test</w:t>
      </w:r>
      <w:r>
        <w:rPr>
          <w:spacing w:val="-1"/>
        </w:rPr>
        <w:t> </w:t>
      </w:r>
      <w:r>
        <w:rPr/>
        <w:t>for </w:t>
      </w:r>
      <w:bookmarkEnd w:id="91"/>
      <w:r>
        <w:rPr>
          <w:spacing w:val="-2"/>
        </w:rPr>
        <w:t>saponins</w:t>
      </w:r>
    </w:p>
    <w:p>
      <w:pPr>
        <w:pStyle w:val="ListParagraph"/>
        <w:numPr>
          <w:ilvl w:val="0"/>
          <w:numId w:val="36"/>
        </w:numPr>
        <w:tabs>
          <w:tab w:pos="1286" w:val="left" w:leader="none"/>
        </w:tabs>
        <w:spacing w:line="240" w:lineRule="auto" w:before="134" w:after="0"/>
        <w:ind w:left="1286" w:right="0" w:hanging="325"/>
        <w:jc w:val="both"/>
        <w:rPr>
          <w:sz w:val="24"/>
        </w:rPr>
      </w:pPr>
      <w:r>
        <w:rPr>
          <w:sz w:val="24"/>
        </w:rPr>
        <w:t>Frothing</w:t>
      </w:r>
      <w:r>
        <w:rPr>
          <w:spacing w:val="-3"/>
          <w:sz w:val="24"/>
        </w:rPr>
        <w:t> </w:t>
      </w:r>
      <w:r>
        <w:rPr>
          <w:spacing w:val="-4"/>
          <w:sz w:val="24"/>
        </w:rPr>
        <w:t>test</w:t>
      </w:r>
    </w:p>
    <w:p>
      <w:pPr>
        <w:pStyle w:val="BodyText"/>
        <w:spacing w:line="360" w:lineRule="auto" w:before="257"/>
        <w:ind w:left="769" w:right="994" w:firstLine="688"/>
        <w:jc w:val="both"/>
      </w:pPr>
      <w:r>
        <w:rPr/>
        <w:t>Extract (2 g) was boiled with water. A persistent frothing suggested saponins. Extract (0.2 g) was mixed with 10 mL of warm water and filtered. About 2 mL of 1.8% NaCl solution was added to two test tubes. To one of them, nothing was added while 2 mL distilled water was added to the other. The concentration of sodium chloride in tube was then isotonic with blood serum by the addition of five drops of blood to each tube and the tubes inverted gently to mix the contents. Haemolysis in the tube containing the extract but not in the control tube indicated the presence of saponin. A little of the extract was shaken vigorously in a tube. Copious froth formed indicated the presence of</w:t>
      </w:r>
      <w:r>
        <w:rPr>
          <w:spacing w:val="40"/>
        </w:rPr>
        <w:t> </w:t>
      </w:r>
      <w:r>
        <w:rPr>
          <w:spacing w:val="-2"/>
        </w:rPr>
        <w:t>saponins.</w:t>
      </w:r>
    </w:p>
    <w:p>
      <w:pPr>
        <w:pStyle w:val="ListParagraph"/>
        <w:numPr>
          <w:ilvl w:val="0"/>
          <w:numId w:val="36"/>
        </w:numPr>
        <w:tabs>
          <w:tab w:pos="1298" w:val="left" w:leader="none"/>
        </w:tabs>
        <w:spacing w:line="276" w:lineRule="exact" w:before="0" w:after="0"/>
        <w:ind w:left="1298" w:right="0" w:hanging="337"/>
        <w:jc w:val="both"/>
        <w:rPr>
          <w:sz w:val="24"/>
        </w:rPr>
      </w:pPr>
      <w:r>
        <w:rPr>
          <w:sz w:val="24"/>
        </w:rPr>
        <w:t>Haemolytic</w:t>
      </w:r>
      <w:r>
        <w:rPr>
          <w:spacing w:val="-4"/>
          <w:sz w:val="24"/>
        </w:rPr>
        <w:t> test</w:t>
      </w:r>
    </w:p>
    <w:p>
      <w:pPr>
        <w:pStyle w:val="BodyText"/>
        <w:spacing w:line="360" w:lineRule="auto" w:before="139"/>
        <w:ind w:left="769" w:right="995" w:firstLine="748"/>
        <w:jc w:val="both"/>
      </w:pPr>
      <w:r>
        <w:rPr/>
        <w:t>About 2 mL of 1.8% sodium chloride solution was added to two test tubes. To</w:t>
      </w:r>
      <w:r>
        <w:rPr>
          <w:spacing w:val="40"/>
        </w:rPr>
        <w:t> </w:t>
      </w:r>
      <w:r>
        <w:rPr/>
        <w:t>one of</w:t>
      </w:r>
      <w:r>
        <w:rPr>
          <w:spacing w:val="2"/>
        </w:rPr>
        <w:t> </w:t>
      </w:r>
      <w:r>
        <w:rPr/>
        <w:t>the</w:t>
      </w:r>
      <w:r>
        <w:rPr>
          <w:spacing w:val="3"/>
        </w:rPr>
        <w:t> </w:t>
      </w:r>
      <w:r>
        <w:rPr/>
        <w:t>test</w:t>
      </w:r>
      <w:r>
        <w:rPr>
          <w:spacing w:val="4"/>
        </w:rPr>
        <w:t> </w:t>
      </w:r>
      <w:r>
        <w:rPr/>
        <w:t>tubes 2</w:t>
      </w:r>
      <w:r>
        <w:rPr>
          <w:spacing w:val="3"/>
        </w:rPr>
        <w:t> </w:t>
      </w:r>
      <w:r>
        <w:rPr/>
        <w:t>mL</w:t>
      </w:r>
      <w:r>
        <w:rPr>
          <w:spacing w:val="1"/>
        </w:rPr>
        <w:t> </w:t>
      </w:r>
      <w:r>
        <w:rPr/>
        <w:t>of</w:t>
      </w:r>
      <w:r>
        <w:rPr>
          <w:spacing w:val="2"/>
        </w:rPr>
        <w:t> </w:t>
      </w:r>
      <w:r>
        <w:rPr/>
        <w:t>the</w:t>
      </w:r>
      <w:r>
        <w:rPr>
          <w:spacing w:val="3"/>
        </w:rPr>
        <w:t> </w:t>
      </w:r>
      <w:r>
        <w:rPr/>
        <w:t>distilled</w:t>
      </w:r>
      <w:r>
        <w:rPr>
          <w:spacing w:val="4"/>
        </w:rPr>
        <w:t> </w:t>
      </w:r>
      <w:r>
        <w:rPr/>
        <w:t>water</w:t>
      </w:r>
      <w:r>
        <w:rPr>
          <w:spacing w:val="2"/>
        </w:rPr>
        <w:t> </w:t>
      </w:r>
      <w:r>
        <w:rPr/>
        <w:t>was</w:t>
      </w:r>
      <w:r>
        <w:rPr>
          <w:spacing w:val="3"/>
        </w:rPr>
        <w:t> </w:t>
      </w:r>
      <w:r>
        <w:rPr/>
        <w:t>added.</w:t>
      </w:r>
      <w:r>
        <w:rPr>
          <w:spacing w:val="4"/>
        </w:rPr>
        <w:t> </w:t>
      </w:r>
      <w:r>
        <w:rPr/>
        <w:t>Then</w:t>
      </w:r>
      <w:r>
        <w:rPr>
          <w:spacing w:val="3"/>
        </w:rPr>
        <w:t> </w:t>
      </w:r>
      <w:r>
        <w:rPr/>
        <w:t>to</w:t>
      </w:r>
      <w:r>
        <w:rPr>
          <w:spacing w:val="4"/>
        </w:rPr>
        <w:t> </w:t>
      </w:r>
      <w:r>
        <w:rPr/>
        <w:t>the</w:t>
      </w:r>
      <w:r>
        <w:rPr>
          <w:spacing w:val="4"/>
        </w:rPr>
        <w:t> </w:t>
      </w:r>
      <w:r>
        <w:rPr/>
        <w:t>other</w:t>
      </w:r>
      <w:r>
        <w:rPr>
          <w:spacing w:val="2"/>
        </w:rPr>
        <w:t> </w:t>
      </w:r>
      <w:r>
        <w:rPr/>
        <w:t>test</w:t>
      </w:r>
      <w:r>
        <w:rPr>
          <w:spacing w:val="3"/>
        </w:rPr>
        <w:t> </w:t>
      </w:r>
      <w:r>
        <w:rPr/>
        <w:t>tubes,</w:t>
      </w:r>
      <w:r>
        <w:rPr>
          <w:spacing w:val="1"/>
        </w:rPr>
        <w:t> </w:t>
      </w:r>
      <w:r>
        <w:rPr>
          <w:spacing w:val="-10"/>
        </w:rPr>
        <w:t>2</w:t>
      </w:r>
    </w:p>
    <w:p>
      <w:pPr>
        <w:spacing w:after="0" w:line="360" w:lineRule="auto"/>
        <w:jc w:val="both"/>
        <w:sectPr>
          <w:pgSz w:w="12240" w:h="15840"/>
          <w:pgMar w:header="0" w:footer="1056" w:top="1340" w:bottom="1240" w:left="1420" w:right="420"/>
        </w:sectPr>
      </w:pPr>
    </w:p>
    <w:p>
      <w:pPr>
        <w:pStyle w:val="BodyText"/>
        <w:spacing w:line="360" w:lineRule="auto" w:before="72"/>
        <w:ind w:left="769" w:right="994"/>
        <w:jc w:val="both"/>
      </w:pPr>
      <w:r>
        <w:rPr/>
        <mc:AlternateContent>
          <mc:Choice Requires="wps">
            <w:drawing>
              <wp:anchor distT="0" distB="0" distL="0" distR="0" allowOverlap="1" layoutInCell="1" locked="0" behindDoc="1" simplePos="0" relativeHeight="482964480">
                <wp:simplePos x="0" y="0"/>
                <wp:positionH relativeFrom="page">
                  <wp:posOffset>-1402226</wp:posOffset>
                </wp:positionH>
                <wp:positionV relativeFrom="page">
                  <wp:posOffset>4612234</wp:posOffset>
                </wp:positionV>
                <wp:extent cx="10685780" cy="91440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2000;rotation:306" type="#_x0000_t136" fillcolor="#ff5400" stroked="f">
                <o:extrusion v:ext="view" autorotationcenter="t"/>
                <v:textpath style="font-family:&quot;Arial MT&quot;;font-size:72pt;v-text-kern:t;mso-text-shadow:auto" string="UNIVERSITY OF IBADAN"/>
                <w10:wrap type="none"/>
              </v:shape>
            </w:pict>
          </mc:Fallback>
        </mc:AlternateContent>
      </w:r>
      <w:r>
        <w:rPr/>
        <w:t>mL of the extract was added. Five drops of blood was added to each test tube and</w:t>
      </w:r>
      <w:r>
        <w:rPr>
          <w:spacing w:val="40"/>
        </w:rPr>
        <w:t> </w:t>
      </w:r>
      <w:r>
        <w:rPr/>
        <w:t>inverted gently to ensure mixing of the contents of the test tubes. The colour of the test tubes were observed and compared. Change of colour of the blood in the test tube indicates the presence of haemolysis.</w:t>
      </w:r>
    </w:p>
    <w:p>
      <w:pPr>
        <w:pStyle w:val="BodyText"/>
        <w:spacing w:before="262"/>
      </w:pPr>
    </w:p>
    <w:p>
      <w:pPr>
        <w:pStyle w:val="Heading2"/>
        <w:numPr>
          <w:ilvl w:val="2"/>
          <w:numId w:val="34"/>
        </w:numPr>
        <w:tabs>
          <w:tab w:pos="1218" w:val="left" w:leader="none"/>
        </w:tabs>
        <w:spacing w:line="240" w:lineRule="auto" w:before="1" w:after="0"/>
        <w:ind w:left="1218" w:right="0" w:hanging="540"/>
        <w:jc w:val="both"/>
      </w:pPr>
      <w:bookmarkStart w:name="_TOC_250041" w:id="92"/>
      <w:r>
        <w:rPr/>
        <w:t>Test</w:t>
      </w:r>
      <w:r>
        <w:rPr>
          <w:spacing w:val="-1"/>
        </w:rPr>
        <w:t> </w:t>
      </w:r>
      <w:r>
        <w:rPr/>
        <w:t>for </w:t>
      </w:r>
      <w:bookmarkEnd w:id="92"/>
      <w:r>
        <w:rPr>
          <w:spacing w:val="-2"/>
        </w:rPr>
        <w:t>tannins</w:t>
      </w:r>
    </w:p>
    <w:p>
      <w:pPr>
        <w:pStyle w:val="BodyText"/>
        <w:spacing w:line="360" w:lineRule="auto" w:before="134"/>
        <w:ind w:left="678" w:right="996" w:firstLine="780"/>
        <w:jc w:val="both"/>
      </w:pPr>
      <w:r>
        <w:rPr>
          <w:i/>
        </w:rPr>
        <w:t>Mucuna pruriens </w:t>
      </w:r>
      <w:r>
        <w:rPr/>
        <w:t>extract (5 g) was stirred with 10 mL of distilled water and filtered and the filtrate was treated with ferric chloride. Blue-black precipitate formed indicated the presence of phenolic compounds.</w:t>
      </w:r>
    </w:p>
    <w:p>
      <w:pPr>
        <w:pStyle w:val="BodyText"/>
        <w:spacing w:before="263"/>
      </w:pPr>
    </w:p>
    <w:p>
      <w:pPr>
        <w:pStyle w:val="Heading2"/>
        <w:numPr>
          <w:ilvl w:val="2"/>
          <w:numId w:val="34"/>
        </w:numPr>
        <w:tabs>
          <w:tab w:pos="1218" w:val="left" w:leader="none"/>
        </w:tabs>
        <w:spacing w:line="240" w:lineRule="auto" w:before="1" w:after="0"/>
        <w:ind w:left="1218" w:right="0" w:hanging="540"/>
        <w:jc w:val="both"/>
      </w:pPr>
      <w:bookmarkStart w:name="_TOC_250040" w:id="93"/>
      <w:r>
        <w:rPr/>
        <w:t>Test</w:t>
      </w:r>
      <w:r>
        <w:rPr>
          <w:spacing w:val="-1"/>
        </w:rPr>
        <w:t> </w:t>
      </w:r>
      <w:r>
        <w:rPr/>
        <w:t>for</w:t>
      </w:r>
      <w:r>
        <w:rPr>
          <w:spacing w:val="-1"/>
        </w:rPr>
        <w:t> </w:t>
      </w:r>
      <w:bookmarkEnd w:id="93"/>
      <w:r>
        <w:rPr>
          <w:spacing w:val="-2"/>
        </w:rPr>
        <w:t>steroids</w:t>
      </w:r>
    </w:p>
    <w:p>
      <w:pPr>
        <w:pStyle w:val="ListParagraph"/>
        <w:numPr>
          <w:ilvl w:val="0"/>
          <w:numId w:val="37"/>
        </w:numPr>
        <w:tabs>
          <w:tab w:pos="1286" w:val="left" w:leader="none"/>
        </w:tabs>
        <w:spacing w:line="240" w:lineRule="auto" w:before="252" w:after="0"/>
        <w:ind w:left="1286" w:right="0" w:hanging="325"/>
        <w:jc w:val="both"/>
        <w:rPr>
          <w:sz w:val="24"/>
        </w:rPr>
      </w:pPr>
      <w:r>
        <w:rPr>
          <w:sz w:val="24"/>
        </w:rPr>
        <w:t>Lieberman‘s</w:t>
      </w:r>
      <w:r>
        <w:rPr>
          <w:spacing w:val="-7"/>
          <w:sz w:val="24"/>
        </w:rPr>
        <w:t> </w:t>
      </w:r>
      <w:r>
        <w:rPr>
          <w:spacing w:val="-4"/>
          <w:sz w:val="24"/>
        </w:rPr>
        <w:t>test</w:t>
      </w:r>
    </w:p>
    <w:p>
      <w:pPr>
        <w:pStyle w:val="BodyText"/>
        <w:spacing w:line="360" w:lineRule="auto" w:before="259"/>
        <w:ind w:left="678" w:right="993" w:firstLine="720"/>
        <w:jc w:val="both"/>
      </w:pPr>
      <w:r>
        <w:rPr/>
        <w:t>The test for steroids was done by the Lieberman acid test. A portion of the extract (0.5 g) was treated with drops of acetic anhydride. Concentrated sulphuric acid (H</w:t>
      </w:r>
      <w:r>
        <w:rPr>
          <w:vertAlign w:val="subscript"/>
        </w:rPr>
        <w:t>2</w:t>
      </w:r>
      <w:r>
        <w:rPr>
          <w:vertAlign w:val="baseline"/>
        </w:rPr>
        <w:t>SO4) was carefully added to the side of the test tube. The presence of a brown ring at the boundary of the mixture was taken as positive result (Trease and Evans, 1983).</w:t>
      </w:r>
    </w:p>
    <w:p>
      <w:pPr>
        <w:pStyle w:val="ListParagraph"/>
        <w:numPr>
          <w:ilvl w:val="0"/>
          <w:numId w:val="37"/>
        </w:numPr>
        <w:tabs>
          <w:tab w:pos="1298" w:val="left" w:leader="none"/>
        </w:tabs>
        <w:spacing w:line="240" w:lineRule="auto" w:before="0" w:after="0"/>
        <w:ind w:left="1298" w:right="0" w:hanging="337"/>
        <w:jc w:val="both"/>
        <w:rPr>
          <w:sz w:val="24"/>
        </w:rPr>
      </w:pPr>
      <w:r>
        <w:rPr>
          <w:sz w:val="24"/>
        </w:rPr>
        <w:t>Salkowski‘s</w:t>
      </w:r>
      <w:r>
        <w:rPr>
          <w:spacing w:val="-3"/>
          <w:sz w:val="24"/>
        </w:rPr>
        <w:t> </w:t>
      </w:r>
      <w:r>
        <w:rPr>
          <w:spacing w:val="-4"/>
          <w:sz w:val="24"/>
        </w:rPr>
        <w:t>test</w:t>
      </w:r>
    </w:p>
    <w:p>
      <w:pPr>
        <w:pStyle w:val="BodyText"/>
        <w:spacing w:line="360" w:lineRule="auto" w:before="257"/>
        <w:ind w:left="678" w:right="994" w:firstLine="720"/>
        <w:jc w:val="both"/>
      </w:pPr>
      <w:r>
        <w:rPr/>
        <w:t>Extract (0.5 g) was dissolved in 2 mL of chloroform, and then 1 mL of concentrated</w:t>
      </w:r>
      <w:r>
        <w:rPr>
          <w:spacing w:val="-3"/>
        </w:rPr>
        <w:t> </w:t>
      </w:r>
      <w:r>
        <w:rPr/>
        <w:t>sulphuric</w:t>
      </w:r>
      <w:r>
        <w:rPr>
          <w:spacing w:val="-4"/>
        </w:rPr>
        <w:t> </w:t>
      </w:r>
      <w:r>
        <w:rPr/>
        <w:t>acid</w:t>
      </w:r>
      <w:r>
        <w:rPr>
          <w:spacing w:val="-3"/>
        </w:rPr>
        <w:t> </w:t>
      </w:r>
      <w:r>
        <w:rPr/>
        <w:t>added.</w:t>
      </w:r>
      <w:r>
        <w:rPr>
          <w:spacing w:val="-3"/>
        </w:rPr>
        <w:t> </w:t>
      </w:r>
      <w:r>
        <w:rPr/>
        <w:t>A</w:t>
      </w:r>
      <w:r>
        <w:rPr>
          <w:spacing w:val="-3"/>
        </w:rPr>
        <w:t> </w:t>
      </w:r>
      <w:r>
        <w:rPr/>
        <w:t>faint</w:t>
      </w:r>
      <w:r>
        <w:rPr>
          <w:spacing w:val="-3"/>
        </w:rPr>
        <w:t> </w:t>
      </w:r>
      <w:r>
        <w:rPr/>
        <w:t>reddish</w:t>
      </w:r>
      <w:r>
        <w:rPr>
          <w:spacing w:val="-1"/>
        </w:rPr>
        <w:t> </w:t>
      </w:r>
      <w:r>
        <w:rPr/>
        <w:t>brown</w:t>
      </w:r>
      <w:r>
        <w:rPr>
          <w:spacing w:val="-3"/>
        </w:rPr>
        <w:t> </w:t>
      </w:r>
      <w:r>
        <w:rPr/>
        <w:t>colour</w:t>
      </w:r>
      <w:r>
        <w:rPr>
          <w:spacing w:val="-3"/>
        </w:rPr>
        <w:t> </w:t>
      </w:r>
      <w:r>
        <w:rPr/>
        <w:t>at</w:t>
      </w:r>
      <w:r>
        <w:rPr>
          <w:spacing w:val="-3"/>
        </w:rPr>
        <w:t> </w:t>
      </w:r>
      <w:r>
        <w:rPr/>
        <w:t>the</w:t>
      </w:r>
      <w:r>
        <w:rPr>
          <w:spacing w:val="-4"/>
        </w:rPr>
        <w:t> </w:t>
      </w:r>
      <w:r>
        <w:rPr/>
        <w:t>interphase</w:t>
      </w:r>
      <w:r>
        <w:rPr>
          <w:spacing w:val="-4"/>
        </w:rPr>
        <w:t> </w:t>
      </w:r>
      <w:r>
        <w:rPr/>
        <w:t>indicates a positive result for the presence of steroids.</w:t>
      </w:r>
    </w:p>
    <w:p>
      <w:pPr>
        <w:pStyle w:val="BodyText"/>
      </w:pPr>
    </w:p>
    <w:p>
      <w:pPr>
        <w:pStyle w:val="BodyText"/>
        <w:spacing w:before="107"/>
      </w:pPr>
    </w:p>
    <w:p>
      <w:pPr>
        <w:pStyle w:val="Heading2"/>
        <w:numPr>
          <w:ilvl w:val="2"/>
          <w:numId w:val="34"/>
        </w:numPr>
        <w:tabs>
          <w:tab w:pos="1218" w:val="left" w:leader="none"/>
        </w:tabs>
        <w:spacing w:line="240" w:lineRule="auto" w:before="0" w:after="0"/>
        <w:ind w:left="1218" w:right="0" w:hanging="540"/>
        <w:jc w:val="left"/>
      </w:pPr>
      <w:bookmarkStart w:name="_TOC_250039" w:id="94"/>
      <w:r>
        <w:rPr/>
        <w:t>Test</w:t>
      </w:r>
      <w:r>
        <w:rPr>
          <w:spacing w:val="-1"/>
        </w:rPr>
        <w:t> </w:t>
      </w:r>
      <w:r>
        <w:rPr/>
        <w:t>for </w:t>
      </w:r>
      <w:bookmarkEnd w:id="94"/>
      <w:r>
        <w:rPr>
          <w:spacing w:val="-2"/>
        </w:rPr>
        <w:t>flavonoids</w:t>
      </w:r>
    </w:p>
    <w:p>
      <w:pPr>
        <w:pStyle w:val="BodyText"/>
        <w:spacing w:line="360" w:lineRule="auto" w:before="255"/>
        <w:ind w:left="678" w:right="1002" w:firstLine="720"/>
        <w:jc w:val="both"/>
      </w:pPr>
      <w:r>
        <w:rPr/>
        <w:t>To a small amount</w:t>
      </w:r>
      <w:r>
        <w:rPr>
          <w:spacing w:val="31"/>
        </w:rPr>
        <w:t> </w:t>
      </w:r>
      <w:r>
        <w:rPr/>
        <w:t>of the extract, methylated</w:t>
      </w:r>
      <w:r>
        <w:rPr>
          <w:spacing w:val="32"/>
        </w:rPr>
        <w:t> </w:t>
      </w:r>
      <w:r>
        <w:rPr/>
        <w:t>spirit</w:t>
      </w:r>
      <w:r>
        <w:rPr>
          <w:spacing w:val="31"/>
        </w:rPr>
        <w:t> </w:t>
      </w:r>
      <w:r>
        <w:rPr/>
        <w:t>was added and</w:t>
      </w:r>
      <w:r>
        <w:rPr>
          <w:spacing w:val="32"/>
        </w:rPr>
        <w:t> </w:t>
      </w:r>
      <w:r>
        <w:rPr/>
        <w:t>heated for</w:t>
      </w:r>
      <w:r>
        <w:rPr>
          <w:spacing w:val="31"/>
        </w:rPr>
        <w:t> </w:t>
      </w:r>
      <w:r>
        <w:rPr/>
        <w:t>a few minutes. Magnesium ribbons and concentrated hydrochloric acid were added. This was observed for the presence or absence red colouration.</w:t>
      </w:r>
    </w:p>
    <w:p>
      <w:pPr>
        <w:spacing w:after="0" w:line="360" w:lineRule="auto"/>
        <w:jc w:val="both"/>
        <w:sectPr>
          <w:pgSz w:w="12240" w:h="15840"/>
          <w:pgMar w:header="0" w:footer="1056" w:top="1340" w:bottom="1240" w:left="1420" w:right="420"/>
        </w:sectPr>
      </w:pPr>
    </w:p>
    <w:p>
      <w:pPr>
        <w:pStyle w:val="Heading2"/>
        <w:numPr>
          <w:ilvl w:val="1"/>
          <w:numId w:val="34"/>
        </w:numPr>
        <w:tabs>
          <w:tab w:pos="1038" w:val="left" w:leader="none"/>
        </w:tabs>
        <w:spacing w:line="240" w:lineRule="auto" w:before="75" w:after="0"/>
        <w:ind w:left="1038" w:right="0" w:hanging="360"/>
        <w:jc w:val="both"/>
      </w:pPr>
      <w:r>
        <w:rPr/>
        <mc:AlternateContent>
          <mc:Choice Requires="wps">
            <w:drawing>
              <wp:anchor distT="0" distB="0" distL="0" distR="0" allowOverlap="1" layoutInCell="1" locked="0" behindDoc="1" simplePos="0" relativeHeight="482964992">
                <wp:simplePos x="0" y="0"/>
                <wp:positionH relativeFrom="page">
                  <wp:posOffset>-1402226</wp:posOffset>
                </wp:positionH>
                <wp:positionV relativeFrom="page">
                  <wp:posOffset>4612234</wp:posOffset>
                </wp:positionV>
                <wp:extent cx="10685780" cy="91440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148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8" w:id="95"/>
      <w:r>
        <w:rPr/>
        <w:t>Antidiabetic</w:t>
      </w:r>
      <w:bookmarkEnd w:id="95"/>
      <w:r>
        <w:rPr>
          <w:spacing w:val="-2"/>
        </w:rPr>
        <w:t> tests</w:t>
      </w:r>
    </w:p>
    <w:p>
      <w:pPr>
        <w:pStyle w:val="Heading2"/>
        <w:numPr>
          <w:ilvl w:val="2"/>
          <w:numId w:val="34"/>
        </w:numPr>
        <w:tabs>
          <w:tab w:pos="1218" w:val="left" w:leader="none"/>
        </w:tabs>
        <w:spacing w:line="240" w:lineRule="auto" w:before="120" w:after="0"/>
        <w:ind w:left="1218" w:right="0" w:hanging="540"/>
        <w:jc w:val="both"/>
      </w:pPr>
      <w:bookmarkStart w:name="_TOC_250037" w:id="96"/>
      <w:bookmarkEnd w:id="96"/>
      <w:r>
        <w:rPr>
          <w:spacing w:val="-2"/>
        </w:rPr>
        <w:t>Animals</w:t>
      </w:r>
    </w:p>
    <w:p>
      <w:pPr>
        <w:pStyle w:val="BodyText"/>
        <w:spacing w:line="360" w:lineRule="auto" w:before="118"/>
        <w:ind w:left="678" w:right="997" w:firstLine="720"/>
        <w:jc w:val="both"/>
      </w:pPr>
      <w:r>
        <w:rPr/>
        <w:t>Wistar rats (180-240 g) and albino mice (16-20 g) of both sexes were bred in the animal house of the Department of veterinary pharmacology, Faculty of Veterinary Medicine, University of Ibadan, Ibadan, Nigeria. After ramdomization into various</w:t>
      </w:r>
      <w:r>
        <w:rPr>
          <w:spacing w:val="40"/>
        </w:rPr>
        <w:t> </w:t>
      </w:r>
      <w:r>
        <w:rPr/>
        <w:t>groups, animals were</w:t>
      </w:r>
      <w:r>
        <w:rPr>
          <w:spacing w:val="-1"/>
        </w:rPr>
        <w:t> </w:t>
      </w:r>
      <w:r>
        <w:rPr/>
        <w:t>acclimatized for</w:t>
      </w:r>
      <w:r>
        <w:rPr>
          <w:spacing w:val="-2"/>
        </w:rPr>
        <w:t> </w:t>
      </w:r>
      <w:r>
        <w:rPr/>
        <w:t>a</w:t>
      </w:r>
      <w:r>
        <w:rPr>
          <w:spacing w:val="-1"/>
        </w:rPr>
        <w:t> </w:t>
      </w:r>
      <w:r>
        <w:rPr/>
        <w:t>period</w:t>
      </w:r>
      <w:r>
        <w:rPr>
          <w:spacing w:val="-1"/>
        </w:rPr>
        <w:t> </w:t>
      </w:r>
      <w:r>
        <w:rPr/>
        <w:t>of 2-3 days before</w:t>
      </w:r>
      <w:r>
        <w:rPr>
          <w:spacing w:val="-2"/>
        </w:rPr>
        <w:t> </w:t>
      </w:r>
      <w:r>
        <w:rPr/>
        <w:t>the</w:t>
      </w:r>
      <w:r>
        <w:rPr>
          <w:spacing w:val="-1"/>
        </w:rPr>
        <w:t> </w:t>
      </w:r>
      <w:r>
        <w:rPr/>
        <w:t>start</w:t>
      </w:r>
      <w:r>
        <w:rPr>
          <w:spacing w:val="-1"/>
        </w:rPr>
        <w:t> </w:t>
      </w:r>
      <w:r>
        <w:rPr/>
        <w:t>of</w:t>
      </w:r>
      <w:r>
        <w:rPr>
          <w:spacing w:val="-1"/>
        </w:rPr>
        <w:t> </w:t>
      </w:r>
      <w:r>
        <w:rPr/>
        <w:t>experiments. Animals described as fasting had been deprived of food for at least 16 hours but had been allowed free access to water.</w:t>
      </w:r>
    </w:p>
    <w:p>
      <w:pPr>
        <w:pStyle w:val="BodyText"/>
        <w:spacing w:before="142"/>
      </w:pPr>
    </w:p>
    <w:p>
      <w:pPr>
        <w:pStyle w:val="Heading2"/>
        <w:numPr>
          <w:ilvl w:val="2"/>
          <w:numId w:val="34"/>
        </w:numPr>
        <w:tabs>
          <w:tab w:pos="1218" w:val="left" w:leader="none"/>
        </w:tabs>
        <w:spacing w:line="240" w:lineRule="auto" w:before="0" w:after="0"/>
        <w:ind w:left="1218" w:right="0" w:hanging="540"/>
        <w:jc w:val="both"/>
      </w:pPr>
      <w:bookmarkStart w:name="_TOC_250036" w:id="97"/>
      <w:r>
        <w:rPr/>
        <w:t>Induction</w:t>
      </w:r>
      <w:r>
        <w:rPr>
          <w:spacing w:val="-2"/>
        </w:rPr>
        <w:t> </w:t>
      </w:r>
      <w:r>
        <w:rPr/>
        <w:t>of </w:t>
      </w:r>
      <w:bookmarkEnd w:id="97"/>
      <w:r>
        <w:rPr>
          <w:spacing w:val="-2"/>
        </w:rPr>
        <w:t>diabetes</w:t>
      </w:r>
    </w:p>
    <w:p>
      <w:pPr>
        <w:pStyle w:val="BodyText"/>
        <w:spacing w:line="360" w:lineRule="auto" w:before="135"/>
        <w:ind w:left="678" w:right="998" w:firstLine="720"/>
        <w:jc w:val="both"/>
      </w:pPr>
      <w:r>
        <w:rPr/>
        <w:t>Diabetes</w:t>
      </w:r>
      <w:r>
        <w:rPr>
          <w:spacing w:val="-1"/>
        </w:rPr>
        <w:t> </w:t>
      </w:r>
      <w:r>
        <w:rPr/>
        <w:t>was induced</w:t>
      </w:r>
      <w:r>
        <w:rPr>
          <w:spacing w:val="-1"/>
        </w:rPr>
        <w:t> </w:t>
      </w:r>
      <w:r>
        <w:rPr/>
        <w:t>by</w:t>
      </w:r>
      <w:r>
        <w:rPr>
          <w:spacing w:val="-3"/>
        </w:rPr>
        <w:t> </w:t>
      </w:r>
      <w:r>
        <w:rPr/>
        <w:t>single</w:t>
      </w:r>
      <w:r>
        <w:rPr>
          <w:spacing w:val="-1"/>
        </w:rPr>
        <w:t> </w:t>
      </w:r>
      <w:r>
        <w:rPr/>
        <w:t>intravenous</w:t>
      </w:r>
      <w:r>
        <w:rPr>
          <w:spacing w:val="-1"/>
        </w:rPr>
        <w:t> </w:t>
      </w:r>
      <w:r>
        <w:rPr/>
        <w:t>injection</w:t>
      </w:r>
      <w:r>
        <w:rPr>
          <w:spacing w:val="-1"/>
        </w:rPr>
        <w:t> </w:t>
      </w:r>
      <w:r>
        <w:rPr/>
        <w:t>of</w:t>
      </w:r>
      <w:r>
        <w:rPr>
          <w:spacing w:val="-1"/>
        </w:rPr>
        <w:t> </w:t>
      </w:r>
      <w:r>
        <w:rPr/>
        <w:t>120 mg/kg</w:t>
      </w:r>
      <w:r>
        <w:rPr>
          <w:spacing w:val="-3"/>
        </w:rPr>
        <w:t> </w:t>
      </w:r>
      <w:r>
        <w:rPr/>
        <w:t>body</w:t>
      </w:r>
      <w:r>
        <w:rPr>
          <w:spacing w:val="-3"/>
        </w:rPr>
        <w:t> </w:t>
      </w:r>
      <w:r>
        <w:rPr/>
        <w:t>weight</w:t>
      </w:r>
      <w:r>
        <w:rPr>
          <w:spacing w:val="-1"/>
        </w:rPr>
        <w:t> </w:t>
      </w:r>
      <w:r>
        <w:rPr/>
        <w:t>of alloxan monohydrate (dissolved just before use in 0.9% normal saline) to overnight fasted rats (Verspohl, 2008). Animals in which the development of hyperglycaemia was confirmed 72 hour after the administration of alloxan monohydrate injection (blood glucose level range of 450-500 mg/dL) were used for experiments.</w:t>
      </w:r>
    </w:p>
    <w:p>
      <w:pPr>
        <w:pStyle w:val="BodyText"/>
      </w:pPr>
    </w:p>
    <w:p>
      <w:pPr>
        <w:pStyle w:val="BodyText"/>
        <w:spacing w:before="107"/>
      </w:pPr>
    </w:p>
    <w:p>
      <w:pPr>
        <w:pStyle w:val="Heading2"/>
        <w:numPr>
          <w:ilvl w:val="2"/>
          <w:numId w:val="34"/>
        </w:numPr>
        <w:tabs>
          <w:tab w:pos="1218" w:val="left" w:leader="none"/>
        </w:tabs>
        <w:spacing w:line="240" w:lineRule="auto" w:before="0" w:after="0"/>
        <w:ind w:left="1218" w:right="0" w:hanging="540"/>
        <w:jc w:val="both"/>
      </w:pPr>
      <w:r>
        <w:rPr/>
        <w:t>Acute</w:t>
      </w:r>
      <w:r>
        <w:rPr>
          <w:spacing w:val="-5"/>
        </w:rPr>
        <w:t> </w:t>
      </w:r>
      <w:r>
        <w:rPr/>
        <w:t>hypoglycaemic</w:t>
      </w:r>
      <w:r>
        <w:rPr>
          <w:spacing w:val="-3"/>
        </w:rPr>
        <w:t> </w:t>
      </w:r>
      <w:r>
        <w:rPr>
          <w:spacing w:val="-2"/>
        </w:rPr>
        <w:t>activity</w:t>
      </w:r>
    </w:p>
    <w:p>
      <w:pPr>
        <w:pStyle w:val="BodyText"/>
        <w:spacing w:line="360" w:lineRule="auto" w:before="252"/>
        <w:ind w:left="678" w:right="996" w:firstLine="720"/>
        <w:jc w:val="both"/>
      </w:pPr>
      <w:r>
        <w:rPr/>
        <w:t>Sixty</w:t>
      </w:r>
      <w:r>
        <w:rPr>
          <w:spacing w:val="-5"/>
        </w:rPr>
        <w:t> </w:t>
      </w:r>
      <w:r>
        <w:rPr/>
        <w:t>Wistar rats were randomly</w:t>
      </w:r>
      <w:r>
        <w:rPr>
          <w:spacing w:val="-5"/>
        </w:rPr>
        <w:t> </w:t>
      </w:r>
      <w:r>
        <w:rPr/>
        <w:t>divided into ten groups (A-J) with six rats in each group. Group A consisted of non-treated rats (control), Group B consisted of diabetic control</w:t>
      </w:r>
      <w:r>
        <w:rPr>
          <w:spacing w:val="-2"/>
        </w:rPr>
        <w:t> </w:t>
      </w:r>
      <w:r>
        <w:rPr/>
        <w:t>rats (alloxan</w:t>
      </w:r>
      <w:r>
        <w:rPr>
          <w:spacing w:val="-2"/>
        </w:rPr>
        <w:t> </w:t>
      </w:r>
      <w:r>
        <w:rPr/>
        <w:t>induced</w:t>
      </w:r>
      <w:r>
        <w:rPr>
          <w:spacing w:val="-2"/>
        </w:rPr>
        <w:t> </w:t>
      </w:r>
      <w:r>
        <w:rPr/>
        <w:t>diabetic</w:t>
      </w:r>
      <w:r>
        <w:rPr>
          <w:spacing w:val="-3"/>
        </w:rPr>
        <w:t> </w:t>
      </w:r>
      <w:r>
        <w:rPr/>
        <w:t>rats),</w:t>
      </w:r>
      <w:r>
        <w:rPr>
          <w:spacing w:val="-2"/>
        </w:rPr>
        <w:t> </w:t>
      </w:r>
      <w:r>
        <w:rPr/>
        <w:t>Group</w:t>
      </w:r>
      <w:r>
        <w:rPr>
          <w:spacing w:val="-1"/>
        </w:rPr>
        <w:t> </w:t>
      </w:r>
      <w:r>
        <w:rPr/>
        <w:t>C,</w:t>
      </w:r>
      <w:r>
        <w:rPr>
          <w:spacing w:val="-2"/>
        </w:rPr>
        <w:t> </w:t>
      </w:r>
      <w:r>
        <w:rPr/>
        <w:t>D,</w:t>
      </w:r>
      <w:r>
        <w:rPr>
          <w:spacing w:val="-2"/>
        </w:rPr>
        <w:t> </w:t>
      </w:r>
      <w:r>
        <w:rPr/>
        <w:t>E, F,</w:t>
      </w:r>
      <w:r>
        <w:rPr>
          <w:spacing w:val="-2"/>
        </w:rPr>
        <w:t> </w:t>
      </w:r>
      <w:r>
        <w:rPr/>
        <w:t>G,</w:t>
      </w:r>
      <w:r>
        <w:rPr>
          <w:spacing w:val="-1"/>
        </w:rPr>
        <w:t> </w:t>
      </w:r>
      <w:r>
        <w:rPr/>
        <w:t>H</w:t>
      </w:r>
      <w:r>
        <w:rPr>
          <w:spacing w:val="-2"/>
        </w:rPr>
        <w:t> </w:t>
      </w:r>
      <w:r>
        <w:rPr/>
        <w:t>and I</w:t>
      </w:r>
      <w:r>
        <w:rPr>
          <w:spacing w:val="-3"/>
        </w:rPr>
        <w:t> </w:t>
      </w:r>
      <w:r>
        <w:rPr/>
        <w:t>were</w:t>
      </w:r>
      <w:r>
        <w:rPr>
          <w:spacing w:val="-4"/>
        </w:rPr>
        <w:t> </w:t>
      </w:r>
      <w:r>
        <w:rPr/>
        <w:t>diabetic</w:t>
      </w:r>
      <w:r>
        <w:rPr>
          <w:spacing w:val="-3"/>
        </w:rPr>
        <w:t> </w:t>
      </w:r>
      <w:r>
        <w:rPr/>
        <w:t>rats and 5, 10, 20, 30, 40, 50 and 100 mg/kg body weight, respectively of the crude ethanolic seed</w:t>
      </w:r>
      <w:r>
        <w:rPr>
          <w:spacing w:val="-3"/>
        </w:rPr>
        <w:t> </w:t>
      </w:r>
      <w:r>
        <w:rPr/>
        <w:t>extract</w:t>
      </w:r>
      <w:r>
        <w:rPr>
          <w:spacing w:val="-3"/>
        </w:rPr>
        <w:t> </w:t>
      </w:r>
      <w:r>
        <w:rPr/>
        <w:t>were</w:t>
      </w:r>
      <w:r>
        <w:rPr>
          <w:spacing w:val="-4"/>
        </w:rPr>
        <w:t> </w:t>
      </w:r>
      <w:r>
        <w:rPr/>
        <w:t>administered</w:t>
      </w:r>
      <w:r>
        <w:rPr>
          <w:spacing w:val="-3"/>
        </w:rPr>
        <w:t> </w:t>
      </w:r>
      <w:r>
        <w:rPr/>
        <w:t>orally</w:t>
      </w:r>
      <w:r>
        <w:rPr>
          <w:spacing w:val="-6"/>
        </w:rPr>
        <w:t> </w:t>
      </w:r>
      <w:r>
        <w:rPr/>
        <w:t>while</w:t>
      </w:r>
      <w:r>
        <w:rPr>
          <w:spacing w:val="-3"/>
        </w:rPr>
        <w:t> </w:t>
      </w:r>
      <w:r>
        <w:rPr/>
        <w:t>diabetic</w:t>
      </w:r>
      <w:r>
        <w:rPr>
          <w:spacing w:val="-4"/>
        </w:rPr>
        <w:t> </w:t>
      </w:r>
      <w:r>
        <w:rPr/>
        <w:t>rats</w:t>
      </w:r>
      <w:r>
        <w:rPr>
          <w:spacing w:val="-3"/>
        </w:rPr>
        <w:t> </w:t>
      </w:r>
      <w:r>
        <w:rPr/>
        <w:t>in</w:t>
      </w:r>
      <w:r>
        <w:rPr>
          <w:spacing w:val="-1"/>
        </w:rPr>
        <w:t> </w:t>
      </w:r>
      <w:r>
        <w:rPr/>
        <w:t>group</w:t>
      </w:r>
      <w:r>
        <w:rPr>
          <w:spacing w:val="-2"/>
        </w:rPr>
        <w:t> </w:t>
      </w:r>
      <w:r>
        <w:rPr/>
        <w:t>J</w:t>
      </w:r>
      <w:r>
        <w:rPr>
          <w:spacing w:val="-1"/>
        </w:rPr>
        <w:t> </w:t>
      </w:r>
      <w:r>
        <w:rPr/>
        <w:t>received</w:t>
      </w:r>
      <w:r>
        <w:rPr>
          <w:spacing w:val="-3"/>
        </w:rPr>
        <w:t> </w:t>
      </w:r>
      <w:r>
        <w:rPr/>
        <w:t>glibenclamide (5 mg/kg) as standard reference drug. Blood glucose levels were measured at zero time (before receiving the extract) followed by hourly, up to 8 hours, and 24 hours.</w:t>
      </w:r>
    </w:p>
    <w:p>
      <w:pPr>
        <w:pStyle w:val="BodyText"/>
        <w:spacing w:before="144"/>
      </w:pPr>
    </w:p>
    <w:p>
      <w:pPr>
        <w:pStyle w:val="Heading2"/>
        <w:numPr>
          <w:ilvl w:val="2"/>
          <w:numId w:val="34"/>
        </w:numPr>
        <w:tabs>
          <w:tab w:pos="1218" w:val="left" w:leader="none"/>
        </w:tabs>
        <w:spacing w:line="240" w:lineRule="auto" w:before="0" w:after="0"/>
        <w:ind w:left="1218" w:right="0" w:hanging="540"/>
        <w:jc w:val="both"/>
      </w:pPr>
      <w:r>
        <w:rPr/>
        <w:t>Chronic</w:t>
      </w:r>
      <w:r>
        <w:rPr>
          <w:spacing w:val="-6"/>
        </w:rPr>
        <w:t> </w:t>
      </w:r>
      <w:r>
        <w:rPr/>
        <w:t>hypoglycaemic</w:t>
      </w:r>
      <w:r>
        <w:rPr>
          <w:spacing w:val="-3"/>
        </w:rPr>
        <w:t> </w:t>
      </w:r>
      <w:r>
        <w:rPr>
          <w:spacing w:val="-2"/>
        </w:rPr>
        <w:t>activity</w:t>
      </w:r>
    </w:p>
    <w:p>
      <w:pPr>
        <w:pStyle w:val="BodyText"/>
        <w:spacing w:line="360" w:lineRule="auto" w:before="132"/>
        <w:ind w:left="678" w:right="993" w:firstLine="720"/>
        <w:jc w:val="both"/>
      </w:pPr>
      <w:r>
        <w:rPr/>
        <w:t>For</w:t>
      </w:r>
      <w:r>
        <w:rPr>
          <w:spacing w:val="-1"/>
        </w:rPr>
        <w:t> </w:t>
      </w:r>
      <w:r>
        <w:rPr/>
        <w:t>the</w:t>
      </w:r>
      <w:r>
        <w:rPr>
          <w:spacing w:val="-1"/>
        </w:rPr>
        <w:t> </w:t>
      </w:r>
      <w:r>
        <w:rPr/>
        <w:t>chronic</w:t>
      </w:r>
      <w:r>
        <w:rPr>
          <w:spacing w:val="-1"/>
        </w:rPr>
        <w:t> </w:t>
      </w:r>
      <w:r>
        <w:rPr/>
        <w:t>study, sixty</w:t>
      </w:r>
      <w:r>
        <w:rPr>
          <w:spacing w:val="-8"/>
        </w:rPr>
        <w:t> </w:t>
      </w:r>
      <w:r>
        <w:rPr/>
        <w:t>Wistar</w:t>
      </w:r>
      <w:r>
        <w:rPr>
          <w:spacing w:val="-2"/>
        </w:rPr>
        <w:t> </w:t>
      </w:r>
      <w:r>
        <w:rPr/>
        <w:t>rats were</w:t>
      </w:r>
      <w:r>
        <w:rPr>
          <w:spacing w:val="-2"/>
        </w:rPr>
        <w:t> </w:t>
      </w:r>
      <w:r>
        <w:rPr/>
        <w:t>randomly</w:t>
      </w:r>
      <w:r>
        <w:rPr>
          <w:spacing w:val="-5"/>
        </w:rPr>
        <w:t> </w:t>
      </w:r>
      <w:r>
        <w:rPr/>
        <w:t>grouped into ten</w:t>
      </w:r>
      <w:r>
        <w:rPr>
          <w:spacing w:val="-1"/>
        </w:rPr>
        <w:t> </w:t>
      </w:r>
      <w:r>
        <w:rPr/>
        <w:t>groups (A- J) with six rats in each group. Animals in each group were administered with the same dose</w:t>
      </w:r>
      <w:r>
        <w:rPr>
          <w:spacing w:val="12"/>
        </w:rPr>
        <w:t> </w:t>
      </w:r>
      <w:r>
        <w:rPr/>
        <w:t>of</w:t>
      </w:r>
      <w:r>
        <w:rPr>
          <w:spacing w:val="14"/>
        </w:rPr>
        <w:t> </w:t>
      </w:r>
      <w:r>
        <w:rPr/>
        <w:t>extract</w:t>
      </w:r>
      <w:r>
        <w:rPr>
          <w:spacing w:val="17"/>
        </w:rPr>
        <w:t> </w:t>
      </w:r>
      <w:r>
        <w:rPr/>
        <w:t>and</w:t>
      </w:r>
      <w:r>
        <w:rPr>
          <w:spacing w:val="15"/>
        </w:rPr>
        <w:t> </w:t>
      </w:r>
      <w:r>
        <w:rPr/>
        <w:t>standard</w:t>
      </w:r>
      <w:r>
        <w:rPr>
          <w:spacing w:val="15"/>
        </w:rPr>
        <w:t> </w:t>
      </w:r>
      <w:r>
        <w:rPr/>
        <w:t>drug</w:t>
      </w:r>
      <w:r>
        <w:rPr>
          <w:spacing w:val="13"/>
        </w:rPr>
        <w:t> </w:t>
      </w:r>
      <w:r>
        <w:rPr/>
        <w:t>daily</w:t>
      </w:r>
      <w:r>
        <w:rPr>
          <w:spacing w:val="17"/>
        </w:rPr>
        <w:t> </w:t>
      </w:r>
      <w:r>
        <w:rPr/>
        <w:t>as</w:t>
      </w:r>
      <w:r>
        <w:rPr>
          <w:spacing w:val="15"/>
        </w:rPr>
        <w:t> </w:t>
      </w:r>
      <w:r>
        <w:rPr/>
        <w:t>described</w:t>
      </w:r>
      <w:r>
        <w:rPr>
          <w:spacing w:val="15"/>
        </w:rPr>
        <w:t> </w:t>
      </w:r>
      <w:r>
        <w:rPr/>
        <w:t>for</w:t>
      </w:r>
      <w:r>
        <w:rPr>
          <w:spacing w:val="15"/>
        </w:rPr>
        <w:t> </w:t>
      </w:r>
      <w:r>
        <w:rPr/>
        <w:t>acute</w:t>
      </w:r>
      <w:r>
        <w:rPr>
          <w:spacing w:val="15"/>
        </w:rPr>
        <w:t> </w:t>
      </w:r>
      <w:r>
        <w:rPr/>
        <w:t>studies.</w:t>
      </w:r>
      <w:r>
        <w:rPr>
          <w:spacing w:val="16"/>
        </w:rPr>
        <w:t> </w:t>
      </w:r>
      <w:r>
        <w:rPr/>
        <w:t>The</w:t>
      </w:r>
      <w:r>
        <w:rPr>
          <w:spacing w:val="16"/>
        </w:rPr>
        <w:t> </w:t>
      </w:r>
      <w:r>
        <w:rPr/>
        <w:t>blood</w:t>
      </w:r>
      <w:r>
        <w:rPr>
          <w:spacing w:val="17"/>
        </w:rPr>
        <w:t> </w:t>
      </w:r>
      <w:r>
        <w:rPr>
          <w:spacing w:val="-2"/>
        </w:rPr>
        <w:t>glucose</w:t>
      </w:r>
    </w:p>
    <w:p>
      <w:pPr>
        <w:spacing w:after="0" w:line="360" w:lineRule="auto"/>
        <w:jc w:val="both"/>
        <w:sectPr>
          <w:pgSz w:w="12240" w:h="15840"/>
          <w:pgMar w:header="0" w:footer="1056" w:top="1340" w:bottom="1240" w:left="1420" w:right="420"/>
        </w:sectPr>
      </w:pPr>
    </w:p>
    <w:p>
      <w:pPr>
        <w:pStyle w:val="BodyText"/>
        <w:spacing w:line="360" w:lineRule="auto" w:before="72"/>
        <w:ind w:left="678" w:right="997"/>
      </w:pPr>
      <w:r>
        <w:rPr/>
        <mc:AlternateContent>
          <mc:Choice Requires="wps">
            <w:drawing>
              <wp:anchor distT="0" distB="0" distL="0" distR="0" allowOverlap="1" layoutInCell="1" locked="0" behindDoc="1" simplePos="0" relativeHeight="482965504">
                <wp:simplePos x="0" y="0"/>
                <wp:positionH relativeFrom="page">
                  <wp:posOffset>-1402226</wp:posOffset>
                </wp:positionH>
                <wp:positionV relativeFrom="page">
                  <wp:posOffset>4612234</wp:posOffset>
                </wp:positionV>
                <wp:extent cx="10685780" cy="91440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0976;rotation:306" type="#_x0000_t136" fillcolor="#ff5400" stroked="f">
                <o:extrusion v:ext="view" autorotationcenter="t"/>
                <v:textpath style="font-family:&quot;Arial MT&quot;;font-size:72pt;v-text-kern:t;mso-text-shadow:auto" string="UNIVERSITY OF IBADAN"/>
                <w10:wrap type="none"/>
              </v:shape>
            </w:pict>
          </mc:Fallback>
        </mc:AlternateContent>
      </w:r>
      <w:r>
        <w:rPr/>
        <w:t>level</w:t>
      </w:r>
      <w:r>
        <w:rPr>
          <w:spacing w:val="33"/>
        </w:rPr>
        <w:t> </w:t>
      </w:r>
      <w:r>
        <w:rPr/>
        <w:t>was</w:t>
      </w:r>
      <w:r>
        <w:rPr>
          <w:spacing w:val="33"/>
        </w:rPr>
        <w:t> </w:t>
      </w:r>
      <w:r>
        <w:rPr/>
        <w:t>measured</w:t>
      </w:r>
      <w:r>
        <w:rPr>
          <w:spacing w:val="35"/>
        </w:rPr>
        <w:t> </w:t>
      </w:r>
      <w:r>
        <w:rPr/>
        <w:t>and</w:t>
      </w:r>
      <w:r>
        <w:rPr>
          <w:spacing w:val="34"/>
        </w:rPr>
        <w:t> </w:t>
      </w:r>
      <w:r>
        <w:rPr/>
        <w:t>weights</w:t>
      </w:r>
      <w:r>
        <w:rPr>
          <w:spacing w:val="33"/>
        </w:rPr>
        <w:t> </w:t>
      </w:r>
      <w:r>
        <w:rPr/>
        <w:t>of</w:t>
      </w:r>
      <w:r>
        <w:rPr>
          <w:spacing w:val="32"/>
        </w:rPr>
        <w:t> </w:t>
      </w:r>
      <w:r>
        <w:rPr/>
        <w:t>rats</w:t>
      </w:r>
      <w:r>
        <w:rPr>
          <w:spacing w:val="33"/>
        </w:rPr>
        <w:t> </w:t>
      </w:r>
      <w:r>
        <w:rPr/>
        <w:t>taken</w:t>
      </w:r>
      <w:r>
        <w:rPr>
          <w:spacing w:val="35"/>
        </w:rPr>
        <w:t> </w:t>
      </w:r>
      <w:r>
        <w:rPr/>
        <w:t>weekly</w:t>
      </w:r>
      <w:r>
        <w:rPr>
          <w:spacing w:val="27"/>
        </w:rPr>
        <w:t> </w:t>
      </w:r>
      <w:r>
        <w:rPr/>
        <w:t>for</w:t>
      </w:r>
      <w:r>
        <w:rPr>
          <w:spacing w:val="33"/>
        </w:rPr>
        <w:t> </w:t>
      </w:r>
      <w:r>
        <w:rPr/>
        <w:t>12</w:t>
      </w:r>
      <w:r>
        <w:rPr>
          <w:spacing w:val="32"/>
        </w:rPr>
        <w:t> </w:t>
      </w:r>
      <w:r>
        <w:rPr/>
        <w:t>weeks.</w:t>
      </w:r>
      <w:r>
        <w:rPr>
          <w:spacing w:val="33"/>
        </w:rPr>
        <w:t> </w:t>
      </w:r>
      <w:r>
        <w:rPr/>
        <w:t>The</w:t>
      </w:r>
      <w:r>
        <w:rPr>
          <w:spacing w:val="31"/>
        </w:rPr>
        <w:t> </w:t>
      </w:r>
      <w:r>
        <w:rPr/>
        <w:t>animals</w:t>
      </w:r>
      <w:r>
        <w:rPr>
          <w:spacing w:val="33"/>
        </w:rPr>
        <w:t> </w:t>
      </w:r>
      <w:r>
        <w:rPr/>
        <w:t>were carefully monitored.</w:t>
      </w:r>
    </w:p>
    <w:p>
      <w:pPr>
        <w:pStyle w:val="BodyText"/>
      </w:pPr>
    </w:p>
    <w:p>
      <w:pPr>
        <w:pStyle w:val="BodyText"/>
        <w:spacing w:before="63"/>
      </w:pPr>
    </w:p>
    <w:p>
      <w:pPr>
        <w:pStyle w:val="ListParagraph"/>
        <w:numPr>
          <w:ilvl w:val="2"/>
          <w:numId w:val="34"/>
        </w:numPr>
        <w:tabs>
          <w:tab w:pos="1338" w:val="left" w:leader="none"/>
        </w:tabs>
        <w:spacing w:line="240" w:lineRule="auto" w:before="0" w:after="0"/>
        <w:ind w:left="1338" w:right="0" w:hanging="660"/>
        <w:jc w:val="both"/>
        <w:rPr>
          <w:b/>
          <w:sz w:val="24"/>
        </w:rPr>
      </w:pPr>
      <w:r>
        <w:rPr>
          <w:b/>
          <w:sz w:val="24"/>
        </w:rPr>
        <w:t>Effects</w:t>
      </w:r>
      <w:r>
        <w:rPr>
          <w:b/>
          <w:spacing w:val="-1"/>
          <w:sz w:val="24"/>
        </w:rPr>
        <w:t> </w:t>
      </w:r>
      <w:r>
        <w:rPr>
          <w:b/>
          <w:sz w:val="24"/>
        </w:rPr>
        <w:t>of</w:t>
      </w:r>
      <w:r>
        <w:rPr>
          <w:b/>
          <w:spacing w:val="-1"/>
          <w:sz w:val="24"/>
        </w:rPr>
        <w:t> </w:t>
      </w:r>
      <w:r>
        <w:rPr>
          <w:b/>
          <w:sz w:val="24"/>
        </w:rPr>
        <w:t>fractions</w:t>
      </w:r>
      <w:r>
        <w:rPr>
          <w:b/>
          <w:spacing w:val="-1"/>
          <w:sz w:val="24"/>
        </w:rPr>
        <w:t> </w:t>
      </w:r>
      <w:r>
        <w:rPr>
          <w:b/>
          <w:sz w:val="24"/>
        </w:rPr>
        <w:t>of</w:t>
      </w:r>
      <w:r>
        <w:rPr>
          <w:b/>
          <w:spacing w:val="1"/>
          <w:sz w:val="24"/>
        </w:rPr>
        <w:t> </w:t>
      </w:r>
      <w:r>
        <w:rPr>
          <w:b/>
          <w:i/>
          <w:sz w:val="24"/>
        </w:rPr>
        <w:t>M.</w:t>
      </w:r>
      <w:r>
        <w:rPr>
          <w:b/>
          <w:i/>
          <w:spacing w:val="-1"/>
          <w:sz w:val="24"/>
        </w:rPr>
        <w:t> </w:t>
      </w:r>
      <w:r>
        <w:rPr>
          <w:b/>
          <w:i/>
          <w:sz w:val="24"/>
        </w:rPr>
        <w:t>pruriens </w:t>
      </w:r>
      <w:r>
        <w:rPr>
          <w:b/>
          <w:sz w:val="24"/>
        </w:rPr>
        <w:t>on</w:t>
      </w:r>
      <w:r>
        <w:rPr>
          <w:b/>
          <w:spacing w:val="-3"/>
          <w:sz w:val="24"/>
        </w:rPr>
        <w:t> </w:t>
      </w:r>
      <w:r>
        <w:rPr>
          <w:b/>
          <w:sz w:val="24"/>
        </w:rPr>
        <w:t>diabetic</w:t>
      </w:r>
      <w:r>
        <w:rPr>
          <w:b/>
          <w:spacing w:val="-2"/>
          <w:sz w:val="24"/>
        </w:rPr>
        <w:t> </w:t>
      </w:r>
      <w:r>
        <w:rPr>
          <w:b/>
          <w:spacing w:val="-4"/>
          <w:sz w:val="24"/>
        </w:rPr>
        <w:t>rats</w:t>
      </w:r>
    </w:p>
    <w:p>
      <w:pPr>
        <w:pStyle w:val="BodyText"/>
        <w:spacing w:line="360" w:lineRule="auto" w:before="132"/>
        <w:ind w:left="678" w:right="1106" w:firstLine="720"/>
        <w:jc w:val="both"/>
      </w:pPr>
      <w:r>
        <w:rPr/>
        <w:t>Thirty Wistar rats of average weight 200 mg ere randomly divided into five groups</w:t>
      </w:r>
      <w:r>
        <w:rPr>
          <w:spacing w:val="-2"/>
        </w:rPr>
        <w:t> </w:t>
      </w:r>
      <w:r>
        <w:rPr/>
        <w:t>with</w:t>
      </w:r>
      <w:r>
        <w:rPr>
          <w:spacing w:val="-1"/>
        </w:rPr>
        <w:t> </w:t>
      </w:r>
      <w:r>
        <w:rPr/>
        <w:t>six rats</w:t>
      </w:r>
      <w:r>
        <w:rPr>
          <w:spacing w:val="-1"/>
        </w:rPr>
        <w:t> </w:t>
      </w:r>
      <w:r>
        <w:rPr/>
        <w:t>in</w:t>
      </w:r>
      <w:r>
        <w:rPr>
          <w:spacing w:val="-1"/>
        </w:rPr>
        <w:t> </w:t>
      </w:r>
      <w:r>
        <w:rPr/>
        <w:t>each</w:t>
      </w:r>
      <w:r>
        <w:rPr>
          <w:spacing w:val="-1"/>
        </w:rPr>
        <w:t> </w:t>
      </w:r>
      <w:r>
        <w:rPr/>
        <w:t>group.</w:t>
      </w:r>
      <w:r>
        <w:rPr>
          <w:spacing w:val="-1"/>
        </w:rPr>
        <w:t> </w:t>
      </w:r>
      <w:r>
        <w:rPr/>
        <w:t>After about</w:t>
      </w:r>
      <w:r>
        <w:rPr>
          <w:spacing w:val="-1"/>
        </w:rPr>
        <w:t> </w:t>
      </w:r>
      <w:r>
        <w:rPr/>
        <w:t>a week</w:t>
      </w:r>
      <w:r>
        <w:rPr>
          <w:spacing w:val="-1"/>
        </w:rPr>
        <w:t> </w:t>
      </w:r>
      <w:r>
        <w:rPr/>
        <w:t>of</w:t>
      </w:r>
      <w:r>
        <w:rPr>
          <w:spacing w:val="-2"/>
        </w:rPr>
        <w:t> </w:t>
      </w:r>
      <w:r>
        <w:rPr/>
        <w:t>acclimatization</w:t>
      </w:r>
      <w:r>
        <w:rPr>
          <w:spacing w:val="-1"/>
        </w:rPr>
        <w:t> </w:t>
      </w:r>
      <w:r>
        <w:rPr/>
        <w:t>all</w:t>
      </w:r>
      <w:r>
        <w:rPr>
          <w:spacing w:val="-1"/>
        </w:rPr>
        <w:t> </w:t>
      </w:r>
      <w:r>
        <w:rPr/>
        <w:t>the</w:t>
      </w:r>
      <w:r>
        <w:rPr>
          <w:spacing w:val="-2"/>
        </w:rPr>
        <w:t> </w:t>
      </w:r>
      <w:r>
        <w:rPr/>
        <w:t>rats</w:t>
      </w:r>
      <w:r>
        <w:rPr>
          <w:spacing w:val="-1"/>
        </w:rPr>
        <w:t> </w:t>
      </w:r>
      <w:r>
        <w:rPr/>
        <w:t>were administered with 120 mg/kg</w:t>
      </w:r>
      <w:r>
        <w:rPr>
          <w:spacing w:val="-1"/>
        </w:rPr>
        <w:t> </w:t>
      </w:r>
      <w:r>
        <w:rPr/>
        <w:t>body</w:t>
      </w:r>
      <w:r>
        <w:rPr>
          <w:spacing w:val="-1"/>
        </w:rPr>
        <w:t> </w:t>
      </w:r>
      <w:r>
        <w:rPr/>
        <w:t>weight of alloxan monohydrate (dissolved just before use in 0.9% normal saline). Administration was done after an overnight fast of the rats. After</w:t>
      </w:r>
      <w:r>
        <w:rPr>
          <w:spacing w:val="-3"/>
        </w:rPr>
        <w:t> </w:t>
      </w:r>
      <w:r>
        <w:rPr/>
        <w:t>the</w:t>
      </w:r>
      <w:r>
        <w:rPr>
          <w:spacing w:val="-2"/>
        </w:rPr>
        <w:t> </w:t>
      </w:r>
      <w:r>
        <w:rPr/>
        <w:t>confirmation</w:t>
      </w:r>
      <w:r>
        <w:rPr>
          <w:spacing w:val="-1"/>
        </w:rPr>
        <w:t> </w:t>
      </w:r>
      <w:r>
        <w:rPr/>
        <w:t>of</w:t>
      </w:r>
      <w:r>
        <w:rPr>
          <w:spacing w:val="-2"/>
        </w:rPr>
        <w:t> </w:t>
      </w:r>
      <w:r>
        <w:rPr/>
        <w:t>hyperglycaemia (430-450</w:t>
      </w:r>
      <w:r>
        <w:rPr>
          <w:spacing w:val="-1"/>
        </w:rPr>
        <w:t> </w:t>
      </w:r>
      <w:r>
        <w:rPr/>
        <w:t>mg/dL</w:t>
      </w:r>
      <w:r>
        <w:rPr>
          <w:spacing w:val="-6"/>
        </w:rPr>
        <w:t> </w:t>
      </w:r>
      <w:r>
        <w:rPr/>
        <w:t>of</w:t>
      </w:r>
      <w:r>
        <w:rPr>
          <w:spacing w:val="-2"/>
        </w:rPr>
        <w:t> </w:t>
      </w:r>
      <w:r>
        <w:rPr/>
        <w:t>blood)</w:t>
      </w:r>
      <w:r>
        <w:rPr>
          <w:spacing w:val="-2"/>
        </w:rPr>
        <w:t> </w:t>
      </w:r>
      <w:r>
        <w:rPr/>
        <w:t>each group</w:t>
      </w:r>
      <w:r>
        <w:rPr>
          <w:spacing w:val="-1"/>
        </w:rPr>
        <w:t> </w:t>
      </w:r>
      <w:r>
        <w:rPr/>
        <w:t>received 10 mg/kg of the n-hexane, chloroform, ethylacetate, methanol and ethanol fractions, respectively and the blood glucose level was measured at different time intervals using a glucometer (LifeScan inc. California, USA).</w:t>
      </w:r>
    </w:p>
    <w:p>
      <w:pPr>
        <w:pStyle w:val="BodyText"/>
        <w:spacing w:before="263"/>
      </w:pPr>
    </w:p>
    <w:p>
      <w:pPr>
        <w:pStyle w:val="Heading2"/>
        <w:numPr>
          <w:ilvl w:val="2"/>
          <w:numId w:val="34"/>
        </w:numPr>
        <w:tabs>
          <w:tab w:pos="1196" w:val="left" w:leader="none"/>
        </w:tabs>
        <w:spacing w:line="240" w:lineRule="auto" w:before="0" w:after="0"/>
        <w:ind w:left="1196" w:right="0" w:hanging="540"/>
        <w:jc w:val="both"/>
      </w:pPr>
      <w:bookmarkStart w:name="_TOC_250035" w:id="98"/>
      <w:r>
        <w:rPr/>
        <w:t>Acute</w:t>
      </w:r>
      <w:r>
        <w:rPr>
          <w:spacing w:val="-3"/>
        </w:rPr>
        <w:t> </w:t>
      </w:r>
      <w:r>
        <w:rPr/>
        <w:t>toxicity </w:t>
      </w:r>
      <w:bookmarkEnd w:id="98"/>
      <w:r>
        <w:rPr>
          <w:spacing w:val="-2"/>
        </w:rPr>
        <w:t>studies</w:t>
      </w:r>
    </w:p>
    <w:p>
      <w:pPr>
        <w:pStyle w:val="BodyText"/>
        <w:spacing w:line="360" w:lineRule="auto" w:before="254"/>
        <w:ind w:left="678" w:right="996" w:firstLine="720"/>
        <w:jc w:val="both"/>
      </w:pPr>
      <w:r>
        <w:rPr/>
        <w:t>In the acute toxicity study, thirty-six albino mice were distributed into six groups consisting of 6 rats each. Mice were given 2, 4, 6, 8, 16 and 32 g/kg body weight, respectively of the ethanol extract of </w:t>
      </w:r>
      <w:r>
        <w:rPr>
          <w:i/>
        </w:rPr>
        <w:t>M. pruriens</w:t>
      </w:r>
      <w:r>
        <w:rPr/>
        <w:t>. Doses for the extract were selected based on constant logarithm ratio of 2. Mice were deprived of food overnight prior to the oral administration of the extract and were observed for toxic signs, symptoms and mortality for two weeks.</w:t>
      </w:r>
    </w:p>
    <w:p>
      <w:pPr>
        <w:pStyle w:val="BodyText"/>
        <w:spacing w:before="142"/>
      </w:pPr>
    </w:p>
    <w:p>
      <w:pPr>
        <w:pStyle w:val="Heading2"/>
        <w:numPr>
          <w:ilvl w:val="1"/>
          <w:numId w:val="34"/>
        </w:numPr>
        <w:tabs>
          <w:tab w:pos="1038" w:val="left" w:leader="none"/>
        </w:tabs>
        <w:spacing w:line="240" w:lineRule="auto" w:before="1" w:after="0"/>
        <w:ind w:left="1038" w:right="0" w:hanging="360"/>
        <w:jc w:val="both"/>
      </w:pPr>
      <w:r>
        <w:rPr/>
        <w:t>Biochemical</w:t>
      </w:r>
      <w:r>
        <w:rPr>
          <w:spacing w:val="-4"/>
        </w:rPr>
        <w:t> </w:t>
      </w:r>
      <w:r>
        <w:rPr/>
        <w:t>and</w:t>
      </w:r>
      <w:r>
        <w:rPr>
          <w:spacing w:val="-3"/>
        </w:rPr>
        <w:t> </w:t>
      </w:r>
      <w:r>
        <w:rPr/>
        <w:t>hemological</w:t>
      </w:r>
      <w:r>
        <w:rPr>
          <w:spacing w:val="-3"/>
        </w:rPr>
        <w:t> </w:t>
      </w:r>
      <w:r>
        <w:rPr>
          <w:spacing w:val="-2"/>
        </w:rPr>
        <w:t>studies</w:t>
      </w:r>
    </w:p>
    <w:p>
      <w:pPr>
        <w:pStyle w:val="BodyText"/>
        <w:spacing w:line="360" w:lineRule="auto" w:before="134"/>
        <w:ind w:left="678" w:right="994" w:firstLine="720"/>
        <w:jc w:val="both"/>
      </w:pPr>
      <w:r>
        <w:rPr/>
        <w:t>After the anti-diabetic investigations, 3-5 mL of blood was collected from the</w:t>
      </w:r>
      <w:r>
        <w:rPr>
          <w:spacing w:val="80"/>
        </w:rPr>
        <w:t> </w:t>
      </w:r>
      <w:r>
        <w:rPr/>
        <w:t>inner canthus of the eye from each rat under light ether anesthesia (to make blood collection easier) using capillary tube. Blood was collected into sterilized dry centrifuge tubes and coagulated for 30 min at 37</w:t>
      </w:r>
      <w:r>
        <w:rPr>
          <w:vertAlign w:val="superscript"/>
        </w:rPr>
        <w:t>o</w:t>
      </w:r>
      <w:r>
        <w:rPr>
          <w:vertAlign w:val="baseline"/>
        </w:rPr>
        <w:t>C. All the rats were sacrificed by cervical dislocation. The clear serum was separated by centrifugation at 2500 rpm for 10 min. Serum was subjected to standard biochemical estimations for different parameters such as total bilirubin (T.Bil), direct bilirubin (D.Bil), alkaline phosphatase (ALP), asphatase transaminase</w:t>
      </w:r>
      <w:r>
        <w:rPr>
          <w:spacing w:val="27"/>
          <w:vertAlign w:val="baseline"/>
        </w:rPr>
        <w:t> </w:t>
      </w:r>
      <w:r>
        <w:rPr>
          <w:vertAlign w:val="baseline"/>
        </w:rPr>
        <w:t>(AST</w:t>
      </w:r>
      <w:r>
        <w:rPr>
          <w:spacing w:val="32"/>
          <w:vertAlign w:val="baseline"/>
        </w:rPr>
        <w:t> </w:t>
      </w:r>
      <w:r>
        <w:rPr>
          <w:vertAlign w:val="baseline"/>
        </w:rPr>
        <w:t>or</w:t>
      </w:r>
      <w:r>
        <w:rPr>
          <w:spacing w:val="30"/>
          <w:vertAlign w:val="baseline"/>
        </w:rPr>
        <w:t> </w:t>
      </w:r>
      <w:r>
        <w:rPr>
          <w:vertAlign w:val="baseline"/>
        </w:rPr>
        <w:t>SGOT),</w:t>
      </w:r>
      <w:r>
        <w:rPr>
          <w:spacing w:val="34"/>
          <w:vertAlign w:val="baseline"/>
        </w:rPr>
        <w:t> </w:t>
      </w:r>
      <w:r>
        <w:rPr>
          <w:vertAlign w:val="baseline"/>
        </w:rPr>
        <w:t>total</w:t>
      </w:r>
      <w:r>
        <w:rPr>
          <w:spacing w:val="31"/>
          <w:vertAlign w:val="baseline"/>
        </w:rPr>
        <w:t> </w:t>
      </w:r>
      <w:r>
        <w:rPr>
          <w:vertAlign w:val="baseline"/>
        </w:rPr>
        <w:t>protein</w:t>
      </w:r>
      <w:r>
        <w:rPr>
          <w:spacing w:val="31"/>
          <w:vertAlign w:val="baseline"/>
        </w:rPr>
        <w:t> </w:t>
      </w:r>
      <w:r>
        <w:rPr>
          <w:vertAlign w:val="baseline"/>
        </w:rPr>
        <w:t>(TP),</w:t>
      </w:r>
      <w:r>
        <w:rPr>
          <w:spacing w:val="31"/>
          <w:vertAlign w:val="baseline"/>
        </w:rPr>
        <w:t> </w:t>
      </w:r>
      <w:r>
        <w:rPr>
          <w:vertAlign w:val="baseline"/>
        </w:rPr>
        <w:t>albumin</w:t>
      </w:r>
      <w:r>
        <w:rPr>
          <w:spacing w:val="32"/>
          <w:vertAlign w:val="baseline"/>
        </w:rPr>
        <w:t> </w:t>
      </w:r>
      <w:r>
        <w:rPr>
          <w:vertAlign w:val="baseline"/>
        </w:rPr>
        <w:t>(ALB),</w:t>
      </w:r>
      <w:r>
        <w:rPr>
          <w:spacing w:val="30"/>
          <w:vertAlign w:val="baseline"/>
        </w:rPr>
        <w:t> </w:t>
      </w:r>
      <w:r>
        <w:rPr>
          <w:vertAlign w:val="baseline"/>
        </w:rPr>
        <w:t>cholesterol</w:t>
      </w:r>
      <w:r>
        <w:rPr>
          <w:spacing w:val="32"/>
          <w:vertAlign w:val="baseline"/>
        </w:rPr>
        <w:t> </w:t>
      </w:r>
      <w:r>
        <w:rPr>
          <w:spacing w:val="-2"/>
          <w:vertAlign w:val="baseline"/>
        </w:rPr>
        <w:t>(CHOH),</w:t>
      </w:r>
    </w:p>
    <w:p>
      <w:pPr>
        <w:spacing w:after="0" w:line="360" w:lineRule="auto"/>
        <w:jc w:val="both"/>
        <w:sectPr>
          <w:pgSz w:w="12240" w:h="15840"/>
          <w:pgMar w:header="0" w:footer="1056" w:top="1340" w:bottom="1240" w:left="1420" w:right="420"/>
        </w:sectPr>
      </w:pPr>
    </w:p>
    <w:p>
      <w:pPr>
        <w:pStyle w:val="BodyText"/>
        <w:spacing w:line="360" w:lineRule="auto" w:before="72"/>
        <w:ind w:left="678" w:right="991"/>
        <w:jc w:val="both"/>
      </w:pPr>
      <w:r>
        <w:rPr/>
        <mc:AlternateContent>
          <mc:Choice Requires="wps">
            <w:drawing>
              <wp:anchor distT="0" distB="0" distL="0" distR="0" allowOverlap="1" layoutInCell="1" locked="0" behindDoc="1" simplePos="0" relativeHeight="482966016">
                <wp:simplePos x="0" y="0"/>
                <wp:positionH relativeFrom="page">
                  <wp:posOffset>-1402226</wp:posOffset>
                </wp:positionH>
                <wp:positionV relativeFrom="page">
                  <wp:posOffset>4612234</wp:posOffset>
                </wp:positionV>
                <wp:extent cx="10685780" cy="91440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50464;rotation:306" type="#_x0000_t136" fillcolor="#ff5400" stroked="f">
                <o:extrusion v:ext="view" autorotationcenter="t"/>
                <v:textpath style="font-family:&quot;Arial MT&quot;;font-size:72pt;v-text-kern:t;mso-text-shadow:auto" string="UNIVERSITY OF IBADAN"/>
                <w10:wrap type="none"/>
              </v:shape>
            </w:pict>
          </mc:Fallback>
        </mc:AlternateContent>
      </w:r>
      <w:r>
        <w:rPr/>
        <w:t>gamma glutamyl transferase (GGT), triglyceride (TG), high density lipoprotein (HDL), low density lipoprotein (LDL), sodium ion (Na+), potassium ion (K+), chloride ion (Cl-), bicarbonate ion (HCO3-), urea (Ur) and creatinine (Crt). Total protein was determined in the serum by the method of Keller (1984). Plasm cholesterol was measured by the Allain</w:t>
      </w:r>
      <w:r>
        <w:rPr>
          <w:spacing w:val="40"/>
        </w:rPr>
        <w:t> </w:t>
      </w:r>
      <w:r>
        <w:rPr>
          <w:i/>
        </w:rPr>
        <w:t>et</w:t>
      </w:r>
      <w:r>
        <w:rPr>
          <w:i/>
          <w:spacing w:val="-3"/>
        </w:rPr>
        <w:t> </w:t>
      </w:r>
      <w:r>
        <w:rPr>
          <w:i/>
        </w:rPr>
        <w:t>al.</w:t>
      </w:r>
      <w:r>
        <w:rPr>
          <w:i/>
          <w:spacing w:val="-3"/>
        </w:rPr>
        <w:t> </w:t>
      </w:r>
      <w:r>
        <w:rPr/>
        <w:t>(1974)</w:t>
      </w:r>
      <w:r>
        <w:rPr>
          <w:spacing w:val="-2"/>
        </w:rPr>
        <w:t> </w:t>
      </w:r>
      <w:r>
        <w:rPr/>
        <w:t>enzymatic</w:t>
      </w:r>
      <w:r>
        <w:rPr>
          <w:spacing w:val="-2"/>
        </w:rPr>
        <w:t> </w:t>
      </w:r>
      <w:r>
        <w:rPr/>
        <w:t>method,</w:t>
      </w:r>
      <w:r>
        <w:rPr>
          <w:spacing w:val="-3"/>
        </w:rPr>
        <w:t> </w:t>
      </w:r>
      <w:r>
        <w:rPr/>
        <w:t>total</w:t>
      </w:r>
      <w:r>
        <w:rPr>
          <w:spacing w:val="-3"/>
        </w:rPr>
        <w:t> </w:t>
      </w:r>
      <w:r>
        <w:rPr/>
        <w:t>plasma</w:t>
      </w:r>
      <w:r>
        <w:rPr>
          <w:spacing w:val="-3"/>
        </w:rPr>
        <w:t> </w:t>
      </w:r>
      <w:r>
        <w:rPr/>
        <w:t>triglycerides</w:t>
      </w:r>
      <w:r>
        <w:rPr>
          <w:spacing w:val="-3"/>
        </w:rPr>
        <w:t> </w:t>
      </w:r>
      <w:r>
        <w:rPr/>
        <w:t>were</w:t>
      </w:r>
      <w:r>
        <w:rPr>
          <w:spacing w:val="-4"/>
        </w:rPr>
        <w:t> </w:t>
      </w:r>
      <w:r>
        <w:rPr/>
        <w:t>assayed</w:t>
      </w:r>
      <w:r>
        <w:rPr>
          <w:spacing w:val="-3"/>
        </w:rPr>
        <w:t> </w:t>
      </w:r>
      <w:r>
        <w:rPr/>
        <w:t>by</w:t>
      </w:r>
      <w:r>
        <w:rPr>
          <w:spacing w:val="-5"/>
        </w:rPr>
        <w:t> </w:t>
      </w:r>
      <w:r>
        <w:rPr/>
        <w:t>the</w:t>
      </w:r>
      <w:r>
        <w:rPr>
          <w:spacing w:val="-2"/>
        </w:rPr>
        <w:t> </w:t>
      </w:r>
      <w:r>
        <w:rPr/>
        <w:t>peroxidase- coupled method of Esders and Michrina (1979). Urea was measured by the method of Searcy </w:t>
      </w:r>
      <w:r>
        <w:rPr>
          <w:i/>
        </w:rPr>
        <w:t>et al. </w:t>
      </w:r>
      <w:r>
        <w:rPr/>
        <w:t>(1967). Serum creatinine was estimated by the method of Bartels and Boehmer (1971). Serum aspartate aminotransferase (AST) and alanine aminotransferase were assayed by methods of Henry </w:t>
      </w:r>
      <w:r>
        <w:rPr>
          <w:i/>
        </w:rPr>
        <w:t>et al</w:t>
      </w:r>
      <w:r>
        <w:rPr/>
        <w:t>. (1960) and IFCC (1986).</w:t>
      </w:r>
      <w:r>
        <w:rPr>
          <w:spacing w:val="40"/>
        </w:rPr>
        <w:t> </w:t>
      </w:r>
      <w:r>
        <w:rPr/>
        <w:t>Total and direct bilirubin were assayed by the method of Walters and Gerarde (1970). Albumin was assayed by the method of Doumas </w:t>
      </w:r>
      <w:r>
        <w:rPr>
          <w:i/>
        </w:rPr>
        <w:t>et al</w:t>
      </w:r>
      <w:r>
        <w:rPr/>
        <w:t>. (1971). High density lipoprotein (HDL) was determined after precipitation of LDL, very low-density lipoproteins, and chylomicrons using MgCl</w:t>
      </w:r>
      <w:r>
        <w:rPr>
          <w:vertAlign w:val="subscript"/>
        </w:rPr>
        <w:t>2</w:t>
      </w:r>
      <w:r>
        <w:rPr>
          <w:vertAlign w:val="baseline"/>
        </w:rPr>
        <w:t> and dextran sulphate by the method of Lopez-Virella </w:t>
      </w:r>
      <w:r>
        <w:rPr>
          <w:i/>
          <w:vertAlign w:val="baseline"/>
        </w:rPr>
        <w:t>et al </w:t>
      </w:r>
      <w:r>
        <w:rPr>
          <w:vertAlign w:val="baseline"/>
        </w:rPr>
        <w:t>(1977). LDL- cholestrol</w:t>
      </w:r>
      <w:r>
        <w:rPr>
          <w:spacing w:val="-1"/>
          <w:vertAlign w:val="baseline"/>
        </w:rPr>
        <w:t> </w:t>
      </w:r>
      <w:r>
        <w:rPr>
          <w:vertAlign w:val="baseline"/>
        </w:rPr>
        <w:t>concentrate was</w:t>
      </w:r>
      <w:r>
        <w:rPr>
          <w:spacing w:val="-1"/>
          <w:vertAlign w:val="baseline"/>
        </w:rPr>
        <w:t> </w:t>
      </w:r>
      <w:r>
        <w:rPr>
          <w:vertAlign w:val="baseline"/>
        </w:rPr>
        <w:t>calculated</w:t>
      </w:r>
      <w:r>
        <w:rPr>
          <w:spacing w:val="-2"/>
          <w:vertAlign w:val="baseline"/>
        </w:rPr>
        <w:t> </w:t>
      </w:r>
      <w:r>
        <w:rPr>
          <w:vertAlign w:val="baseline"/>
        </w:rPr>
        <w:t>from</w:t>
      </w:r>
      <w:r>
        <w:rPr>
          <w:spacing w:val="-1"/>
          <w:vertAlign w:val="baseline"/>
        </w:rPr>
        <w:t> </w:t>
      </w:r>
      <w:r>
        <w:rPr>
          <w:vertAlign w:val="baseline"/>
        </w:rPr>
        <w:t>the</w:t>
      </w:r>
      <w:r>
        <w:rPr>
          <w:spacing w:val="-2"/>
          <w:vertAlign w:val="baseline"/>
        </w:rPr>
        <w:t> </w:t>
      </w:r>
      <w:r>
        <w:rPr>
          <w:vertAlign w:val="baseline"/>
        </w:rPr>
        <w:t>above</w:t>
      </w:r>
      <w:r>
        <w:rPr>
          <w:spacing w:val="-2"/>
          <w:vertAlign w:val="baseline"/>
        </w:rPr>
        <w:t> </w:t>
      </w:r>
      <w:r>
        <w:rPr>
          <w:vertAlign w:val="baseline"/>
        </w:rPr>
        <w:t>data</w:t>
      </w:r>
      <w:r>
        <w:rPr>
          <w:spacing w:val="-2"/>
          <w:vertAlign w:val="baseline"/>
        </w:rPr>
        <w:t> </w:t>
      </w:r>
      <w:r>
        <w:rPr>
          <w:vertAlign w:val="baseline"/>
        </w:rPr>
        <w:t>using</w:t>
      </w:r>
      <w:r>
        <w:rPr>
          <w:spacing w:val="-3"/>
          <w:vertAlign w:val="baseline"/>
        </w:rPr>
        <w:t> </w:t>
      </w:r>
      <w:r>
        <w:rPr>
          <w:vertAlign w:val="baseline"/>
        </w:rPr>
        <w:t>the</w:t>
      </w:r>
      <w:r>
        <w:rPr>
          <w:spacing w:val="-2"/>
          <w:vertAlign w:val="baseline"/>
        </w:rPr>
        <w:t> </w:t>
      </w:r>
      <w:r>
        <w:rPr>
          <w:vertAlign w:val="baseline"/>
        </w:rPr>
        <w:t>formula of</w:t>
      </w:r>
      <w:r>
        <w:rPr>
          <w:spacing w:val="-2"/>
          <w:vertAlign w:val="baseline"/>
        </w:rPr>
        <w:t> </w:t>
      </w:r>
      <w:r>
        <w:rPr>
          <w:vertAlign w:val="baseline"/>
        </w:rPr>
        <w:t>Friedewald (1972). Plasma Sodium (Na</w:t>
      </w:r>
      <w:r>
        <w:rPr>
          <w:vertAlign w:val="superscript"/>
        </w:rPr>
        <w:t>+</w:t>
      </w:r>
      <w:r>
        <w:rPr>
          <w:vertAlign w:val="baseline"/>
        </w:rPr>
        <w:t>) and Potassium (K</w:t>
      </w:r>
      <w:r>
        <w:rPr>
          <w:vertAlign w:val="superscript"/>
        </w:rPr>
        <w:t>+</w:t>
      </w:r>
      <w:r>
        <w:rPr>
          <w:vertAlign w:val="baseline"/>
        </w:rPr>
        <w:t>) were determined by flame photometry. The concentration of K</w:t>
      </w:r>
      <w:r>
        <w:rPr>
          <w:vertAlign w:val="superscript"/>
        </w:rPr>
        <w:t>+</w:t>
      </w:r>
      <w:r>
        <w:rPr>
          <w:vertAlign w:val="baseline"/>
        </w:rPr>
        <w:t> was calculated using the standard calibration method of Kolthoff and Elving (1976). Bicarbonate (HCO</w:t>
      </w:r>
      <w:r>
        <w:rPr>
          <w:vertAlign w:val="subscript"/>
        </w:rPr>
        <w:t>3</w:t>
      </w:r>
      <w:r>
        <w:rPr>
          <w:vertAlign w:val="baseline"/>
        </w:rPr>
        <w:t>) and Chloride (Cl</w:t>
      </w:r>
      <w:r>
        <w:rPr>
          <w:vertAlign w:val="superscript"/>
        </w:rPr>
        <w:t>-</w:t>
      </w:r>
      <w:r>
        <w:rPr>
          <w:vertAlign w:val="baseline"/>
        </w:rPr>
        <w:t>) anions were measured as described by Van Slyke and Aulle (1977) and Schales and Schales (1971).</w:t>
      </w:r>
    </w:p>
    <w:p>
      <w:pPr>
        <w:pStyle w:val="BodyText"/>
        <w:spacing w:before="144"/>
      </w:pPr>
    </w:p>
    <w:p>
      <w:pPr>
        <w:pStyle w:val="Heading2"/>
        <w:numPr>
          <w:ilvl w:val="1"/>
          <w:numId w:val="34"/>
        </w:numPr>
        <w:tabs>
          <w:tab w:pos="1038" w:val="left" w:leader="none"/>
        </w:tabs>
        <w:spacing w:line="240" w:lineRule="auto" w:before="0" w:after="0"/>
        <w:ind w:left="1038" w:right="0" w:hanging="360"/>
        <w:jc w:val="both"/>
      </w:pPr>
      <w:r>
        <w:rPr/>
        <w:t>Histopathological</w:t>
      </w:r>
      <w:r>
        <w:rPr>
          <w:spacing w:val="-1"/>
        </w:rPr>
        <w:t> </w:t>
      </w:r>
      <w:r>
        <w:rPr>
          <w:spacing w:val="-4"/>
        </w:rPr>
        <w:t>study</w:t>
      </w:r>
    </w:p>
    <w:p>
      <w:pPr>
        <w:pStyle w:val="BodyText"/>
        <w:spacing w:line="360" w:lineRule="auto" w:before="135"/>
        <w:ind w:left="678" w:right="995" w:firstLine="720"/>
        <w:jc w:val="both"/>
      </w:pPr>
      <w:r>
        <w:rPr/>
        <w:t>The liver, pancreas, kidney and spleen were collected and portion of tissue was fixed in 10% formal saline (formalin diluted to 10% with normal saline) and the histopathology examinations conducted. After paraffin embedding and block making, serial sections of 5 µm thickness were made, stained with hematoxylin and eosin and examined under microscope. The biochemical evaluation of the serum and histopathology evaluation of the tissues were carried out at the Chemical Pathology Laboratory of the University College Hospital, Ibadan and Histology Laboratory of the Department of Veterinary Pathology, of the University of Ibadan, Ibadan respectively.</w:t>
      </w:r>
    </w:p>
    <w:p>
      <w:pPr>
        <w:pStyle w:val="BodyText"/>
        <w:spacing w:before="3"/>
      </w:pPr>
    </w:p>
    <w:p>
      <w:pPr>
        <w:pStyle w:val="Heading2"/>
        <w:numPr>
          <w:ilvl w:val="1"/>
          <w:numId w:val="34"/>
        </w:numPr>
        <w:tabs>
          <w:tab w:pos="1278" w:val="left" w:leader="none"/>
        </w:tabs>
        <w:spacing w:line="240" w:lineRule="auto" w:before="0" w:after="0"/>
        <w:ind w:left="1278" w:right="0" w:hanging="600"/>
        <w:jc w:val="both"/>
      </w:pPr>
      <w:bookmarkStart w:name="_TOC_250034" w:id="99"/>
      <w:r>
        <w:rPr/>
        <w:t>Powders</w:t>
      </w:r>
      <w:r>
        <w:rPr>
          <w:spacing w:val="-4"/>
        </w:rPr>
        <w:t> </w:t>
      </w:r>
      <w:bookmarkEnd w:id="99"/>
      <w:r>
        <w:rPr>
          <w:spacing w:val="-2"/>
        </w:rPr>
        <w:t>characterization</w:t>
      </w:r>
    </w:p>
    <w:p>
      <w:pPr>
        <w:pStyle w:val="BodyText"/>
        <w:spacing w:before="254"/>
        <w:ind w:left="1398"/>
      </w:pPr>
      <w:r>
        <w:rPr/>
        <w:t>The</w:t>
      </w:r>
      <w:r>
        <w:rPr>
          <w:spacing w:val="-5"/>
        </w:rPr>
        <w:t> </w:t>
      </w:r>
      <w:r>
        <w:rPr/>
        <w:t>following</w:t>
      </w:r>
      <w:r>
        <w:rPr>
          <w:spacing w:val="-4"/>
        </w:rPr>
        <w:t> </w:t>
      </w:r>
      <w:r>
        <w:rPr/>
        <w:t>parameters were</w:t>
      </w:r>
      <w:r>
        <w:rPr>
          <w:spacing w:val="-3"/>
        </w:rPr>
        <w:t> </w:t>
      </w:r>
      <w:r>
        <w:rPr/>
        <w:t>determined</w:t>
      </w:r>
      <w:r>
        <w:rPr>
          <w:spacing w:val="-1"/>
        </w:rPr>
        <w:t> </w:t>
      </w:r>
      <w:r>
        <w:rPr/>
        <w:t>for</w:t>
      </w:r>
      <w:r>
        <w:rPr>
          <w:spacing w:val="2"/>
        </w:rPr>
        <w:t> </w:t>
      </w:r>
      <w:r>
        <w:rPr/>
        <w:t>all</w:t>
      </w:r>
      <w:r>
        <w:rPr>
          <w:spacing w:val="2"/>
        </w:rPr>
        <w:t> </w:t>
      </w:r>
      <w:r>
        <w:rPr/>
        <w:t>the</w:t>
      </w:r>
      <w:r>
        <w:rPr>
          <w:spacing w:val="-1"/>
        </w:rPr>
        <w:t> </w:t>
      </w:r>
      <w:r>
        <w:rPr>
          <w:spacing w:val="-2"/>
        </w:rPr>
        <w:t>formulations</w:t>
      </w:r>
    </w:p>
    <w:p>
      <w:pPr>
        <w:spacing w:after="0"/>
        <w:sectPr>
          <w:pgSz w:w="12240" w:h="15840"/>
          <w:pgMar w:header="0" w:footer="1056" w:top="1340" w:bottom="1240" w:left="1420" w:right="420"/>
        </w:sectPr>
      </w:pPr>
    </w:p>
    <w:p>
      <w:pPr>
        <w:pStyle w:val="Heading2"/>
        <w:numPr>
          <w:ilvl w:val="2"/>
          <w:numId w:val="34"/>
        </w:numPr>
        <w:tabs>
          <w:tab w:pos="1338" w:val="left" w:leader="none"/>
        </w:tabs>
        <w:spacing w:line="240" w:lineRule="auto" w:before="77" w:after="0"/>
        <w:ind w:left="1338" w:right="0" w:hanging="660"/>
        <w:jc w:val="both"/>
      </w:pPr>
      <w:r>
        <w:rPr/>
        <mc:AlternateContent>
          <mc:Choice Requires="wps">
            <w:drawing>
              <wp:anchor distT="0" distB="0" distL="0" distR="0" allowOverlap="1" layoutInCell="1" locked="0" behindDoc="1" simplePos="0" relativeHeight="482966528">
                <wp:simplePos x="0" y="0"/>
                <wp:positionH relativeFrom="page">
                  <wp:posOffset>-1402226</wp:posOffset>
                </wp:positionH>
                <wp:positionV relativeFrom="page">
                  <wp:posOffset>4612234</wp:posOffset>
                </wp:positionV>
                <wp:extent cx="10685780" cy="91440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995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33" w:id="100"/>
      <w:r>
        <w:rPr/>
        <w:t>Bulk</w:t>
      </w:r>
      <w:r>
        <w:rPr>
          <w:spacing w:val="-1"/>
        </w:rPr>
        <w:t> </w:t>
      </w:r>
      <w:bookmarkEnd w:id="100"/>
      <w:r>
        <w:rPr>
          <w:spacing w:val="-2"/>
        </w:rPr>
        <w:t>density</w:t>
      </w:r>
    </w:p>
    <w:p>
      <w:pPr>
        <w:pStyle w:val="BodyText"/>
        <w:spacing w:line="360" w:lineRule="auto" w:before="133"/>
        <w:ind w:left="678" w:right="991" w:firstLine="720"/>
        <w:jc w:val="both"/>
      </w:pPr>
      <w:r>
        <w:rPr/>
        <w:t>Powder (30 g) was poured gently</w:t>
      </w:r>
      <w:r>
        <w:rPr>
          <w:spacing w:val="-3"/>
        </w:rPr>
        <w:t> </w:t>
      </w:r>
      <w:r>
        <w:rPr/>
        <w:t>and slowly through a short stemmed glass funnel and allowed to settle freely into a dry 250 mL measuring cylinder and the volume (V</w:t>
      </w:r>
      <w:r>
        <w:rPr>
          <w:vertAlign w:val="subscript"/>
        </w:rPr>
        <w:t>B</w:t>
      </w:r>
      <w:r>
        <w:rPr>
          <w:vertAlign w:val="baseline"/>
        </w:rPr>
        <w:t>) occupied by the granules was read by visual observation. The bulk density was calculated in g/mL as follows (Lachman &amp; Lieberman, 1989).</w:t>
      </w:r>
    </w:p>
    <w:p>
      <w:pPr>
        <w:pStyle w:val="BodyText"/>
        <w:spacing w:before="117"/>
      </w:pPr>
    </w:p>
    <w:p>
      <w:pPr>
        <w:pStyle w:val="BodyText"/>
        <w:tabs>
          <w:tab w:pos="8633" w:val="left" w:leader="dot"/>
        </w:tabs>
        <w:ind w:left="678"/>
      </w:pPr>
      <w:r>
        <w:rPr/>
        <w:t>Bulk</w:t>
      </w:r>
      <w:r>
        <w:rPr>
          <w:spacing w:val="-1"/>
        </w:rPr>
        <w:t> </w:t>
      </w:r>
      <w:r>
        <w:rPr/>
        <w:t>density</w:t>
      </w:r>
      <w:r>
        <w:rPr>
          <w:spacing w:val="-3"/>
        </w:rPr>
        <w:t> </w:t>
      </w:r>
      <w:r>
        <w:rPr/>
        <w:t>(B</w:t>
      </w:r>
      <w:r>
        <w:rPr>
          <w:vertAlign w:val="subscript"/>
        </w:rPr>
        <w:t>D</w:t>
      </w:r>
      <w:r>
        <w:rPr>
          <w:vertAlign w:val="baseline"/>
        </w:rPr>
        <w:t>)</w:t>
      </w:r>
      <w:r>
        <w:rPr>
          <w:spacing w:val="-1"/>
          <w:vertAlign w:val="baseline"/>
        </w:rPr>
        <w:t> </w:t>
      </w:r>
      <w:r>
        <w:rPr>
          <w:vertAlign w:val="baseline"/>
        </w:rPr>
        <w:t>=</w:t>
      </w:r>
      <w:r>
        <w:rPr>
          <w:spacing w:val="-2"/>
          <w:vertAlign w:val="baseline"/>
        </w:rPr>
        <w:t> </w:t>
      </w:r>
      <w:r>
        <w:rPr>
          <w:vertAlign w:val="baseline"/>
        </w:rPr>
        <w:t>Weight of</w:t>
      </w:r>
      <w:r>
        <w:rPr>
          <w:spacing w:val="-1"/>
          <w:vertAlign w:val="baseline"/>
        </w:rPr>
        <w:t> </w:t>
      </w:r>
      <w:r>
        <w:rPr>
          <w:vertAlign w:val="baseline"/>
        </w:rPr>
        <w:t>sample /</w:t>
      </w:r>
      <w:r>
        <w:rPr>
          <w:spacing w:val="29"/>
          <w:vertAlign w:val="baseline"/>
        </w:rPr>
        <w:t>  </w:t>
      </w:r>
      <w:r>
        <w:rPr>
          <w:vertAlign w:val="baseline"/>
        </w:rPr>
        <w:t>Volume</w:t>
      </w:r>
      <w:r>
        <w:rPr>
          <w:spacing w:val="2"/>
          <w:vertAlign w:val="baseline"/>
        </w:rPr>
        <w:t> </w:t>
      </w:r>
      <w:r>
        <w:rPr>
          <w:vertAlign w:val="baseline"/>
        </w:rPr>
        <w:t>of</w:t>
      </w:r>
      <w:r>
        <w:rPr>
          <w:spacing w:val="-2"/>
          <w:vertAlign w:val="baseline"/>
        </w:rPr>
        <w:t> </w:t>
      </w:r>
      <w:r>
        <w:rPr>
          <w:vertAlign w:val="baseline"/>
        </w:rPr>
        <w:t>sample (mL) =</w:t>
      </w:r>
      <w:r>
        <w:rPr>
          <w:spacing w:val="-2"/>
          <w:vertAlign w:val="baseline"/>
        </w:rPr>
        <w:t> </w:t>
      </w:r>
      <w:r>
        <w:rPr>
          <w:vertAlign w:val="baseline"/>
        </w:rPr>
        <w:t>30 / </w:t>
      </w:r>
      <w:r>
        <w:rPr>
          <w:spacing w:val="-5"/>
          <w:vertAlign w:val="baseline"/>
        </w:rPr>
        <w:t>V</w:t>
      </w:r>
      <w:r>
        <w:rPr>
          <w:spacing w:val="-5"/>
          <w:vertAlign w:val="subscript"/>
        </w:rPr>
        <w:t>B</w:t>
      </w:r>
      <w:r>
        <w:rPr>
          <w:position w:val="-2"/>
          <w:sz w:val="16"/>
          <w:vertAlign w:val="baseline"/>
        </w:rPr>
        <w:tab/>
      </w:r>
      <w:r>
        <w:rPr>
          <w:spacing w:val="-2"/>
          <w:vertAlign w:val="baseline"/>
        </w:rPr>
        <w:t>Eqn.2.7</w:t>
      </w:r>
    </w:p>
    <w:p>
      <w:pPr>
        <w:pStyle w:val="BodyText"/>
        <w:spacing w:before="243"/>
      </w:pPr>
    </w:p>
    <w:p>
      <w:pPr>
        <w:pStyle w:val="BodyText"/>
        <w:ind w:left="678"/>
      </w:pPr>
      <w:r>
        <w:rPr/>
        <w:t>The</w:t>
      </w:r>
      <w:r>
        <w:rPr>
          <w:spacing w:val="-4"/>
        </w:rPr>
        <w:t> </w:t>
      </w:r>
      <w:r>
        <w:rPr/>
        <w:t>average</w:t>
      </w:r>
      <w:r>
        <w:rPr>
          <w:spacing w:val="-2"/>
        </w:rPr>
        <w:t> </w:t>
      </w:r>
      <w:r>
        <w:rPr/>
        <w:t>of</w:t>
      </w:r>
      <w:r>
        <w:rPr>
          <w:spacing w:val="-1"/>
        </w:rPr>
        <w:t> </w:t>
      </w:r>
      <w:r>
        <w:rPr/>
        <w:t>six</w:t>
      </w:r>
      <w:r>
        <w:rPr>
          <w:spacing w:val="1"/>
        </w:rPr>
        <w:t> </w:t>
      </w:r>
      <w:r>
        <w:rPr/>
        <w:t>determinations</w:t>
      </w:r>
      <w:r>
        <w:rPr>
          <w:spacing w:val="-1"/>
        </w:rPr>
        <w:t> </w:t>
      </w:r>
      <w:r>
        <w:rPr/>
        <w:t>was</w:t>
      </w:r>
      <w:r>
        <w:rPr>
          <w:spacing w:val="-1"/>
        </w:rPr>
        <w:t> </w:t>
      </w:r>
      <w:r>
        <w:rPr>
          <w:spacing w:val="-2"/>
        </w:rPr>
        <w:t>taken.</w:t>
      </w:r>
    </w:p>
    <w:p>
      <w:pPr>
        <w:pStyle w:val="BodyText"/>
      </w:pPr>
    </w:p>
    <w:p>
      <w:pPr>
        <w:pStyle w:val="BodyText"/>
        <w:spacing w:before="5"/>
      </w:pPr>
    </w:p>
    <w:p>
      <w:pPr>
        <w:pStyle w:val="Heading2"/>
        <w:numPr>
          <w:ilvl w:val="2"/>
          <w:numId w:val="34"/>
        </w:numPr>
        <w:tabs>
          <w:tab w:pos="1398" w:val="left" w:leader="none"/>
        </w:tabs>
        <w:spacing w:line="240" w:lineRule="auto" w:before="0" w:after="0"/>
        <w:ind w:left="1398" w:right="0" w:hanging="720"/>
        <w:jc w:val="both"/>
      </w:pPr>
      <w:bookmarkStart w:name="_TOC_250032" w:id="101"/>
      <w:r>
        <w:rPr/>
        <w:t>Tapped</w:t>
      </w:r>
      <w:r>
        <w:rPr>
          <w:spacing w:val="-1"/>
        </w:rPr>
        <w:t> </w:t>
      </w:r>
      <w:bookmarkEnd w:id="101"/>
      <w:r>
        <w:rPr>
          <w:spacing w:val="-2"/>
        </w:rPr>
        <w:t>density</w:t>
      </w:r>
    </w:p>
    <w:p>
      <w:pPr>
        <w:pStyle w:val="BodyText"/>
        <w:spacing w:line="360" w:lineRule="auto" w:before="135"/>
        <w:ind w:left="678" w:right="998" w:firstLine="720"/>
        <w:jc w:val="both"/>
      </w:pPr>
      <w:r>
        <w:rPr/>
        <w:t>Powder (30 g) was poured into a 250 mL measuring cylinder. This was then</w:t>
      </w:r>
      <w:r>
        <w:rPr>
          <w:spacing w:val="40"/>
        </w:rPr>
        <w:t> </w:t>
      </w:r>
      <w:r>
        <w:rPr/>
        <w:t>tapped until a constant volume was obtained (V</w:t>
      </w:r>
      <w:r>
        <w:rPr>
          <w:vertAlign w:val="subscript"/>
        </w:rPr>
        <w:t>T</w:t>
      </w:r>
      <w:r>
        <w:rPr>
          <w:vertAlign w:val="baseline"/>
        </w:rPr>
        <w:t>). The height and frequency of tapping was maintained as much as possible. (Lachman &amp; Lieberman, 1989).</w:t>
      </w:r>
    </w:p>
    <w:p>
      <w:pPr>
        <w:pStyle w:val="BodyText"/>
      </w:pPr>
    </w:p>
    <w:p>
      <w:pPr>
        <w:pStyle w:val="BodyText"/>
        <w:spacing w:before="102"/>
      </w:pPr>
    </w:p>
    <w:p>
      <w:pPr>
        <w:pStyle w:val="BodyText"/>
        <w:spacing w:line="463" w:lineRule="auto"/>
        <w:ind w:left="961" w:right="1592"/>
      </w:pPr>
      <w:r>
        <w:rPr/>
        <w:t>Tapped density</w:t>
      </w:r>
      <w:r>
        <w:rPr>
          <w:spacing w:val="-1"/>
        </w:rPr>
        <w:t> </w:t>
      </w:r>
      <w:r>
        <w:rPr/>
        <w:t>(T</w:t>
      </w:r>
      <w:r>
        <w:rPr>
          <w:vertAlign w:val="subscript"/>
        </w:rPr>
        <w:t>D</w:t>
      </w:r>
      <w:r>
        <w:rPr>
          <w:vertAlign w:val="baseline"/>
        </w:rPr>
        <w:t>) = Weight of powder (g) / Volume of tapped powder (mL) = 30 g</w:t>
      </w:r>
      <w:r>
        <w:rPr>
          <w:spacing w:val="-3"/>
          <w:vertAlign w:val="baseline"/>
        </w:rPr>
        <w:t> </w:t>
      </w:r>
      <w:r>
        <w:rPr>
          <w:vertAlign w:val="baseline"/>
        </w:rPr>
        <w:t>/ (V</w:t>
      </w:r>
      <w:r>
        <w:rPr>
          <w:vertAlign w:val="subscript"/>
        </w:rPr>
        <w:t>T</w:t>
      </w:r>
      <w:r>
        <w:rPr>
          <w:vertAlign w:val="baseline"/>
        </w:rPr>
        <w:t>)…………………………………………………………………Eqn. </w:t>
      </w:r>
      <w:r>
        <w:rPr>
          <w:spacing w:val="-5"/>
          <w:vertAlign w:val="baseline"/>
        </w:rPr>
        <w:t>2.8</w:t>
      </w:r>
    </w:p>
    <w:p>
      <w:pPr>
        <w:pStyle w:val="BodyText"/>
        <w:spacing w:before="3"/>
        <w:ind w:left="678"/>
      </w:pPr>
      <w:r>
        <w:rPr/>
        <w:t>An</w:t>
      </w:r>
      <w:r>
        <w:rPr>
          <w:spacing w:val="-2"/>
        </w:rPr>
        <w:t> </w:t>
      </w:r>
      <w:r>
        <w:rPr/>
        <w:t>average</w:t>
      </w:r>
      <w:r>
        <w:rPr>
          <w:spacing w:val="-2"/>
        </w:rPr>
        <w:t> </w:t>
      </w:r>
      <w:r>
        <w:rPr/>
        <w:t>of</w:t>
      </w:r>
      <w:r>
        <w:rPr>
          <w:spacing w:val="-1"/>
        </w:rPr>
        <w:t> </w:t>
      </w:r>
      <w:r>
        <w:rPr/>
        <w:t>six</w:t>
      </w:r>
      <w:r>
        <w:rPr>
          <w:spacing w:val="1"/>
        </w:rPr>
        <w:t> </w:t>
      </w:r>
      <w:r>
        <w:rPr/>
        <w:t>determinations</w:t>
      </w:r>
      <w:r>
        <w:rPr>
          <w:spacing w:val="-1"/>
        </w:rPr>
        <w:t> </w:t>
      </w:r>
      <w:r>
        <w:rPr/>
        <w:t>was</w:t>
      </w:r>
      <w:r>
        <w:rPr>
          <w:spacing w:val="-1"/>
        </w:rPr>
        <w:t> </w:t>
      </w:r>
      <w:r>
        <w:rPr>
          <w:spacing w:val="-2"/>
        </w:rPr>
        <w:t>taken.</w:t>
      </w:r>
    </w:p>
    <w:p>
      <w:pPr>
        <w:pStyle w:val="BodyText"/>
      </w:pPr>
    </w:p>
    <w:p>
      <w:pPr>
        <w:pStyle w:val="BodyText"/>
        <w:spacing w:before="5"/>
      </w:pPr>
    </w:p>
    <w:p>
      <w:pPr>
        <w:pStyle w:val="Heading2"/>
        <w:numPr>
          <w:ilvl w:val="2"/>
          <w:numId w:val="34"/>
        </w:numPr>
        <w:tabs>
          <w:tab w:pos="1458" w:val="left" w:leader="none"/>
        </w:tabs>
        <w:spacing w:line="240" w:lineRule="auto" w:before="0" w:after="0"/>
        <w:ind w:left="1458" w:right="0" w:hanging="780"/>
        <w:jc w:val="left"/>
      </w:pPr>
      <w:bookmarkStart w:name="_TOC_250031" w:id="102"/>
      <w:r>
        <w:rPr/>
        <w:t>Percentage</w:t>
      </w:r>
      <w:r>
        <w:rPr>
          <w:spacing w:val="-5"/>
        </w:rPr>
        <w:t> </w:t>
      </w:r>
      <w:bookmarkEnd w:id="102"/>
      <w:r>
        <w:rPr>
          <w:spacing w:val="-2"/>
        </w:rPr>
        <w:t>compressibility</w:t>
      </w:r>
    </w:p>
    <w:p>
      <w:pPr>
        <w:pStyle w:val="BodyText"/>
        <w:spacing w:before="132"/>
        <w:ind w:left="1398"/>
      </w:pPr>
      <w:r>
        <w:rPr/>
        <w:t>This</w:t>
      </w:r>
      <w:r>
        <w:rPr>
          <w:spacing w:val="-3"/>
        </w:rPr>
        <w:t> </w:t>
      </w:r>
      <w:r>
        <w:rPr/>
        <w:t>was</w:t>
      </w:r>
      <w:r>
        <w:rPr>
          <w:spacing w:val="-1"/>
        </w:rPr>
        <w:t> </w:t>
      </w:r>
      <w:r>
        <w:rPr/>
        <w:t>calculated</w:t>
      </w:r>
      <w:r>
        <w:rPr>
          <w:spacing w:val="-1"/>
        </w:rPr>
        <w:t> </w:t>
      </w:r>
      <w:r>
        <w:rPr/>
        <w:t>from</w:t>
      </w:r>
      <w:r>
        <w:rPr>
          <w:spacing w:val="1"/>
        </w:rPr>
        <w:t> </w:t>
      </w:r>
      <w:r>
        <w:rPr/>
        <w:t>the</w:t>
      </w:r>
      <w:r>
        <w:rPr>
          <w:spacing w:val="-1"/>
        </w:rPr>
        <w:t> </w:t>
      </w:r>
      <w:r>
        <w:rPr/>
        <w:t>values</w:t>
      </w:r>
      <w:r>
        <w:rPr>
          <w:spacing w:val="-1"/>
        </w:rPr>
        <w:t> </w:t>
      </w:r>
      <w:r>
        <w:rPr/>
        <w:t>of</w:t>
      </w:r>
      <w:r>
        <w:rPr>
          <w:spacing w:val="-2"/>
        </w:rPr>
        <w:t> </w:t>
      </w:r>
      <w:r>
        <w:rPr/>
        <w:t>bulk</w:t>
      </w:r>
      <w:r>
        <w:rPr>
          <w:spacing w:val="-1"/>
        </w:rPr>
        <w:t> </w:t>
      </w:r>
      <w:r>
        <w:rPr/>
        <w:t>and</w:t>
      </w:r>
      <w:r>
        <w:rPr>
          <w:spacing w:val="-1"/>
        </w:rPr>
        <w:t> </w:t>
      </w:r>
      <w:r>
        <w:rPr/>
        <w:t>tapped</w:t>
      </w:r>
      <w:r>
        <w:rPr>
          <w:spacing w:val="1"/>
        </w:rPr>
        <w:t> </w:t>
      </w:r>
      <w:r>
        <w:rPr/>
        <w:t>densities</w:t>
      </w:r>
      <w:r>
        <w:rPr>
          <w:spacing w:val="-1"/>
        </w:rPr>
        <w:t> </w:t>
      </w:r>
      <w:r>
        <w:rPr/>
        <w:t>(Carr, </w:t>
      </w:r>
      <w:r>
        <w:rPr>
          <w:spacing w:val="-2"/>
        </w:rPr>
        <w:t>1965).</w:t>
      </w:r>
    </w:p>
    <w:p>
      <w:pPr>
        <w:pStyle w:val="BodyText"/>
        <w:spacing w:before="259"/>
        <w:ind w:left="1398"/>
      </w:pPr>
      <w:r>
        <w:rPr/>
        <w:t>%</w:t>
      </w:r>
      <w:r>
        <w:rPr>
          <w:spacing w:val="-1"/>
        </w:rPr>
        <w:t> </w:t>
      </w:r>
      <w:r>
        <w:rPr/>
        <w:t>Compressibility</w:t>
      </w:r>
      <w:r>
        <w:rPr>
          <w:spacing w:val="-4"/>
        </w:rPr>
        <w:t> </w:t>
      </w:r>
      <w:r>
        <w:rPr/>
        <w:t>= 100</w:t>
      </w:r>
      <w:r>
        <w:rPr>
          <w:spacing w:val="2"/>
        </w:rPr>
        <w:t> </w:t>
      </w:r>
      <w:r>
        <w:rPr/>
        <w:t>(T</w:t>
      </w:r>
      <w:r>
        <w:rPr>
          <w:vertAlign w:val="subscript"/>
        </w:rPr>
        <w:t>D</w:t>
      </w:r>
      <w:r>
        <w:rPr>
          <w:spacing w:val="-21"/>
          <w:vertAlign w:val="baseline"/>
        </w:rPr>
        <w:t> </w:t>
      </w:r>
      <w:r>
        <w:rPr>
          <w:vertAlign w:val="baseline"/>
        </w:rPr>
        <w:t>- B</w:t>
      </w:r>
      <w:r>
        <w:rPr>
          <w:vertAlign w:val="subscript"/>
        </w:rPr>
        <w:t>D</w:t>
      </w:r>
      <w:r>
        <w:rPr>
          <w:vertAlign w:val="baseline"/>
        </w:rPr>
        <w:t>) /</w:t>
      </w:r>
      <w:r>
        <w:rPr>
          <w:spacing w:val="1"/>
          <w:vertAlign w:val="baseline"/>
        </w:rPr>
        <w:t> </w:t>
      </w:r>
      <w:r>
        <w:rPr>
          <w:vertAlign w:val="baseline"/>
        </w:rPr>
        <w:t>T</w:t>
      </w:r>
      <w:r>
        <w:rPr>
          <w:vertAlign w:val="subscript"/>
        </w:rPr>
        <w:t>D</w:t>
      </w:r>
      <w:r>
        <w:rPr>
          <w:vertAlign w:val="baseline"/>
        </w:rPr>
        <w:t>……………………………Eqn. </w:t>
      </w:r>
      <w:r>
        <w:rPr>
          <w:spacing w:val="-5"/>
          <w:vertAlign w:val="baseline"/>
        </w:rPr>
        <w:t>2.9</w:t>
      </w:r>
    </w:p>
    <w:p>
      <w:pPr>
        <w:pStyle w:val="BodyText"/>
      </w:pPr>
    </w:p>
    <w:p>
      <w:pPr>
        <w:pStyle w:val="BodyText"/>
        <w:spacing w:before="125"/>
      </w:pPr>
    </w:p>
    <w:p>
      <w:pPr>
        <w:pStyle w:val="Heading2"/>
        <w:numPr>
          <w:ilvl w:val="2"/>
          <w:numId w:val="34"/>
        </w:numPr>
        <w:tabs>
          <w:tab w:pos="1338" w:val="left" w:leader="none"/>
        </w:tabs>
        <w:spacing w:line="240" w:lineRule="auto" w:before="0" w:after="0"/>
        <w:ind w:left="1338" w:right="0" w:hanging="660"/>
        <w:jc w:val="left"/>
      </w:pPr>
      <w:bookmarkStart w:name="_TOC_250030" w:id="103"/>
      <w:r>
        <w:rPr/>
        <w:t>Determination</w:t>
      </w:r>
      <w:r>
        <w:rPr>
          <w:spacing w:val="-2"/>
        </w:rPr>
        <w:t> </w:t>
      </w:r>
      <w:r>
        <w:rPr/>
        <w:t>of</w:t>
      </w:r>
      <w:r>
        <w:rPr>
          <w:spacing w:val="-3"/>
        </w:rPr>
        <w:t> </w:t>
      </w:r>
      <w:r>
        <w:rPr/>
        <w:t>moisture</w:t>
      </w:r>
      <w:r>
        <w:rPr>
          <w:spacing w:val="-3"/>
        </w:rPr>
        <w:t> </w:t>
      </w:r>
      <w:bookmarkEnd w:id="103"/>
      <w:r>
        <w:rPr>
          <w:spacing w:val="-2"/>
        </w:rPr>
        <w:t>content</w:t>
      </w:r>
    </w:p>
    <w:p>
      <w:pPr>
        <w:pStyle w:val="BodyText"/>
        <w:spacing w:line="360" w:lineRule="auto" w:before="133"/>
        <w:ind w:left="678" w:right="1386" w:firstLine="720"/>
      </w:pPr>
      <w:r>
        <w:rPr/>
        <w:t>The</w:t>
      </w:r>
      <w:r>
        <w:rPr>
          <w:spacing w:val="-6"/>
        </w:rPr>
        <w:t> </w:t>
      </w:r>
      <w:r>
        <w:rPr/>
        <w:t>moisture</w:t>
      </w:r>
      <w:r>
        <w:rPr>
          <w:spacing w:val="-5"/>
        </w:rPr>
        <w:t> </w:t>
      </w:r>
      <w:r>
        <w:rPr/>
        <w:t>content</w:t>
      </w:r>
      <w:r>
        <w:rPr>
          <w:spacing w:val="-4"/>
        </w:rPr>
        <w:t> </w:t>
      </w:r>
      <w:r>
        <w:rPr/>
        <w:t>of</w:t>
      </w:r>
      <w:r>
        <w:rPr>
          <w:spacing w:val="-5"/>
        </w:rPr>
        <w:t> </w:t>
      </w:r>
      <w:r>
        <w:rPr/>
        <w:t>the</w:t>
      </w:r>
      <w:r>
        <w:rPr>
          <w:spacing w:val="-5"/>
        </w:rPr>
        <w:t> </w:t>
      </w:r>
      <w:r>
        <w:rPr/>
        <w:t>granule</w:t>
      </w:r>
      <w:r>
        <w:rPr>
          <w:spacing w:val="-3"/>
        </w:rPr>
        <w:t> </w:t>
      </w:r>
      <w:r>
        <w:rPr/>
        <w:t>formulations</w:t>
      </w:r>
      <w:r>
        <w:rPr>
          <w:spacing w:val="-4"/>
        </w:rPr>
        <w:t> </w:t>
      </w:r>
      <w:r>
        <w:rPr/>
        <w:t>was</w:t>
      </w:r>
      <w:r>
        <w:rPr>
          <w:spacing w:val="-4"/>
        </w:rPr>
        <w:t> </w:t>
      </w:r>
      <w:r>
        <w:rPr/>
        <w:t>determined</w:t>
      </w:r>
      <w:r>
        <w:rPr>
          <w:spacing w:val="-2"/>
        </w:rPr>
        <w:t> </w:t>
      </w:r>
      <w:r>
        <w:rPr/>
        <w:t>with</w:t>
      </w:r>
      <w:r>
        <w:rPr>
          <w:spacing w:val="-4"/>
        </w:rPr>
        <w:t> </w:t>
      </w:r>
      <w:r>
        <w:rPr/>
        <w:t>an Ohaus moisture balance (Ohaus Scale Corporation, USA).</w:t>
      </w:r>
    </w:p>
    <w:p>
      <w:pPr>
        <w:spacing w:after="0" w:line="360" w:lineRule="auto"/>
        <w:sectPr>
          <w:pgSz w:w="12240" w:h="15840"/>
          <w:pgMar w:header="0" w:footer="1056" w:top="1340" w:bottom="1240" w:left="1420" w:right="420"/>
        </w:sectPr>
      </w:pPr>
    </w:p>
    <w:p>
      <w:pPr>
        <w:pStyle w:val="Heading2"/>
        <w:numPr>
          <w:ilvl w:val="2"/>
          <w:numId w:val="34"/>
        </w:numPr>
        <w:tabs>
          <w:tab w:pos="1338" w:val="left" w:leader="none"/>
        </w:tabs>
        <w:spacing w:line="240" w:lineRule="auto" w:before="77" w:after="0"/>
        <w:ind w:left="1338" w:right="0" w:hanging="660"/>
        <w:jc w:val="both"/>
      </w:pPr>
      <w:r>
        <w:rPr/>
        <mc:AlternateContent>
          <mc:Choice Requires="wps">
            <w:drawing>
              <wp:anchor distT="0" distB="0" distL="0" distR="0" allowOverlap="1" layoutInCell="1" locked="0" behindDoc="1" simplePos="0" relativeHeight="482967552">
                <wp:simplePos x="0" y="0"/>
                <wp:positionH relativeFrom="page">
                  <wp:posOffset>-1402226</wp:posOffset>
                </wp:positionH>
                <wp:positionV relativeFrom="page">
                  <wp:posOffset>4612234</wp:posOffset>
                </wp:positionV>
                <wp:extent cx="10685780" cy="9144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892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29" w:id="104"/>
      <w:r>
        <w:rPr/>
        <w:t>Particle</w:t>
      </w:r>
      <w:r>
        <w:rPr>
          <w:spacing w:val="-6"/>
        </w:rPr>
        <w:t> </w:t>
      </w:r>
      <w:bookmarkEnd w:id="104"/>
      <w:r>
        <w:rPr>
          <w:spacing w:val="-4"/>
        </w:rPr>
        <w:t>size</w:t>
      </w:r>
    </w:p>
    <w:p>
      <w:pPr>
        <w:pStyle w:val="BodyText"/>
        <w:spacing w:line="360" w:lineRule="auto" w:before="253"/>
        <w:ind w:left="678" w:right="992" w:firstLine="720"/>
        <w:jc w:val="both"/>
      </w:pPr>
      <w:r>
        <w:rPr/>
        <w:t>The particle size distribution of each powder mix for direct compression was determined by optical microscopy (Leitz, laborlux, Germany) on 300 particles. This was used to determine the projected diameter (d).</w:t>
      </w:r>
    </w:p>
    <w:p>
      <w:pPr>
        <w:pStyle w:val="BodyText"/>
        <w:spacing w:before="262"/>
      </w:pPr>
    </w:p>
    <w:p>
      <w:pPr>
        <w:pStyle w:val="Heading2"/>
        <w:numPr>
          <w:ilvl w:val="2"/>
          <w:numId w:val="34"/>
        </w:numPr>
        <w:tabs>
          <w:tab w:pos="1338" w:val="left" w:leader="none"/>
        </w:tabs>
        <w:spacing w:line="240" w:lineRule="auto" w:before="1" w:after="0"/>
        <w:ind w:left="1338" w:right="0" w:hanging="660"/>
        <w:jc w:val="both"/>
      </w:pPr>
      <w:r>
        <w:rPr/>
        <w:t>Determination</w:t>
      </w:r>
      <w:r>
        <w:rPr>
          <w:spacing w:val="-2"/>
        </w:rPr>
        <w:t> </w:t>
      </w:r>
      <w:r>
        <w:rPr/>
        <w:t>of</w:t>
      </w:r>
      <w:r>
        <w:rPr>
          <w:spacing w:val="-3"/>
        </w:rPr>
        <w:t> </w:t>
      </w:r>
      <w:r>
        <w:rPr/>
        <w:t>particle</w:t>
      </w:r>
      <w:r>
        <w:rPr>
          <w:spacing w:val="-2"/>
        </w:rPr>
        <w:t> density</w:t>
      </w:r>
    </w:p>
    <w:p>
      <w:pPr>
        <w:pStyle w:val="BodyText"/>
        <w:spacing w:line="360" w:lineRule="auto" w:before="134"/>
        <w:ind w:left="678" w:right="994" w:firstLine="720"/>
        <w:jc w:val="both"/>
      </w:pPr>
      <w:r>
        <w:rPr/>
        <w:t>The particle density of the powders was determined by the liquid pycnometer method using xylene as the displacement fluid. A 50 mL capacity pycnometer was weighed empty (W), filled with the non-solvent (xylene) and the excess wiped off. The weight of the pcynometer with the non-solvent was determined (W</w:t>
      </w:r>
      <w:r>
        <w:rPr>
          <w:vertAlign w:val="subscript"/>
        </w:rPr>
        <w:t>1</w:t>
      </w:r>
      <w:r>
        <w:rPr>
          <w:vertAlign w:val="baseline"/>
        </w:rPr>
        <w:t>). The difference in weight was calculated as W</w:t>
      </w:r>
      <w:r>
        <w:rPr>
          <w:vertAlign w:val="subscript"/>
        </w:rPr>
        <w:t>2.</w:t>
      </w:r>
      <w:r>
        <w:rPr>
          <w:spacing w:val="40"/>
          <w:vertAlign w:val="baseline"/>
        </w:rPr>
        <w:t> </w:t>
      </w:r>
      <w:r>
        <w:rPr>
          <w:vertAlign w:val="baseline"/>
        </w:rPr>
        <w:t>A 2 g quantity of the sample was weighed (W</w:t>
      </w:r>
      <w:r>
        <w:rPr>
          <w:vertAlign w:val="subscript"/>
        </w:rPr>
        <w:t>3</w:t>
      </w:r>
      <w:r>
        <w:rPr>
          <w:vertAlign w:val="baseline"/>
        </w:rPr>
        <w:t>) and qualitatively</w:t>
      </w:r>
      <w:r>
        <w:rPr>
          <w:spacing w:val="-4"/>
          <w:vertAlign w:val="baseline"/>
        </w:rPr>
        <w:t> </w:t>
      </w:r>
      <w:r>
        <w:rPr>
          <w:vertAlign w:val="baseline"/>
        </w:rPr>
        <w:t>transferred into the pycnometer bottle. The excess non-solvent was wiped off and the pycnometer was weighed again (W</w:t>
      </w:r>
      <w:r>
        <w:rPr>
          <w:vertAlign w:val="subscript"/>
        </w:rPr>
        <w:t>4</w:t>
      </w:r>
      <w:r>
        <w:rPr>
          <w:vertAlign w:val="baseline"/>
        </w:rPr>
        <w:t>). The particle density</w:t>
      </w:r>
      <w:r>
        <w:rPr>
          <w:spacing w:val="-4"/>
          <w:vertAlign w:val="baseline"/>
        </w:rPr>
        <w:t> </w:t>
      </w:r>
      <w:r>
        <w:rPr>
          <w:vertAlign w:val="baseline"/>
        </w:rPr>
        <w:t>was calculated from the </w:t>
      </w:r>
      <w:r>
        <w:rPr>
          <w:spacing w:val="-2"/>
          <w:vertAlign w:val="baseline"/>
        </w:rPr>
        <w:t>equation:</w:t>
      </w:r>
    </w:p>
    <w:p>
      <w:pPr>
        <w:pStyle w:val="BodyText"/>
        <w:tabs>
          <w:tab w:pos="8322" w:val="left" w:leader="dot"/>
        </w:tabs>
        <w:spacing w:before="274"/>
        <w:ind w:left="2238"/>
      </w:pPr>
      <w:r>
        <w:rPr/>
        <w:t>W</w:t>
      </w:r>
      <w:r>
        <w:rPr>
          <w:vertAlign w:val="subscript"/>
        </w:rPr>
        <w:t>2</w:t>
      </w:r>
      <w:r>
        <w:rPr>
          <w:vertAlign w:val="baseline"/>
        </w:rPr>
        <w:t>-W</w:t>
      </w:r>
      <w:r>
        <w:rPr>
          <w:vertAlign w:val="subscript"/>
        </w:rPr>
        <w:t>3</w:t>
      </w:r>
      <w:r>
        <w:rPr>
          <w:vertAlign w:val="baseline"/>
        </w:rPr>
        <w:t> /</w:t>
      </w:r>
      <w:r>
        <w:rPr>
          <w:spacing w:val="-2"/>
          <w:vertAlign w:val="baseline"/>
        </w:rPr>
        <w:t> </w:t>
      </w:r>
      <w:r>
        <w:rPr>
          <w:vertAlign w:val="baseline"/>
        </w:rPr>
        <w:t>50 (W3</w:t>
      </w:r>
      <w:r>
        <w:rPr>
          <w:spacing w:val="-1"/>
          <w:vertAlign w:val="baseline"/>
        </w:rPr>
        <w:t> </w:t>
      </w:r>
      <w:r>
        <w:rPr>
          <w:vertAlign w:val="baseline"/>
        </w:rPr>
        <w:t>– W4+W2+W) gcm</w:t>
      </w:r>
      <w:r>
        <w:rPr>
          <w:vertAlign w:val="superscript"/>
        </w:rPr>
        <w:t>-</w:t>
      </w:r>
      <w:r>
        <w:rPr>
          <w:spacing w:val="-10"/>
          <w:vertAlign w:val="superscript"/>
        </w:rPr>
        <w:t>3</w:t>
      </w:r>
      <w:r>
        <w:rPr>
          <w:position w:val="11"/>
          <w:sz w:val="16"/>
          <w:vertAlign w:val="baseline"/>
        </w:rPr>
        <w:tab/>
      </w:r>
      <w:r>
        <w:rPr>
          <w:vertAlign w:val="baseline"/>
        </w:rPr>
        <w:t>Eqn.</w:t>
      </w:r>
      <w:r>
        <w:rPr>
          <w:spacing w:val="-2"/>
          <w:vertAlign w:val="baseline"/>
        </w:rPr>
        <w:t> </w:t>
      </w:r>
      <w:r>
        <w:rPr>
          <w:spacing w:val="-4"/>
          <w:vertAlign w:val="baseline"/>
        </w:rPr>
        <w:t>2.10</w:t>
      </w:r>
    </w:p>
    <w:p>
      <w:pPr>
        <w:pStyle w:val="BodyText"/>
      </w:pPr>
    </w:p>
    <w:p>
      <w:pPr>
        <w:pStyle w:val="BodyText"/>
      </w:pPr>
    </w:p>
    <w:p>
      <w:pPr>
        <w:pStyle w:val="BodyText"/>
        <w:spacing w:before="6"/>
      </w:pPr>
    </w:p>
    <w:p>
      <w:pPr>
        <w:pStyle w:val="Heading2"/>
        <w:numPr>
          <w:ilvl w:val="2"/>
          <w:numId w:val="34"/>
        </w:numPr>
        <w:tabs>
          <w:tab w:pos="1338" w:val="left" w:leader="none"/>
        </w:tabs>
        <w:spacing w:line="240" w:lineRule="auto" w:before="0" w:after="0"/>
        <w:ind w:left="1338" w:right="0" w:hanging="660"/>
        <w:jc w:val="both"/>
      </w:pPr>
      <w:r>
        <w:rPr/>
        <w:t>Determination</w:t>
      </w:r>
      <w:r>
        <w:rPr>
          <w:spacing w:val="-1"/>
        </w:rPr>
        <w:t> </w:t>
      </w:r>
      <w:r>
        <w:rPr/>
        <w:t>of</w:t>
      </w:r>
      <w:r>
        <w:rPr>
          <w:spacing w:val="-2"/>
        </w:rPr>
        <w:t> </w:t>
      </w:r>
      <w:r>
        <w:rPr/>
        <w:t>powder</w:t>
      </w:r>
      <w:r>
        <w:rPr>
          <w:spacing w:val="-3"/>
        </w:rPr>
        <w:t> </w:t>
      </w:r>
      <w:r>
        <w:rPr>
          <w:spacing w:val="-2"/>
        </w:rPr>
        <w:t>flowability</w:t>
      </w:r>
    </w:p>
    <w:p>
      <w:pPr>
        <w:pStyle w:val="BodyText"/>
        <w:spacing w:line="360" w:lineRule="auto" w:before="273"/>
        <w:ind w:left="678" w:right="995" w:firstLine="720"/>
        <w:jc w:val="both"/>
      </w:pPr>
      <w:r>
        <w:rPr/>
        <w:t>The flowability of the powders was assessed using the Hausner ratio and the Carr index. The Hausner‘s ratio was determined as the ratio of the initial bulk volume to the tapped volume.</w:t>
      </w:r>
    </w:p>
    <w:p>
      <w:pPr>
        <w:pStyle w:val="BodyText"/>
        <w:spacing w:before="143"/>
      </w:pPr>
    </w:p>
    <w:p>
      <w:pPr>
        <w:pStyle w:val="Heading2"/>
        <w:numPr>
          <w:ilvl w:val="3"/>
          <w:numId w:val="34"/>
        </w:numPr>
        <w:tabs>
          <w:tab w:pos="1518" w:val="left" w:leader="none"/>
        </w:tabs>
        <w:spacing w:line="240" w:lineRule="auto" w:before="0" w:after="0"/>
        <w:ind w:left="1518" w:right="0" w:hanging="840"/>
        <w:jc w:val="both"/>
      </w:pPr>
      <w:r>
        <w:rPr/>
        <w:t>Angle</w:t>
      </w:r>
      <w:r>
        <w:rPr>
          <w:spacing w:val="-1"/>
        </w:rPr>
        <w:t> </w:t>
      </w:r>
      <w:r>
        <w:rPr/>
        <w:t>of</w:t>
      </w:r>
      <w:r>
        <w:rPr>
          <w:spacing w:val="1"/>
        </w:rPr>
        <w:t> </w:t>
      </w:r>
      <w:r>
        <w:rPr>
          <w:spacing w:val="-2"/>
        </w:rPr>
        <w:t>repose</w:t>
      </w:r>
    </w:p>
    <w:p>
      <w:pPr>
        <w:pStyle w:val="BodyText"/>
        <w:spacing w:line="360" w:lineRule="auto" w:before="132"/>
        <w:ind w:left="678" w:right="992" w:firstLine="720"/>
        <w:jc w:val="both"/>
      </w:pPr>
      <w:r>
        <w:rPr/>
        <w:t>An open ended cylinder of diameter 2.8 cm was placed on a base of similar diameter. Powder (30 mg) was allowed to flow through a funnel, under the force of gravity, to form a conical heap. The angle of repose which is the minimum angle at which any piled-up bulky</w:t>
      </w:r>
      <w:r>
        <w:rPr>
          <w:spacing w:val="-3"/>
        </w:rPr>
        <w:t> </w:t>
      </w:r>
      <w:r>
        <w:rPr/>
        <w:t>or loose material will stand without falling downhill was calculated by calculating between the peak of the pile and the horizontal ground using:</w:t>
      </w:r>
    </w:p>
    <w:p>
      <w:pPr>
        <w:pStyle w:val="BodyText"/>
        <w:spacing w:line="276" w:lineRule="exact"/>
        <w:ind w:left="678"/>
      </w:pPr>
      <w:r>
        <w:rPr/>
        <mc:AlternateContent>
          <mc:Choice Requires="wps">
            <w:drawing>
              <wp:anchor distT="0" distB="0" distL="0" distR="0" allowOverlap="1" layoutInCell="1" locked="0" behindDoc="1" simplePos="0" relativeHeight="482967040">
                <wp:simplePos x="0" y="0"/>
                <wp:positionH relativeFrom="page">
                  <wp:posOffset>1313941</wp:posOffset>
                </wp:positionH>
                <wp:positionV relativeFrom="paragraph">
                  <wp:posOffset>3697</wp:posOffset>
                </wp:positionV>
                <wp:extent cx="5577205" cy="26416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5577205" cy="264160"/>
                        </a:xfrm>
                        <a:custGeom>
                          <a:avLst/>
                          <a:gdLst/>
                          <a:ahLst/>
                          <a:cxnLst/>
                          <a:rect l="l" t="t" r="r" b="b"/>
                          <a:pathLst>
                            <a:path w="5577205" h="264160">
                              <a:moveTo>
                                <a:pt x="5577205" y="0"/>
                              </a:moveTo>
                              <a:lnTo>
                                <a:pt x="0" y="0"/>
                              </a:lnTo>
                              <a:lnTo>
                                <a:pt x="0" y="263651"/>
                              </a:lnTo>
                              <a:lnTo>
                                <a:pt x="5577205" y="263651"/>
                              </a:lnTo>
                              <a:lnTo>
                                <a:pt x="55772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3.459999pt;margin-top:.291117pt;width:439.15pt;height:20.76pt;mso-position-horizontal-relative:page;mso-position-vertical-relative:paragraph;z-index:-20349440" id="docshape101" filled="true" fillcolor="#ffffff" stroked="false">
                <v:fill type="solid"/>
                <w10:wrap type="none"/>
              </v:rect>
            </w:pict>
          </mc:Fallback>
        </mc:AlternateContent>
      </w:r>
      <w:r>
        <w:rPr>
          <w:spacing w:val="-2"/>
        </w:rPr>
        <w:t>tan-1(2h/d).</w:t>
      </w:r>
    </w:p>
    <w:p>
      <w:pPr>
        <w:spacing w:after="0" w:line="276" w:lineRule="exact"/>
        <w:sectPr>
          <w:pgSz w:w="12240" w:h="15840"/>
          <w:pgMar w:header="0" w:footer="1056" w:top="1340" w:bottom="1240" w:left="1420" w:right="420"/>
        </w:sectPr>
      </w:pPr>
    </w:p>
    <w:p>
      <w:pPr>
        <w:pStyle w:val="BodyText"/>
        <w:spacing w:before="72"/>
        <w:ind w:left="678"/>
        <w:jc w:val="both"/>
      </w:pPr>
      <w:r>
        <w:rPr/>
        <mc:AlternateContent>
          <mc:Choice Requires="wps">
            <w:drawing>
              <wp:anchor distT="0" distB="0" distL="0" distR="0" allowOverlap="1" layoutInCell="1" locked="0" behindDoc="1" simplePos="0" relativeHeight="482968064">
                <wp:simplePos x="0" y="0"/>
                <wp:positionH relativeFrom="page">
                  <wp:posOffset>-1402226</wp:posOffset>
                </wp:positionH>
                <wp:positionV relativeFrom="page">
                  <wp:posOffset>4612234</wp:posOffset>
                </wp:positionV>
                <wp:extent cx="10685780" cy="91440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8416;rotation:306" type="#_x0000_t136" fillcolor="#ff5400" stroked="f">
                <o:extrusion v:ext="view" autorotationcenter="t"/>
                <v:textpath style="font-family:&quot;Arial MT&quot;;font-size:72pt;v-text-kern:t;mso-text-shadow:auto" string="UNIVERSITY OF IBADAN"/>
                <w10:wrap type="none"/>
              </v:shape>
            </w:pict>
          </mc:Fallback>
        </mc:AlternateContent>
      </w:r>
      <w:r>
        <w:rPr/>
        <w:t>The</w:t>
      </w:r>
      <w:r>
        <w:rPr>
          <w:spacing w:val="-3"/>
        </w:rPr>
        <w:t> </w:t>
      </w:r>
      <w:r>
        <w:rPr/>
        <w:t>angle</w:t>
      </w:r>
      <w:r>
        <w:rPr>
          <w:spacing w:val="-1"/>
        </w:rPr>
        <w:t> </w:t>
      </w:r>
      <w:r>
        <w:rPr/>
        <w:t>of</w:t>
      </w:r>
      <w:r>
        <w:rPr>
          <w:spacing w:val="-1"/>
        </w:rPr>
        <w:t> </w:t>
      </w:r>
      <w:r>
        <w:rPr/>
        <w:t>repose</w:t>
      </w:r>
      <w:r>
        <w:rPr>
          <w:spacing w:val="1"/>
        </w:rPr>
        <w:t> </w:t>
      </w:r>
      <w:r>
        <w:rPr/>
        <w:t>was calculated from</w:t>
      </w:r>
      <w:r>
        <w:rPr>
          <w:spacing w:val="-1"/>
        </w:rPr>
        <w:t> </w:t>
      </w:r>
      <w:r>
        <w:rPr/>
        <w:t>a</w:t>
      </w:r>
      <w:r>
        <w:rPr>
          <w:spacing w:val="-1"/>
        </w:rPr>
        <w:t> </w:t>
      </w:r>
      <w:r>
        <w:rPr/>
        <w:t>mean of</w:t>
      </w:r>
      <w:r>
        <w:rPr>
          <w:spacing w:val="-1"/>
        </w:rPr>
        <w:t> </w:t>
      </w:r>
      <w:r>
        <w:rPr/>
        <w:t>four</w:t>
      </w:r>
      <w:r>
        <w:rPr>
          <w:spacing w:val="-1"/>
        </w:rPr>
        <w:t> </w:t>
      </w:r>
      <w:r>
        <w:rPr>
          <w:spacing w:val="-2"/>
        </w:rPr>
        <w:t>determinations.</w:t>
      </w:r>
    </w:p>
    <w:p>
      <w:pPr>
        <w:pStyle w:val="Heading2"/>
        <w:numPr>
          <w:ilvl w:val="1"/>
          <w:numId w:val="34"/>
        </w:numPr>
        <w:tabs>
          <w:tab w:pos="1158" w:val="left" w:leader="none"/>
        </w:tabs>
        <w:spacing w:line="240" w:lineRule="auto" w:before="140" w:after="0"/>
        <w:ind w:left="1158" w:right="0" w:hanging="480"/>
        <w:jc w:val="left"/>
      </w:pPr>
      <w:bookmarkStart w:name="_TOC_250028" w:id="105"/>
      <w:r>
        <w:rPr/>
        <w:t>Preparation</w:t>
      </w:r>
      <w:r>
        <w:rPr>
          <w:spacing w:val="-1"/>
        </w:rPr>
        <w:t> </w:t>
      </w:r>
      <w:r>
        <w:rPr/>
        <w:t>of</w:t>
      </w:r>
      <w:r>
        <w:rPr>
          <w:spacing w:val="-1"/>
        </w:rPr>
        <w:t> </w:t>
      </w:r>
      <w:r>
        <w:rPr/>
        <w:t>powder</w:t>
      </w:r>
      <w:r>
        <w:rPr>
          <w:spacing w:val="-2"/>
        </w:rPr>
        <w:t> </w:t>
      </w:r>
      <w:r>
        <w:rPr/>
        <w:t>mixtures</w:t>
      </w:r>
      <w:r>
        <w:rPr>
          <w:spacing w:val="-2"/>
        </w:rPr>
        <w:t> </w:t>
      </w:r>
      <w:r>
        <w:rPr/>
        <w:t>for</w:t>
      </w:r>
      <w:r>
        <w:rPr>
          <w:spacing w:val="-2"/>
        </w:rPr>
        <w:t> </w:t>
      </w:r>
      <w:r>
        <w:rPr/>
        <w:t>direct</w:t>
      </w:r>
      <w:r>
        <w:rPr>
          <w:spacing w:val="-1"/>
        </w:rPr>
        <w:t> </w:t>
      </w:r>
      <w:bookmarkEnd w:id="105"/>
      <w:r>
        <w:rPr>
          <w:spacing w:val="-2"/>
        </w:rPr>
        <w:t>compression</w:t>
      </w:r>
    </w:p>
    <w:p>
      <w:pPr>
        <w:pStyle w:val="BodyText"/>
        <w:spacing w:line="360" w:lineRule="auto" w:before="274"/>
        <w:ind w:left="678" w:right="993" w:firstLine="720"/>
        <w:jc w:val="both"/>
      </w:pPr>
      <w:r>
        <w:rPr/>
        <w:t>Batches (100 mg) of ethanolic extract of </w:t>
      </w:r>
      <w:r>
        <w:rPr>
          <w:i/>
        </w:rPr>
        <w:t>M. pruriens</w:t>
      </w:r>
      <w:r>
        <w:rPr>
          <w:i/>
          <w:spacing w:val="40"/>
        </w:rPr>
        <w:t> </w:t>
      </w:r>
      <w:r>
        <w:rPr/>
        <w:t>and 400 mg of Avicel, Cellactose and lactose, 350 mg of Avicel, Cellactose and lactose with 50 mg of corn</w:t>
      </w:r>
      <w:r>
        <w:rPr>
          <w:spacing w:val="80"/>
        </w:rPr>
        <w:t> </w:t>
      </w:r>
      <w:r>
        <w:rPr/>
        <w:t>starch to aid disintegration, were</w:t>
      </w:r>
      <w:r>
        <w:rPr>
          <w:spacing w:val="-2"/>
        </w:rPr>
        <w:t> </w:t>
      </w:r>
      <w:r>
        <w:rPr/>
        <w:t>thoroughly</w:t>
      </w:r>
      <w:r>
        <w:rPr>
          <w:spacing w:val="-5"/>
        </w:rPr>
        <w:t> </w:t>
      </w:r>
      <w:r>
        <w:rPr/>
        <w:t>mixed until homogenous in a mortar</w:t>
      </w:r>
      <w:r>
        <w:rPr>
          <w:spacing w:val="-1"/>
        </w:rPr>
        <w:t> </w:t>
      </w:r>
      <w:r>
        <w:rPr/>
        <w:t>and then </w:t>
      </w:r>
      <w:r>
        <w:rPr>
          <w:spacing w:val="-2"/>
        </w:rPr>
        <w:t>compressed.</w:t>
      </w:r>
    </w:p>
    <w:p>
      <w:pPr>
        <w:pStyle w:val="BodyText"/>
      </w:pPr>
    </w:p>
    <w:p>
      <w:pPr>
        <w:pStyle w:val="BodyText"/>
        <w:spacing w:before="122"/>
      </w:pPr>
    </w:p>
    <w:p>
      <w:pPr>
        <w:pStyle w:val="Heading2"/>
        <w:numPr>
          <w:ilvl w:val="2"/>
          <w:numId w:val="38"/>
        </w:numPr>
        <w:tabs>
          <w:tab w:pos="1338" w:val="left" w:leader="none"/>
        </w:tabs>
        <w:spacing w:line="240" w:lineRule="auto" w:before="0" w:after="0"/>
        <w:ind w:left="1338" w:right="0" w:hanging="660"/>
        <w:jc w:val="left"/>
      </w:pPr>
      <w:r>
        <w:rPr/>
        <w:t>Preparation</w:t>
      </w:r>
      <w:r>
        <w:rPr>
          <w:spacing w:val="-1"/>
        </w:rPr>
        <w:t> </w:t>
      </w:r>
      <w:r>
        <w:rPr/>
        <w:t>of</w:t>
      </w:r>
      <w:r>
        <w:rPr>
          <w:spacing w:val="-1"/>
        </w:rPr>
        <w:t> </w:t>
      </w:r>
      <w:r>
        <w:rPr/>
        <w:t>tablets</w:t>
      </w:r>
      <w:r>
        <w:rPr>
          <w:spacing w:val="-2"/>
        </w:rPr>
        <w:t> </w:t>
      </w:r>
      <w:r>
        <w:rPr/>
        <w:t>by</w:t>
      </w:r>
      <w:r>
        <w:rPr>
          <w:spacing w:val="-2"/>
        </w:rPr>
        <w:t> </w:t>
      </w:r>
      <w:r>
        <w:rPr/>
        <w:t>direct</w:t>
      </w:r>
      <w:r>
        <w:rPr>
          <w:spacing w:val="-2"/>
        </w:rPr>
        <w:t> compression</w:t>
      </w:r>
    </w:p>
    <w:p>
      <w:pPr>
        <w:pStyle w:val="BodyText"/>
        <w:spacing w:line="360" w:lineRule="auto" w:before="274"/>
        <w:ind w:left="678" w:right="993" w:firstLine="720"/>
        <w:jc w:val="both"/>
      </w:pPr>
      <w:r>
        <w:rPr/>
        <w:t>Tablets (500 mg) were prepared by direct compression, compressing them at predetermined</w:t>
      </w:r>
      <w:r>
        <w:rPr>
          <w:spacing w:val="-2"/>
        </w:rPr>
        <w:t> </w:t>
      </w:r>
      <w:r>
        <w:rPr/>
        <w:t>loads</w:t>
      </w:r>
      <w:r>
        <w:rPr>
          <w:spacing w:val="-2"/>
        </w:rPr>
        <w:t> </w:t>
      </w:r>
      <w:r>
        <w:rPr/>
        <w:t>of</w:t>
      </w:r>
      <w:r>
        <w:rPr>
          <w:spacing w:val="-3"/>
        </w:rPr>
        <w:t> </w:t>
      </w:r>
      <w:r>
        <w:rPr/>
        <w:t>5 and</w:t>
      </w:r>
      <w:r>
        <w:rPr>
          <w:spacing w:val="-2"/>
        </w:rPr>
        <w:t> </w:t>
      </w:r>
      <w:r>
        <w:rPr/>
        <w:t>10</w:t>
      </w:r>
      <w:r>
        <w:rPr>
          <w:spacing w:val="-2"/>
        </w:rPr>
        <w:t> </w:t>
      </w:r>
      <w:r>
        <w:rPr/>
        <w:t>kN</w:t>
      </w:r>
      <w:r>
        <w:rPr>
          <w:spacing w:val="-2"/>
        </w:rPr>
        <w:t> </w:t>
      </w:r>
      <w:r>
        <w:rPr/>
        <w:t>using</w:t>
      </w:r>
      <w:r>
        <w:rPr>
          <w:spacing w:val="-5"/>
        </w:rPr>
        <w:t> </w:t>
      </w:r>
      <w:r>
        <w:rPr/>
        <w:t>a</w:t>
      </w:r>
      <w:r>
        <w:rPr>
          <w:spacing w:val="-1"/>
        </w:rPr>
        <w:t> </w:t>
      </w:r>
      <w:r>
        <w:rPr/>
        <w:t>Carver</w:t>
      </w:r>
      <w:r>
        <w:rPr>
          <w:spacing w:val="-2"/>
        </w:rPr>
        <w:t> </w:t>
      </w:r>
      <w:r>
        <w:rPr/>
        <w:t>hydraulic</w:t>
      </w:r>
      <w:r>
        <w:rPr>
          <w:spacing w:val="-3"/>
        </w:rPr>
        <w:t> </w:t>
      </w:r>
      <w:r>
        <w:rPr/>
        <w:t>hand</w:t>
      </w:r>
      <w:r>
        <w:rPr>
          <w:spacing w:val="-2"/>
        </w:rPr>
        <w:t> </w:t>
      </w:r>
      <w:r>
        <w:rPr/>
        <w:t>press</w:t>
      </w:r>
      <w:r>
        <w:rPr>
          <w:spacing w:val="-2"/>
        </w:rPr>
        <w:t> </w:t>
      </w:r>
      <w:r>
        <w:rPr/>
        <w:t>(Model</w:t>
      </w:r>
      <w:r>
        <w:rPr>
          <w:spacing w:val="-2"/>
        </w:rPr>
        <w:t> </w:t>
      </w:r>
      <w:r>
        <w:rPr/>
        <w:t>C,</w:t>
      </w:r>
      <w:r>
        <w:rPr>
          <w:spacing w:val="-2"/>
        </w:rPr>
        <w:t> </w:t>
      </w:r>
      <w:r>
        <w:rPr/>
        <w:t>Carver Inc, Menomonee Falls, WI, USA) for a dwell time of 30 sec. Before each compression,</w:t>
      </w:r>
      <w:r>
        <w:rPr>
          <w:spacing w:val="40"/>
        </w:rPr>
        <w:t> </w:t>
      </w:r>
      <w:r>
        <w:rPr/>
        <w:t>the die (10.5 mm diameter) and the flat-faced punches were lubricated with a 2%</w:t>
      </w:r>
      <w:r>
        <w:rPr>
          <w:vertAlign w:val="superscript"/>
        </w:rPr>
        <w:t>w</w:t>
      </w:r>
      <w:r>
        <w:rPr>
          <w:vertAlign w:val="baseline"/>
        </w:rPr>
        <w:t>/</w:t>
      </w:r>
      <w:r>
        <w:rPr>
          <w:vertAlign w:val="subscript"/>
        </w:rPr>
        <w:t>w</w:t>
      </w:r>
      <w:r>
        <w:rPr>
          <w:vertAlign w:val="baseline"/>
        </w:rPr>
        <w:t> dispersion of magnesium stearate in ethanol: ether (1:1) solution. After ejection, the</w:t>
      </w:r>
      <w:r>
        <w:rPr>
          <w:spacing w:val="40"/>
          <w:vertAlign w:val="baseline"/>
        </w:rPr>
        <w:t> </w:t>
      </w:r>
      <w:r>
        <w:rPr>
          <w:vertAlign w:val="baseline"/>
        </w:rPr>
        <w:t>tablets were</w:t>
      </w:r>
      <w:r>
        <w:rPr>
          <w:spacing w:val="-1"/>
          <w:vertAlign w:val="baseline"/>
        </w:rPr>
        <w:t> </w:t>
      </w:r>
      <w:r>
        <w:rPr>
          <w:vertAlign w:val="baseline"/>
        </w:rPr>
        <w:t>stored over silica gel for 24 hours to allow for</w:t>
      </w:r>
      <w:r>
        <w:rPr>
          <w:spacing w:val="-1"/>
          <w:vertAlign w:val="baseline"/>
        </w:rPr>
        <w:t> </w:t>
      </w:r>
      <w:r>
        <w:rPr>
          <w:vertAlign w:val="baseline"/>
        </w:rPr>
        <w:t>hardening and elastic recovery.</w:t>
      </w:r>
    </w:p>
    <w:p>
      <w:pPr>
        <w:pStyle w:val="BodyText"/>
      </w:pPr>
    </w:p>
    <w:p>
      <w:pPr>
        <w:pStyle w:val="BodyText"/>
        <w:spacing w:before="106"/>
      </w:pPr>
    </w:p>
    <w:p>
      <w:pPr>
        <w:pStyle w:val="Heading2"/>
        <w:numPr>
          <w:ilvl w:val="1"/>
          <w:numId w:val="39"/>
        </w:numPr>
        <w:tabs>
          <w:tab w:pos="1337" w:val="left" w:leader="none"/>
        </w:tabs>
        <w:spacing w:line="240" w:lineRule="auto" w:before="0" w:after="0"/>
        <w:ind w:left="1337" w:right="0" w:hanging="659"/>
        <w:jc w:val="left"/>
      </w:pPr>
      <w:bookmarkStart w:name="_TOC_250027" w:id="106"/>
      <w:r>
        <w:rPr/>
        <w:t>Preparation</w:t>
      </w:r>
      <w:r>
        <w:rPr>
          <w:spacing w:val="-1"/>
        </w:rPr>
        <w:t> </w:t>
      </w:r>
      <w:r>
        <w:rPr/>
        <w:t>of granules for</w:t>
      </w:r>
      <w:r>
        <w:rPr>
          <w:spacing w:val="-4"/>
        </w:rPr>
        <w:t> </w:t>
      </w:r>
      <w:r>
        <w:rPr/>
        <w:t>wet</w:t>
      </w:r>
      <w:r>
        <w:rPr>
          <w:spacing w:val="-1"/>
        </w:rPr>
        <w:t> </w:t>
      </w:r>
      <w:bookmarkEnd w:id="106"/>
      <w:r>
        <w:rPr>
          <w:spacing w:val="-2"/>
        </w:rPr>
        <w:t>granulation</w:t>
      </w:r>
    </w:p>
    <w:p>
      <w:pPr>
        <w:pStyle w:val="BodyText"/>
        <w:spacing w:line="360" w:lineRule="auto" w:before="274"/>
        <w:ind w:left="678" w:right="994" w:firstLine="720"/>
        <w:jc w:val="both"/>
      </w:pPr>
      <w:r>
        <w:rPr/>
        <w:t>Batches (100 g) of a basic formula of drug (20% </w:t>
      </w:r>
      <w:r>
        <w:rPr>
          <w:vertAlign w:val="superscript"/>
        </w:rPr>
        <w:t>w</w:t>
      </w:r>
      <w:r>
        <w:rPr>
          <w:vertAlign w:val="baseline"/>
        </w:rPr>
        <w:t>/</w:t>
      </w:r>
      <w:r>
        <w:rPr>
          <w:vertAlign w:val="subscript"/>
        </w:rPr>
        <w:t>w</w:t>
      </w:r>
      <w:r>
        <w:rPr>
          <w:vertAlign w:val="baseline"/>
        </w:rPr>
        <w:t>), lactose (70%</w:t>
      </w:r>
      <w:r>
        <w:rPr>
          <w:vertAlign w:val="superscript"/>
        </w:rPr>
        <w:t>w</w:t>
      </w:r>
      <w:r>
        <w:rPr>
          <w:vertAlign w:val="baseline"/>
        </w:rPr>
        <w:t>/</w:t>
      </w:r>
      <w:r>
        <w:rPr>
          <w:vertAlign w:val="subscript"/>
        </w:rPr>
        <w:t>w</w:t>
      </w:r>
      <w:r>
        <w:rPr>
          <w:vertAlign w:val="baseline"/>
        </w:rPr>
        <w:t>) and corn starch (10%</w:t>
      </w:r>
      <w:r>
        <w:rPr>
          <w:vertAlign w:val="superscript"/>
        </w:rPr>
        <w:t>w</w:t>
      </w:r>
      <w:r>
        <w:rPr>
          <w:vertAlign w:val="baseline"/>
        </w:rPr>
        <w:t>/</w:t>
      </w:r>
      <w:r>
        <w:rPr>
          <w:vertAlign w:val="subscript"/>
        </w:rPr>
        <w:t>w</w:t>
      </w:r>
      <w:r>
        <w:rPr>
          <w:vertAlign w:val="baseline"/>
        </w:rPr>
        <w:t>) were dry-mixed for 5 min in a Kenwood planetary mixer and then moistened with the prepared 1%</w:t>
      </w:r>
      <w:r>
        <w:rPr>
          <w:vertAlign w:val="superscript"/>
        </w:rPr>
        <w:t>w</w:t>
      </w:r>
      <w:r>
        <w:rPr>
          <w:vertAlign w:val="baseline"/>
        </w:rPr>
        <w:t>/</w:t>
      </w:r>
      <w:r>
        <w:rPr>
          <w:vertAlign w:val="subscript"/>
        </w:rPr>
        <w:t>w</w:t>
      </w:r>
      <w:r>
        <w:rPr>
          <w:vertAlign w:val="baseline"/>
        </w:rPr>
        <w:t> or 4%</w:t>
      </w:r>
      <w:r>
        <w:rPr>
          <w:vertAlign w:val="superscript"/>
        </w:rPr>
        <w:t>w</w:t>
      </w:r>
      <w:r>
        <w:rPr>
          <w:vertAlign w:val="baseline"/>
        </w:rPr>
        <w:t>/</w:t>
      </w:r>
      <w:r>
        <w:rPr>
          <w:vertAlign w:val="subscript"/>
        </w:rPr>
        <w:t>w</w:t>
      </w:r>
      <w:r>
        <w:rPr>
          <w:vertAlign w:val="baseline"/>
        </w:rPr>
        <w:t> concentration of binder solution, (PVP or corn starch) mucilage to produce granules. Massing was continued for 5 min and the wet masses</w:t>
      </w:r>
      <w:r>
        <w:rPr>
          <w:spacing w:val="42"/>
          <w:vertAlign w:val="baseline"/>
        </w:rPr>
        <w:t> </w:t>
      </w:r>
      <w:r>
        <w:rPr>
          <w:vertAlign w:val="baseline"/>
        </w:rPr>
        <w:t>were</w:t>
      </w:r>
      <w:r>
        <w:rPr>
          <w:spacing w:val="43"/>
          <w:vertAlign w:val="baseline"/>
        </w:rPr>
        <w:t> </w:t>
      </w:r>
      <w:r>
        <w:rPr>
          <w:vertAlign w:val="baseline"/>
        </w:rPr>
        <w:t>granulated</w:t>
      </w:r>
      <w:r>
        <w:rPr>
          <w:spacing w:val="43"/>
          <w:vertAlign w:val="baseline"/>
        </w:rPr>
        <w:t> </w:t>
      </w:r>
      <w:r>
        <w:rPr>
          <w:vertAlign w:val="baseline"/>
        </w:rPr>
        <w:t>by</w:t>
      </w:r>
      <w:r>
        <w:rPr>
          <w:spacing w:val="35"/>
          <w:vertAlign w:val="baseline"/>
        </w:rPr>
        <w:t> </w:t>
      </w:r>
      <w:r>
        <w:rPr>
          <w:vertAlign w:val="baseline"/>
        </w:rPr>
        <w:t>passing</w:t>
      </w:r>
      <w:r>
        <w:rPr>
          <w:spacing w:val="39"/>
          <w:vertAlign w:val="baseline"/>
        </w:rPr>
        <w:t> </w:t>
      </w:r>
      <w:r>
        <w:rPr>
          <w:vertAlign w:val="baseline"/>
        </w:rPr>
        <w:t>them</w:t>
      </w:r>
      <w:r>
        <w:rPr>
          <w:spacing w:val="42"/>
          <w:vertAlign w:val="baseline"/>
        </w:rPr>
        <w:t> </w:t>
      </w:r>
      <w:r>
        <w:rPr>
          <w:vertAlign w:val="baseline"/>
        </w:rPr>
        <w:t>manually</w:t>
      </w:r>
      <w:r>
        <w:rPr>
          <w:spacing w:val="38"/>
          <w:vertAlign w:val="baseline"/>
        </w:rPr>
        <w:t> </w:t>
      </w:r>
      <w:r>
        <w:rPr>
          <w:vertAlign w:val="baseline"/>
        </w:rPr>
        <w:t>through</w:t>
      </w:r>
      <w:r>
        <w:rPr>
          <w:spacing w:val="41"/>
          <w:vertAlign w:val="baseline"/>
        </w:rPr>
        <w:t> </w:t>
      </w:r>
      <w:r>
        <w:rPr>
          <w:vertAlign w:val="baseline"/>
        </w:rPr>
        <w:t>a</w:t>
      </w:r>
      <w:r>
        <w:rPr>
          <w:spacing w:val="42"/>
          <w:vertAlign w:val="baseline"/>
        </w:rPr>
        <w:t> </w:t>
      </w:r>
      <w:r>
        <w:rPr>
          <w:vertAlign w:val="baseline"/>
        </w:rPr>
        <w:t>No12</w:t>
      </w:r>
      <w:r>
        <w:rPr>
          <w:spacing w:val="41"/>
          <w:vertAlign w:val="baseline"/>
        </w:rPr>
        <w:t> </w:t>
      </w:r>
      <w:r>
        <w:rPr>
          <w:vertAlign w:val="baseline"/>
        </w:rPr>
        <w:t>mesh</w:t>
      </w:r>
      <w:r>
        <w:rPr>
          <w:spacing w:val="42"/>
          <w:vertAlign w:val="baseline"/>
        </w:rPr>
        <w:t> </w:t>
      </w:r>
      <w:r>
        <w:rPr>
          <w:vertAlign w:val="baseline"/>
        </w:rPr>
        <w:t>sieve</w:t>
      </w:r>
      <w:r>
        <w:rPr>
          <w:spacing w:val="41"/>
          <w:vertAlign w:val="baseline"/>
        </w:rPr>
        <w:t> </w:t>
      </w:r>
      <w:r>
        <w:rPr>
          <w:spacing w:val="-2"/>
          <w:vertAlign w:val="baseline"/>
        </w:rPr>
        <w:t>(1,400</w:t>
      </w:r>
    </w:p>
    <w:p>
      <w:pPr>
        <w:pStyle w:val="BodyText"/>
        <w:spacing w:line="360" w:lineRule="auto"/>
        <w:ind w:left="678" w:right="997"/>
        <w:jc w:val="both"/>
      </w:pPr>
      <w:r>
        <w:rPr>
          <w:rFonts w:ascii="Symbol" w:hAnsi="Symbol"/>
        </w:rPr>
        <w:t></w:t>
      </w:r>
      <w:r>
        <w:rPr/>
        <w:t>m), dried in hot air oven for 18 hour at 50</w:t>
      </w:r>
      <w:r>
        <w:rPr>
          <w:vertAlign w:val="superscript"/>
        </w:rPr>
        <w:t>o</w:t>
      </w:r>
      <w:r>
        <w:rPr>
          <w:vertAlign w:val="baseline"/>
        </w:rPr>
        <w:t>C, and then resieved through a No16 mesh</w:t>
      </w:r>
      <w:r>
        <w:rPr>
          <w:spacing w:val="40"/>
          <w:vertAlign w:val="baseline"/>
        </w:rPr>
        <w:t> </w:t>
      </w:r>
      <w:r>
        <w:rPr>
          <w:vertAlign w:val="baseline"/>
        </w:rPr>
        <w:t>size (1,000 </w:t>
      </w:r>
      <w:r>
        <w:rPr>
          <w:rFonts w:ascii="Symbol" w:hAnsi="Symbol"/>
          <w:vertAlign w:val="baseline"/>
        </w:rPr>
        <w:t></w:t>
      </w:r>
      <w:r>
        <w:rPr>
          <w:vertAlign w:val="baseline"/>
        </w:rPr>
        <w:t>m) to break aggregates and then dried again in a hot air oven for 24 hours. The moisture content of the granule formulations was determined with an Ohaus moisture balance (Ohaus Scale Corporation, USA). The granules were stored in airtight containers.</w:t>
      </w:r>
    </w:p>
    <w:p>
      <w:pPr>
        <w:pStyle w:val="BodyText"/>
        <w:spacing w:before="3"/>
      </w:pPr>
    </w:p>
    <w:p>
      <w:pPr>
        <w:pStyle w:val="Heading2"/>
        <w:numPr>
          <w:ilvl w:val="2"/>
          <w:numId w:val="39"/>
        </w:numPr>
        <w:tabs>
          <w:tab w:pos="1338" w:val="left" w:leader="none"/>
        </w:tabs>
        <w:spacing w:line="240" w:lineRule="auto" w:before="1" w:after="0"/>
        <w:ind w:left="1338" w:right="0" w:hanging="660"/>
        <w:jc w:val="left"/>
      </w:pPr>
      <w:bookmarkStart w:name="_TOC_250026" w:id="107"/>
      <w:r>
        <w:rPr/>
        <w:t>Granule</w:t>
      </w:r>
      <w:r>
        <w:rPr>
          <w:spacing w:val="-3"/>
        </w:rPr>
        <w:t> </w:t>
      </w:r>
      <w:r>
        <w:rPr/>
        <w:t>size</w:t>
      </w:r>
      <w:bookmarkEnd w:id="107"/>
      <w:r>
        <w:rPr>
          <w:spacing w:val="-2"/>
        </w:rPr>
        <w:t> distribution</w:t>
      </w:r>
    </w:p>
    <w:p>
      <w:pPr>
        <w:pStyle w:val="BodyText"/>
        <w:spacing w:line="360" w:lineRule="auto" w:before="254"/>
        <w:ind w:left="678" w:right="994" w:firstLine="720"/>
        <w:jc w:val="both"/>
      </w:pPr>
      <w:r>
        <w:rPr/>
        <w:t>The</w:t>
      </w:r>
      <w:r>
        <w:rPr>
          <w:spacing w:val="-2"/>
        </w:rPr>
        <w:t> </w:t>
      </w:r>
      <w:r>
        <w:rPr/>
        <w:t>size</w:t>
      </w:r>
      <w:r>
        <w:rPr>
          <w:spacing w:val="-1"/>
        </w:rPr>
        <w:t> </w:t>
      </w:r>
      <w:r>
        <w:rPr/>
        <w:t>distribution of</w:t>
      </w:r>
      <w:r>
        <w:rPr>
          <w:spacing w:val="-1"/>
        </w:rPr>
        <w:t> </w:t>
      </w:r>
      <w:r>
        <w:rPr/>
        <w:t>the granules were</w:t>
      </w:r>
      <w:r>
        <w:rPr>
          <w:spacing w:val="-1"/>
        </w:rPr>
        <w:t> </w:t>
      </w:r>
      <w:r>
        <w:rPr/>
        <w:t>determined in triplicate</w:t>
      </w:r>
      <w:r>
        <w:rPr>
          <w:spacing w:val="-1"/>
        </w:rPr>
        <w:t> </w:t>
      </w:r>
      <w:r>
        <w:rPr/>
        <w:t>by</w:t>
      </w:r>
      <w:r>
        <w:rPr>
          <w:spacing w:val="-5"/>
        </w:rPr>
        <w:t> </w:t>
      </w:r>
      <w:r>
        <w:rPr/>
        <w:t>sieve analysis method</w:t>
      </w:r>
      <w:r>
        <w:rPr>
          <w:spacing w:val="-1"/>
        </w:rPr>
        <w:t> </w:t>
      </w:r>
      <w:r>
        <w:rPr/>
        <w:t>(British Standard</w:t>
      </w:r>
      <w:r>
        <w:rPr>
          <w:spacing w:val="1"/>
        </w:rPr>
        <w:t> </w:t>
      </w:r>
      <w:r>
        <w:rPr/>
        <w:t>410,</w:t>
      </w:r>
      <w:r>
        <w:rPr>
          <w:spacing w:val="-1"/>
        </w:rPr>
        <w:t> </w:t>
      </w:r>
      <w:r>
        <w:rPr/>
        <w:t>1962)</w:t>
      </w:r>
      <w:r>
        <w:rPr>
          <w:spacing w:val="-1"/>
        </w:rPr>
        <w:t> </w:t>
      </w:r>
      <w:r>
        <w:rPr/>
        <w:t>using</w:t>
      </w:r>
      <w:r>
        <w:rPr>
          <w:spacing w:val="-3"/>
        </w:rPr>
        <w:t> </w:t>
      </w:r>
      <w:r>
        <w:rPr/>
        <w:t>standard sieves</w:t>
      </w:r>
      <w:r>
        <w:rPr>
          <w:spacing w:val="-1"/>
        </w:rPr>
        <w:t> </w:t>
      </w:r>
      <w:r>
        <w:rPr/>
        <w:t>of sizes 12</w:t>
      </w:r>
      <w:r>
        <w:rPr>
          <w:spacing w:val="-1"/>
        </w:rPr>
        <w:t> </w:t>
      </w:r>
      <w:r>
        <w:rPr/>
        <w:t>mesh (1400 µm), </w:t>
      </w:r>
      <w:r>
        <w:rPr>
          <w:spacing w:val="-5"/>
        </w:rPr>
        <w:t>16</w:t>
      </w:r>
    </w:p>
    <w:p>
      <w:pPr>
        <w:spacing w:after="0" w:line="360" w:lineRule="auto"/>
        <w:jc w:val="both"/>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68576">
                <wp:simplePos x="0" y="0"/>
                <wp:positionH relativeFrom="page">
                  <wp:posOffset>-1402226</wp:posOffset>
                </wp:positionH>
                <wp:positionV relativeFrom="page">
                  <wp:posOffset>4612234</wp:posOffset>
                </wp:positionV>
                <wp:extent cx="10685780" cy="9144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7904;rotation:306" type="#_x0000_t136" fillcolor="#ff5400" stroked="f">
                <o:extrusion v:ext="view" autorotationcenter="t"/>
                <v:textpath style="font-family:&quot;Arial MT&quot;;font-size:72pt;v-text-kern:t;mso-text-shadow:auto" string="UNIVERSITY OF IBADAN"/>
                <w10:wrap type="none"/>
              </v:shape>
            </w:pict>
          </mc:Fallback>
        </mc:AlternateContent>
      </w:r>
      <w:r>
        <w:rPr/>
        <w:t>mesh (1000 µm), 22 mesh (710 µm), 30 mesh (500 µm), 44 mesh (355µm), 60 mesh (250 µm) and the receiver.</w:t>
      </w:r>
    </w:p>
    <w:p>
      <w:pPr>
        <w:pStyle w:val="BodyText"/>
        <w:spacing w:before="142"/>
      </w:pPr>
    </w:p>
    <w:p>
      <w:pPr>
        <w:pStyle w:val="Heading2"/>
        <w:numPr>
          <w:ilvl w:val="2"/>
          <w:numId w:val="40"/>
        </w:numPr>
        <w:tabs>
          <w:tab w:pos="1338" w:val="left" w:leader="none"/>
        </w:tabs>
        <w:spacing w:line="240" w:lineRule="auto" w:before="1" w:after="0"/>
        <w:ind w:left="1338" w:right="0" w:hanging="660"/>
        <w:jc w:val="both"/>
      </w:pPr>
      <w:bookmarkStart w:name="_TOC_250025" w:id="108"/>
      <w:r>
        <w:rPr/>
        <w:t>Compression</w:t>
      </w:r>
      <w:r>
        <w:rPr>
          <w:spacing w:val="-1"/>
        </w:rPr>
        <w:t> </w:t>
      </w:r>
      <w:r>
        <w:rPr/>
        <w:t>of</w:t>
      </w:r>
      <w:r>
        <w:rPr>
          <w:spacing w:val="-1"/>
        </w:rPr>
        <w:t> </w:t>
      </w:r>
      <w:bookmarkEnd w:id="108"/>
      <w:r>
        <w:rPr>
          <w:spacing w:val="-2"/>
        </w:rPr>
        <w:t>tablets</w:t>
      </w:r>
    </w:p>
    <w:p>
      <w:pPr>
        <w:pStyle w:val="BodyText"/>
        <w:spacing w:line="360" w:lineRule="auto" w:before="134"/>
        <w:ind w:left="678" w:right="994" w:firstLine="720"/>
        <w:jc w:val="both"/>
      </w:pPr>
      <w:r>
        <w:rPr/>
        <w:t>Tablets (500 mg) were prepared from 500-1000 </w:t>
      </w:r>
      <w:r>
        <w:rPr>
          <w:rFonts w:ascii="Symbol" w:hAnsi="Symbol"/>
        </w:rPr>
        <w:t></w:t>
      </w:r>
      <w:r>
        <w:rPr/>
        <w:t>m size fractions of granule formulation by compressing at predetermined loads 5 and 10 kN using a Carver hydraulic hand press (Model C, Carver Inc, Menomonee Falls, WI, USA) at dwell time of 30 sec. Before each compression, the die (10.5 mm diameter) and the flat-faced punches were lubricated with a 2%</w:t>
      </w:r>
      <w:r>
        <w:rPr>
          <w:vertAlign w:val="superscript"/>
        </w:rPr>
        <w:t>w</w:t>
      </w:r>
      <w:r>
        <w:rPr>
          <w:vertAlign w:val="baseline"/>
        </w:rPr>
        <w:t>/</w:t>
      </w:r>
      <w:r>
        <w:rPr>
          <w:vertAlign w:val="subscript"/>
        </w:rPr>
        <w:t>w</w:t>
      </w:r>
      <w:r>
        <w:rPr>
          <w:vertAlign w:val="baseline"/>
        </w:rPr>
        <w:t> dispersion of magnesium stearate in ethanol: ether (1:1) solution. After ejection, the tablets were stored over silica solution gel for 24 hours to allow hardening and elastic recovery as was done for tablets prepared by direct compression.</w:t>
      </w:r>
    </w:p>
    <w:p>
      <w:pPr>
        <w:pStyle w:val="BodyText"/>
        <w:spacing w:before="263"/>
      </w:pPr>
    </w:p>
    <w:p>
      <w:pPr>
        <w:pStyle w:val="Heading2"/>
        <w:numPr>
          <w:ilvl w:val="1"/>
          <w:numId w:val="39"/>
        </w:numPr>
        <w:tabs>
          <w:tab w:pos="1398" w:val="left" w:leader="none"/>
        </w:tabs>
        <w:spacing w:line="240" w:lineRule="auto" w:before="0" w:after="0"/>
        <w:ind w:left="1398" w:right="0" w:hanging="720"/>
        <w:jc w:val="both"/>
      </w:pPr>
      <w:bookmarkStart w:name="_TOC_250024" w:id="109"/>
      <w:r>
        <w:rPr/>
        <w:t>Evaluation</w:t>
      </w:r>
      <w:r>
        <w:rPr>
          <w:spacing w:val="-1"/>
        </w:rPr>
        <w:t> </w:t>
      </w:r>
      <w:r>
        <w:rPr/>
        <w:t>of tablet</w:t>
      </w:r>
      <w:bookmarkEnd w:id="109"/>
      <w:r>
        <w:rPr>
          <w:spacing w:val="-2"/>
        </w:rPr>
        <w:t> properties</w:t>
      </w:r>
    </w:p>
    <w:p>
      <w:pPr>
        <w:pStyle w:val="Heading2"/>
        <w:numPr>
          <w:ilvl w:val="2"/>
          <w:numId w:val="39"/>
        </w:numPr>
        <w:tabs>
          <w:tab w:pos="1338" w:val="left" w:leader="none"/>
        </w:tabs>
        <w:spacing w:line="240" w:lineRule="auto" w:before="137" w:after="0"/>
        <w:ind w:left="1338" w:right="0" w:hanging="660"/>
        <w:jc w:val="both"/>
      </w:pPr>
      <w:bookmarkStart w:name="_TOC_250023" w:id="110"/>
      <w:r>
        <w:rPr/>
        <w:t>Test</w:t>
      </w:r>
      <w:r>
        <w:rPr>
          <w:spacing w:val="-2"/>
        </w:rPr>
        <w:t> </w:t>
      </w:r>
      <w:r>
        <w:rPr/>
        <w:t>for</w:t>
      </w:r>
      <w:r>
        <w:rPr>
          <w:spacing w:val="-2"/>
        </w:rPr>
        <w:t> </w:t>
      </w:r>
      <w:r>
        <w:rPr/>
        <w:t>uniformity</w:t>
      </w:r>
      <w:r>
        <w:rPr>
          <w:spacing w:val="-1"/>
        </w:rPr>
        <w:t> </w:t>
      </w:r>
      <w:r>
        <w:rPr/>
        <w:t>of </w:t>
      </w:r>
      <w:bookmarkEnd w:id="110"/>
      <w:r>
        <w:rPr>
          <w:spacing w:val="-2"/>
        </w:rPr>
        <w:t>weight</w:t>
      </w:r>
    </w:p>
    <w:p>
      <w:pPr>
        <w:pStyle w:val="BodyText"/>
        <w:spacing w:line="360" w:lineRule="auto" w:before="134"/>
        <w:ind w:left="678" w:right="992" w:firstLine="720"/>
        <w:jc w:val="both"/>
      </w:pPr>
      <w:r>
        <w:rPr/>
        <w:t>Ten tablets were weighed individually and collectively using Ohaus laboratory balance (Model: TP 2005, Serial No 1673: 200 g, Ohaus Corporation, Florham Park, New Jersey, USA) and the average weight determined for each batch. The percentage deviation was then calculated from the average weight.</w:t>
      </w:r>
    </w:p>
    <w:p>
      <w:pPr>
        <w:pStyle w:val="BodyText"/>
        <w:spacing w:before="142"/>
      </w:pPr>
    </w:p>
    <w:p>
      <w:pPr>
        <w:pStyle w:val="Heading2"/>
        <w:numPr>
          <w:ilvl w:val="2"/>
          <w:numId w:val="39"/>
        </w:numPr>
        <w:tabs>
          <w:tab w:pos="1338" w:val="left" w:leader="none"/>
        </w:tabs>
        <w:spacing w:line="240" w:lineRule="auto" w:before="0" w:after="0"/>
        <w:ind w:left="1338" w:right="0" w:hanging="660"/>
        <w:jc w:val="both"/>
      </w:pPr>
      <w:bookmarkStart w:name="_TOC_250022" w:id="111"/>
      <w:r>
        <w:rPr/>
        <w:t>Determination</w:t>
      </w:r>
      <w:r>
        <w:rPr>
          <w:spacing w:val="-3"/>
        </w:rPr>
        <w:t> </w:t>
      </w:r>
      <w:r>
        <w:rPr/>
        <w:t>of</w:t>
      </w:r>
      <w:r>
        <w:rPr>
          <w:spacing w:val="-2"/>
        </w:rPr>
        <w:t> </w:t>
      </w:r>
      <w:r>
        <w:rPr/>
        <w:t>tablet</w:t>
      </w:r>
      <w:r>
        <w:rPr>
          <w:spacing w:val="-4"/>
        </w:rPr>
        <w:t> </w:t>
      </w:r>
      <w:r>
        <w:rPr/>
        <w:t>crushing</w:t>
      </w:r>
      <w:r>
        <w:rPr>
          <w:spacing w:val="-1"/>
        </w:rPr>
        <w:t> </w:t>
      </w:r>
      <w:r>
        <w:rPr/>
        <w:t>strength</w:t>
      </w:r>
      <w:r>
        <w:rPr>
          <w:spacing w:val="-2"/>
        </w:rPr>
        <w:t> </w:t>
      </w:r>
      <w:r>
        <w:rPr/>
        <w:t>and</w:t>
      </w:r>
      <w:r>
        <w:rPr>
          <w:spacing w:val="-3"/>
        </w:rPr>
        <w:t> </w:t>
      </w:r>
      <w:bookmarkEnd w:id="111"/>
      <w:r>
        <w:rPr>
          <w:spacing w:val="-2"/>
        </w:rPr>
        <w:t>friability</w:t>
      </w:r>
    </w:p>
    <w:p>
      <w:pPr>
        <w:pStyle w:val="BodyText"/>
        <w:spacing w:line="360" w:lineRule="auto" w:before="135"/>
        <w:ind w:left="678" w:right="992" w:firstLine="720"/>
        <w:jc w:val="both"/>
      </w:pPr>
      <w:r>
        <w:rPr/>
        <w:t>The load (N) required to diametrically break the tablet was determined at room temperature using a PTB 301 crushing strength tester (Pharmatest, Switzerland). Four tablets randomly selected from each batch were used for the test. The average reading for four tablets was taken as the crushing strength of each batch.</w:t>
      </w:r>
    </w:p>
    <w:p>
      <w:pPr>
        <w:pStyle w:val="BodyText"/>
        <w:spacing w:line="360" w:lineRule="auto"/>
        <w:ind w:left="678" w:right="995" w:firstLine="720"/>
        <w:jc w:val="both"/>
      </w:pPr>
      <w:r>
        <w:rPr/>
        <w:t>The percentage friability of the tablets also was determined using a scientific friabilator (Model TF 2D, Scientific Equipment Ltd., Bombay, India) operated at 25 rpm for 4 min. Ten tablets were used for each sample.</w:t>
      </w:r>
    </w:p>
    <w:p>
      <w:pPr>
        <w:pStyle w:val="BodyText"/>
        <w:spacing w:before="143"/>
      </w:pPr>
    </w:p>
    <w:p>
      <w:pPr>
        <w:pStyle w:val="Heading2"/>
        <w:numPr>
          <w:ilvl w:val="2"/>
          <w:numId w:val="39"/>
        </w:numPr>
        <w:tabs>
          <w:tab w:pos="1338" w:val="left" w:leader="none"/>
        </w:tabs>
        <w:spacing w:line="240" w:lineRule="auto" w:before="0" w:after="0"/>
        <w:ind w:left="1338" w:right="0" w:hanging="660"/>
        <w:jc w:val="both"/>
      </w:pPr>
      <w:bookmarkStart w:name="_TOC_250021" w:id="112"/>
      <w:r>
        <w:rPr/>
        <w:t>Determination</w:t>
      </w:r>
      <w:r>
        <w:rPr>
          <w:spacing w:val="-2"/>
        </w:rPr>
        <w:t> </w:t>
      </w:r>
      <w:r>
        <w:rPr/>
        <w:t>of</w:t>
      </w:r>
      <w:r>
        <w:rPr>
          <w:spacing w:val="-3"/>
        </w:rPr>
        <w:t> </w:t>
      </w:r>
      <w:r>
        <w:rPr/>
        <w:t>disintegration</w:t>
      </w:r>
      <w:r>
        <w:rPr>
          <w:spacing w:val="-1"/>
        </w:rPr>
        <w:t> </w:t>
      </w:r>
      <w:bookmarkEnd w:id="112"/>
      <w:r>
        <w:rPr>
          <w:spacing w:val="-4"/>
        </w:rPr>
        <w:t>time</w:t>
      </w:r>
    </w:p>
    <w:p>
      <w:pPr>
        <w:pStyle w:val="BodyText"/>
        <w:spacing w:before="132"/>
        <w:ind w:left="1458"/>
        <w:rPr>
          <w:rFonts w:ascii="Symbol" w:hAnsi="Symbol"/>
        </w:rPr>
      </w:pPr>
      <w:r>
        <w:rPr/>
        <w:t>The</w:t>
      </w:r>
      <w:r>
        <w:rPr>
          <w:spacing w:val="29"/>
        </w:rPr>
        <w:t> </w:t>
      </w:r>
      <w:r>
        <w:rPr/>
        <w:t>disintegration</w:t>
      </w:r>
      <w:r>
        <w:rPr>
          <w:spacing w:val="32"/>
        </w:rPr>
        <w:t> </w:t>
      </w:r>
      <w:r>
        <w:rPr/>
        <w:t>time</w:t>
      </w:r>
      <w:r>
        <w:rPr>
          <w:spacing w:val="31"/>
        </w:rPr>
        <w:t> </w:t>
      </w:r>
      <w:r>
        <w:rPr/>
        <w:t>of</w:t>
      </w:r>
      <w:r>
        <w:rPr>
          <w:spacing w:val="32"/>
        </w:rPr>
        <w:t> </w:t>
      </w:r>
      <w:r>
        <w:rPr/>
        <w:t>the</w:t>
      </w:r>
      <w:r>
        <w:rPr>
          <w:spacing w:val="31"/>
        </w:rPr>
        <w:t> </w:t>
      </w:r>
      <w:r>
        <w:rPr/>
        <w:t>tablets</w:t>
      </w:r>
      <w:r>
        <w:rPr>
          <w:spacing w:val="33"/>
        </w:rPr>
        <w:t> </w:t>
      </w:r>
      <w:r>
        <w:rPr/>
        <w:t>was</w:t>
      </w:r>
      <w:r>
        <w:rPr>
          <w:spacing w:val="33"/>
        </w:rPr>
        <w:t> </w:t>
      </w:r>
      <w:r>
        <w:rPr/>
        <w:t>determined</w:t>
      </w:r>
      <w:r>
        <w:rPr>
          <w:spacing w:val="32"/>
        </w:rPr>
        <w:t> </w:t>
      </w:r>
      <w:r>
        <w:rPr/>
        <w:t>in</w:t>
      </w:r>
      <w:r>
        <w:rPr>
          <w:spacing w:val="35"/>
        </w:rPr>
        <w:t> </w:t>
      </w:r>
      <w:r>
        <w:rPr/>
        <w:t>distilled</w:t>
      </w:r>
      <w:r>
        <w:rPr>
          <w:spacing w:val="32"/>
        </w:rPr>
        <w:t> </w:t>
      </w:r>
      <w:r>
        <w:rPr/>
        <w:t>water</w:t>
      </w:r>
      <w:r>
        <w:rPr>
          <w:spacing w:val="31"/>
        </w:rPr>
        <w:t> </w:t>
      </w:r>
      <w:r>
        <w:rPr/>
        <w:t>at</w:t>
      </w:r>
      <w:r>
        <w:rPr>
          <w:spacing w:val="32"/>
        </w:rPr>
        <w:t> </w:t>
      </w:r>
      <w:r>
        <w:rPr/>
        <w:t>37</w:t>
      </w:r>
      <w:r>
        <w:rPr>
          <w:spacing w:val="35"/>
        </w:rPr>
        <w:t> </w:t>
      </w:r>
      <w:r>
        <w:rPr>
          <w:rFonts w:ascii="Symbol" w:hAnsi="Symbol"/>
          <w:spacing w:val="-10"/>
        </w:rPr>
        <w:t></w:t>
      </w:r>
    </w:p>
    <w:p>
      <w:pPr>
        <w:pStyle w:val="BodyText"/>
        <w:spacing w:before="148"/>
        <w:ind w:left="678"/>
      </w:pPr>
      <w:r>
        <w:rPr/>
        <w:t>0.5</w:t>
      </w:r>
      <w:r>
        <w:rPr>
          <w:vertAlign w:val="superscript"/>
        </w:rPr>
        <w:t>0</w:t>
      </w:r>
      <w:r>
        <w:rPr>
          <w:vertAlign w:val="baseline"/>
        </w:rPr>
        <w:t>C</w:t>
      </w:r>
      <w:r>
        <w:rPr>
          <w:spacing w:val="75"/>
          <w:vertAlign w:val="baseline"/>
        </w:rPr>
        <w:t> </w:t>
      </w:r>
      <w:r>
        <w:rPr>
          <w:vertAlign w:val="baseline"/>
        </w:rPr>
        <w:t>using</w:t>
      </w:r>
      <w:r>
        <w:rPr>
          <w:spacing w:val="74"/>
          <w:vertAlign w:val="baseline"/>
        </w:rPr>
        <w:t> </w:t>
      </w:r>
      <w:r>
        <w:rPr>
          <w:vertAlign w:val="baseline"/>
        </w:rPr>
        <w:t>an</w:t>
      </w:r>
      <w:r>
        <w:rPr>
          <w:spacing w:val="75"/>
          <w:vertAlign w:val="baseline"/>
        </w:rPr>
        <w:t> </w:t>
      </w:r>
      <w:r>
        <w:rPr>
          <w:vertAlign w:val="baseline"/>
        </w:rPr>
        <w:t>Erweka</w:t>
      </w:r>
      <w:r>
        <w:rPr>
          <w:spacing w:val="76"/>
          <w:vertAlign w:val="baseline"/>
        </w:rPr>
        <w:t> </w:t>
      </w:r>
      <w:r>
        <w:rPr>
          <w:vertAlign w:val="baseline"/>
        </w:rPr>
        <w:t>disintegration</w:t>
      </w:r>
      <w:r>
        <w:rPr>
          <w:spacing w:val="75"/>
          <w:vertAlign w:val="baseline"/>
        </w:rPr>
        <w:t> </w:t>
      </w:r>
      <w:r>
        <w:rPr>
          <w:vertAlign w:val="baseline"/>
        </w:rPr>
        <w:t>time</w:t>
      </w:r>
      <w:r>
        <w:rPr>
          <w:spacing w:val="78"/>
          <w:vertAlign w:val="baseline"/>
        </w:rPr>
        <w:t> </w:t>
      </w:r>
      <w:r>
        <w:rPr>
          <w:vertAlign w:val="baseline"/>
        </w:rPr>
        <w:t>apparatus</w:t>
      </w:r>
      <w:r>
        <w:rPr>
          <w:spacing w:val="76"/>
          <w:vertAlign w:val="baseline"/>
        </w:rPr>
        <w:t> </w:t>
      </w:r>
      <w:r>
        <w:rPr>
          <w:vertAlign w:val="baseline"/>
        </w:rPr>
        <w:t>(Model:</w:t>
      </w:r>
      <w:r>
        <w:rPr>
          <w:spacing w:val="76"/>
          <w:vertAlign w:val="baseline"/>
        </w:rPr>
        <w:t> </w:t>
      </w:r>
      <w:r>
        <w:rPr>
          <w:vertAlign w:val="baseline"/>
        </w:rPr>
        <w:t>Copley</w:t>
      </w:r>
      <w:r>
        <w:rPr>
          <w:spacing w:val="73"/>
          <w:vertAlign w:val="baseline"/>
        </w:rPr>
        <w:t> </w:t>
      </w:r>
      <w:r>
        <w:rPr>
          <w:vertAlign w:val="baseline"/>
        </w:rPr>
        <w:t>ZT2,</w:t>
      </w:r>
      <w:r>
        <w:rPr>
          <w:spacing w:val="75"/>
          <w:vertAlign w:val="baseline"/>
        </w:rPr>
        <w:t> </w:t>
      </w:r>
      <w:r>
        <w:rPr>
          <w:spacing w:val="-2"/>
          <w:vertAlign w:val="baseline"/>
        </w:rPr>
        <w:t>Erweka</w:t>
      </w:r>
    </w:p>
    <w:p>
      <w:pPr>
        <w:spacing w:after="0"/>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69088">
                <wp:simplePos x="0" y="0"/>
                <wp:positionH relativeFrom="page">
                  <wp:posOffset>-1402226</wp:posOffset>
                </wp:positionH>
                <wp:positionV relativeFrom="page">
                  <wp:posOffset>4612234</wp:posOffset>
                </wp:positionV>
                <wp:extent cx="10685780" cy="91440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7392;rotation:306" type="#_x0000_t136" fillcolor="#ff5400" stroked="f">
                <o:extrusion v:ext="view" autorotationcenter="t"/>
                <v:textpath style="font-family:&quot;Arial MT&quot;;font-size:72pt;v-text-kern:t;mso-text-shadow:auto" string="UNIVERSITY OF IBADAN"/>
                <w10:wrap type="none"/>
              </v:shape>
            </w:pict>
          </mc:Fallback>
        </mc:AlternateContent>
      </w:r>
      <w:r>
        <w:rPr/>
        <w:t>Apparatebau GMBH, Heusenstamm, Germany). Six tablets randomly selected from each batch were used for the test.</w:t>
      </w:r>
    </w:p>
    <w:p>
      <w:pPr>
        <w:pStyle w:val="BodyText"/>
        <w:spacing w:before="142"/>
      </w:pPr>
    </w:p>
    <w:p>
      <w:pPr>
        <w:pStyle w:val="ListParagraph"/>
        <w:numPr>
          <w:ilvl w:val="2"/>
          <w:numId w:val="39"/>
        </w:numPr>
        <w:tabs>
          <w:tab w:pos="1518" w:val="left" w:leader="none"/>
        </w:tabs>
        <w:spacing w:line="240" w:lineRule="auto" w:before="1" w:after="0"/>
        <w:ind w:left="1518" w:right="0" w:hanging="840"/>
        <w:jc w:val="both"/>
        <w:rPr>
          <w:b/>
          <w:sz w:val="24"/>
        </w:rPr>
      </w:pPr>
      <w:r>
        <w:rPr>
          <w:b/>
          <w:sz w:val="24"/>
        </w:rPr>
        <w:t>Dissolution</w:t>
      </w:r>
      <w:r>
        <w:rPr>
          <w:b/>
          <w:spacing w:val="-3"/>
          <w:sz w:val="24"/>
        </w:rPr>
        <w:t> </w:t>
      </w:r>
      <w:r>
        <w:rPr>
          <w:b/>
          <w:sz w:val="24"/>
        </w:rPr>
        <w:t>profiles</w:t>
      </w:r>
      <w:r>
        <w:rPr>
          <w:b/>
          <w:spacing w:val="-2"/>
          <w:sz w:val="24"/>
        </w:rPr>
        <w:t> </w:t>
      </w:r>
      <w:r>
        <w:rPr>
          <w:b/>
          <w:sz w:val="24"/>
        </w:rPr>
        <w:t>of </w:t>
      </w:r>
      <w:r>
        <w:rPr>
          <w:b/>
          <w:i/>
          <w:sz w:val="24"/>
        </w:rPr>
        <w:t>Mucuna</w:t>
      </w:r>
      <w:r>
        <w:rPr>
          <w:b/>
          <w:i/>
          <w:spacing w:val="-2"/>
          <w:sz w:val="24"/>
        </w:rPr>
        <w:t> </w:t>
      </w:r>
      <w:r>
        <w:rPr>
          <w:b/>
          <w:i/>
          <w:sz w:val="24"/>
        </w:rPr>
        <w:t>pruriens</w:t>
      </w:r>
      <w:r>
        <w:rPr>
          <w:b/>
          <w:i/>
          <w:spacing w:val="-1"/>
          <w:sz w:val="24"/>
        </w:rPr>
        <w:t> </w:t>
      </w:r>
      <w:r>
        <w:rPr>
          <w:b/>
          <w:spacing w:val="-2"/>
          <w:sz w:val="24"/>
        </w:rPr>
        <w:t>tablets</w:t>
      </w:r>
    </w:p>
    <w:p>
      <w:pPr>
        <w:pStyle w:val="ListParagraph"/>
        <w:numPr>
          <w:ilvl w:val="3"/>
          <w:numId w:val="39"/>
        </w:numPr>
        <w:tabs>
          <w:tab w:pos="1581" w:val="left" w:leader="none"/>
          <w:tab w:pos="1671" w:val="left" w:leader="none"/>
        </w:tabs>
        <w:spacing w:line="360" w:lineRule="auto" w:before="139" w:after="0"/>
        <w:ind w:left="1671" w:right="998" w:hanging="994"/>
        <w:jc w:val="both"/>
        <w:rPr>
          <w:b/>
          <w:sz w:val="24"/>
        </w:rPr>
      </w:pPr>
      <w:r>
        <w:rPr>
          <w:b/>
          <w:sz w:val="24"/>
        </w:rPr>
        <w:t>Determination of absorption maxima for </w:t>
      </w:r>
      <w:r>
        <w:rPr>
          <w:b/>
          <w:i/>
          <w:sz w:val="24"/>
        </w:rPr>
        <w:t>Mucuna pruriens </w:t>
      </w:r>
      <w:r>
        <w:rPr>
          <w:b/>
          <w:sz w:val="24"/>
        </w:rPr>
        <w:t>ethanol seed </w:t>
      </w:r>
      <w:r>
        <w:rPr>
          <w:b/>
          <w:spacing w:val="-2"/>
          <w:sz w:val="24"/>
        </w:rPr>
        <w:t>extract</w:t>
      </w:r>
    </w:p>
    <w:p>
      <w:pPr>
        <w:pStyle w:val="BodyText"/>
        <w:spacing w:line="360" w:lineRule="auto"/>
        <w:ind w:left="678" w:right="994" w:firstLine="720"/>
        <w:jc w:val="both"/>
      </w:pPr>
      <w:r>
        <w:rPr/>
        <w:t>Ethanol extract (1 g) was weighed and placed in 100 mL flask. 0.1M HCl was added to make a 100 mL mixture. This was agitated in a shaker for about 1 hour and filtered through a Whatman filter paper No1. The filtrate was scanned in a UV spectrophotometer (Model Cintra 6, Type GBC UV –Visible, GBC, Scientific Equipment Limited, Victoria, Australia) and the maximum absorption appeared at 281nm.</w:t>
      </w:r>
    </w:p>
    <w:p>
      <w:pPr>
        <w:pStyle w:val="BodyText"/>
        <w:spacing w:before="138"/>
      </w:pPr>
    </w:p>
    <w:p>
      <w:pPr>
        <w:pStyle w:val="ListParagraph"/>
        <w:numPr>
          <w:ilvl w:val="3"/>
          <w:numId w:val="39"/>
        </w:numPr>
        <w:tabs>
          <w:tab w:pos="1758" w:val="left" w:leader="none"/>
        </w:tabs>
        <w:spacing w:line="240" w:lineRule="auto" w:before="1" w:after="0"/>
        <w:ind w:left="1758" w:right="0" w:hanging="1080"/>
        <w:jc w:val="both"/>
        <w:rPr>
          <w:b/>
          <w:i/>
          <w:sz w:val="24"/>
        </w:rPr>
      </w:pPr>
      <w:r>
        <w:rPr>
          <w:b/>
          <w:sz w:val="24"/>
        </w:rPr>
        <w:t>Beer</w:t>
      </w:r>
      <w:r>
        <w:rPr>
          <w:b/>
          <w:spacing w:val="-3"/>
          <w:sz w:val="24"/>
        </w:rPr>
        <w:t> </w:t>
      </w:r>
      <w:r>
        <w:rPr>
          <w:b/>
          <w:sz w:val="24"/>
        </w:rPr>
        <w:t>Lambert</w:t>
      </w:r>
      <w:r>
        <w:rPr>
          <w:b/>
          <w:spacing w:val="-1"/>
          <w:sz w:val="24"/>
        </w:rPr>
        <w:t> </w:t>
      </w:r>
      <w:r>
        <w:rPr>
          <w:b/>
          <w:sz w:val="24"/>
        </w:rPr>
        <w:t>plot</w:t>
      </w:r>
      <w:r>
        <w:rPr>
          <w:b/>
          <w:spacing w:val="-3"/>
          <w:sz w:val="24"/>
        </w:rPr>
        <w:t> </w:t>
      </w:r>
      <w:r>
        <w:rPr>
          <w:b/>
          <w:sz w:val="24"/>
        </w:rPr>
        <w:t>(calibration curve)</w:t>
      </w:r>
      <w:r>
        <w:rPr>
          <w:b/>
          <w:spacing w:val="-2"/>
          <w:sz w:val="24"/>
        </w:rPr>
        <w:t> </w:t>
      </w:r>
      <w:r>
        <w:rPr>
          <w:b/>
          <w:sz w:val="24"/>
        </w:rPr>
        <w:t>for</w:t>
      </w:r>
      <w:r>
        <w:rPr>
          <w:b/>
          <w:spacing w:val="2"/>
          <w:sz w:val="24"/>
        </w:rPr>
        <w:t> </w:t>
      </w:r>
      <w:r>
        <w:rPr>
          <w:b/>
          <w:i/>
          <w:sz w:val="24"/>
        </w:rPr>
        <w:t>Mucuna</w:t>
      </w:r>
      <w:r>
        <w:rPr>
          <w:b/>
          <w:i/>
          <w:spacing w:val="-1"/>
          <w:sz w:val="24"/>
        </w:rPr>
        <w:t> </w:t>
      </w:r>
      <w:r>
        <w:rPr>
          <w:b/>
          <w:i/>
          <w:spacing w:val="-2"/>
          <w:sz w:val="24"/>
        </w:rPr>
        <w:t>pruriens</w:t>
      </w:r>
    </w:p>
    <w:p>
      <w:pPr>
        <w:pStyle w:val="BodyText"/>
        <w:spacing w:line="360" w:lineRule="auto" w:before="132"/>
        <w:ind w:left="678" w:right="993" w:firstLine="780"/>
        <w:jc w:val="both"/>
      </w:pPr>
      <w:r>
        <w:rPr/>
        <w:t>Various concentrations of pure sample of ethanol extract of </w:t>
      </w:r>
      <w:r>
        <w:rPr>
          <w:i/>
        </w:rPr>
        <w:t>Mucuna pruriens</w:t>
      </w:r>
      <w:r>
        <w:rPr>
          <w:i/>
          <w:spacing w:val="40"/>
        </w:rPr>
        <w:t> </w:t>
      </w:r>
      <w:r>
        <w:rPr/>
        <w:t>were prepared by dilution to contain between 0.02 to 0.1 mg/mL. The absorbance was measured spectrophotometrically at 281 nm. The absorbances obtained were plotted against the various concentrations to obtain a straight-line graph with a correlation coefficient of R</w:t>
      </w:r>
      <w:r>
        <w:rPr>
          <w:vertAlign w:val="superscript"/>
        </w:rPr>
        <w:t>2</w:t>
      </w:r>
      <w:r>
        <w:rPr>
          <w:vertAlign w:val="baseline"/>
        </w:rPr>
        <w:t> = 0.999). The regression equation was found to be y</w:t>
      </w:r>
      <w:r>
        <w:rPr>
          <w:spacing w:val="-1"/>
          <w:vertAlign w:val="baseline"/>
        </w:rPr>
        <w:t> </w:t>
      </w:r>
      <w:r>
        <w:rPr>
          <w:vertAlign w:val="baseline"/>
        </w:rPr>
        <w:t>= 9.2795x – 0.0244 (Appendix 2).</w:t>
      </w:r>
    </w:p>
    <w:p>
      <w:pPr>
        <w:pStyle w:val="BodyText"/>
        <w:spacing w:before="144"/>
      </w:pPr>
    </w:p>
    <w:p>
      <w:pPr>
        <w:pStyle w:val="Heading2"/>
        <w:numPr>
          <w:ilvl w:val="4"/>
          <w:numId w:val="39"/>
        </w:numPr>
        <w:tabs>
          <w:tab w:pos="1698" w:val="left" w:leader="none"/>
        </w:tabs>
        <w:spacing w:line="240" w:lineRule="auto" w:before="0" w:after="0"/>
        <w:ind w:left="1698" w:right="0" w:hanging="1020"/>
        <w:jc w:val="both"/>
      </w:pPr>
      <w:bookmarkStart w:name="_TOC_250020" w:id="113"/>
      <w:r>
        <w:rPr/>
        <w:t>Dissolution</w:t>
      </w:r>
      <w:r>
        <w:rPr>
          <w:spacing w:val="-1"/>
        </w:rPr>
        <w:t> </w:t>
      </w:r>
      <w:r>
        <w:rPr/>
        <w:t>profile</w:t>
      </w:r>
      <w:r>
        <w:rPr>
          <w:spacing w:val="-1"/>
        </w:rPr>
        <w:t> </w:t>
      </w:r>
      <w:bookmarkEnd w:id="113"/>
      <w:r>
        <w:rPr>
          <w:spacing w:val="-4"/>
        </w:rPr>
        <w:t>study</w:t>
      </w:r>
    </w:p>
    <w:p>
      <w:pPr>
        <w:pStyle w:val="BodyText"/>
        <w:spacing w:line="360" w:lineRule="auto" w:before="132"/>
        <w:ind w:left="678" w:right="994" w:firstLine="780"/>
        <w:jc w:val="both"/>
      </w:pPr>
      <w:r>
        <w:rPr/>
        <w:t>The dissolution time of the tablets was determined at 37</w:t>
      </w:r>
      <w:r>
        <w:rPr>
          <w:rFonts w:ascii="Symbol" w:hAnsi="Symbol"/>
        </w:rPr>
        <w:t></w:t>
      </w:r>
      <w:r>
        <w:rPr/>
        <w:t>0.5</w:t>
      </w:r>
      <w:r>
        <w:rPr>
          <w:vertAlign w:val="superscript"/>
        </w:rPr>
        <w:t>o</w:t>
      </w:r>
      <w:r>
        <w:rPr>
          <w:vertAlign w:val="baseline"/>
        </w:rPr>
        <w:t>C in 900 mL of 0.1 M HCl using a dissolution test apparatus (Model: DA-6D, Veego Scientific Devices Mumbai, India) with the rotating</w:t>
      </w:r>
      <w:r>
        <w:rPr>
          <w:spacing w:val="-1"/>
          <w:vertAlign w:val="baseline"/>
        </w:rPr>
        <w:t> </w:t>
      </w:r>
      <w:r>
        <w:rPr>
          <w:vertAlign w:val="baseline"/>
        </w:rPr>
        <w:t>basket positioned 25 mm above the bottom of the round- bottomed</w:t>
      </w:r>
      <w:r>
        <w:rPr>
          <w:spacing w:val="-2"/>
          <w:vertAlign w:val="baseline"/>
        </w:rPr>
        <w:t> </w:t>
      </w:r>
      <w:r>
        <w:rPr>
          <w:vertAlign w:val="baseline"/>
        </w:rPr>
        <w:t>flask</w:t>
      </w:r>
      <w:r>
        <w:rPr>
          <w:spacing w:val="-1"/>
          <w:vertAlign w:val="baseline"/>
        </w:rPr>
        <w:t> </w:t>
      </w:r>
      <w:r>
        <w:rPr>
          <w:vertAlign w:val="baseline"/>
        </w:rPr>
        <w:t>and</w:t>
      </w:r>
      <w:r>
        <w:rPr>
          <w:spacing w:val="-1"/>
          <w:vertAlign w:val="baseline"/>
        </w:rPr>
        <w:t> </w:t>
      </w:r>
      <w:r>
        <w:rPr>
          <w:vertAlign w:val="baseline"/>
        </w:rPr>
        <w:t>operating</w:t>
      </w:r>
      <w:r>
        <w:rPr>
          <w:spacing w:val="-4"/>
          <w:vertAlign w:val="baseline"/>
        </w:rPr>
        <w:t> </w:t>
      </w:r>
      <w:r>
        <w:rPr>
          <w:vertAlign w:val="baseline"/>
        </w:rPr>
        <w:t>at</w:t>
      </w:r>
      <w:r>
        <w:rPr>
          <w:spacing w:val="-1"/>
          <w:vertAlign w:val="baseline"/>
        </w:rPr>
        <w:t> </w:t>
      </w:r>
      <w:r>
        <w:rPr>
          <w:vertAlign w:val="baseline"/>
        </w:rPr>
        <w:t>50 rpm.</w:t>
      </w:r>
      <w:r>
        <w:rPr>
          <w:spacing w:val="-2"/>
          <w:vertAlign w:val="baseline"/>
        </w:rPr>
        <w:t> </w:t>
      </w:r>
      <w:r>
        <w:rPr>
          <w:vertAlign w:val="baseline"/>
        </w:rPr>
        <w:t>Samples</w:t>
      </w:r>
      <w:r>
        <w:rPr>
          <w:spacing w:val="-3"/>
          <w:vertAlign w:val="baseline"/>
        </w:rPr>
        <w:t> </w:t>
      </w:r>
      <w:r>
        <w:rPr>
          <w:vertAlign w:val="baseline"/>
        </w:rPr>
        <w:t>were</w:t>
      </w:r>
      <w:r>
        <w:rPr>
          <w:spacing w:val="-3"/>
          <w:vertAlign w:val="baseline"/>
        </w:rPr>
        <w:t> </w:t>
      </w:r>
      <w:r>
        <w:rPr>
          <w:vertAlign w:val="baseline"/>
        </w:rPr>
        <w:t>withdrawn</w:t>
      </w:r>
      <w:r>
        <w:rPr>
          <w:spacing w:val="-2"/>
          <w:vertAlign w:val="baseline"/>
        </w:rPr>
        <w:t> </w:t>
      </w:r>
      <w:r>
        <w:rPr>
          <w:vertAlign w:val="baseline"/>
        </w:rPr>
        <w:t>at</w:t>
      </w:r>
      <w:r>
        <w:rPr>
          <w:spacing w:val="-1"/>
          <w:vertAlign w:val="baseline"/>
        </w:rPr>
        <w:t> </w:t>
      </w:r>
      <w:r>
        <w:rPr>
          <w:vertAlign w:val="baseline"/>
        </w:rPr>
        <w:t>various</w:t>
      </w:r>
      <w:r>
        <w:rPr>
          <w:spacing w:val="-1"/>
          <w:vertAlign w:val="baseline"/>
        </w:rPr>
        <w:t> </w:t>
      </w:r>
      <w:r>
        <w:rPr>
          <w:vertAlign w:val="baseline"/>
        </w:rPr>
        <w:t>time</w:t>
      </w:r>
      <w:r>
        <w:rPr>
          <w:spacing w:val="-2"/>
          <w:vertAlign w:val="baseline"/>
        </w:rPr>
        <w:t> </w:t>
      </w:r>
      <w:r>
        <w:rPr>
          <w:vertAlign w:val="baseline"/>
        </w:rPr>
        <w:t>intervals for up to 150 mins and the amount of drug released was determined</w:t>
      </w:r>
      <w:r>
        <w:rPr>
          <w:spacing w:val="40"/>
          <w:vertAlign w:val="baseline"/>
        </w:rPr>
        <w:t> </w:t>
      </w:r>
      <w:r>
        <w:rPr>
          <w:vertAlign w:val="baseline"/>
        </w:rPr>
        <w:t>spectrophotometrically at 281 nm using the UV visible spectrophotometer. The volume withdrawn was replced with an equal volume of 0.1 M HCl at the same temperature to keep the volume of the dissolution medium constant during the course of the test. The amount released at each time was obtained from the Beer Lambert plot and the % release calculated. All the determinations were made in quadruplicate.</w:t>
      </w:r>
    </w:p>
    <w:p>
      <w:pPr>
        <w:spacing w:after="0" w:line="360" w:lineRule="auto"/>
        <w:jc w:val="both"/>
        <w:sectPr>
          <w:pgSz w:w="12240" w:h="15840"/>
          <w:pgMar w:header="0" w:footer="1056" w:top="1340" w:bottom="1240" w:left="1420" w:right="420"/>
        </w:sectPr>
      </w:pPr>
    </w:p>
    <w:p>
      <w:pPr>
        <w:pStyle w:val="ListParagraph"/>
        <w:numPr>
          <w:ilvl w:val="2"/>
          <w:numId w:val="41"/>
        </w:numPr>
        <w:tabs>
          <w:tab w:pos="1338" w:val="left" w:leader="none"/>
        </w:tabs>
        <w:spacing w:line="240" w:lineRule="auto" w:before="77" w:after="0"/>
        <w:ind w:left="1338" w:right="0" w:hanging="660"/>
        <w:jc w:val="both"/>
        <w:rPr>
          <w:b/>
          <w:sz w:val="24"/>
        </w:rPr>
      </w:pPr>
      <w:r>
        <w:rPr/>
        <mc:AlternateContent>
          <mc:Choice Requires="wps">
            <w:drawing>
              <wp:anchor distT="0" distB="0" distL="0" distR="0" allowOverlap="1" layoutInCell="1" locked="0" behindDoc="1" simplePos="0" relativeHeight="482969600">
                <wp:simplePos x="0" y="0"/>
                <wp:positionH relativeFrom="page">
                  <wp:posOffset>-1402226</wp:posOffset>
                </wp:positionH>
                <wp:positionV relativeFrom="page">
                  <wp:posOffset>4612234</wp:posOffset>
                </wp:positionV>
                <wp:extent cx="10685780" cy="9144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6880;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Preparation of animal</w:t>
      </w:r>
      <w:r>
        <w:rPr>
          <w:b/>
          <w:spacing w:val="-1"/>
          <w:sz w:val="24"/>
        </w:rPr>
        <w:t> </w:t>
      </w:r>
      <w:r>
        <w:rPr>
          <w:b/>
          <w:sz w:val="24"/>
        </w:rPr>
        <w:t>for</w:t>
      </w:r>
      <w:r>
        <w:rPr>
          <w:b/>
          <w:spacing w:val="-1"/>
          <w:sz w:val="24"/>
        </w:rPr>
        <w:t> </w:t>
      </w:r>
      <w:r>
        <w:rPr>
          <w:b/>
          <w:i/>
          <w:sz w:val="24"/>
        </w:rPr>
        <w:t>in vivo</w:t>
      </w:r>
      <w:r>
        <w:rPr>
          <w:b/>
          <w:i/>
          <w:spacing w:val="-1"/>
          <w:sz w:val="24"/>
        </w:rPr>
        <w:t> </w:t>
      </w:r>
      <w:r>
        <w:rPr>
          <w:b/>
          <w:spacing w:val="-4"/>
          <w:sz w:val="24"/>
        </w:rPr>
        <w:t>test</w:t>
      </w:r>
    </w:p>
    <w:p>
      <w:pPr>
        <w:pStyle w:val="ListParagraph"/>
        <w:numPr>
          <w:ilvl w:val="2"/>
          <w:numId w:val="42"/>
        </w:numPr>
        <w:tabs>
          <w:tab w:pos="1398" w:val="left" w:leader="none"/>
        </w:tabs>
        <w:spacing w:line="360" w:lineRule="auto" w:before="137" w:after="0"/>
        <w:ind w:left="1398" w:right="994" w:hanging="720"/>
        <w:jc w:val="both"/>
        <w:rPr>
          <w:b/>
          <w:sz w:val="24"/>
        </w:rPr>
      </w:pPr>
      <w:r>
        <w:rPr>
          <w:b/>
          <w:i/>
          <w:sz w:val="24"/>
        </w:rPr>
        <w:t>In vivo </w:t>
      </w:r>
      <w:r>
        <w:rPr>
          <w:b/>
          <w:sz w:val="24"/>
        </w:rPr>
        <w:t>release of </w:t>
      </w:r>
      <w:r>
        <w:rPr>
          <w:b/>
          <w:i/>
          <w:sz w:val="24"/>
        </w:rPr>
        <w:t>Mucuna pruriens </w:t>
      </w:r>
      <w:r>
        <w:rPr>
          <w:b/>
          <w:sz w:val="24"/>
        </w:rPr>
        <w:t>tablets (produced by direct compression and wet granulation methods) in rabbits</w:t>
      </w:r>
    </w:p>
    <w:p>
      <w:pPr>
        <w:pStyle w:val="BodyText"/>
        <w:spacing w:line="360" w:lineRule="auto"/>
        <w:ind w:left="678" w:right="996" w:firstLine="780"/>
        <w:jc w:val="both"/>
      </w:pPr>
      <w:r>
        <w:rPr/>
        <w:t>Rabbits (20), of</w:t>
      </w:r>
      <w:r>
        <w:rPr>
          <w:spacing w:val="-1"/>
        </w:rPr>
        <w:t> </w:t>
      </w:r>
      <w:r>
        <w:rPr/>
        <w:t>both sexes, weighing</w:t>
      </w:r>
      <w:r>
        <w:rPr>
          <w:spacing w:val="-3"/>
        </w:rPr>
        <w:t> </w:t>
      </w:r>
      <w:r>
        <w:rPr/>
        <w:t>(1.00 -</w:t>
      </w:r>
      <w:r>
        <w:rPr>
          <w:spacing w:val="-1"/>
        </w:rPr>
        <w:t> </w:t>
      </w:r>
      <w:r>
        <w:rPr/>
        <w:t>1.65)</w:t>
      </w:r>
      <w:r>
        <w:rPr>
          <w:spacing w:val="-1"/>
        </w:rPr>
        <w:t> </w:t>
      </w:r>
      <w:r>
        <w:rPr/>
        <w:t>kg</w:t>
      </w:r>
      <w:r>
        <w:rPr>
          <w:spacing w:val="-3"/>
        </w:rPr>
        <w:t> </w:t>
      </w:r>
      <w:r>
        <w:rPr/>
        <w:t>bred in the Animal house</w:t>
      </w:r>
      <w:r>
        <w:rPr>
          <w:spacing w:val="-1"/>
        </w:rPr>
        <w:t> </w:t>
      </w:r>
      <w:r>
        <w:rPr/>
        <w:t>of the Department of Veterinary Pharmacology, Faculty of Veterinary Medicine, University of Ibadan, Ibadan were used for the </w:t>
      </w:r>
      <w:r>
        <w:rPr>
          <w:i/>
        </w:rPr>
        <w:t>in vivo </w:t>
      </w:r>
      <w:r>
        <w:rPr/>
        <w:t>release profile. After randomization into 5 groups (A, B, C, D and E) with four rabbits in each group the animals were kept at room temperature with good ventilation, allowed free access to water and food. The animals were acclimatized for one week before the commencement of the experiment.</w:t>
      </w:r>
    </w:p>
    <w:p>
      <w:pPr>
        <w:pStyle w:val="BodyText"/>
        <w:spacing w:line="360" w:lineRule="auto"/>
        <w:ind w:left="678" w:right="996" w:firstLine="720"/>
        <w:jc w:val="both"/>
      </w:pPr>
      <w:r>
        <w:rPr/>
        <w:t>The animals were fasted for about 16 hours but given free access to water </w:t>
      </w:r>
      <w:r>
        <w:rPr>
          <w:i/>
        </w:rPr>
        <w:t>ad libitum </w:t>
      </w:r>
      <w:r>
        <w:rPr/>
        <w:t>during fasting and throughout the experiment. Diabetes was induced by a single intraperitoneal injection of 120 mg/kg of alloxan monohydrate (dissolved just before use</w:t>
      </w:r>
      <w:r>
        <w:rPr>
          <w:spacing w:val="40"/>
        </w:rPr>
        <w:t> </w:t>
      </w:r>
      <w:r>
        <w:rPr/>
        <w:t>in 0.9% normal saline) to the rabbits in groups B, C, D and E while the first group A consisted of non-treated rabbits (normal control). A glucometer was used to monitor the blood glucose level. Animals with a serum glucose range of 450-485 mg/dL</w:t>
      </w:r>
      <w:r>
        <w:rPr>
          <w:spacing w:val="-2"/>
        </w:rPr>
        <w:t> </w:t>
      </w:r>
      <w:r>
        <w:rPr/>
        <w:t>were</w:t>
      </w:r>
      <w:r>
        <w:rPr>
          <w:spacing w:val="-1"/>
        </w:rPr>
        <w:t> </w:t>
      </w:r>
      <w:r>
        <w:rPr/>
        <w:t>used for the experiment.</w:t>
      </w:r>
    </w:p>
    <w:p>
      <w:pPr>
        <w:pStyle w:val="BodyText"/>
        <w:spacing w:line="360" w:lineRule="auto"/>
        <w:ind w:left="678" w:right="997" w:firstLine="720"/>
        <w:jc w:val="both"/>
      </w:pPr>
      <w:r>
        <w:rPr/>
        <w:t>Hyperglycemia was confirmed in the animals about 72 hour after the alloxan injection. Group B consisted of diabetic control rabbits. Groups C and D were given one tablet each (containing 100 mg </w:t>
      </w:r>
      <w:r>
        <w:rPr>
          <w:i/>
        </w:rPr>
        <w:t>M. pruriens </w:t>
      </w:r>
      <w:r>
        <w:rPr/>
        <w:t>seed extract) produced by direct compression and wet granulation respectively while Group E contained rabbits that were given one tablet each (5 mg/kg body weight) of glibenclamide as standard reference drug. The normal control group received no medication. The tablets were inserted direct into the animals‘ guts through a special pointed forceps. Blood samples were collected from marginal ear vein of all the animals onto glucometer strips and measured at 0 min (pre dose)</w:t>
      </w:r>
      <w:r>
        <w:rPr>
          <w:spacing w:val="-4"/>
        </w:rPr>
        <w:t> </w:t>
      </w:r>
      <w:r>
        <w:rPr/>
        <w:t>and subsequently</w:t>
      </w:r>
      <w:r>
        <w:rPr>
          <w:spacing w:val="-5"/>
        </w:rPr>
        <w:t> </w:t>
      </w:r>
      <w:r>
        <w:rPr/>
        <w:t>at</w:t>
      </w:r>
      <w:r>
        <w:rPr>
          <w:spacing w:val="1"/>
        </w:rPr>
        <w:t> </w:t>
      </w:r>
      <w:r>
        <w:rPr/>
        <w:t>1, 2, 3,</w:t>
      </w:r>
      <w:r>
        <w:rPr>
          <w:spacing w:val="1"/>
        </w:rPr>
        <w:t> </w:t>
      </w:r>
      <w:r>
        <w:rPr/>
        <w:t>4, 5, 6,</w:t>
      </w:r>
      <w:r>
        <w:rPr>
          <w:spacing w:val="1"/>
        </w:rPr>
        <w:t> </w:t>
      </w:r>
      <w:r>
        <w:rPr/>
        <w:t>7, 8,</w:t>
      </w:r>
      <w:r>
        <w:rPr>
          <w:spacing w:val="2"/>
        </w:rPr>
        <w:t> </w:t>
      </w:r>
      <w:r>
        <w:rPr/>
        <w:t>9, 10,</w:t>
      </w:r>
      <w:r>
        <w:rPr>
          <w:spacing w:val="1"/>
        </w:rPr>
        <w:t> </w:t>
      </w:r>
      <w:r>
        <w:rPr/>
        <w:t>18, 24, 36,</w:t>
      </w:r>
      <w:r>
        <w:rPr>
          <w:spacing w:val="1"/>
        </w:rPr>
        <w:t> </w:t>
      </w:r>
      <w:r>
        <w:rPr/>
        <w:t>48, 54, 60,</w:t>
      </w:r>
      <w:r>
        <w:rPr>
          <w:spacing w:val="5"/>
        </w:rPr>
        <w:t> </w:t>
      </w:r>
      <w:r>
        <w:rPr/>
        <w:t>72, 84, 96,</w:t>
      </w:r>
      <w:r>
        <w:rPr>
          <w:spacing w:val="1"/>
        </w:rPr>
        <w:t> </w:t>
      </w:r>
      <w:r>
        <w:rPr>
          <w:spacing w:val="-4"/>
        </w:rPr>
        <w:t>108,</w:t>
      </w:r>
    </w:p>
    <w:p>
      <w:pPr>
        <w:pStyle w:val="BodyText"/>
        <w:spacing w:line="360" w:lineRule="auto"/>
        <w:ind w:left="678" w:right="992"/>
        <w:jc w:val="both"/>
      </w:pPr>
      <w:r>
        <w:rPr/>
        <w:t>120, 132, 144, 156, 168, 180 and 192 hours. The corresponding</w:t>
      </w:r>
      <w:r>
        <w:rPr>
          <w:spacing w:val="-1"/>
        </w:rPr>
        <w:t> </w:t>
      </w:r>
      <w:r>
        <w:rPr/>
        <w:t>blood glucose elimination levels were obtained at the various times. Log blood glucose level was plotted against time. The slopes of the regression analysis (-k/2.303) were used to calculate the various rate constants according to the first order kinetic reaction:</w:t>
      </w:r>
      <w:r>
        <w:rPr>
          <w:spacing w:val="40"/>
        </w:rPr>
        <w:t> </w:t>
      </w:r>
      <w:r>
        <w:rPr/>
        <w:t>k = 2.303/t log</w:t>
      </w:r>
      <w:r>
        <w:rPr>
          <w:spacing w:val="-1"/>
        </w:rPr>
        <w:t> </w:t>
      </w:r>
      <w:r>
        <w:rPr/>
        <w:t>C</w:t>
      </w:r>
      <w:r>
        <w:rPr>
          <w:vertAlign w:val="subscript"/>
        </w:rPr>
        <w:t>o</w:t>
      </w:r>
      <w:r>
        <w:rPr>
          <w:vertAlign w:val="baseline"/>
        </w:rPr>
        <w:t>/C where</w:t>
      </w:r>
      <w:r>
        <w:rPr>
          <w:spacing w:val="-1"/>
          <w:vertAlign w:val="baseline"/>
        </w:rPr>
        <w:t> </w:t>
      </w:r>
      <w:r>
        <w:rPr>
          <w:vertAlign w:val="baseline"/>
        </w:rPr>
        <w:t>k is the elimination glucose kinetics rate constant, C</w:t>
      </w:r>
      <w:r>
        <w:rPr>
          <w:vertAlign w:val="subscript"/>
        </w:rPr>
        <w:t>o</w:t>
      </w:r>
      <w:r>
        <w:rPr>
          <w:vertAlign w:val="baseline"/>
        </w:rPr>
        <w:t> is the initial glucose level, C is the final blood</w:t>
      </w:r>
      <w:r>
        <w:rPr>
          <w:spacing w:val="11"/>
          <w:vertAlign w:val="baseline"/>
        </w:rPr>
        <w:t> </w:t>
      </w:r>
      <w:r>
        <w:rPr>
          <w:vertAlign w:val="baseline"/>
        </w:rPr>
        <w:t>glucose</w:t>
      </w:r>
      <w:r>
        <w:rPr>
          <w:spacing w:val="9"/>
          <w:vertAlign w:val="baseline"/>
        </w:rPr>
        <w:t> </w:t>
      </w:r>
      <w:r>
        <w:rPr>
          <w:vertAlign w:val="baseline"/>
        </w:rPr>
        <w:t>level</w:t>
      </w:r>
      <w:r>
        <w:rPr>
          <w:spacing w:val="12"/>
          <w:vertAlign w:val="baseline"/>
        </w:rPr>
        <w:t> </w:t>
      </w:r>
      <w:r>
        <w:rPr>
          <w:vertAlign w:val="baseline"/>
        </w:rPr>
        <w:t>and</w:t>
      </w:r>
      <w:r>
        <w:rPr>
          <w:spacing w:val="10"/>
          <w:vertAlign w:val="baseline"/>
        </w:rPr>
        <w:t> </w:t>
      </w:r>
      <w:r>
        <w:rPr>
          <w:vertAlign w:val="baseline"/>
        </w:rPr>
        <w:t>t</w:t>
      </w:r>
      <w:r>
        <w:rPr>
          <w:spacing w:val="13"/>
          <w:vertAlign w:val="baseline"/>
        </w:rPr>
        <w:t> </w:t>
      </w:r>
      <w:r>
        <w:rPr>
          <w:vertAlign w:val="baseline"/>
        </w:rPr>
        <w:t>is</w:t>
      </w:r>
      <w:r>
        <w:rPr>
          <w:spacing w:val="12"/>
          <w:vertAlign w:val="baseline"/>
        </w:rPr>
        <w:t> </w:t>
      </w:r>
      <w:r>
        <w:rPr>
          <w:vertAlign w:val="baseline"/>
        </w:rPr>
        <w:t>the</w:t>
      </w:r>
      <w:r>
        <w:rPr>
          <w:spacing w:val="10"/>
          <w:vertAlign w:val="baseline"/>
        </w:rPr>
        <w:t> </w:t>
      </w:r>
      <w:r>
        <w:rPr>
          <w:vertAlign w:val="baseline"/>
        </w:rPr>
        <w:t>time</w:t>
      </w:r>
      <w:r>
        <w:rPr>
          <w:spacing w:val="10"/>
          <w:vertAlign w:val="baseline"/>
        </w:rPr>
        <w:t> </w:t>
      </w:r>
      <w:r>
        <w:rPr>
          <w:vertAlign w:val="baseline"/>
        </w:rPr>
        <w:t>it</w:t>
      </w:r>
      <w:r>
        <w:rPr>
          <w:spacing w:val="12"/>
          <w:vertAlign w:val="baseline"/>
        </w:rPr>
        <w:t> </w:t>
      </w:r>
      <w:r>
        <w:rPr>
          <w:vertAlign w:val="baseline"/>
        </w:rPr>
        <w:t>takes</w:t>
      </w:r>
      <w:r>
        <w:rPr>
          <w:spacing w:val="11"/>
          <w:vertAlign w:val="baseline"/>
        </w:rPr>
        <w:t> </w:t>
      </w:r>
      <w:r>
        <w:rPr>
          <w:vertAlign w:val="baseline"/>
        </w:rPr>
        <w:t>C</w:t>
      </w:r>
      <w:r>
        <w:rPr>
          <w:vertAlign w:val="subscript"/>
        </w:rPr>
        <w:t>o</w:t>
      </w:r>
      <w:r>
        <w:rPr>
          <w:spacing w:val="9"/>
          <w:vertAlign w:val="baseline"/>
        </w:rPr>
        <w:t> </w:t>
      </w:r>
      <w:r>
        <w:rPr>
          <w:vertAlign w:val="baseline"/>
        </w:rPr>
        <w:t>to</w:t>
      </w:r>
      <w:r>
        <w:rPr>
          <w:spacing w:val="9"/>
          <w:vertAlign w:val="baseline"/>
        </w:rPr>
        <w:t> </w:t>
      </w:r>
      <w:r>
        <w:rPr>
          <w:vertAlign w:val="baseline"/>
        </w:rPr>
        <w:t>reduce</w:t>
      </w:r>
      <w:r>
        <w:rPr>
          <w:spacing w:val="9"/>
          <w:vertAlign w:val="baseline"/>
        </w:rPr>
        <w:t> </w:t>
      </w:r>
      <w:r>
        <w:rPr>
          <w:vertAlign w:val="baseline"/>
        </w:rPr>
        <w:t>to</w:t>
      </w:r>
      <w:r>
        <w:rPr>
          <w:spacing w:val="11"/>
          <w:vertAlign w:val="baseline"/>
        </w:rPr>
        <w:t> </w:t>
      </w:r>
      <w:r>
        <w:rPr>
          <w:vertAlign w:val="baseline"/>
        </w:rPr>
        <w:t>C.</w:t>
      </w:r>
      <w:r>
        <w:rPr>
          <w:spacing w:val="13"/>
          <w:vertAlign w:val="baseline"/>
        </w:rPr>
        <w:t> </w:t>
      </w:r>
      <w:r>
        <w:rPr>
          <w:vertAlign w:val="baseline"/>
        </w:rPr>
        <w:t>The</w:t>
      </w:r>
      <w:r>
        <w:rPr>
          <w:spacing w:val="9"/>
          <w:vertAlign w:val="baseline"/>
        </w:rPr>
        <w:t> </w:t>
      </w:r>
      <w:r>
        <w:rPr>
          <w:vertAlign w:val="baseline"/>
        </w:rPr>
        <w:t>parameters</w:t>
      </w:r>
      <w:r>
        <w:rPr>
          <w:spacing w:val="11"/>
          <w:vertAlign w:val="baseline"/>
        </w:rPr>
        <w:t> </w:t>
      </w:r>
      <w:r>
        <w:rPr>
          <w:spacing w:val="-2"/>
          <w:vertAlign w:val="baseline"/>
        </w:rPr>
        <w:t>computed</w:t>
      </w:r>
    </w:p>
    <w:p>
      <w:pPr>
        <w:spacing w:after="0" w:line="360" w:lineRule="auto"/>
        <w:jc w:val="both"/>
        <w:sectPr>
          <w:pgSz w:w="12240" w:h="15840"/>
          <w:pgMar w:header="0" w:footer="1056" w:top="1340" w:bottom="1240" w:left="1420" w:right="420"/>
        </w:sectPr>
      </w:pPr>
    </w:p>
    <w:p>
      <w:pPr>
        <w:pStyle w:val="BodyText"/>
        <w:spacing w:line="360" w:lineRule="auto" w:before="72"/>
        <w:ind w:left="678" w:right="993"/>
        <w:jc w:val="both"/>
      </w:pPr>
      <w:r>
        <w:rPr/>
        <mc:AlternateContent>
          <mc:Choice Requires="wps">
            <w:drawing>
              <wp:anchor distT="0" distB="0" distL="0" distR="0" allowOverlap="1" layoutInCell="1" locked="0" behindDoc="1" simplePos="0" relativeHeight="482970112">
                <wp:simplePos x="0" y="0"/>
                <wp:positionH relativeFrom="page">
                  <wp:posOffset>-1402226</wp:posOffset>
                </wp:positionH>
                <wp:positionV relativeFrom="page">
                  <wp:posOffset>4612234</wp:posOffset>
                </wp:positionV>
                <wp:extent cx="10685780" cy="9144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6368;rotation:306" type="#_x0000_t136" fillcolor="#ff5400" stroked="f">
                <o:extrusion v:ext="view" autorotationcenter="t"/>
                <v:textpath style="font-family:&quot;Arial MT&quot;;font-size:72pt;v-text-kern:t;mso-text-shadow:auto" string="UNIVERSITY OF IBADAN"/>
                <w10:wrap type="none"/>
              </v:shape>
            </w:pict>
          </mc:Fallback>
        </mc:AlternateContent>
      </w:r>
      <w:r>
        <w:rPr/>
        <w:t>were glucose elimination rate constants k and t which is the time at the point of change between</w:t>
      </w:r>
      <w:r>
        <w:rPr>
          <w:spacing w:val="-1"/>
        </w:rPr>
        <w:t> </w:t>
      </w:r>
      <w:r>
        <w:rPr/>
        <w:t>two</w:t>
      </w:r>
      <w:r>
        <w:rPr>
          <w:spacing w:val="-3"/>
        </w:rPr>
        <w:t> </w:t>
      </w:r>
      <w:r>
        <w:rPr/>
        <w:t>different</w:t>
      </w:r>
      <w:r>
        <w:rPr>
          <w:spacing w:val="-3"/>
        </w:rPr>
        <w:t> </w:t>
      </w:r>
      <w:r>
        <w:rPr/>
        <w:t>k when</w:t>
      </w:r>
      <w:r>
        <w:rPr>
          <w:spacing w:val="-3"/>
        </w:rPr>
        <w:t> </w:t>
      </w:r>
      <w:r>
        <w:rPr/>
        <w:t>the glucose</w:t>
      </w:r>
      <w:r>
        <w:rPr>
          <w:spacing w:val="-3"/>
        </w:rPr>
        <w:t> </w:t>
      </w:r>
      <w:r>
        <w:rPr/>
        <w:t>elimination</w:t>
      </w:r>
      <w:r>
        <w:rPr>
          <w:spacing w:val="-3"/>
        </w:rPr>
        <w:t> </w:t>
      </w:r>
      <w:r>
        <w:rPr/>
        <w:t>was</w:t>
      </w:r>
      <w:r>
        <w:rPr>
          <w:spacing w:val="-1"/>
        </w:rPr>
        <w:t> </w:t>
      </w:r>
      <w:r>
        <w:rPr/>
        <w:t>going</w:t>
      </w:r>
      <w:r>
        <w:rPr>
          <w:spacing w:val="-6"/>
        </w:rPr>
        <w:t> </w:t>
      </w:r>
      <w:r>
        <w:rPr/>
        <w:t>from</w:t>
      </w:r>
      <w:r>
        <w:rPr>
          <w:spacing w:val="-3"/>
        </w:rPr>
        <w:t> </w:t>
      </w:r>
      <w:r>
        <w:rPr/>
        <w:t>one compartment</w:t>
      </w:r>
      <w:r>
        <w:rPr>
          <w:spacing w:val="-3"/>
        </w:rPr>
        <w:t> </w:t>
      </w:r>
      <w:r>
        <w:rPr/>
        <w:t>to the order.</w:t>
      </w:r>
    </w:p>
    <w:p>
      <w:pPr>
        <w:pStyle w:val="BodyText"/>
        <w:spacing w:before="144"/>
      </w:pPr>
    </w:p>
    <w:p>
      <w:pPr>
        <w:pStyle w:val="Heading2"/>
      </w:pPr>
      <w:bookmarkStart w:name="_TOC_250019" w:id="114"/>
      <w:r>
        <w:rPr/>
        <w:t>2.16</w:t>
      </w:r>
      <w:r>
        <w:rPr>
          <w:spacing w:val="-1"/>
        </w:rPr>
        <w:t> </w:t>
      </w:r>
      <w:r>
        <w:rPr/>
        <w:t>Statistical</w:t>
      </w:r>
      <w:r>
        <w:rPr>
          <w:spacing w:val="-1"/>
        </w:rPr>
        <w:t> </w:t>
      </w:r>
      <w:bookmarkEnd w:id="114"/>
      <w:r>
        <w:rPr>
          <w:spacing w:val="-2"/>
        </w:rPr>
        <w:t>analysis</w:t>
      </w:r>
    </w:p>
    <w:p>
      <w:pPr>
        <w:pStyle w:val="BodyText"/>
        <w:spacing w:line="360" w:lineRule="auto" w:before="132"/>
        <w:ind w:left="678" w:right="995" w:firstLine="720"/>
        <w:jc w:val="both"/>
      </w:pPr>
      <w:r>
        <w:rPr/>
        <w:t>Statistical analysis was done using ANOVA followed by Dunnett‘s multiple comparison tests. The other data were evaluated using Graph Pad Prism software. Data were expressed as mean ± SD and p-value ≤ 0.05 was considered significant.</w:t>
      </w:r>
    </w:p>
    <w:p>
      <w:pPr>
        <w:spacing w:after="0" w:line="360" w:lineRule="auto"/>
        <w:jc w:val="both"/>
        <w:sectPr>
          <w:pgSz w:w="12240" w:h="15840"/>
          <w:pgMar w:header="0" w:footer="1056" w:top="1340" w:bottom="1240" w:left="1420" w:right="420"/>
        </w:sectPr>
      </w:pPr>
    </w:p>
    <w:p>
      <w:pPr>
        <w:pStyle w:val="BodyText"/>
        <w:rPr>
          <w:sz w:val="28"/>
        </w:rPr>
      </w:pPr>
      <w:r>
        <w:rPr/>
        <mc:AlternateContent>
          <mc:Choice Requires="wps">
            <w:drawing>
              <wp:anchor distT="0" distB="0" distL="0" distR="0" allowOverlap="1" layoutInCell="1" locked="0" behindDoc="1" simplePos="0" relativeHeight="482970624">
                <wp:simplePos x="0" y="0"/>
                <wp:positionH relativeFrom="page">
                  <wp:posOffset>-1402226</wp:posOffset>
                </wp:positionH>
                <wp:positionV relativeFrom="page">
                  <wp:posOffset>4612234</wp:posOffset>
                </wp:positionV>
                <wp:extent cx="10685780" cy="9144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5856;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41"/>
        <w:rPr>
          <w:sz w:val="28"/>
        </w:rPr>
      </w:pPr>
    </w:p>
    <w:p>
      <w:pPr>
        <w:pStyle w:val="Heading1"/>
        <w:ind w:right="315"/>
      </w:pPr>
      <w:bookmarkStart w:name="_TOC_250018" w:id="115"/>
      <w:r>
        <w:rPr/>
        <w:t>RESULTS</w:t>
      </w:r>
      <w:r>
        <w:rPr>
          <w:spacing w:val="-5"/>
        </w:rPr>
        <w:t> </w:t>
      </w:r>
      <w:r>
        <w:rPr/>
        <w:t>AND</w:t>
      </w:r>
      <w:r>
        <w:rPr>
          <w:spacing w:val="-5"/>
        </w:rPr>
        <w:t> </w:t>
      </w:r>
      <w:bookmarkEnd w:id="115"/>
      <w:r>
        <w:rPr>
          <w:spacing w:val="-2"/>
        </w:rPr>
        <w:t>DISCUSSION</w:t>
      </w:r>
    </w:p>
    <w:p>
      <w:pPr>
        <w:spacing w:after="0"/>
        <w:sectPr>
          <w:pgSz w:w="12240" w:h="15840"/>
          <w:pgMar w:header="0" w:footer="1056" w:top="1820" w:bottom="1240" w:left="1420" w:right="420"/>
        </w:sectPr>
      </w:pPr>
    </w:p>
    <w:p>
      <w:pPr>
        <w:pStyle w:val="Heading2"/>
        <w:spacing w:line="480" w:lineRule="auto" w:before="147"/>
        <w:ind w:left="2358" w:right="2581" w:firstLine="1620"/>
        <w:jc w:val="left"/>
      </w:pPr>
      <w:r>
        <w:rPr/>
        <mc:AlternateContent>
          <mc:Choice Requires="wps">
            <w:drawing>
              <wp:anchor distT="0" distB="0" distL="0" distR="0" allowOverlap="1" layoutInCell="1" locked="0" behindDoc="1" simplePos="0" relativeHeight="482971136">
                <wp:simplePos x="0" y="0"/>
                <wp:positionH relativeFrom="page">
                  <wp:posOffset>-1402226</wp:posOffset>
                </wp:positionH>
                <wp:positionV relativeFrom="page">
                  <wp:posOffset>4612234</wp:posOffset>
                </wp:positionV>
                <wp:extent cx="10685780" cy="91440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5344;rotation:306" type="#_x0000_t136" fillcolor="#ff5400" stroked="f">
                <o:extrusion v:ext="view" autorotationcenter="t"/>
                <v:textpath style="font-family:&quot;Arial MT&quot;;font-size:72pt;v-text-kern:t;mso-text-shadow:auto" string="UNIVERSITY OF IBADAN"/>
                <w10:wrap type="none"/>
              </v:shape>
            </w:pict>
          </mc:Fallback>
        </mc:AlternateContent>
      </w:r>
      <w:r>
        <w:rPr/>
        <w:t>CHAPTER THREE ANTIDIABETIC</w:t>
      </w:r>
      <w:r>
        <w:rPr>
          <w:spacing w:val="-10"/>
        </w:rPr>
        <w:t> </w:t>
      </w:r>
      <w:r>
        <w:rPr/>
        <w:t>PROPERTIES</w:t>
      </w:r>
      <w:r>
        <w:rPr>
          <w:spacing w:val="-10"/>
        </w:rPr>
        <w:t> </w:t>
      </w:r>
      <w:r>
        <w:rPr/>
        <w:t>OF</w:t>
      </w:r>
      <w:r>
        <w:rPr>
          <w:spacing w:val="-13"/>
        </w:rPr>
        <w:t> </w:t>
      </w:r>
      <w:r>
        <w:rPr/>
        <w:t>THE</w:t>
      </w:r>
      <w:r>
        <w:rPr>
          <w:spacing w:val="-10"/>
        </w:rPr>
        <w:t> </w:t>
      </w:r>
      <w:r>
        <w:rPr/>
        <w:t>PLANT</w:t>
      </w:r>
    </w:p>
    <w:p>
      <w:pPr>
        <w:pStyle w:val="BodyText"/>
        <w:spacing w:before="118"/>
        <w:rPr>
          <w:b/>
        </w:rPr>
      </w:pPr>
    </w:p>
    <w:p>
      <w:pPr>
        <w:pStyle w:val="ListParagraph"/>
        <w:numPr>
          <w:ilvl w:val="1"/>
          <w:numId w:val="43"/>
        </w:numPr>
        <w:tabs>
          <w:tab w:pos="1038" w:val="left" w:leader="none"/>
        </w:tabs>
        <w:spacing w:line="240" w:lineRule="auto" w:before="0" w:after="0"/>
        <w:ind w:left="1038" w:right="0" w:hanging="360"/>
        <w:jc w:val="both"/>
        <w:rPr>
          <w:b/>
          <w:sz w:val="24"/>
        </w:rPr>
      </w:pPr>
      <w:r>
        <w:rPr>
          <w:b/>
          <w:sz w:val="24"/>
        </w:rPr>
        <w:t>Yields of</w:t>
      </w:r>
      <w:r>
        <w:rPr>
          <w:b/>
          <w:spacing w:val="1"/>
          <w:sz w:val="24"/>
        </w:rPr>
        <w:t> </w:t>
      </w:r>
      <w:r>
        <w:rPr>
          <w:b/>
          <w:spacing w:val="-2"/>
          <w:sz w:val="24"/>
        </w:rPr>
        <w:t>extracts</w:t>
      </w:r>
    </w:p>
    <w:p>
      <w:pPr>
        <w:pStyle w:val="BodyText"/>
        <w:spacing w:line="360" w:lineRule="auto" w:before="132"/>
        <w:ind w:left="678" w:right="994" w:firstLine="720"/>
        <w:jc w:val="both"/>
      </w:pPr>
      <w:r>
        <w:rPr/>
        <w:t>The yields of the successive extractions in n-hexane, chloroform, ethylacetate, ethanol and methanol were 0.827 g, 0.540 g, 0.679 g, 1.006 g and 1.009 g respectively. Methanol and ethanol are polar substances. Ethylacetate is not as polar as methanol and ethanol while and n-hexane and chloroform are non-polar. There was a good yield in methanol and ethanol. Ethanol extract was used for this investigation because of its safe handling and environment friendly nature unlike methanol which is very volatile and</w:t>
      </w:r>
      <w:r>
        <w:rPr>
          <w:spacing w:val="40"/>
        </w:rPr>
        <w:t> </w:t>
      </w:r>
      <w:r>
        <w:rPr/>
        <w:t>toxic. The cold extraction method used in our investigation produced a yield of 44%.</w:t>
      </w:r>
    </w:p>
    <w:p>
      <w:pPr>
        <w:pStyle w:val="BodyText"/>
      </w:pPr>
    </w:p>
    <w:p>
      <w:pPr>
        <w:pStyle w:val="BodyText"/>
        <w:spacing w:before="7"/>
      </w:pPr>
    </w:p>
    <w:p>
      <w:pPr>
        <w:pStyle w:val="ListParagraph"/>
        <w:numPr>
          <w:ilvl w:val="1"/>
          <w:numId w:val="43"/>
        </w:numPr>
        <w:tabs>
          <w:tab w:pos="1038" w:val="left" w:leader="none"/>
        </w:tabs>
        <w:spacing w:line="240" w:lineRule="auto" w:before="0" w:after="0"/>
        <w:ind w:left="1038" w:right="0" w:hanging="360"/>
        <w:jc w:val="both"/>
        <w:rPr>
          <w:b/>
          <w:sz w:val="24"/>
        </w:rPr>
      </w:pPr>
      <w:r>
        <w:rPr>
          <w:b/>
          <w:sz w:val="24"/>
        </w:rPr>
        <w:t>Proximate</w:t>
      </w:r>
      <w:r>
        <w:rPr>
          <w:b/>
          <w:spacing w:val="-3"/>
          <w:sz w:val="24"/>
        </w:rPr>
        <w:t> </w:t>
      </w:r>
      <w:r>
        <w:rPr>
          <w:b/>
          <w:sz w:val="24"/>
        </w:rPr>
        <w:t>analysis</w:t>
      </w:r>
      <w:r>
        <w:rPr>
          <w:b/>
          <w:spacing w:val="-1"/>
          <w:sz w:val="24"/>
        </w:rPr>
        <w:t> </w:t>
      </w:r>
      <w:r>
        <w:rPr>
          <w:b/>
          <w:sz w:val="24"/>
        </w:rPr>
        <w:t>of</w:t>
      </w:r>
      <w:r>
        <w:rPr>
          <w:b/>
          <w:spacing w:val="2"/>
          <w:sz w:val="24"/>
        </w:rPr>
        <w:t> </w:t>
      </w:r>
      <w:r>
        <w:rPr>
          <w:b/>
          <w:i/>
          <w:sz w:val="24"/>
        </w:rPr>
        <w:t>M.</w:t>
      </w:r>
      <w:r>
        <w:rPr>
          <w:b/>
          <w:i/>
          <w:spacing w:val="-1"/>
          <w:sz w:val="24"/>
        </w:rPr>
        <w:t> </w:t>
      </w:r>
      <w:r>
        <w:rPr>
          <w:b/>
          <w:i/>
          <w:sz w:val="24"/>
        </w:rPr>
        <w:t>pruriens</w:t>
      </w:r>
      <w:r>
        <w:rPr>
          <w:b/>
          <w:i/>
          <w:spacing w:val="-1"/>
          <w:sz w:val="24"/>
        </w:rPr>
        <w:t> </w:t>
      </w:r>
      <w:r>
        <w:rPr>
          <w:b/>
          <w:spacing w:val="-4"/>
          <w:sz w:val="24"/>
        </w:rPr>
        <w:t>seed</w:t>
      </w:r>
    </w:p>
    <w:p>
      <w:pPr>
        <w:pStyle w:val="BodyText"/>
        <w:spacing w:line="360" w:lineRule="auto" w:before="132"/>
        <w:ind w:left="678" w:right="994" w:firstLine="900"/>
        <w:jc w:val="both"/>
      </w:pPr>
      <w:r>
        <w:rPr/>
        <w:t>The results of the proximate analysis and moisture content of </w:t>
      </w:r>
      <w:r>
        <w:rPr>
          <w:i/>
        </w:rPr>
        <w:t>M. pruriens </w:t>
      </w:r>
      <w:r>
        <w:rPr/>
        <w:t>seed powder are presented in Table 3.1. Ash values, which are a measure of mineral matter present in the incinerated (seeds) residue, provide a means of standardizing the seeds. Our value of 4.1% is in range of values (3.60 - 4.69%) obtained by Amoo </w:t>
      </w:r>
      <w:r>
        <w:rPr>
          <w:i/>
        </w:rPr>
        <w:t>et al</w:t>
      </w:r>
      <w:r>
        <w:rPr/>
        <w:t>. (2009). Ash values</w:t>
      </w:r>
      <w:r>
        <w:rPr>
          <w:spacing w:val="-1"/>
        </w:rPr>
        <w:t> </w:t>
      </w:r>
      <w:r>
        <w:rPr/>
        <w:t>are frequently</w:t>
      </w:r>
      <w:r>
        <w:rPr>
          <w:spacing w:val="-5"/>
        </w:rPr>
        <w:t> </w:t>
      </w:r>
      <w:r>
        <w:rPr/>
        <w:t>used to standardize</w:t>
      </w:r>
      <w:r>
        <w:rPr>
          <w:spacing w:val="-1"/>
        </w:rPr>
        <w:t> </w:t>
      </w:r>
      <w:r>
        <w:rPr/>
        <w:t>crude</w:t>
      </w:r>
      <w:r>
        <w:rPr>
          <w:spacing w:val="-2"/>
        </w:rPr>
        <w:t> </w:t>
      </w:r>
      <w:r>
        <w:rPr/>
        <w:t>drug</w:t>
      </w:r>
      <w:r>
        <w:rPr>
          <w:spacing w:val="-3"/>
        </w:rPr>
        <w:t> </w:t>
      </w:r>
      <w:r>
        <w:rPr/>
        <w:t>material. Total ash, which</w:t>
      </w:r>
      <w:r>
        <w:rPr>
          <w:spacing w:val="-1"/>
        </w:rPr>
        <w:t> </w:t>
      </w:r>
      <w:r>
        <w:rPr/>
        <w:t>is designed to measure the amount of material remaining after ignition, contains both ‗physiological ash‘ and ‗non-physiological ash‘. That is why the value of total ash is usually larger than other ash values. Acid-insoluble ash is used to measure the presence of silica, especially sand and siliceous earth in the plant material. Often, these proximate analysis values are used for crude drugs as a measure of quality and give an indication of incorrect collection and bad preparation of the drug samples. The value obtained for acid – insoluble ash was 2.5%. Values obtained for these parameters suggest that our sample is of good quality.</w:t>
      </w:r>
    </w:p>
    <w:p>
      <w:pPr>
        <w:spacing w:after="0" w:line="360" w:lineRule="auto"/>
        <w:jc w:val="both"/>
        <w:sectPr>
          <w:pgSz w:w="12240" w:h="15840"/>
          <w:pgMar w:header="0" w:footer="1056" w:top="1820" w:bottom="1240" w:left="1420" w:right="420"/>
        </w:sectPr>
      </w:pPr>
    </w:p>
    <w:p>
      <w:pPr>
        <w:spacing w:before="77"/>
        <w:ind w:left="678" w:right="0" w:firstLine="0"/>
        <w:jc w:val="left"/>
        <w:rPr>
          <w:b/>
          <w:i/>
          <w:sz w:val="24"/>
        </w:rPr>
      </w:pPr>
      <w:r>
        <w:rPr/>
        <mc:AlternateContent>
          <mc:Choice Requires="wps">
            <w:drawing>
              <wp:anchor distT="0" distB="0" distL="0" distR="0" allowOverlap="1" layoutInCell="1" locked="0" behindDoc="1" simplePos="0" relativeHeight="482972160">
                <wp:simplePos x="0" y="0"/>
                <wp:positionH relativeFrom="page">
                  <wp:posOffset>-1402226</wp:posOffset>
                </wp:positionH>
                <wp:positionV relativeFrom="page">
                  <wp:posOffset>4612234</wp:posOffset>
                </wp:positionV>
                <wp:extent cx="10685780" cy="9144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4320;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5"/>
          <w:sz w:val="24"/>
        </w:rPr>
        <w:t> </w:t>
      </w:r>
      <w:r>
        <w:rPr>
          <w:b/>
          <w:sz w:val="24"/>
        </w:rPr>
        <w:t>3.1</w:t>
      </w:r>
      <w:r>
        <w:rPr>
          <w:b/>
          <w:spacing w:val="-1"/>
          <w:sz w:val="24"/>
        </w:rPr>
        <w:t> </w:t>
      </w:r>
      <w:r>
        <w:rPr>
          <w:b/>
          <w:sz w:val="24"/>
        </w:rPr>
        <w:t>Proximate</w:t>
      </w:r>
      <w:r>
        <w:rPr>
          <w:b/>
          <w:spacing w:val="-3"/>
          <w:sz w:val="24"/>
        </w:rPr>
        <w:t> </w:t>
      </w:r>
      <w:r>
        <w:rPr>
          <w:b/>
          <w:sz w:val="24"/>
        </w:rPr>
        <w:t>analysis</w:t>
      </w:r>
      <w:r>
        <w:rPr>
          <w:b/>
          <w:spacing w:val="-1"/>
          <w:sz w:val="24"/>
        </w:rPr>
        <w:t> </w:t>
      </w:r>
      <w:r>
        <w:rPr>
          <w:b/>
          <w:sz w:val="24"/>
        </w:rPr>
        <w:t>of the</w:t>
      </w:r>
      <w:r>
        <w:rPr>
          <w:b/>
          <w:spacing w:val="-2"/>
          <w:sz w:val="24"/>
        </w:rPr>
        <w:t> </w:t>
      </w:r>
      <w:r>
        <w:rPr>
          <w:b/>
          <w:sz w:val="24"/>
        </w:rPr>
        <w:t>seed</w:t>
      </w:r>
      <w:r>
        <w:rPr>
          <w:b/>
          <w:spacing w:val="-1"/>
          <w:sz w:val="24"/>
        </w:rPr>
        <w:t> </w:t>
      </w:r>
      <w:r>
        <w:rPr>
          <w:b/>
          <w:sz w:val="24"/>
        </w:rPr>
        <w:t>of</w:t>
      </w:r>
      <w:r>
        <w:rPr>
          <w:b/>
          <w:spacing w:val="3"/>
          <w:sz w:val="24"/>
        </w:rPr>
        <w:t> </w:t>
      </w:r>
      <w:r>
        <w:rPr>
          <w:b/>
          <w:i/>
          <w:sz w:val="24"/>
        </w:rPr>
        <w:t>M.</w:t>
      </w:r>
      <w:r>
        <w:rPr>
          <w:b/>
          <w:i/>
          <w:spacing w:val="-3"/>
          <w:sz w:val="24"/>
        </w:rPr>
        <w:t> </w:t>
      </w:r>
      <w:r>
        <w:rPr>
          <w:b/>
          <w:i/>
          <w:spacing w:val="-2"/>
          <w:sz w:val="24"/>
        </w:rPr>
        <w:t>pruiriens</w:t>
      </w:r>
    </w:p>
    <w:p>
      <w:pPr>
        <w:pStyle w:val="BodyText"/>
        <w:rPr>
          <w:b/>
          <w:i/>
          <w:sz w:val="20"/>
        </w:rPr>
      </w:pPr>
    </w:p>
    <w:p>
      <w:pPr>
        <w:pStyle w:val="BodyText"/>
        <w:rPr>
          <w:b/>
          <w:i/>
          <w:sz w:val="20"/>
        </w:rPr>
      </w:pPr>
    </w:p>
    <w:p>
      <w:pPr>
        <w:pStyle w:val="BodyText"/>
        <w:rPr>
          <w:b/>
          <w:i/>
          <w:sz w:val="20"/>
        </w:rPr>
      </w:pPr>
    </w:p>
    <w:p>
      <w:pPr>
        <w:pStyle w:val="BodyText"/>
        <w:spacing w:before="147"/>
        <w:rPr>
          <w:b/>
          <w:i/>
          <w:sz w:val="20"/>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8"/>
        <w:gridCol w:w="3990"/>
      </w:tblGrid>
      <w:tr>
        <w:trPr>
          <w:trHeight w:val="530" w:hRule="atLeast"/>
        </w:trPr>
        <w:tc>
          <w:tcPr>
            <w:tcW w:w="3918" w:type="dxa"/>
            <w:tcBorders>
              <w:top w:val="single" w:sz="4" w:space="0" w:color="000000"/>
              <w:bottom w:val="single" w:sz="4" w:space="0" w:color="000000"/>
            </w:tcBorders>
          </w:tcPr>
          <w:p>
            <w:pPr>
              <w:pStyle w:val="TableParagraph"/>
              <w:spacing w:before="114"/>
              <w:ind w:left="107"/>
              <w:rPr>
                <w:b/>
                <w:sz w:val="24"/>
              </w:rPr>
            </w:pPr>
            <w:r>
              <w:rPr>
                <w:b/>
                <w:spacing w:val="-2"/>
                <w:sz w:val="24"/>
              </w:rPr>
              <w:t>Parameter</w:t>
            </w:r>
          </w:p>
        </w:tc>
        <w:tc>
          <w:tcPr>
            <w:tcW w:w="3990" w:type="dxa"/>
            <w:tcBorders>
              <w:top w:val="single" w:sz="4" w:space="0" w:color="000000"/>
              <w:bottom w:val="single" w:sz="4" w:space="0" w:color="000000"/>
            </w:tcBorders>
          </w:tcPr>
          <w:p>
            <w:pPr>
              <w:pStyle w:val="TableParagraph"/>
              <w:spacing w:before="114"/>
              <w:ind w:left="1185"/>
              <w:rPr>
                <w:b/>
                <w:sz w:val="24"/>
              </w:rPr>
            </w:pPr>
            <w:r>
              <w:rPr>
                <w:b/>
                <w:sz w:val="24"/>
              </w:rPr>
              <w:t>Value</w:t>
            </w:r>
            <w:r>
              <w:rPr>
                <w:b/>
                <w:spacing w:val="-1"/>
                <w:sz w:val="24"/>
              </w:rPr>
              <w:t> </w:t>
            </w:r>
            <w:r>
              <w:rPr>
                <w:b/>
                <w:spacing w:val="-5"/>
                <w:sz w:val="24"/>
              </w:rPr>
              <w:t>(%)</w:t>
            </w:r>
          </w:p>
        </w:tc>
      </w:tr>
      <w:tr>
        <w:trPr>
          <w:trHeight w:val="516" w:hRule="atLeast"/>
        </w:trPr>
        <w:tc>
          <w:tcPr>
            <w:tcW w:w="3918" w:type="dxa"/>
            <w:tcBorders>
              <w:top w:val="single" w:sz="4" w:space="0" w:color="000000"/>
            </w:tcBorders>
          </w:tcPr>
          <w:p>
            <w:pPr>
              <w:pStyle w:val="TableParagraph"/>
              <w:spacing w:before="109"/>
              <w:ind w:left="107"/>
              <w:rPr>
                <w:sz w:val="24"/>
              </w:rPr>
            </w:pPr>
            <w:r>
              <w:rPr>
                <w:sz w:val="24"/>
              </w:rPr>
              <w:t>Ash </w:t>
            </w:r>
            <w:r>
              <w:rPr>
                <w:spacing w:val="-2"/>
                <w:sz w:val="24"/>
              </w:rPr>
              <w:t>value</w:t>
            </w:r>
          </w:p>
        </w:tc>
        <w:tc>
          <w:tcPr>
            <w:tcW w:w="3990" w:type="dxa"/>
            <w:tcBorders>
              <w:top w:val="single" w:sz="4" w:space="0" w:color="000000"/>
            </w:tcBorders>
          </w:tcPr>
          <w:p>
            <w:pPr>
              <w:pStyle w:val="TableParagraph"/>
              <w:spacing w:before="109"/>
              <w:ind w:right="559"/>
              <w:jc w:val="center"/>
              <w:rPr>
                <w:sz w:val="24"/>
              </w:rPr>
            </w:pPr>
            <w:r>
              <w:rPr>
                <w:spacing w:val="-2"/>
                <w:sz w:val="24"/>
              </w:rPr>
              <w:t>4.1±0.0</w:t>
            </w:r>
          </w:p>
        </w:tc>
      </w:tr>
      <w:tr>
        <w:trPr>
          <w:trHeight w:val="529" w:hRule="atLeast"/>
        </w:trPr>
        <w:tc>
          <w:tcPr>
            <w:tcW w:w="3918" w:type="dxa"/>
          </w:tcPr>
          <w:p>
            <w:pPr>
              <w:pStyle w:val="TableParagraph"/>
              <w:spacing w:before="121"/>
              <w:ind w:left="107"/>
              <w:rPr>
                <w:sz w:val="24"/>
              </w:rPr>
            </w:pPr>
            <w:r>
              <w:rPr>
                <w:sz w:val="24"/>
              </w:rPr>
              <w:t>Acid</w:t>
            </w:r>
            <w:r>
              <w:rPr>
                <w:spacing w:val="-1"/>
                <w:sz w:val="24"/>
              </w:rPr>
              <w:t> </w:t>
            </w:r>
            <w:r>
              <w:rPr>
                <w:sz w:val="24"/>
              </w:rPr>
              <w:t>insoluble</w:t>
            </w:r>
            <w:r>
              <w:rPr>
                <w:spacing w:val="-1"/>
                <w:sz w:val="24"/>
              </w:rPr>
              <w:t> </w:t>
            </w:r>
            <w:r>
              <w:rPr>
                <w:spacing w:val="-5"/>
                <w:sz w:val="24"/>
              </w:rPr>
              <w:t>ash</w:t>
            </w:r>
          </w:p>
        </w:tc>
        <w:tc>
          <w:tcPr>
            <w:tcW w:w="3990" w:type="dxa"/>
          </w:tcPr>
          <w:p>
            <w:pPr>
              <w:pStyle w:val="TableParagraph"/>
              <w:spacing w:before="121"/>
              <w:ind w:right="559"/>
              <w:jc w:val="center"/>
              <w:rPr>
                <w:sz w:val="24"/>
              </w:rPr>
            </w:pPr>
            <w:r>
              <w:rPr>
                <w:spacing w:val="-2"/>
                <w:sz w:val="24"/>
              </w:rPr>
              <w:t>2.5±0.8</w:t>
            </w:r>
          </w:p>
        </w:tc>
      </w:tr>
      <w:tr>
        <w:trPr>
          <w:trHeight w:val="529" w:hRule="atLeast"/>
        </w:trPr>
        <w:tc>
          <w:tcPr>
            <w:tcW w:w="3918" w:type="dxa"/>
          </w:tcPr>
          <w:p>
            <w:pPr>
              <w:pStyle w:val="TableParagraph"/>
              <w:spacing w:before="122"/>
              <w:ind w:left="107"/>
              <w:rPr>
                <w:sz w:val="24"/>
              </w:rPr>
            </w:pPr>
            <w:r>
              <w:rPr>
                <w:sz w:val="24"/>
              </w:rPr>
              <w:t>Water</w:t>
            </w:r>
            <w:r>
              <w:rPr>
                <w:spacing w:val="-2"/>
                <w:sz w:val="24"/>
              </w:rPr>
              <w:t> </w:t>
            </w:r>
            <w:r>
              <w:rPr>
                <w:sz w:val="24"/>
              </w:rPr>
              <w:t>soluble </w:t>
            </w:r>
            <w:r>
              <w:rPr>
                <w:spacing w:val="-5"/>
                <w:sz w:val="24"/>
              </w:rPr>
              <w:t>ash</w:t>
            </w:r>
          </w:p>
        </w:tc>
        <w:tc>
          <w:tcPr>
            <w:tcW w:w="3990" w:type="dxa"/>
          </w:tcPr>
          <w:p>
            <w:pPr>
              <w:pStyle w:val="TableParagraph"/>
              <w:spacing w:before="122"/>
              <w:ind w:right="559"/>
              <w:jc w:val="center"/>
              <w:rPr>
                <w:sz w:val="24"/>
              </w:rPr>
            </w:pPr>
            <w:r>
              <w:rPr>
                <w:spacing w:val="-2"/>
                <w:sz w:val="24"/>
              </w:rPr>
              <w:t>0.9±0.2</w:t>
            </w:r>
          </w:p>
        </w:tc>
      </w:tr>
      <w:tr>
        <w:trPr>
          <w:trHeight w:val="528" w:hRule="atLeast"/>
        </w:trPr>
        <w:tc>
          <w:tcPr>
            <w:tcW w:w="3918" w:type="dxa"/>
          </w:tcPr>
          <w:p>
            <w:pPr>
              <w:pStyle w:val="TableParagraph"/>
              <w:spacing w:before="121"/>
              <w:ind w:left="107"/>
              <w:rPr>
                <w:sz w:val="24"/>
              </w:rPr>
            </w:pPr>
            <w:r>
              <w:rPr>
                <w:sz w:val="24"/>
              </w:rPr>
              <w:t>Water</w:t>
            </w:r>
            <w:r>
              <w:rPr>
                <w:spacing w:val="-2"/>
                <w:sz w:val="24"/>
              </w:rPr>
              <w:t> </w:t>
            </w:r>
            <w:r>
              <w:rPr>
                <w:sz w:val="24"/>
              </w:rPr>
              <w:t>soluble </w:t>
            </w:r>
            <w:r>
              <w:rPr>
                <w:spacing w:val="-2"/>
                <w:sz w:val="24"/>
              </w:rPr>
              <w:t>extractives</w:t>
            </w:r>
          </w:p>
        </w:tc>
        <w:tc>
          <w:tcPr>
            <w:tcW w:w="3990" w:type="dxa"/>
          </w:tcPr>
          <w:p>
            <w:pPr>
              <w:pStyle w:val="TableParagraph"/>
              <w:spacing w:before="121"/>
              <w:ind w:left="1288"/>
              <w:rPr>
                <w:sz w:val="24"/>
              </w:rPr>
            </w:pPr>
            <w:r>
              <w:rPr>
                <w:spacing w:val="-2"/>
                <w:sz w:val="24"/>
              </w:rPr>
              <w:t>12.2±0.1</w:t>
            </w:r>
          </w:p>
        </w:tc>
      </w:tr>
      <w:tr>
        <w:trPr>
          <w:trHeight w:val="529" w:hRule="atLeast"/>
        </w:trPr>
        <w:tc>
          <w:tcPr>
            <w:tcW w:w="3918" w:type="dxa"/>
          </w:tcPr>
          <w:p>
            <w:pPr>
              <w:pStyle w:val="TableParagraph"/>
              <w:spacing w:before="121"/>
              <w:ind w:left="107"/>
              <w:rPr>
                <w:sz w:val="24"/>
              </w:rPr>
            </w:pPr>
            <w:r>
              <w:rPr>
                <w:sz w:val="24"/>
              </w:rPr>
              <w:t>Alcohol</w:t>
            </w:r>
            <w:r>
              <w:rPr>
                <w:spacing w:val="-1"/>
                <w:sz w:val="24"/>
              </w:rPr>
              <w:t> </w:t>
            </w:r>
            <w:r>
              <w:rPr>
                <w:sz w:val="24"/>
              </w:rPr>
              <w:t>soluble</w:t>
            </w:r>
            <w:r>
              <w:rPr>
                <w:spacing w:val="-1"/>
                <w:sz w:val="24"/>
              </w:rPr>
              <w:t> </w:t>
            </w:r>
            <w:r>
              <w:rPr>
                <w:spacing w:val="-2"/>
                <w:sz w:val="24"/>
              </w:rPr>
              <w:t>extractives</w:t>
            </w:r>
          </w:p>
        </w:tc>
        <w:tc>
          <w:tcPr>
            <w:tcW w:w="3990" w:type="dxa"/>
          </w:tcPr>
          <w:p>
            <w:pPr>
              <w:pStyle w:val="TableParagraph"/>
              <w:spacing w:before="121"/>
              <w:ind w:left="1288"/>
              <w:rPr>
                <w:sz w:val="24"/>
              </w:rPr>
            </w:pPr>
            <w:r>
              <w:rPr>
                <w:spacing w:val="-2"/>
                <w:sz w:val="24"/>
              </w:rPr>
              <w:t>55.0±0.9</w:t>
            </w:r>
          </w:p>
        </w:tc>
      </w:tr>
      <w:tr>
        <w:trPr>
          <w:trHeight w:val="398" w:hRule="atLeast"/>
        </w:trPr>
        <w:tc>
          <w:tcPr>
            <w:tcW w:w="3918" w:type="dxa"/>
          </w:tcPr>
          <w:p>
            <w:pPr>
              <w:pStyle w:val="TableParagraph"/>
              <w:spacing w:line="256" w:lineRule="exact" w:before="122"/>
              <w:ind w:left="107"/>
              <w:rPr>
                <w:sz w:val="24"/>
              </w:rPr>
            </w:pPr>
            <w:r>
              <w:rPr>
                <w:sz w:val="24"/>
              </w:rPr>
              <w:t>Moisture</w:t>
            </w:r>
            <w:r>
              <w:rPr>
                <w:spacing w:val="-2"/>
                <w:sz w:val="24"/>
              </w:rPr>
              <w:t> content</w:t>
            </w:r>
          </w:p>
        </w:tc>
        <w:tc>
          <w:tcPr>
            <w:tcW w:w="3990" w:type="dxa"/>
          </w:tcPr>
          <w:p>
            <w:pPr>
              <w:pStyle w:val="TableParagraph"/>
              <w:spacing w:line="256" w:lineRule="exact" w:before="122"/>
              <w:ind w:right="559"/>
              <w:jc w:val="center"/>
              <w:rPr>
                <w:sz w:val="24"/>
              </w:rPr>
            </w:pPr>
            <w:r>
              <w:rPr>
                <w:spacing w:val="-2"/>
                <w:sz w:val="24"/>
              </w:rPr>
              <w:t>5.1±0.0</w:t>
            </w:r>
          </w:p>
        </w:tc>
      </w:tr>
    </w:tbl>
    <w:p>
      <w:pPr>
        <w:pStyle w:val="BodyText"/>
        <w:rPr>
          <w:b/>
          <w:i/>
          <w:sz w:val="20"/>
        </w:rPr>
      </w:pPr>
    </w:p>
    <w:p>
      <w:pPr>
        <w:pStyle w:val="BodyText"/>
        <w:spacing w:before="190"/>
        <w:rPr>
          <w:b/>
          <w:i/>
          <w:sz w:val="20"/>
        </w:rPr>
      </w:pPr>
      <w:r>
        <w:rPr/>
        <mc:AlternateContent>
          <mc:Choice Requires="wps">
            <w:drawing>
              <wp:anchor distT="0" distB="0" distL="0" distR="0" allowOverlap="1" layoutInCell="1" locked="0" behindDoc="1" simplePos="0" relativeHeight="487656960">
                <wp:simplePos x="0" y="0"/>
                <wp:positionH relativeFrom="page">
                  <wp:posOffset>1254556</wp:posOffset>
                </wp:positionH>
                <wp:positionV relativeFrom="paragraph">
                  <wp:posOffset>281927</wp:posOffset>
                </wp:positionV>
                <wp:extent cx="5030470" cy="635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5030470" cy="6350"/>
                        </a:xfrm>
                        <a:custGeom>
                          <a:avLst/>
                          <a:gdLst/>
                          <a:ahLst/>
                          <a:cxnLst/>
                          <a:rect l="l" t="t" r="r" b="b"/>
                          <a:pathLst>
                            <a:path w="5030470" h="6350">
                              <a:moveTo>
                                <a:pt x="5030165" y="0"/>
                              </a:moveTo>
                              <a:lnTo>
                                <a:pt x="2149094" y="0"/>
                              </a:lnTo>
                              <a:lnTo>
                                <a:pt x="2146122" y="0"/>
                              </a:lnTo>
                              <a:lnTo>
                                <a:pt x="2140026" y="0"/>
                              </a:lnTo>
                              <a:lnTo>
                                <a:pt x="0" y="0"/>
                              </a:lnTo>
                              <a:lnTo>
                                <a:pt x="0" y="6096"/>
                              </a:lnTo>
                              <a:lnTo>
                                <a:pt x="2140026" y="6096"/>
                              </a:lnTo>
                              <a:lnTo>
                                <a:pt x="2146122" y="6096"/>
                              </a:lnTo>
                              <a:lnTo>
                                <a:pt x="2149094" y="6096"/>
                              </a:lnTo>
                              <a:lnTo>
                                <a:pt x="5030165" y="6096"/>
                              </a:lnTo>
                              <a:lnTo>
                                <a:pt x="50301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784004pt;margin-top:22.199003pt;width:396.1pt;height:.5pt;mso-position-horizontal-relative:page;mso-position-vertical-relative:paragraph;z-index:-15659520;mso-wrap-distance-left:0;mso-wrap-distance-right:0" id="docshape102" coordorigin="1976,444" coordsize="7922,10" path="m9897,444l5360,444,5355,444,5346,444,1976,444,1976,454,5346,454,5355,454,5360,454,9897,454,9897,444xe" filled="true" fillcolor="#000000" stroked="false">
                <v:path arrowok="t"/>
                <v:fill type="solid"/>
                <w10:wrap type="topAndBottom"/>
              </v:shape>
            </w:pict>
          </mc:Fallback>
        </mc:AlternateContent>
      </w:r>
    </w:p>
    <w:p>
      <w:pPr>
        <w:spacing w:after="0"/>
        <w:rPr>
          <w:sz w:val="20"/>
        </w:rPr>
        <w:sectPr>
          <w:pgSz w:w="12240" w:h="15840"/>
          <w:pgMar w:header="0" w:footer="1056" w:top="1340" w:bottom="1240" w:left="1420" w:right="420"/>
        </w:sectPr>
      </w:pPr>
    </w:p>
    <w:p>
      <w:pPr>
        <w:pStyle w:val="Heading2"/>
        <w:numPr>
          <w:ilvl w:val="1"/>
          <w:numId w:val="43"/>
        </w:numPr>
        <w:tabs>
          <w:tab w:pos="1038" w:val="left" w:leader="none"/>
        </w:tabs>
        <w:spacing w:line="240" w:lineRule="auto" w:before="77" w:after="0"/>
        <w:ind w:left="1038" w:right="0" w:hanging="360"/>
        <w:jc w:val="left"/>
      </w:pPr>
      <w:r>
        <w:rPr/>
        <mc:AlternateContent>
          <mc:Choice Requires="wps">
            <w:drawing>
              <wp:anchor distT="0" distB="0" distL="0" distR="0" allowOverlap="1" layoutInCell="1" locked="0" behindDoc="1" simplePos="0" relativeHeight="482972672">
                <wp:simplePos x="0" y="0"/>
                <wp:positionH relativeFrom="page">
                  <wp:posOffset>-1402226</wp:posOffset>
                </wp:positionH>
                <wp:positionV relativeFrom="page">
                  <wp:posOffset>4612234</wp:posOffset>
                </wp:positionV>
                <wp:extent cx="10685780" cy="9144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3808;rotation:306" type="#_x0000_t136" fillcolor="#ff5400" stroked="f">
                <o:extrusion v:ext="view" autorotationcenter="t"/>
                <v:textpath style="font-family:&quot;Arial MT&quot;;font-size:72pt;v-text-kern:t;mso-text-shadow:auto" string="UNIVERSITY OF IBADAN"/>
                <w10:wrap type="none"/>
              </v:shape>
            </w:pict>
          </mc:Fallback>
        </mc:AlternateContent>
      </w:r>
      <w:r>
        <w:rPr/>
        <w:t>Phytochemical</w:t>
      </w:r>
      <w:r>
        <w:rPr>
          <w:spacing w:val="-4"/>
        </w:rPr>
        <w:t> </w:t>
      </w:r>
      <w:r>
        <w:rPr/>
        <w:t>screening</w:t>
      </w:r>
      <w:r>
        <w:rPr>
          <w:spacing w:val="-1"/>
        </w:rPr>
        <w:t> </w:t>
      </w:r>
      <w:r>
        <w:rPr/>
        <w:t>of the</w:t>
      </w:r>
      <w:r>
        <w:rPr>
          <w:spacing w:val="-3"/>
        </w:rPr>
        <w:t> </w:t>
      </w:r>
      <w:r>
        <w:rPr/>
        <w:t>ethanol</w:t>
      </w:r>
      <w:r>
        <w:rPr>
          <w:spacing w:val="-1"/>
        </w:rPr>
        <w:t> </w:t>
      </w:r>
      <w:r>
        <w:rPr/>
        <w:t>extract</w:t>
      </w:r>
      <w:r>
        <w:rPr>
          <w:spacing w:val="-1"/>
        </w:rPr>
        <w:t> </w:t>
      </w:r>
      <w:r>
        <w:rPr/>
        <w:t>of</w:t>
      </w:r>
      <w:r>
        <w:rPr>
          <w:spacing w:val="-1"/>
        </w:rPr>
        <w:t> </w:t>
      </w:r>
      <w:r>
        <w:rPr/>
        <w:t>the</w:t>
      </w:r>
      <w:r>
        <w:rPr>
          <w:spacing w:val="-3"/>
        </w:rPr>
        <w:t> </w:t>
      </w:r>
      <w:r>
        <w:rPr/>
        <w:t>seeds</w:t>
      </w:r>
      <w:r>
        <w:rPr>
          <w:spacing w:val="-1"/>
        </w:rPr>
        <w:t> </w:t>
      </w:r>
      <w:r>
        <w:rPr/>
        <w:t>of</w:t>
      </w:r>
      <w:r>
        <w:rPr>
          <w:spacing w:val="3"/>
        </w:rPr>
        <w:t> </w:t>
      </w:r>
      <w:r>
        <w:rPr>
          <w:i/>
        </w:rPr>
        <w:t>M.</w:t>
      </w:r>
      <w:r>
        <w:rPr>
          <w:i/>
          <w:spacing w:val="-1"/>
        </w:rPr>
        <w:t> </w:t>
      </w:r>
      <w:r>
        <w:rPr>
          <w:i/>
          <w:spacing w:val="-2"/>
        </w:rPr>
        <w:t>pruriens.</w:t>
      </w:r>
    </w:p>
    <w:p>
      <w:pPr>
        <w:pStyle w:val="BodyText"/>
        <w:spacing w:line="360" w:lineRule="auto" w:before="248"/>
        <w:ind w:left="678" w:right="1004" w:firstLine="720"/>
        <w:jc w:val="both"/>
      </w:pPr>
      <w:r>
        <w:rPr/>
        <w:t>The results of the phytochemical screening of ethanol extract of the seeds are presented in Table 3.2. The phytochemical studies carried out revealed the presence of various</w:t>
      </w:r>
      <w:r>
        <w:rPr>
          <w:spacing w:val="-1"/>
        </w:rPr>
        <w:t> </w:t>
      </w:r>
      <w:r>
        <w:rPr/>
        <w:t>phytochemicals like</w:t>
      </w:r>
      <w:r>
        <w:rPr>
          <w:spacing w:val="-1"/>
        </w:rPr>
        <w:t> </w:t>
      </w:r>
      <w:r>
        <w:rPr/>
        <w:t>alkaloids, tannins,</w:t>
      </w:r>
      <w:r>
        <w:rPr>
          <w:spacing w:val="-1"/>
        </w:rPr>
        <w:t> </w:t>
      </w:r>
      <w:r>
        <w:rPr/>
        <w:t>saponins,</w:t>
      </w:r>
      <w:r>
        <w:rPr>
          <w:spacing w:val="-1"/>
        </w:rPr>
        <w:t> </w:t>
      </w:r>
      <w:r>
        <w:rPr/>
        <w:t>steroids, carbohydrates,</w:t>
      </w:r>
      <w:r>
        <w:rPr>
          <w:spacing w:val="-1"/>
        </w:rPr>
        <w:t> </w:t>
      </w:r>
      <w:r>
        <w:rPr/>
        <w:t>proteins, lipids and phenols. This is consistent with the works of Ashok </w:t>
      </w:r>
      <w:r>
        <w:rPr>
          <w:i/>
        </w:rPr>
        <w:t>et al</w:t>
      </w:r>
      <w:r>
        <w:rPr/>
        <w:t>., (2009); Rajaram and Janardhanan, (1991) and Siddhuraju and Becker (2005) which stated that alkaloids, terpenes, glycosides, saponins, terpenoids,phenols, steroids and reducing sugars were found in mucuna plants.</w:t>
      </w:r>
    </w:p>
    <w:p>
      <w:pPr>
        <w:pStyle w:val="BodyText"/>
        <w:spacing w:line="360" w:lineRule="auto" w:before="1"/>
        <w:ind w:left="678" w:right="1002" w:firstLine="720"/>
        <w:jc w:val="both"/>
        <w:rPr>
          <w:i/>
        </w:rPr>
      </w:pPr>
      <w:r>
        <w:rPr/>
        <w:t>Saponins in </w:t>
      </w:r>
      <w:r>
        <w:rPr>
          <w:i/>
        </w:rPr>
        <w:t>Mucuna </w:t>
      </w:r>
      <w:r>
        <w:rPr/>
        <w:t>seeds ranged between 1.2 and 1.3% (Siddhuraju and Becker, 2005). Saponins possess a carbohydrate moiety attached to a triterpenoid or a steroidal aglycone. They form a group of compounds, which on consumption causes deleterious effects</w:t>
      </w:r>
      <w:r>
        <w:rPr>
          <w:spacing w:val="-1"/>
        </w:rPr>
        <w:t> </w:t>
      </w:r>
      <w:r>
        <w:rPr/>
        <w:t>such as</w:t>
      </w:r>
      <w:r>
        <w:rPr>
          <w:spacing w:val="-1"/>
        </w:rPr>
        <w:t> </w:t>
      </w:r>
      <w:r>
        <w:rPr/>
        <w:t>hemolysis and</w:t>
      </w:r>
      <w:r>
        <w:rPr>
          <w:spacing w:val="-1"/>
        </w:rPr>
        <w:t> </w:t>
      </w:r>
      <w:r>
        <w:rPr/>
        <w:t>permeabilization</w:t>
      </w:r>
      <w:r>
        <w:rPr>
          <w:spacing w:val="-1"/>
        </w:rPr>
        <w:t> </w:t>
      </w:r>
      <w:r>
        <w:rPr/>
        <w:t>of</w:t>
      </w:r>
      <w:r>
        <w:rPr>
          <w:spacing w:val="-2"/>
        </w:rPr>
        <w:t> </w:t>
      </w:r>
      <w:r>
        <w:rPr/>
        <w:t>the</w:t>
      </w:r>
      <w:r>
        <w:rPr>
          <w:spacing w:val="-2"/>
        </w:rPr>
        <w:t> </w:t>
      </w:r>
      <w:r>
        <w:rPr/>
        <w:t>intestine</w:t>
      </w:r>
      <w:r>
        <w:rPr>
          <w:spacing w:val="-2"/>
        </w:rPr>
        <w:t> </w:t>
      </w:r>
      <w:r>
        <w:rPr/>
        <w:t>(Cheeke,</w:t>
      </w:r>
      <w:r>
        <w:rPr>
          <w:spacing w:val="-1"/>
        </w:rPr>
        <w:t> </w:t>
      </w:r>
      <w:r>
        <w:rPr/>
        <w:t>1996,</w:t>
      </w:r>
      <w:r>
        <w:rPr>
          <w:spacing w:val="-1"/>
        </w:rPr>
        <w:t> </w:t>
      </w:r>
      <w:r>
        <w:rPr/>
        <w:t>Price </w:t>
      </w:r>
      <w:r>
        <w:rPr>
          <w:i/>
        </w:rPr>
        <w:t>et</w:t>
      </w:r>
      <w:r>
        <w:rPr>
          <w:i/>
          <w:spacing w:val="-1"/>
        </w:rPr>
        <w:t> </w:t>
      </w:r>
      <w:r>
        <w:rPr>
          <w:i/>
        </w:rPr>
        <w:t>al</w:t>
      </w:r>
      <w:r>
        <w:rPr/>
        <w:t>., 1987). Saponins are recently shown to have hypocholesterolemic as well as anticarcinogenic effects (Koratkar and Rao, 1997). Cholesterol lowering effect in animals and humans through the formation of mixed micelles and bile acids into micelle bile acid molecules by saponins have been reported (Okenfull </w:t>
      </w:r>
      <w:r>
        <w:rPr>
          <w:i/>
        </w:rPr>
        <w:t>et al</w:t>
      </w:r>
      <w:r>
        <w:rPr/>
        <w:t>., 1984). Thus, the presence of saponins could be responsible for the hypocholesterolemic property of </w:t>
      </w:r>
      <w:r>
        <w:rPr>
          <w:i/>
        </w:rPr>
        <w:t>M. pruriens.</w:t>
      </w:r>
    </w:p>
    <w:p>
      <w:pPr>
        <w:pStyle w:val="BodyText"/>
        <w:spacing w:before="5"/>
        <w:rPr>
          <w:i/>
        </w:rPr>
      </w:pPr>
    </w:p>
    <w:p>
      <w:pPr>
        <w:pStyle w:val="BodyText"/>
        <w:spacing w:line="360" w:lineRule="auto"/>
        <w:ind w:left="678" w:right="992"/>
        <w:jc w:val="both"/>
        <w:rPr>
          <w:i/>
        </w:rPr>
      </w:pPr>
      <w:r>
        <w:rPr/>
        <w:t>The total phenolics of </w:t>
      </w:r>
      <w:r>
        <w:rPr>
          <w:i/>
        </w:rPr>
        <w:t>Mucuna </w:t>
      </w:r>
      <w:r>
        <w:rPr/>
        <w:t>seeds varies between 3.1 and 4.9% (Vadivel and Janardhanan 2000, Mohan and Janardhanan, 1995). Siddhuraju </w:t>
      </w:r>
      <w:r>
        <w:rPr>
          <w:i/>
        </w:rPr>
        <w:t>et al </w:t>
      </w:r>
      <w:r>
        <w:rPr/>
        <w:t>(2000) studied the total phenolics and tannins of different germplasm of </w:t>
      </w:r>
      <w:r>
        <w:rPr>
          <w:i/>
        </w:rPr>
        <w:t>Mucuna </w:t>
      </w:r>
      <w:r>
        <w:rPr/>
        <w:t>and found high concentration in the black seed accessions (6.1 and 0.55% respectively) than white seed accessions</w:t>
      </w:r>
      <w:r>
        <w:rPr>
          <w:spacing w:val="-1"/>
        </w:rPr>
        <w:t> </w:t>
      </w:r>
      <w:r>
        <w:rPr/>
        <w:t>(5.5</w:t>
      </w:r>
      <w:r>
        <w:rPr>
          <w:spacing w:val="-2"/>
        </w:rPr>
        <w:t> </w:t>
      </w:r>
      <w:r>
        <w:rPr/>
        <w:t>and</w:t>
      </w:r>
      <w:r>
        <w:rPr>
          <w:spacing w:val="-1"/>
        </w:rPr>
        <w:t> </w:t>
      </w:r>
      <w:r>
        <w:rPr/>
        <w:t>0.37 %</w:t>
      </w:r>
      <w:r>
        <w:rPr>
          <w:spacing w:val="-2"/>
        </w:rPr>
        <w:t> </w:t>
      </w:r>
      <w:r>
        <w:rPr/>
        <w:t>respectively). Tannin content</w:t>
      </w:r>
      <w:r>
        <w:rPr>
          <w:spacing w:val="-1"/>
        </w:rPr>
        <w:t> </w:t>
      </w:r>
      <w:r>
        <w:rPr/>
        <w:t>of</w:t>
      </w:r>
      <w:r>
        <w:rPr>
          <w:spacing w:val="-2"/>
        </w:rPr>
        <w:t> </w:t>
      </w:r>
      <w:r>
        <w:rPr>
          <w:i/>
        </w:rPr>
        <w:t>Mucuna</w:t>
      </w:r>
      <w:r>
        <w:rPr>
          <w:i/>
          <w:spacing w:val="-1"/>
        </w:rPr>
        <w:t> </w:t>
      </w:r>
      <w:r>
        <w:rPr/>
        <w:t>seeds generally</w:t>
      </w:r>
      <w:r>
        <w:rPr>
          <w:spacing w:val="-6"/>
        </w:rPr>
        <w:t> </w:t>
      </w:r>
      <w:r>
        <w:rPr/>
        <w:t>range from 0.03 and 0.06% (Mohan and Janardhanan 1995, Vadivel and Janardhanan 2000), but higher amount of tannin (0.24%) was reported by Gurumoorthi </w:t>
      </w:r>
      <w:r>
        <w:rPr>
          <w:i/>
        </w:rPr>
        <w:t>et al </w:t>
      </w:r>
      <w:r>
        <w:rPr/>
        <w:t>(2003b). Tannin is known to possess health benefits. It is 15 - 30 times more efficient in free radical quenching activity than Trolox and other simple phenolics (Hagerman </w:t>
      </w:r>
      <w:r>
        <w:rPr>
          <w:i/>
        </w:rPr>
        <w:t>et al</w:t>
      </w:r>
      <w:r>
        <w:rPr/>
        <w:t>., 1998).</w:t>
      </w:r>
      <w:r>
        <w:rPr>
          <w:spacing w:val="40"/>
        </w:rPr>
        <w:t> </w:t>
      </w:r>
      <w:r>
        <w:rPr/>
        <w:t>Tannin could be one of the substances responsible for the antioxidant properties of </w:t>
      </w:r>
      <w:r>
        <w:rPr>
          <w:i/>
        </w:rPr>
        <w:t>M. </w:t>
      </w:r>
      <w:r>
        <w:rPr>
          <w:i/>
          <w:spacing w:val="-2"/>
        </w:rPr>
        <w:t>pruriens.</w:t>
      </w:r>
    </w:p>
    <w:p>
      <w:pPr>
        <w:spacing w:after="0" w:line="360" w:lineRule="auto"/>
        <w:jc w:val="both"/>
        <w:sectPr>
          <w:pgSz w:w="12240" w:h="15840"/>
          <w:pgMar w:header="0" w:footer="1056" w:top="1340" w:bottom="1240" w:left="1420" w:right="420"/>
        </w:sectPr>
      </w:pPr>
    </w:p>
    <w:p>
      <w:pPr>
        <w:spacing w:before="77"/>
        <w:ind w:left="678" w:right="0" w:firstLine="0"/>
        <w:jc w:val="left"/>
        <w:rPr>
          <w:b/>
          <w:sz w:val="24"/>
        </w:rPr>
      </w:pPr>
      <w:r>
        <w:rPr/>
        <mc:AlternateContent>
          <mc:Choice Requires="wps">
            <w:drawing>
              <wp:anchor distT="0" distB="0" distL="0" distR="0" allowOverlap="1" layoutInCell="1" locked="0" behindDoc="1" simplePos="0" relativeHeight="482973184">
                <wp:simplePos x="0" y="0"/>
                <wp:positionH relativeFrom="page">
                  <wp:posOffset>-1402226</wp:posOffset>
                </wp:positionH>
                <wp:positionV relativeFrom="page">
                  <wp:posOffset>4612234</wp:posOffset>
                </wp:positionV>
                <wp:extent cx="10685780" cy="91440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3296;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2"/>
          <w:sz w:val="24"/>
        </w:rPr>
        <w:t> </w:t>
      </w:r>
      <w:r>
        <w:rPr>
          <w:b/>
          <w:sz w:val="24"/>
        </w:rPr>
        <w:t>3.2:</w:t>
      </w:r>
      <w:r>
        <w:rPr>
          <w:b/>
          <w:spacing w:val="-4"/>
          <w:sz w:val="24"/>
        </w:rPr>
        <w:t> </w:t>
      </w:r>
      <w:r>
        <w:rPr>
          <w:b/>
          <w:sz w:val="24"/>
        </w:rPr>
        <w:t>Phyto-chemical</w:t>
      </w:r>
      <w:r>
        <w:rPr>
          <w:b/>
          <w:spacing w:val="-1"/>
          <w:sz w:val="24"/>
        </w:rPr>
        <w:t> </w:t>
      </w:r>
      <w:r>
        <w:rPr>
          <w:b/>
          <w:sz w:val="24"/>
        </w:rPr>
        <w:t>screening</w:t>
      </w:r>
      <w:r>
        <w:rPr>
          <w:b/>
          <w:spacing w:val="-2"/>
          <w:sz w:val="24"/>
        </w:rPr>
        <w:t> </w:t>
      </w:r>
      <w:r>
        <w:rPr>
          <w:b/>
          <w:sz w:val="24"/>
        </w:rPr>
        <w:t>of</w:t>
      </w:r>
      <w:r>
        <w:rPr>
          <w:b/>
          <w:spacing w:val="1"/>
          <w:sz w:val="24"/>
        </w:rPr>
        <w:t> </w:t>
      </w:r>
      <w:r>
        <w:rPr>
          <w:b/>
          <w:i/>
          <w:sz w:val="24"/>
        </w:rPr>
        <w:t>Mucuna</w:t>
      </w:r>
      <w:r>
        <w:rPr>
          <w:b/>
          <w:i/>
          <w:spacing w:val="-1"/>
          <w:sz w:val="24"/>
        </w:rPr>
        <w:t> </w:t>
      </w:r>
      <w:r>
        <w:rPr>
          <w:b/>
          <w:i/>
          <w:sz w:val="24"/>
        </w:rPr>
        <w:t>pruriens</w:t>
      </w:r>
      <w:r>
        <w:rPr>
          <w:b/>
          <w:i/>
          <w:spacing w:val="-1"/>
          <w:sz w:val="24"/>
        </w:rPr>
        <w:t> </w:t>
      </w:r>
      <w:r>
        <w:rPr>
          <w:b/>
          <w:sz w:val="24"/>
        </w:rPr>
        <w:t>ethanol</w:t>
      </w:r>
      <w:r>
        <w:rPr>
          <w:b/>
          <w:spacing w:val="-1"/>
          <w:sz w:val="24"/>
        </w:rPr>
        <w:t> </w:t>
      </w:r>
      <w:r>
        <w:rPr>
          <w:b/>
          <w:spacing w:val="-2"/>
          <w:sz w:val="24"/>
        </w:rPr>
        <w:t>extract</w:t>
      </w:r>
    </w:p>
    <w:p>
      <w:pPr>
        <w:pStyle w:val="BodyText"/>
        <w:rPr>
          <w:b/>
          <w:sz w:val="20"/>
        </w:rPr>
      </w:pPr>
    </w:p>
    <w:p>
      <w:pPr>
        <w:pStyle w:val="BodyText"/>
        <w:spacing w:before="117" w:after="1"/>
        <w:rPr>
          <w:b/>
          <w:sz w:val="2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3"/>
        <w:gridCol w:w="2834"/>
        <w:gridCol w:w="3232"/>
      </w:tblGrid>
      <w:tr>
        <w:trPr>
          <w:trHeight w:val="530" w:hRule="atLeast"/>
        </w:trPr>
        <w:tc>
          <w:tcPr>
            <w:tcW w:w="2153" w:type="dxa"/>
            <w:tcBorders>
              <w:top w:val="single" w:sz="4" w:space="0" w:color="000000"/>
              <w:bottom w:val="single" w:sz="4" w:space="0" w:color="000000"/>
            </w:tcBorders>
          </w:tcPr>
          <w:p>
            <w:pPr>
              <w:pStyle w:val="TableParagraph"/>
              <w:spacing w:before="114"/>
              <w:ind w:left="122"/>
              <w:rPr>
                <w:b/>
                <w:sz w:val="24"/>
              </w:rPr>
            </w:pPr>
            <w:r>
              <w:rPr>
                <w:b/>
                <w:spacing w:val="-2"/>
                <w:sz w:val="24"/>
              </w:rPr>
              <w:t>Parameter</w:t>
            </w:r>
          </w:p>
        </w:tc>
        <w:tc>
          <w:tcPr>
            <w:tcW w:w="2834" w:type="dxa"/>
            <w:tcBorders>
              <w:top w:val="single" w:sz="4" w:space="0" w:color="000000"/>
              <w:bottom w:val="single" w:sz="4" w:space="0" w:color="000000"/>
            </w:tcBorders>
          </w:tcPr>
          <w:p>
            <w:pPr>
              <w:pStyle w:val="TableParagraph"/>
              <w:spacing w:before="114"/>
              <w:ind w:left="727"/>
              <w:rPr>
                <w:b/>
                <w:sz w:val="24"/>
              </w:rPr>
            </w:pPr>
            <w:r>
              <w:rPr>
                <w:b/>
                <w:spacing w:val="-4"/>
                <w:sz w:val="24"/>
              </w:rPr>
              <w:t>Test</w:t>
            </w:r>
          </w:p>
        </w:tc>
        <w:tc>
          <w:tcPr>
            <w:tcW w:w="3232" w:type="dxa"/>
            <w:tcBorders>
              <w:top w:val="single" w:sz="4" w:space="0" w:color="000000"/>
              <w:bottom w:val="single" w:sz="4" w:space="0" w:color="000000"/>
            </w:tcBorders>
          </w:tcPr>
          <w:p>
            <w:pPr>
              <w:pStyle w:val="TableParagraph"/>
              <w:spacing w:before="114"/>
              <w:ind w:left="634"/>
              <w:rPr>
                <w:b/>
                <w:sz w:val="24"/>
              </w:rPr>
            </w:pPr>
            <w:r>
              <w:rPr>
                <w:b/>
                <w:spacing w:val="-2"/>
                <w:sz w:val="24"/>
              </w:rPr>
              <w:t>Result</w:t>
            </w:r>
          </w:p>
        </w:tc>
      </w:tr>
      <w:tr>
        <w:trPr>
          <w:trHeight w:val="1332" w:hRule="atLeast"/>
        </w:trPr>
        <w:tc>
          <w:tcPr>
            <w:tcW w:w="2153" w:type="dxa"/>
            <w:tcBorders>
              <w:top w:val="single" w:sz="4" w:space="0" w:color="000000"/>
            </w:tcBorders>
          </w:tcPr>
          <w:p>
            <w:pPr>
              <w:pStyle w:val="TableParagraph"/>
              <w:spacing w:before="109"/>
              <w:ind w:left="122"/>
              <w:rPr>
                <w:sz w:val="24"/>
              </w:rPr>
            </w:pPr>
            <w:r>
              <w:rPr>
                <w:spacing w:val="-2"/>
                <w:sz w:val="24"/>
              </w:rPr>
              <w:t>Alkaloids</w:t>
            </w:r>
          </w:p>
        </w:tc>
        <w:tc>
          <w:tcPr>
            <w:tcW w:w="2834" w:type="dxa"/>
            <w:tcBorders>
              <w:top w:val="single" w:sz="4" w:space="0" w:color="000000"/>
            </w:tcBorders>
          </w:tcPr>
          <w:p>
            <w:pPr>
              <w:pStyle w:val="TableParagraph"/>
              <w:spacing w:line="376" w:lineRule="auto" w:before="109"/>
              <w:ind w:left="727" w:right="255"/>
              <w:rPr>
                <w:sz w:val="24"/>
              </w:rPr>
            </w:pPr>
            <w:r>
              <w:rPr>
                <w:spacing w:val="-2"/>
                <w:sz w:val="24"/>
              </w:rPr>
              <w:t>Dragendorf Meyer‘s</w:t>
            </w:r>
          </w:p>
          <w:p>
            <w:pPr>
              <w:pStyle w:val="TableParagraph"/>
              <w:spacing w:line="273" w:lineRule="exact"/>
              <w:ind w:left="727"/>
              <w:rPr>
                <w:sz w:val="24"/>
              </w:rPr>
            </w:pPr>
            <w:r>
              <w:rPr>
                <w:spacing w:val="-2"/>
                <w:sz w:val="24"/>
              </w:rPr>
              <w:t>Wagner</w:t>
            </w:r>
          </w:p>
        </w:tc>
        <w:tc>
          <w:tcPr>
            <w:tcW w:w="3232" w:type="dxa"/>
            <w:tcBorders>
              <w:top w:val="single" w:sz="4" w:space="0" w:color="000000"/>
            </w:tcBorders>
          </w:tcPr>
          <w:p>
            <w:pPr>
              <w:pStyle w:val="TableParagraph"/>
              <w:spacing w:before="109"/>
              <w:ind w:left="634"/>
              <w:rPr>
                <w:sz w:val="24"/>
              </w:rPr>
            </w:pPr>
            <w:r>
              <w:rPr>
                <w:spacing w:val="-4"/>
                <w:sz w:val="24"/>
              </w:rPr>
              <w:t>****</w:t>
            </w:r>
          </w:p>
          <w:p>
            <w:pPr>
              <w:pStyle w:val="TableParagraph"/>
              <w:spacing w:before="156"/>
              <w:ind w:left="634"/>
              <w:rPr>
                <w:sz w:val="24"/>
              </w:rPr>
            </w:pPr>
            <w:r>
              <w:rPr>
                <w:spacing w:val="-4"/>
                <w:sz w:val="24"/>
              </w:rPr>
              <w:t>****</w:t>
            </w:r>
          </w:p>
          <w:p>
            <w:pPr>
              <w:pStyle w:val="TableParagraph"/>
              <w:spacing w:before="156"/>
              <w:ind w:left="634"/>
              <w:rPr>
                <w:sz w:val="24"/>
              </w:rPr>
            </w:pPr>
            <w:r>
              <w:rPr>
                <w:spacing w:val="-4"/>
                <w:sz w:val="24"/>
              </w:rPr>
              <w:t>****</w:t>
            </w:r>
          </w:p>
        </w:tc>
      </w:tr>
      <w:tr>
        <w:trPr>
          <w:trHeight w:val="433" w:hRule="atLeast"/>
        </w:trPr>
        <w:tc>
          <w:tcPr>
            <w:tcW w:w="2153" w:type="dxa"/>
          </w:tcPr>
          <w:p>
            <w:pPr>
              <w:pStyle w:val="TableParagraph"/>
              <w:spacing w:before="73"/>
              <w:ind w:left="122"/>
              <w:rPr>
                <w:sz w:val="24"/>
              </w:rPr>
            </w:pPr>
            <w:r>
              <w:rPr>
                <w:spacing w:val="-2"/>
                <w:sz w:val="24"/>
              </w:rPr>
              <w:t>Tannins</w:t>
            </w:r>
          </w:p>
        </w:tc>
        <w:tc>
          <w:tcPr>
            <w:tcW w:w="2834" w:type="dxa"/>
          </w:tcPr>
          <w:p>
            <w:pPr>
              <w:pStyle w:val="TableParagraph"/>
              <w:spacing w:before="73"/>
              <w:ind w:left="727"/>
              <w:rPr>
                <w:sz w:val="24"/>
              </w:rPr>
            </w:pPr>
            <w:r>
              <w:rPr>
                <w:sz w:val="24"/>
              </w:rPr>
              <w:t>Ferric</w:t>
            </w:r>
            <w:r>
              <w:rPr>
                <w:spacing w:val="-6"/>
                <w:sz w:val="24"/>
              </w:rPr>
              <w:t> </w:t>
            </w:r>
            <w:r>
              <w:rPr>
                <w:spacing w:val="-2"/>
                <w:sz w:val="24"/>
              </w:rPr>
              <w:t>Chloride</w:t>
            </w:r>
          </w:p>
        </w:tc>
        <w:tc>
          <w:tcPr>
            <w:tcW w:w="3232" w:type="dxa"/>
          </w:tcPr>
          <w:p>
            <w:pPr>
              <w:pStyle w:val="TableParagraph"/>
              <w:spacing w:before="73"/>
              <w:ind w:left="634"/>
              <w:rPr>
                <w:sz w:val="24"/>
              </w:rPr>
            </w:pPr>
            <w:r>
              <w:rPr>
                <w:spacing w:val="-10"/>
                <w:sz w:val="24"/>
              </w:rPr>
              <w:t>*</w:t>
            </w:r>
          </w:p>
        </w:tc>
      </w:tr>
      <w:tr>
        <w:trPr>
          <w:trHeight w:val="865" w:hRule="atLeast"/>
        </w:trPr>
        <w:tc>
          <w:tcPr>
            <w:tcW w:w="2153" w:type="dxa"/>
          </w:tcPr>
          <w:p>
            <w:pPr>
              <w:pStyle w:val="TableParagraph"/>
              <w:spacing w:before="74"/>
              <w:ind w:left="122"/>
              <w:rPr>
                <w:sz w:val="24"/>
              </w:rPr>
            </w:pPr>
            <w:r>
              <w:rPr>
                <w:spacing w:val="-2"/>
                <w:sz w:val="24"/>
              </w:rPr>
              <w:t>Cardenolide</w:t>
            </w:r>
          </w:p>
        </w:tc>
        <w:tc>
          <w:tcPr>
            <w:tcW w:w="2834" w:type="dxa"/>
          </w:tcPr>
          <w:p>
            <w:pPr>
              <w:pStyle w:val="TableParagraph"/>
              <w:spacing w:before="74"/>
              <w:ind w:left="727"/>
              <w:rPr>
                <w:sz w:val="24"/>
              </w:rPr>
            </w:pPr>
            <w:r>
              <w:rPr>
                <w:spacing w:val="-2"/>
                <w:sz w:val="24"/>
              </w:rPr>
              <w:t>Keller-Killiani</w:t>
            </w:r>
          </w:p>
          <w:p>
            <w:pPr>
              <w:pStyle w:val="TableParagraph"/>
              <w:spacing w:before="156"/>
              <w:ind w:left="727"/>
              <w:rPr>
                <w:sz w:val="24"/>
              </w:rPr>
            </w:pPr>
            <w:r>
              <w:rPr>
                <w:spacing w:val="-4"/>
                <w:sz w:val="24"/>
              </w:rPr>
              <w:t>Kedde</w:t>
            </w:r>
          </w:p>
        </w:tc>
        <w:tc>
          <w:tcPr>
            <w:tcW w:w="3232" w:type="dxa"/>
          </w:tcPr>
          <w:p>
            <w:pPr>
              <w:pStyle w:val="TableParagraph"/>
              <w:spacing w:before="74"/>
              <w:ind w:left="634"/>
              <w:rPr>
                <w:sz w:val="24"/>
              </w:rPr>
            </w:pPr>
            <w:r>
              <w:rPr>
                <w:spacing w:val="-10"/>
                <w:sz w:val="24"/>
              </w:rPr>
              <w:t>-</w:t>
            </w:r>
          </w:p>
          <w:p>
            <w:pPr>
              <w:pStyle w:val="TableParagraph"/>
              <w:spacing w:before="156"/>
              <w:ind w:left="634"/>
              <w:rPr>
                <w:sz w:val="24"/>
              </w:rPr>
            </w:pPr>
            <w:r>
              <w:rPr>
                <w:spacing w:val="-10"/>
                <w:sz w:val="24"/>
              </w:rPr>
              <w:t>-</w:t>
            </w:r>
          </w:p>
        </w:tc>
      </w:tr>
      <w:tr>
        <w:trPr>
          <w:trHeight w:val="431" w:hRule="atLeast"/>
        </w:trPr>
        <w:tc>
          <w:tcPr>
            <w:tcW w:w="2153" w:type="dxa"/>
          </w:tcPr>
          <w:p>
            <w:pPr>
              <w:pStyle w:val="TableParagraph"/>
              <w:spacing w:before="73"/>
              <w:ind w:left="122"/>
              <w:rPr>
                <w:sz w:val="24"/>
              </w:rPr>
            </w:pPr>
            <w:r>
              <w:rPr>
                <w:spacing w:val="-2"/>
                <w:sz w:val="24"/>
              </w:rPr>
              <w:t>Saponin</w:t>
            </w:r>
          </w:p>
        </w:tc>
        <w:tc>
          <w:tcPr>
            <w:tcW w:w="2834" w:type="dxa"/>
          </w:tcPr>
          <w:p>
            <w:pPr>
              <w:pStyle w:val="TableParagraph"/>
              <w:spacing w:before="73"/>
              <w:ind w:left="727"/>
              <w:rPr>
                <w:sz w:val="24"/>
              </w:rPr>
            </w:pPr>
            <w:r>
              <w:rPr>
                <w:spacing w:val="-2"/>
                <w:sz w:val="24"/>
              </w:rPr>
              <w:t>Frothing</w:t>
            </w:r>
          </w:p>
        </w:tc>
        <w:tc>
          <w:tcPr>
            <w:tcW w:w="3232" w:type="dxa"/>
          </w:tcPr>
          <w:p>
            <w:pPr>
              <w:pStyle w:val="TableParagraph"/>
              <w:spacing w:before="73"/>
              <w:ind w:left="634"/>
              <w:rPr>
                <w:sz w:val="24"/>
              </w:rPr>
            </w:pPr>
            <w:r>
              <w:rPr>
                <w:spacing w:val="-4"/>
                <w:sz w:val="24"/>
              </w:rPr>
              <w:t>****</w:t>
            </w:r>
          </w:p>
        </w:tc>
      </w:tr>
      <w:tr>
        <w:trPr>
          <w:trHeight w:val="432" w:hRule="atLeast"/>
        </w:trPr>
        <w:tc>
          <w:tcPr>
            <w:tcW w:w="2153" w:type="dxa"/>
          </w:tcPr>
          <w:p>
            <w:pPr>
              <w:pStyle w:val="TableParagraph"/>
              <w:spacing w:before="73"/>
              <w:ind w:left="122"/>
              <w:rPr>
                <w:sz w:val="24"/>
              </w:rPr>
            </w:pPr>
            <w:r>
              <w:rPr>
                <w:spacing w:val="-2"/>
                <w:sz w:val="24"/>
              </w:rPr>
              <w:t>Steroid</w:t>
            </w:r>
          </w:p>
        </w:tc>
        <w:tc>
          <w:tcPr>
            <w:tcW w:w="2834" w:type="dxa"/>
          </w:tcPr>
          <w:p>
            <w:pPr>
              <w:pStyle w:val="TableParagraph"/>
              <w:rPr>
                <w:sz w:val="24"/>
              </w:rPr>
            </w:pPr>
          </w:p>
        </w:tc>
        <w:tc>
          <w:tcPr>
            <w:tcW w:w="3232" w:type="dxa"/>
          </w:tcPr>
          <w:p>
            <w:pPr>
              <w:pStyle w:val="TableParagraph"/>
              <w:spacing w:before="73"/>
              <w:ind w:left="634"/>
              <w:rPr>
                <w:sz w:val="24"/>
              </w:rPr>
            </w:pPr>
            <w:r>
              <w:rPr>
                <w:spacing w:val="-4"/>
                <w:sz w:val="24"/>
              </w:rPr>
              <w:t>****</w:t>
            </w:r>
          </w:p>
        </w:tc>
      </w:tr>
      <w:tr>
        <w:trPr>
          <w:trHeight w:val="431" w:hRule="atLeast"/>
        </w:trPr>
        <w:tc>
          <w:tcPr>
            <w:tcW w:w="2153" w:type="dxa"/>
          </w:tcPr>
          <w:p>
            <w:pPr>
              <w:pStyle w:val="TableParagraph"/>
              <w:spacing w:before="73"/>
              <w:ind w:left="122"/>
              <w:rPr>
                <w:sz w:val="24"/>
              </w:rPr>
            </w:pPr>
            <w:r>
              <w:rPr>
                <w:spacing w:val="-2"/>
                <w:sz w:val="24"/>
              </w:rPr>
              <w:t>Flavonoid</w:t>
            </w:r>
          </w:p>
        </w:tc>
        <w:tc>
          <w:tcPr>
            <w:tcW w:w="2834" w:type="dxa"/>
          </w:tcPr>
          <w:p>
            <w:pPr>
              <w:pStyle w:val="TableParagraph"/>
              <w:rPr>
                <w:sz w:val="24"/>
              </w:rPr>
            </w:pPr>
          </w:p>
        </w:tc>
        <w:tc>
          <w:tcPr>
            <w:tcW w:w="3232" w:type="dxa"/>
          </w:tcPr>
          <w:p>
            <w:pPr>
              <w:pStyle w:val="TableParagraph"/>
              <w:spacing w:before="73"/>
              <w:ind w:left="634"/>
              <w:rPr>
                <w:sz w:val="24"/>
              </w:rPr>
            </w:pPr>
            <w:r>
              <w:rPr>
                <w:spacing w:val="-10"/>
                <w:sz w:val="24"/>
              </w:rPr>
              <w:t>-</w:t>
            </w:r>
          </w:p>
        </w:tc>
      </w:tr>
      <w:tr>
        <w:trPr>
          <w:trHeight w:val="433" w:hRule="atLeast"/>
        </w:trPr>
        <w:tc>
          <w:tcPr>
            <w:tcW w:w="2153" w:type="dxa"/>
          </w:tcPr>
          <w:p>
            <w:pPr>
              <w:pStyle w:val="TableParagraph"/>
              <w:spacing w:before="73"/>
              <w:ind w:left="122"/>
              <w:rPr>
                <w:sz w:val="24"/>
              </w:rPr>
            </w:pPr>
            <w:r>
              <w:rPr>
                <w:spacing w:val="-2"/>
                <w:sz w:val="24"/>
              </w:rPr>
              <w:t>Terpenoid</w:t>
            </w:r>
          </w:p>
        </w:tc>
        <w:tc>
          <w:tcPr>
            <w:tcW w:w="2834" w:type="dxa"/>
          </w:tcPr>
          <w:p>
            <w:pPr>
              <w:pStyle w:val="TableParagraph"/>
              <w:rPr>
                <w:sz w:val="24"/>
              </w:rPr>
            </w:pPr>
          </w:p>
        </w:tc>
        <w:tc>
          <w:tcPr>
            <w:tcW w:w="3232" w:type="dxa"/>
          </w:tcPr>
          <w:p>
            <w:pPr>
              <w:pStyle w:val="TableParagraph"/>
              <w:spacing w:before="73"/>
              <w:ind w:left="634"/>
              <w:rPr>
                <w:sz w:val="24"/>
              </w:rPr>
            </w:pPr>
            <w:r>
              <w:rPr>
                <w:spacing w:val="-10"/>
                <w:sz w:val="24"/>
              </w:rPr>
              <w:t>-</w:t>
            </w:r>
          </w:p>
        </w:tc>
      </w:tr>
      <w:tr>
        <w:trPr>
          <w:trHeight w:val="433" w:hRule="atLeast"/>
        </w:trPr>
        <w:tc>
          <w:tcPr>
            <w:tcW w:w="2153" w:type="dxa"/>
          </w:tcPr>
          <w:p>
            <w:pPr>
              <w:pStyle w:val="TableParagraph"/>
              <w:spacing w:before="74"/>
              <w:ind w:left="122"/>
              <w:rPr>
                <w:sz w:val="24"/>
              </w:rPr>
            </w:pPr>
            <w:r>
              <w:rPr>
                <w:spacing w:val="-2"/>
                <w:sz w:val="24"/>
              </w:rPr>
              <w:t>Carbohydrate</w:t>
            </w:r>
          </w:p>
        </w:tc>
        <w:tc>
          <w:tcPr>
            <w:tcW w:w="2834" w:type="dxa"/>
          </w:tcPr>
          <w:p>
            <w:pPr>
              <w:pStyle w:val="TableParagraph"/>
              <w:rPr>
                <w:sz w:val="24"/>
              </w:rPr>
            </w:pPr>
          </w:p>
        </w:tc>
        <w:tc>
          <w:tcPr>
            <w:tcW w:w="3232" w:type="dxa"/>
          </w:tcPr>
          <w:p>
            <w:pPr>
              <w:pStyle w:val="TableParagraph"/>
              <w:spacing w:before="74"/>
              <w:ind w:left="634"/>
              <w:rPr>
                <w:sz w:val="24"/>
              </w:rPr>
            </w:pPr>
            <w:r>
              <w:rPr>
                <w:spacing w:val="-4"/>
                <w:sz w:val="24"/>
              </w:rPr>
              <w:t>****</w:t>
            </w:r>
          </w:p>
        </w:tc>
      </w:tr>
      <w:tr>
        <w:trPr>
          <w:trHeight w:val="432" w:hRule="atLeast"/>
        </w:trPr>
        <w:tc>
          <w:tcPr>
            <w:tcW w:w="2153" w:type="dxa"/>
          </w:tcPr>
          <w:p>
            <w:pPr>
              <w:pStyle w:val="TableParagraph"/>
              <w:spacing w:before="73"/>
              <w:ind w:left="122"/>
              <w:rPr>
                <w:sz w:val="24"/>
              </w:rPr>
            </w:pPr>
            <w:r>
              <w:rPr>
                <w:spacing w:val="-2"/>
                <w:sz w:val="24"/>
              </w:rPr>
              <w:t>Protein</w:t>
            </w:r>
          </w:p>
        </w:tc>
        <w:tc>
          <w:tcPr>
            <w:tcW w:w="2834" w:type="dxa"/>
          </w:tcPr>
          <w:p>
            <w:pPr>
              <w:pStyle w:val="TableParagraph"/>
              <w:rPr>
                <w:sz w:val="24"/>
              </w:rPr>
            </w:pPr>
          </w:p>
        </w:tc>
        <w:tc>
          <w:tcPr>
            <w:tcW w:w="3232" w:type="dxa"/>
          </w:tcPr>
          <w:p>
            <w:pPr>
              <w:pStyle w:val="TableParagraph"/>
              <w:spacing w:before="73"/>
              <w:ind w:left="634"/>
              <w:rPr>
                <w:sz w:val="24"/>
              </w:rPr>
            </w:pPr>
            <w:r>
              <w:rPr>
                <w:spacing w:val="-4"/>
                <w:sz w:val="24"/>
              </w:rPr>
              <w:t>****</w:t>
            </w:r>
          </w:p>
        </w:tc>
      </w:tr>
      <w:tr>
        <w:trPr>
          <w:trHeight w:val="432" w:hRule="atLeast"/>
        </w:trPr>
        <w:tc>
          <w:tcPr>
            <w:tcW w:w="2153" w:type="dxa"/>
          </w:tcPr>
          <w:p>
            <w:pPr>
              <w:pStyle w:val="TableParagraph"/>
              <w:spacing w:before="73"/>
              <w:ind w:left="122"/>
              <w:rPr>
                <w:sz w:val="24"/>
              </w:rPr>
            </w:pPr>
            <w:r>
              <w:rPr>
                <w:spacing w:val="-2"/>
                <w:sz w:val="24"/>
              </w:rPr>
              <w:t>Glycoside</w:t>
            </w:r>
          </w:p>
        </w:tc>
        <w:tc>
          <w:tcPr>
            <w:tcW w:w="2834" w:type="dxa"/>
          </w:tcPr>
          <w:p>
            <w:pPr>
              <w:pStyle w:val="TableParagraph"/>
              <w:rPr>
                <w:sz w:val="24"/>
              </w:rPr>
            </w:pPr>
          </w:p>
        </w:tc>
        <w:tc>
          <w:tcPr>
            <w:tcW w:w="3232" w:type="dxa"/>
          </w:tcPr>
          <w:p>
            <w:pPr>
              <w:pStyle w:val="TableParagraph"/>
              <w:spacing w:before="73"/>
              <w:ind w:left="634"/>
              <w:rPr>
                <w:sz w:val="24"/>
              </w:rPr>
            </w:pPr>
            <w:r>
              <w:rPr>
                <w:spacing w:val="-10"/>
                <w:sz w:val="24"/>
              </w:rPr>
              <w:t>-</w:t>
            </w:r>
          </w:p>
        </w:tc>
      </w:tr>
      <w:tr>
        <w:trPr>
          <w:trHeight w:val="432" w:hRule="atLeast"/>
        </w:trPr>
        <w:tc>
          <w:tcPr>
            <w:tcW w:w="2153" w:type="dxa"/>
          </w:tcPr>
          <w:p>
            <w:pPr>
              <w:pStyle w:val="TableParagraph"/>
              <w:spacing w:before="73"/>
              <w:ind w:left="122"/>
              <w:rPr>
                <w:sz w:val="24"/>
              </w:rPr>
            </w:pPr>
            <w:r>
              <w:rPr>
                <w:spacing w:val="-2"/>
                <w:sz w:val="24"/>
              </w:rPr>
              <w:t>Lipid</w:t>
            </w:r>
          </w:p>
        </w:tc>
        <w:tc>
          <w:tcPr>
            <w:tcW w:w="2834" w:type="dxa"/>
          </w:tcPr>
          <w:p>
            <w:pPr>
              <w:pStyle w:val="TableParagraph"/>
              <w:rPr>
                <w:sz w:val="24"/>
              </w:rPr>
            </w:pPr>
          </w:p>
        </w:tc>
        <w:tc>
          <w:tcPr>
            <w:tcW w:w="3232" w:type="dxa"/>
          </w:tcPr>
          <w:p>
            <w:pPr>
              <w:pStyle w:val="TableParagraph"/>
              <w:spacing w:before="73"/>
              <w:ind w:left="634"/>
              <w:rPr>
                <w:sz w:val="24"/>
              </w:rPr>
            </w:pPr>
            <w:r>
              <w:rPr>
                <w:spacing w:val="-5"/>
                <w:sz w:val="24"/>
              </w:rPr>
              <w:t>***</w:t>
            </w:r>
          </w:p>
        </w:tc>
      </w:tr>
      <w:tr>
        <w:trPr>
          <w:trHeight w:val="395" w:hRule="atLeast"/>
        </w:trPr>
        <w:tc>
          <w:tcPr>
            <w:tcW w:w="2153" w:type="dxa"/>
            <w:tcBorders>
              <w:bottom w:val="single" w:sz="4" w:space="0" w:color="000000"/>
            </w:tcBorders>
          </w:tcPr>
          <w:p>
            <w:pPr>
              <w:pStyle w:val="TableParagraph"/>
              <w:spacing w:before="73"/>
              <w:ind w:left="122"/>
              <w:rPr>
                <w:sz w:val="24"/>
              </w:rPr>
            </w:pPr>
            <w:r>
              <w:rPr>
                <w:spacing w:val="-2"/>
                <w:sz w:val="24"/>
              </w:rPr>
              <w:t>Phenol</w:t>
            </w:r>
          </w:p>
        </w:tc>
        <w:tc>
          <w:tcPr>
            <w:tcW w:w="2834" w:type="dxa"/>
            <w:tcBorders>
              <w:bottom w:val="single" w:sz="4" w:space="0" w:color="000000"/>
            </w:tcBorders>
          </w:tcPr>
          <w:p>
            <w:pPr>
              <w:pStyle w:val="TableParagraph"/>
              <w:rPr>
                <w:sz w:val="24"/>
              </w:rPr>
            </w:pPr>
          </w:p>
        </w:tc>
        <w:tc>
          <w:tcPr>
            <w:tcW w:w="3232" w:type="dxa"/>
            <w:tcBorders>
              <w:bottom w:val="single" w:sz="4" w:space="0" w:color="000000"/>
            </w:tcBorders>
          </w:tcPr>
          <w:p>
            <w:pPr>
              <w:pStyle w:val="TableParagraph"/>
              <w:spacing w:before="73"/>
              <w:ind w:left="634"/>
              <w:rPr>
                <w:sz w:val="24"/>
              </w:rPr>
            </w:pPr>
            <w:r>
              <w:rPr>
                <w:spacing w:val="-10"/>
                <w:sz w:val="24"/>
              </w:rPr>
              <w:t>*</w:t>
            </w:r>
          </w:p>
        </w:tc>
      </w:tr>
    </w:tbl>
    <w:p>
      <w:pPr>
        <w:pStyle w:val="Heading2"/>
        <w:spacing w:before="120"/>
        <w:jc w:val="left"/>
      </w:pPr>
      <w:r>
        <w:rPr/>
        <w:t>*Present,</w:t>
      </w:r>
      <w:r>
        <w:rPr>
          <w:spacing w:val="-5"/>
        </w:rPr>
        <w:t> </w:t>
      </w:r>
      <w:r>
        <w:rPr/>
        <w:t>-</w:t>
      </w:r>
      <w:r>
        <w:rPr>
          <w:spacing w:val="-1"/>
        </w:rPr>
        <w:t> </w:t>
      </w:r>
      <w:r>
        <w:rPr/>
        <w:t>Not</w:t>
      </w:r>
      <w:r>
        <w:rPr>
          <w:spacing w:val="-3"/>
        </w:rPr>
        <w:t> </w:t>
      </w:r>
      <w:r>
        <w:rPr/>
        <w:t>present,</w:t>
      </w:r>
      <w:r>
        <w:rPr>
          <w:spacing w:val="-1"/>
        </w:rPr>
        <w:t> </w:t>
      </w:r>
      <w:r>
        <w:rPr/>
        <w:t>multiple</w:t>
      </w:r>
      <w:r>
        <w:rPr>
          <w:spacing w:val="-1"/>
        </w:rPr>
        <w:t> </w:t>
      </w:r>
      <w:r>
        <w:rPr/>
        <w:t>pluses</w:t>
      </w:r>
      <w:r>
        <w:rPr>
          <w:spacing w:val="-2"/>
        </w:rPr>
        <w:t> </w:t>
      </w:r>
      <w:r>
        <w:rPr/>
        <w:t>indicate</w:t>
      </w:r>
      <w:r>
        <w:rPr>
          <w:spacing w:val="-2"/>
        </w:rPr>
        <w:t> </w:t>
      </w:r>
      <w:r>
        <w:rPr/>
        <w:t>degree</w:t>
      </w:r>
      <w:r>
        <w:rPr>
          <w:spacing w:val="-3"/>
        </w:rPr>
        <w:t> </w:t>
      </w:r>
      <w:r>
        <w:rPr/>
        <w:t>of </w:t>
      </w:r>
      <w:r>
        <w:rPr>
          <w:spacing w:val="-2"/>
        </w:rPr>
        <w:t>abundance</w:t>
      </w:r>
    </w:p>
    <w:p>
      <w:pPr>
        <w:spacing w:after="0"/>
        <w:jc w:val="left"/>
        <w:sectPr>
          <w:pgSz w:w="12240" w:h="15840"/>
          <w:pgMar w:header="0" w:footer="1056" w:top="1340" w:bottom="1240" w:left="1420" w:right="420"/>
        </w:sectPr>
      </w:pPr>
    </w:p>
    <w:p>
      <w:pPr>
        <w:pStyle w:val="BodyText"/>
        <w:spacing w:line="360" w:lineRule="auto" w:before="72"/>
        <w:ind w:left="678" w:right="994" w:firstLine="720"/>
        <w:jc w:val="both"/>
      </w:pPr>
      <w:r>
        <w:rPr/>
        <mc:AlternateContent>
          <mc:Choice Requires="wps">
            <w:drawing>
              <wp:anchor distT="0" distB="0" distL="0" distR="0" allowOverlap="1" layoutInCell="1" locked="0" behindDoc="1" simplePos="0" relativeHeight="482973696">
                <wp:simplePos x="0" y="0"/>
                <wp:positionH relativeFrom="page">
                  <wp:posOffset>-1402226</wp:posOffset>
                </wp:positionH>
                <wp:positionV relativeFrom="page">
                  <wp:posOffset>4612234</wp:posOffset>
                </wp:positionV>
                <wp:extent cx="10685780" cy="91440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2784;rotation:306" type="#_x0000_t136" fillcolor="#ff5400" stroked="f">
                <o:extrusion v:ext="view" autorotationcenter="t"/>
                <v:textpath style="font-family:&quot;Arial MT&quot;;font-size:72pt;v-text-kern:t;mso-text-shadow:auto" string="UNIVERSITY OF IBADAN"/>
                <w10:wrap type="none"/>
              </v:shape>
            </w:pict>
          </mc:Fallback>
        </mc:AlternateContent>
      </w:r>
      <w:r>
        <w:rPr/>
        <w:t>Carbohydrate, protein and lipid contents are in abundance from the phytochemical analysis result as shown in Table 3.2. This is in tandem with the findings of Adeboye and Phillips (2006) and their results revealed that </w:t>
      </w:r>
      <w:r>
        <w:rPr>
          <w:i/>
        </w:rPr>
        <w:t>Mucuna pruriens </w:t>
      </w:r>
      <w:r>
        <w:rPr/>
        <w:t>seed is good source of crude protein (19.97 - 20.57%), carbohydrate (73.29 - 75.49%), fat (1.84 - 5.05%) and vitamins (11.24 - 17.10%). Adebowale and Lawal (2003a) reported the presence of five polypptide seed protein subunits (200, 116, 82, 63, and 59 kDa) in </w:t>
      </w:r>
      <w:r>
        <w:rPr>
          <w:i/>
        </w:rPr>
        <w:t>Mucuna pruriens</w:t>
      </w:r>
      <w:r>
        <w:rPr/>
        <w:t>. Ezeagu </w:t>
      </w:r>
      <w:r>
        <w:rPr>
          <w:i/>
        </w:rPr>
        <w:t>et al </w:t>
      </w:r>
      <w:r>
        <w:rPr/>
        <w:t>(2003) also studied the proximate composition of 12 </w:t>
      </w:r>
      <w:r>
        <w:rPr>
          <w:i/>
        </w:rPr>
        <w:t>Mucuna </w:t>
      </w:r>
      <w:r>
        <w:rPr/>
        <w:t>accessions</w:t>
      </w:r>
      <w:r>
        <w:rPr>
          <w:spacing w:val="80"/>
        </w:rPr>
        <w:t> </w:t>
      </w:r>
      <w:r>
        <w:rPr/>
        <w:t>from Nigeria and found high protein (24.50 - 29.79%), fat (4.72 - 7.28%), carbohydrate (59.20</w:t>
      </w:r>
      <w:r>
        <w:rPr>
          <w:spacing w:val="23"/>
        </w:rPr>
        <w:t> </w:t>
      </w:r>
      <w:r>
        <w:rPr/>
        <w:t>-</w:t>
      </w:r>
      <w:r>
        <w:rPr>
          <w:spacing w:val="25"/>
        </w:rPr>
        <w:t> </w:t>
      </w:r>
      <w:r>
        <w:rPr/>
        <w:t>64.88%),</w:t>
      </w:r>
      <w:r>
        <w:rPr>
          <w:spacing w:val="26"/>
        </w:rPr>
        <w:t> </w:t>
      </w:r>
      <w:r>
        <w:rPr/>
        <w:t>crude</w:t>
      </w:r>
      <w:r>
        <w:rPr>
          <w:spacing w:val="26"/>
        </w:rPr>
        <w:t> </w:t>
      </w:r>
      <w:r>
        <w:rPr/>
        <w:t>fibre</w:t>
      </w:r>
      <w:r>
        <w:rPr>
          <w:spacing w:val="26"/>
        </w:rPr>
        <w:t> </w:t>
      </w:r>
      <w:r>
        <w:rPr/>
        <w:t>(3.65</w:t>
      </w:r>
      <w:r>
        <w:rPr>
          <w:spacing w:val="27"/>
        </w:rPr>
        <w:t> </w:t>
      </w:r>
      <w:r>
        <w:rPr/>
        <w:t>-</w:t>
      </w:r>
      <w:r>
        <w:rPr>
          <w:spacing w:val="27"/>
        </w:rPr>
        <w:t> </w:t>
      </w:r>
      <w:r>
        <w:rPr/>
        <w:t>4.43%),</w:t>
      </w:r>
      <w:r>
        <w:rPr>
          <w:spacing w:val="27"/>
        </w:rPr>
        <w:t> </w:t>
      </w:r>
      <w:r>
        <w:rPr/>
        <w:t>starch</w:t>
      </w:r>
      <w:r>
        <w:rPr>
          <w:spacing w:val="27"/>
        </w:rPr>
        <w:t> </w:t>
      </w:r>
      <w:r>
        <w:rPr/>
        <w:t>(39.22</w:t>
      </w:r>
      <w:r>
        <w:rPr>
          <w:spacing w:val="27"/>
        </w:rPr>
        <w:t> </w:t>
      </w:r>
      <w:r>
        <w:rPr/>
        <w:t>-</w:t>
      </w:r>
      <w:r>
        <w:rPr>
          <w:spacing w:val="27"/>
        </w:rPr>
        <w:t> </w:t>
      </w:r>
      <w:r>
        <w:rPr/>
        <w:t>41.17%)</w:t>
      </w:r>
      <w:r>
        <w:rPr>
          <w:spacing w:val="27"/>
        </w:rPr>
        <w:t> </w:t>
      </w:r>
      <w:r>
        <w:rPr/>
        <w:t>and</w:t>
      </w:r>
      <w:r>
        <w:rPr>
          <w:spacing w:val="25"/>
        </w:rPr>
        <w:t> </w:t>
      </w:r>
      <w:r>
        <w:rPr/>
        <w:t>gross</w:t>
      </w:r>
      <w:r>
        <w:rPr>
          <w:spacing w:val="26"/>
        </w:rPr>
        <w:t> </w:t>
      </w:r>
      <w:r>
        <w:rPr>
          <w:spacing w:val="-2"/>
        </w:rPr>
        <w:t>energy</w:t>
      </w:r>
    </w:p>
    <w:p>
      <w:pPr>
        <w:pStyle w:val="BodyText"/>
        <w:spacing w:before="1"/>
        <w:ind w:left="678"/>
        <w:jc w:val="both"/>
      </w:pPr>
      <w:r>
        <w:rPr/>
        <w:t>(16.64</w:t>
      </w:r>
      <w:r>
        <w:rPr>
          <w:spacing w:val="-1"/>
        </w:rPr>
        <w:t> </w:t>
      </w:r>
      <w:r>
        <w:rPr/>
        <w:t>-</w:t>
      </w:r>
      <w:r>
        <w:rPr>
          <w:spacing w:val="-1"/>
        </w:rPr>
        <w:t> </w:t>
      </w:r>
      <w:r>
        <w:rPr/>
        <w:t>17.17 </w:t>
      </w:r>
      <w:r>
        <w:rPr>
          <w:spacing w:val="-2"/>
        </w:rPr>
        <w:t>kJ/g).</w:t>
      </w:r>
    </w:p>
    <w:p>
      <w:pPr>
        <w:pStyle w:val="BodyText"/>
      </w:pPr>
    </w:p>
    <w:p>
      <w:pPr>
        <w:pStyle w:val="BodyText"/>
      </w:pPr>
    </w:p>
    <w:p>
      <w:pPr>
        <w:pStyle w:val="BodyText"/>
        <w:spacing w:before="9"/>
      </w:pPr>
    </w:p>
    <w:p>
      <w:pPr>
        <w:pStyle w:val="ListParagraph"/>
        <w:numPr>
          <w:ilvl w:val="1"/>
          <w:numId w:val="43"/>
        </w:numPr>
        <w:tabs>
          <w:tab w:pos="1038" w:val="left" w:leader="none"/>
        </w:tabs>
        <w:spacing w:line="240" w:lineRule="auto" w:before="0" w:after="0"/>
        <w:ind w:left="1038" w:right="0" w:hanging="360"/>
        <w:jc w:val="both"/>
        <w:rPr>
          <w:b/>
          <w:color w:val="221F1F"/>
          <w:sz w:val="24"/>
        </w:rPr>
      </w:pPr>
      <w:r>
        <w:rPr>
          <w:b/>
          <w:sz w:val="24"/>
        </w:rPr>
        <w:t>Effects</w:t>
      </w:r>
      <w:r>
        <w:rPr>
          <w:b/>
          <w:spacing w:val="-2"/>
          <w:sz w:val="24"/>
        </w:rPr>
        <w:t> </w:t>
      </w:r>
      <w:r>
        <w:rPr>
          <w:b/>
          <w:sz w:val="24"/>
        </w:rPr>
        <w:t>of</w:t>
      </w:r>
      <w:r>
        <w:rPr>
          <w:b/>
          <w:spacing w:val="-1"/>
          <w:sz w:val="24"/>
        </w:rPr>
        <w:t> </w:t>
      </w:r>
      <w:r>
        <w:rPr>
          <w:b/>
          <w:sz w:val="24"/>
        </w:rPr>
        <w:t>fractions</w:t>
      </w:r>
      <w:r>
        <w:rPr>
          <w:b/>
          <w:spacing w:val="-3"/>
          <w:sz w:val="24"/>
        </w:rPr>
        <w:t> </w:t>
      </w:r>
      <w:r>
        <w:rPr>
          <w:b/>
          <w:sz w:val="24"/>
        </w:rPr>
        <w:t>of</w:t>
      </w:r>
      <w:r>
        <w:rPr>
          <w:b/>
          <w:spacing w:val="2"/>
          <w:sz w:val="24"/>
        </w:rPr>
        <w:t> </w:t>
      </w:r>
      <w:r>
        <w:rPr>
          <w:b/>
          <w:i/>
          <w:sz w:val="24"/>
        </w:rPr>
        <w:t>Mucuna</w:t>
      </w:r>
      <w:r>
        <w:rPr>
          <w:b/>
          <w:i/>
          <w:spacing w:val="-1"/>
          <w:sz w:val="24"/>
        </w:rPr>
        <w:t> </w:t>
      </w:r>
      <w:r>
        <w:rPr>
          <w:b/>
          <w:i/>
          <w:sz w:val="24"/>
        </w:rPr>
        <w:t>pruriens </w:t>
      </w:r>
      <w:r>
        <w:rPr>
          <w:b/>
          <w:sz w:val="24"/>
        </w:rPr>
        <w:t>on</w:t>
      </w:r>
      <w:r>
        <w:rPr>
          <w:b/>
          <w:spacing w:val="-3"/>
          <w:sz w:val="24"/>
        </w:rPr>
        <w:t> </w:t>
      </w:r>
      <w:r>
        <w:rPr>
          <w:b/>
          <w:sz w:val="24"/>
        </w:rPr>
        <w:t>diabetic</w:t>
      </w:r>
      <w:r>
        <w:rPr>
          <w:b/>
          <w:spacing w:val="-3"/>
          <w:sz w:val="24"/>
        </w:rPr>
        <w:t> </w:t>
      </w:r>
      <w:r>
        <w:rPr>
          <w:b/>
          <w:spacing w:val="-4"/>
          <w:sz w:val="24"/>
        </w:rPr>
        <w:t>rats</w:t>
      </w:r>
    </w:p>
    <w:p>
      <w:pPr>
        <w:pStyle w:val="BodyText"/>
        <w:spacing w:line="360" w:lineRule="auto" w:before="132"/>
        <w:ind w:left="678" w:right="993" w:firstLine="900"/>
        <w:jc w:val="both"/>
      </w:pPr>
      <w:r>
        <w:rPr/>
        <w:t>The hypoglycaemic effects of n-hexane, chloroform, ethylacetate, methanol and ethanol extracts are presented in Table 3.3. The results showed that n-hexane, chloroform and ethylacetate fractions possessed no hypoglycaemic activity at the dose employed. Methanol and ethanol fractions showed 39.1% and 38.9% reduction in the blood glucose level, respectively, 24 hour after the administration of extracts. The yield was 44</w:t>
      </w:r>
      <w:r>
        <w:rPr>
          <w:vertAlign w:val="superscript"/>
        </w:rPr>
        <w:t>o</w:t>
      </w:r>
      <w:r>
        <w:rPr>
          <w:vertAlign w:val="baseline"/>
        </w:rPr>
        <w:t>/</w:t>
      </w:r>
      <w:r>
        <w:rPr>
          <w:vertAlign w:val="subscript"/>
        </w:rPr>
        <w:t>o</w:t>
      </w:r>
      <w:r>
        <w:rPr>
          <w:vertAlign w:val="baseline"/>
        </w:rPr>
        <w:t>. The high yield of extracts shows that optimal extraction of the constituents requires the use of polar solvents such as water or alcohol which is in consonant with folkloric use.</w:t>
      </w:r>
    </w:p>
    <w:p>
      <w:pPr>
        <w:pStyle w:val="BodyText"/>
        <w:spacing w:before="141"/>
      </w:pPr>
    </w:p>
    <w:p>
      <w:pPr>
        <w:pStyle w:val="ListParagraph"/>
        <w:numPr>
          <w:ilvl w:val="1"/>
          <w:numId w:val="43"/>
        </w:numPr>
        <w:tabs>
          <w:tab w:pos="1218" w:val="left" w:leader="none"/>
        </w:tabs>
        <w:spacing w:line="240" w:lineRule="auto" w:before="0" w:after="0"/>
        <w:ind w:left="1218" w:right="0" w:hanging="540"/>
        <w:jc w:val="both"/>
        <w:rPr>
          <w:b/>
          <w:sz w:val="24"/>
        </w:rPr>
      </w:pPr>
      <w:r>
        <w:rPr>
          <w:b/>
          <w:sz w:val="24"/>
        </w:rPr>
        <w:t>Anti-diabetic</w:t>
      </w:r>
      <w:r>
        <w:rPr>
          <w:b/>
          <w:spacing w:val="-4"/>
          <w:sz w:val="24"/>
        </w:rPr>
        <w:t> </w:t>
      </w:r>
      <w:r>
        <w:rPr>
          <w:b/>
          <w:sz w:val="24"/>
        </w:rPr>
        <w:t>properties</w:t>
      </w:r>
      <w:r>
        <w:rPr>
          <w:b/>
          <w:spacing w:val="-1"/>
          <w:sz w:val="24"/>
        </w:rPr>
        <w:t> </w:t>
      </w:r>
      <w:r>
        <w:rPr>
          <w:b/>
          <w:sz w:val="24"/>
        </w:rPr>
        <w:t>of</w:t>
      </w:r>
      <w:r>
        <w:rPr>
          <w:b/>
          <w:spacing w:val="-1"/>
          <w:sz w:val="24"/>
        </w:rPr>
        <w:t> </w:t>
      </w:r>
      <w:r>
        <w:rPr>
          <w:b/>
          <w:sz w:val="24"/>
        </w:rPr>
        <w:t>ethanolic</w:t>
      </w:r>
      <w:r>
        <w:rPr>
          <w:b/>
          <w:spacing w:val="-2"/>
          <w:sz w:val="24"/>
        </w:rPr>
        <w:t> </w:t>
      </w:r>
      <w:r>
        <w:rPr>
          <w:b/>
          <w:sz w:val="24"/>
        </w:rPr>
        <w:t>extract</w:t>
      </w:r>
      <w:r>
        <w:rPr>
          <w:b/>
          <w:spacing w:val="-2"/>
          <w:sz w:val="24"/>
        </w:rPr>
        <w:t> </w:t>
      </w:r>
      <w:r>
        <w:rPr>
          <w:b/>
          <w:sz w:val="24"/>
        </w:rPr>
        <w:t>of</w:t>
      </w:r>
      <w:r>
        <w:rPr>
          <w:b/>
          <w:spacing w:val="3"/>
          <w:sz w:val="24"/>
        </w:rPr>
        <w:t> </w:t>
      </w:r>
      <w:r>
        <w:rPr>
          <w:b/>
          <w:i/>
          <w:sz w:val="24"/>
        </w:rPr>
        <w:t>Mucuna</w:t>
      </w:r>
      <w:r>
        <w:rPr>
          <w:b/>
          <w:i/>
          <w:spacing w:val="-1"/>
          <w:sz w:val="24"/>
        </w:rPr>
        <w:t> </w:t>
      </w:r>
      <w:r>
        <w:rPr>
          <w:b/>
          <w:i/>
          <w:spacing w:val="-2"/>
          <w:sz w:val="24"/>
        </w:rPr>
        <w:t>pruriens</w:t>
      </w:r>
    </w:p>
    <w:p>
      <w:pPr>
        <w:pStyle w:val="Heading2"/>
        <w:numPr>
          <w:ilvl w:val="2"/>
          <w:numId w:val="43"/>
        </w:numPr>
        <w:tabs>
          <w:tab w:pos="1218" w:val="left" w:leader="none"/>
        </w:tabs>
        <w:spacing w:line="240" w:lineRule="auto" w:before="118" w:after="0"/>
        <w:ind w:left="1218" w:right="0" w:hanging="540"/>
        <w:jc w:val="both"/>
      </w:pPr>
      <w:bookmarkStart w:name="_TOC_250017" w:id="116"/>
      <w:r>
        <w:rPr/>
        <w:t>Acute</w:t>
      </w:r>
      <w:r>
        <w:rPr>
          <w:spacing w:val="-3"/>
        </w:rPr>
        <w:t> </w:t>
      </w:r>
      <w:r>
        <w:rPr/>
        <w:t>anti-diabetic</w:t>
      </w:r>
      <w:r>
        <w:rPr>
          <w:spacing w:val="-3"/>
        </w:rPr>
        <w:t> </w:t>
      </w:r>
      <w:r>
        <w:rPr/>
        <w:t>effects</w:t>
      </w:r>
      <w:r>
        <w:rPr>
          <w:spacing w:val="-1"/>
        </w:rPr>
        <w:t> </w:t>
      </w:r>
      <w:r>
        <w:rPr/>
        <w:t>on</w:t>
      </w:r>
      <w:r>
        <w:rPr>
          <w:spacing w:val="-1"/>
        </w:rPr>
        <w:t> </w:t>
      </w:r>
      <w:r>
        <w:rPr/>
        <w:t>alloxan-induced</w:t>
      </w:r>
      <w:r>
        <w:rPr>
          <w:spacing w:val="-1"/>
        </w:rPr>
        <w:t> </w:t>
      </w:r>
      <w:r>
        <w:rPr/>
        <w:t>diabetic</w:t>
      </w:r>
      <w:r>
        <w:rPr>
          <w:spacing w:val="-2"/>
        </w:rPr>
        <w:t> </w:t>
      </w:r>
      <w:bookmarkEnd w:id="116"/>
      <w:r>
        <w:rPr>
          <w:spacing w:val="-4"/>
        </w:rPr>
        <w:t>rats</w:t>
      </w:r>
    </w:p>
    <w:p>
      <w:pPr>
        <w:pStyle w:val="BodyText"/>
        <w:spacing w:line="360" w:lineRule="auto" w:before="134"/>
        <w:ind w:left="678" w:right="994" w:firstLine="720"/>
        <w:jc w:val="both"/>
      </w:pPr>
      <w:r>
        <w:rPr/>
        <w:t>The</w:t>
      </w:r>
      <w:r>
        <w:rPr>
          <w:spacing w:val="-5"/>
        </w:rPr>
        <w:t> </w:t>
      </w:r>
      <w:r>
        <w:rPr/>
        <w:t>results</w:t>
      </w:r>
      <w:r>
        <w:rPr>
          <w:spacing w:val="-3"/>
        </w:rPr>
        <w:t> </w:t>
      </w:r>
      <w:r>
        <w:rPr/>
        <w:t>of</w:t>
      </w:r>
      <w:r>
        <w:rPr>
          <w:spacing w:val="-2"/>
        </w:rPr>
        <w:t> </w:t>
      </w:r>
      <w:r>
        <w:rPr/>
        <w:t>the</w:t>
      </w:r>
      <w:r>
        <w:rPr>
          <w:spacing w:val="-3"/>
        </w:rPr>
        <w:t> </w:t>
      </w:r>
      <w:r>
        <w:rPr/>
        <w:t>acute</w:t>
      </w:r>
      <w:r>
        <w:rPr>
          <w:spacing w:val="-3"/>
        </w:rPr>
        <w:t> </w:t>
      </w:r>
      <w:r>
        <w:rPr/>
        <w:t>administration</w:t>
      </w:r>
      <w:r>
        <w:rPr>
          <w:spacing w:val="-3"/>
        </w:rPr>
        <w:t> </w:t>
      </w:r>
      <w:r>
        <w:rPr/>
        <w:t>of</w:t>
      </w:r>
      <w:r>
        <w:rPr>
          <w:spacing w:val="-4"/>
        </w:rPr>
        <w:t> </w:t>
      </w:r>
      <w:r>
        <w:rPr/>
        <w:t>the</w:t>
      </w:r>
      <w:r>
        <w:rPr>
          <w:spacing w:val="-3"/>
        </w:rPr>
        <w:t> </w:t>
      </w:r>
      <w:r>
        <w:rPr/>
        <w:t>crude</w:t>
      </w:r>
      <w:r>
        <w:rPr>
          <w:spacing w:val="-4"/>
        </w:rPr>
        <w:t> </w:t>
      </w:r>
      <w:r>
        <w:rPr/>
        <w:t>ethanolic</w:t>
      </w:r>
      <w:r>
        <w:rPr>
          <w:spacing w:val="-2"/>
        </w:rPr>
        <w:t> </w:t>
      </w:r>
      <w:r>
        <w:rPr/>
        <w:t>extract</w:t>
      </w:r>
      <w:r>
        <w:rPr>
          <w:spacing w:val="-3"/>
        </w:rPr>
        <w:t> </w:t>
      </w:r>
      <w:r>
        <w:rPr/>
        <w:t>of</w:t>
      </w:r>
      <w:r>
        <w:rPr>
          <w:spacing w:val="-3"/>
        </w:rPr>
        <w:t> </w:t>
      </w:r>
      <w:r>
        <w:rPr>
          <w:i/>
        </w:rPr>
        <w:t>M</w:t>
      </w:r>
      <w:r>
        <w:rPr/>
        <w:t>. </w:t>
      </w:r>
      <w:r>
        <w:rPr>
          <w:i/>
        </w:rPr>
        <w:t>pruriens </w:t>
      </w:r>
      <w:r>
        <w:rPr/>
        <w:t>on the blood glucose level in alloxan-induced diabetic rats are presented in Table 3.4</w:t>
      </w:r>
      <w:r>
        <w:rPr>
          <w:spacing w:val="40"/>
        </w:rPr>
        <w:t> </w:t>
      </w:r>
      <w:r>
        <w:rPr/>
        <w:t>while the plots of % reduction in the blood glucose level versus time (hour) after acute administration</w:t>
      </w:r>
      <w:r>
        <w:rPr>
          <w:spacing w:val="-4"/>
        </w:rPr>
        <w:t> </w:t>
      </w:r>
      <w:r>
        <w:rPr/>
        <w:t>of</w:t>
      </w:r>
      <w:r>
        <w:rPr>
          <w:spacing w:val="-5"/>
        </w:rPr>
        <w:t> </w:t>
      </w:r>
      <w:r>
        <w:rPr/>
        <w:t>different</w:t>
      </w:r>
      <w:r>
        <w:rPr>
          <w:spacing w:val="-4"/>
        </w:rPr>
        <w:t> </w:t>
      </w:r>
      <w:r>
        <w:rPr/>
        <w:t>concentrations</w:t>
      </w:r>
      <w:r>
        <w:rPr>
          <w:spacing w:val="-4"/>
        </w:rPr>
        <w:t> </w:t>
      </w:r>
      <w:r>
        <w:rPr/>
        <w:t>of</w:t>
      </w:r>
      <w:r>
        <w:rPr>
          <w:spacing w:val="-4"/>
        </w:rPr>
        <w:t> </w:t>
      </w:r>
      <w:r>
        <w:rPr/>
        <w:t>the</w:t>
      </w:r>
      <w:r>
        <w:rPr>
          <w:spacing w:val="-5"/>
        </w:rPr>
        <w:t> </w:t>
      </w:r>
      <w:r>
        <w:rPr/>
        <w:t>extract</w:t>
      </w:r>
      <w:r>
        <w:rPr>
          <w:spacing w:val="-4"/>
        </w:rPr>
        <w:t> </w:t>
      </w:r>
      <w:r>
        <w:rPr/>
        <w:t>and</w:t>
      </w:r>
      <w:r>
        <w:rPr>
          <w:spacing w:val="-1"/>
        </w:rPr>
        <w:t> </w:t>
      </w:r>
      <w:r>
        <w:rPr/>
        <w:t>glibenclamide</w:t>
      </w:r>
      <w:r>
        <w:rPr>
          <w:spacing w:val="-3"/>
        </w:rPr>
        <w:t> </w:t>
      </w:r>
      <w:r>
        <w:rPr/>
        <w:t>are</w:t>
      </w:r>
      <w:r>
        <w:rPr>
          <w:spacing w:val="-6"/>
        </w:rPr>
        <w:t> </w:t>
      </w:r>
      <w:r>
        <w:rPr/>
        <w:t>presented</w:t>
      </w:r>
      <w:r>
        <w:rPr>
          <w:spacing w:val="-4"/>
        </w:rPr>
        <w:t> </w:t>
      </w:r>
      <w:r>
        <w:rPr/>
        <w:t>in Figure</w:t>
      </w:r>
      <w:r>
        <w:rPr>
          <w:spacing w:val="-5"/>
        </w:rPr>
        <w:t> </w:t>
      </w:r>
      <w:r>
        <w:rPr/>
        <w:t>3.1.</w:t>
      </w:r>
      <w:r>
        <w:rPr>
          <w:spacing w:val="40"/>
        </w:rPr>
        <w:t> </w:t>
      </w:r>
      <w:r>
        <w:rPr/>
        <w:t>There</w:t>
      </w:r>
      <w:r>
        <w:rPr>
          <w:spacing w:val="-4"/>
        </w:rPr>
        <w:t> </w:t>
      </w:r>
      <w:r>
        <w:rPr/>
        <w:t>was</w:t>
      </w:r>
      <w:r>
        <w:rPr>
          <w:spacing w:val="-3"/>
        </w:rPr>
        <w:t> </w:t>
      </w:r>
      <w:r>
        <w:rPr/>
        <w:t>a</w:t>
      </w:r>
      <w:r>
        <w:rPr>
          <w:spacing w:val="-2"/>
        </w:rPr>
        <w:t> </w:t>
      </w:r>
      <w:r>
        <w:rPr/>
        <w:t>significant</w:t>
      </w:r>
      <w:r>
        <w:rPr>
          <w:spacing w:val="-3"/>
        </w:rPr>
        <w:t> </w:t>
      </w:r>
      <w:r>
        <w:rPr/>
        <w:t>dose-dependent</w:t>
      </w:r>
      <w:r>
        <w:rPr>
          <w:spacing w:val="-3"/>
        </w:rPr>
        <w:t> </w:t>
      </w:r>
      <w:r>
        <w:rPr/>
        <w:t>reduction</w:t>
      </w:r>
      <w:r>
        <w:rPr>
          <w:spacing w:val="-3"/>
        </w:rPr>
        <w:t> </w:t>
      </w:r>
      <w:r>
        <w:rPr/>
        <w:t>in</w:t>
      </w:r>
      <w:r>
        <w:rPr>
          <w:spacing w:val="-3"/>
        </w:rPr>
        <w:t> </w:t>
      </w:r>
      <w:r>
        <w:rPr/>
        <w:t>the</w:t>
      </w:r>
      <w:r>
        <w:rPr>
          <w:spacing w:val="-4"/>
        </w:rPr>
        <w:t> </w:t>
      </w:r>
      <w:r>
        <w:rPr/>
        <w:t>blood</w:t>
      </w:r>
      <w:r>
        <w:rPr>
          <w:spacing w:val="-1"/>
        </w:rPr>
        <w:t> </w:t>
      </w:r>
      <w:r>
        <w:rPr/>
        <w:t>glucose</w:t>
      </w:r>
      <w:r>
        <w:rPr>
          <w:spacing w:val="-3"/>
        </w:rPr>
        <w:t> </w:t>
      </w:r>
      <w:r>
        <w:rPr/>
        <w:t>level</w:t>
      </w:r>
      <w:r>
        <w:rPr>
          <w:spacing w:val="-3"/>
        </w:rPr>
        <w:t> </w:t>
      </w:r>
      <w:r>
        <w:rPr/>
        <w:t>of the rats compared with the diabetic standard (P &lt; 0.0001). However, there were no significant differences in the reduction of the blood glucose level when the extract was administered at a dose ≥ 50mg/kg/day and glibenclamide (P &gt; 0.05).</w:t>
      </w:r>
    </w:p>
    <w:p>
      <w:pPr>
        <w:spacing w:after="0" w:line="360" w:lineRule="auto"/>
        <w:jc w:val="both"/>
        <w:sectPr>
          <w:pgSz w:w="12240" w:h="15840"/>
          <w:pgMar w:header="0" w:footer="1056" w:top="1340" w:bottom="1240" w:left="1420" w:right="420"/>
        </w:sectPr>
      </w:pPr>
    </w:p>
    <w:p>
      <w:pPr>
        <w:pStyle w:val="Heading2"/>
        <w:spacing w:line="360" w:lineRule="auto" w:before="77"/>
        <w:ind w:left="1954" w:hanging="1277"/>
        <w:jc w:val="left"/>
      </w:pPr>
      <w:r>
        <w:rPr/>
        <mc:AlternateContent>
          <mc:Choice Requires="wps">
            <w:drawing>
              <wp:anchor distT="0" distB="0" distL="0" distR="0" allowOverlap="1" layoutInCell="1" locked="0" behindDoc="1" simplePos="0" relativeHeight="482974208">
                <wp:simplePos x="0" y="0"/>
                <wp:positionH relativeFrom="page">
                  <wp:posOffset>-1402226</wp:posOffset>
                </wp:positionH>
                <wp:positionV relativeFrom="page">
                  <wp:posOffset>4612234</wp:posOffset>
                </wp:positionV>
                <wp:extent cx="10685780" cy="91440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2272;rotation:306" type="#_x0000_t136" fillcolor="#ff5400" stroked="f">
                <o:extrusion v:ext="view" autorotationcenter="t"/>
                <v:textpath style="font-family:&quot;Arial MT&quot;;font-size:72pt;v-text-kern:t;mso-text-shadow:auto" string="UNIVERSITY OF IBADAN"/>
                <w10:wrap type="none"/>
              </v:shape>
            </w:pict>
          </mc:Fallback>
        </mc:AlternateContent>
      </w:r>
      <w:r>
        <w:rPr/>
        <w:t>Table</w:t>
      </w:r>
      <w:r>
        <w:rPr>
          <w:spacing w:val="31"/>
        </w:rPr>
        <w:t> </w:t>
      </w:r>
      <w:r>
        <w:rPr/>
        <w:t>3.3:</w:t>
      </w:r>
      <w:r>
        <w:rPr>
          <w:spacing w:val="31"/>
        </w:rPr>
        <w:t> </w:t>
      </w:r>
      <w:r>
        <w:rPr/>
        <w:t>Biological</w:t>
      </w:r>
      <w:r>
        <w:rPr>
          <w:spacing w:val="31"/>
        </w:rPr>
        <w:t> </w:t>
      </w:r>
      <w:r>
        <w:rPr/>
        <w:t>screening:</w:t>
      </w:r>
      <w:r>
        <w:rPr>
          <w:spacing w:val="31"/>
        </w:rPr>
        <w:t> </w:t>
      </w:r>
      <w:r>
        <w:rPr/>
        <w:t>Effect</w:t>
      </w:r>
      <w:r>
        <w:rPr>
          <w:spacing w:val="31"/>
        </w:rPr>
        <w:t> </w:t>
      </w:r>
      <w:r>
        <w:rPr/>
        <w:t>of</w:t>
      </w:r>
      <w:r>
        <w:rPr>
          <w:spacing w:val="33"/>
        </w:rPr>
        <w:t> </w:t>
      </w:r>
      <w:r>
        <w:rPr/>
        <w:t>crude</w:t>
      </w:r>
      <w:r>
        <w:rPr>
          <w:spacing w:val="30"/>
        </w:rPr>
        <w:t> </w:t>
      </w:r>
      <w:r>
        <w:rPr/>
        <w:t>fractions</w:t>
      </w:r>
      <w:r>
        <w:rPr>
          <w:spacing w:val="32"/>
        </w:rPr>
        <w:t> </w:t>
      </w:r>
      <w:r>
        <w:rPr/>
        <w:t>of</w:t>
      </w:r>
      <w:r>
        <w:rPr>
          <w:spacing w:val="33"/>
        </w:rPr>
        <w:t> </w:t>
      </w:r>
      <w:r>
        <w:rPr/>
        <w:t>n-hexane,</w:t>
      </w:r>
      <w:r>
        <w:rPr>
          <w:spacing w:val="31"/>
        </w:rPr>
        <w:t> </w:t>
      </w:r>
      <w:r>
        <w:rPr/>
        <w:t>chloroform, ethylacetate, methanol and ethanol on alloxan-induced diabetic rats.</w:t>
      </w:r>
    </w:p>
    <w:p>
      <w:pPr>
        <w:pStyle w:val="BodyText"/>
        <w:rPr>
          <w:b/>
          <w:sz w:val="20"/>
        </w:rPr>
      </w:pPr>
    </w:p>
    <w:p>
      <w:pPr>
        <w:pStyle w:val="BodyText"/>
        <w:spacing w:before="69" w:after="1"/>
        <w:rPr>
          <w:b/>
          <w:sz w:val="20"/>
        </w:rPr>
      </w:pPr>
    </w:p>
    <w:tbl>
      <w:tblPr>
        <w:tblW w:w="0" w:type="auto"/>
        <w:jc w:val="left"/>
        <w:tblInd w:w="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8"/>
        <w:gridCol w:w="1340"/>
        <w:gridCol w:w="1468"/>
        <w:gridCol w:w="1549"/>
        <w:gridCol w:w="1421"/>
        <w:gridCol w:w="1411"/>
      </w:tblGrid>
      <w:tr>
        <w:trPr>
          <w:trHeight w:val="1057" w:hRule="atLeast"/>
        </w:trPr>
        <w:tc>
          <w:tcPr>
            <w:tcW w:w="888" w:type="dxa"/>
            <w:tcBorders>
              <w:top w:val="single" w:sz="4" w:space="0" w:color="000000"/>
              <w:bottom w:val="single" w:sz="4" w:space="0" w:color="000000"/>
            </w:tcBorders>
          </w:tcPr>
          <w:p>
            <w:pPr>
              <w:pStyle w:val="TableParagraph"/>
              <w:spacing w:before="114"/>
              <w:ind w:left="172"/>
              <w:rPr>
                <w:b/>
                <w:sz w:val="24"/>
              </w:rPr>
            </w:pPr>
            <w:r>
              <w:rPr>
                <w:b/>
                <w:spacing w:val="-4"/>
                <w:sz w:val="24"/>
              </w:rPr>
              <w:t>Time</w:t>
            </w:r>
          </w:p>
          <w:p>
            <w:pPr>
              <w:pStyle w:val="TableParagraph"/>
              <w:spacing w:before="254"/>
              <w:ind w:left="112"/>
              <w:rPr>
                <w:b/>
                <w:sz w:val="24"/>
              </w:rPr>
            </w:pPr>
            <w:r>
              <w:rPr>
                <w:b/>
                <w:spacing w:val="-2"/>
                <w:sz w:val="24"/>
              </w:rPr>
              <w:t>(hour)</w:t>
            </w:r>
          </w:p>
        </w:tc>
        <w:tc>
          <w:tcPr>
            <w:tcW w:w="1340" w:type="dxa"/>
            <w:tcBorders>
              <w:top w:val="single" w:sz="4" w:space="0" w:color="000000"/>
              <w:bottom w:val="single" w:sz="4" w:space="0" w:color="000000"/>
            </w:tcBorders>
          </w:tcPr>
          <w:p>
            <w:pPr>
              <w:pStyle w:val="TableParagraph"/>
              <w:spacing w:before="114"/>
              <w:ind w:left="172"/>
              <w:rPr>
                <w:b/>
                <w:sz w:val="24"/>
              </w:rPr>
            </w:pPr>
            <w:r>
              <w:rPr>
                <w:b/>
                <w:spacing w:val="-2"/>
                <w:sz w:val="24"/>
              </w:rPr>
              <w:t>n-Hexane</w:t>
            </w:r>
          </w:p>
          <w:p>
            <w:pPr>
              <w:pStyle w:val="TableParagraph"/>
              <w:spacing w:before="254"/>
              <w:ind w:left="247"/>
              <w:rPr>
                <w:b/>
                <w:sz w:val="24"/>
              </w:rPr>
            </w:pPr>
            <w:r>
              <w:rPr>
                <w:b/>
                <w:spacing w:val="-2"/>
                <w:sz w:val="24"/>
              </w:rPr>
              <w:t>(mg/dL)</w:t>
            </w:r>
          </w:p>
        </w:tc>
        <w:tc>
          <w:tcPr>
            <w:tcW w:w="1468" w:type="dxa"/>
            <w:tcBorders>
              <w:top w:val="single" w:sz="4" w:space="0" w:color="000000"/>
              <w:bottom w:val="single" w:sz="4" w:space="0" w:color="000000"/>
            </w:tcBorders>
          </w:tcPr>
          <w:p>
            <w:pPr>
              <w:pStyle w:val="TableParagraph"/>
              <w:spacing w:before="114"/>
              <w:ind w:left="14" w:right="2"/>
              <w:jc w:val="center"/>
              <w:rPr>
                <w:b/>
                <w:sz w:val="24"/>
              </w:rPr>
            </w:pPr>
            <w:r>
              <w:rPr>
                <w:b/>
                <w:spacing w:val="-2"/>
                <w:sz w:val="24"/>
              </w:rPr>
              <w:t>Chloroform</w:t>
            </w:r>
          </w:p>
          <w:p>
            <w:pPr>
              <w:pStyle w:val="TableParagraph"/>
              <w:spacing w:before="254"/>
              <w:ind w:left="14"/>
              <w:jc w:val="center"/>
              <w:rPr>
                <w:b/>
                <w:sz w:val="24"/>
              </w:rPr>
            </w:pPr>
            <w:r>
              <w:rPr>
                <w:b/>
                <w:spacing w:val="-2"/>
                <w:sz w:val="24"/>
              </w:rPr>
              <w:t>(mg/dL)</w:t>
            </w:r>
          </w:p>
        </w:tc>
        <w:tc>
          <w:tcPr>
            <w:tcW w:w="1549" w:type="dxa"/>
            <w:tcBorders>
              <w:top w:val="single" w:sz="4" w:space="0" w:color="000000"/>
              <w:bottom w:val="single" w:sz="4" w:space="0" w:color="000000"/>
            </w:tcBorders>
          </w:tcPr>
          <w:p>
            <w:pPr>
              <w:pStyle w:val="TableParagraph"/>
              <w:spacing w:before="114"/>
              <w:ind w:right="38"/>
              <w:jc w:val="center"/>
              <w:rPr>
                <w:b/>
                <w:sz w:val="24"/>
              </w:rPr>
            </w:pPr>
            <w:r>
              <w:rPr>
                <w:b/>
                <w:spacing w:val="-2"/>
                <w:sz w:val="24"/>
              </w:rPr>
              <w:t>Ethylacetate</w:t>
            </w:r>
          </w:p>
          <w:p>
            <w:pPr>
              <w:pStyle w:val="TableParagraph"/>
              <w:spacing w:before="254"/>
              <w:ind w:right="38"/>
              <w:jc w:val="center"/>
              <w:rPr>
                <w:b/>
                <w:sz w:val="24"/>
              </w:rPr>
            </w:pPr>
            <w:r>
              <w:rPr>
                <w:b/>
                <w:spacing w:val="-2"/>
                <w:sz w:val="24"/>
              </w:rPr>
              <w:t>(mg/dL)</w:t>
            </w:r>
          </w:p>
        </w:tc>
        <w:tc>
          <w:tcPr>
            <w:tcW w:w="1421" w:type="dxa"/>
            <w:tcBorders>
              <w:top w:val="single" w:sz="4" w:space="0" w:color="000000"/>
              <w:bottom w:val="single" w:sz="4" w:space="0" w:color="000000"/>
            </w:tcBorders>
          </w:tcPr>
          <w:p>
            <w:pPr>
              <w:pStyle w:val="TableParagraph"/>
              <w:spacing w:before="114"/>
              <w:ind w:left="208"/>
              <w:rPr>
                <w:b/>
                <w:sz w:val="24"/>
              </w:rPr>
            </w:pPr>
            <w:r>
              <w:rPr>
                <w:b/>
                <w:spacing w:val="-2"/>
                <w:sz w:val="24"/>
              </w:rPr>
              <w:t>Methanol</w:t>
            </w:r>
          </w:p>
          <w:p>
            <w:pPr>
              <w:pStyle w:val="TableParagraph"/>
              <w:spacing w:before="254"/>
              <w:ind w:left="283"/>
              <w:rPr>
                <w:b/>
                <w:sz w:val="24"/>
              </w:rPr>
            </w:pPr>
            <w:r>
              <w:rPr>
                <w:b/>
                <w:spacing w:val="-2"/>
                <w:sz w:val="24"/>
              </w:rPr>
              <w:t>(mg/dL)</w:t>
            </w:r>
          </w:p>
        </w:tc>
        <w:tc>
          <w:tcPr>
            <w:tcW w:w="1411" w:type="dxa"/>
            <w:tcBorders>
              <w:top w:val="single" w:sz="4" w:space="0" w:color="000000"/>
              <w:bottom w:val="single" w:sz="4" w:space="0" w:color="000000"/>
            </w:tcBorders>
          </w:tcPr>
          <w:p>
            <w:pPr>
              <w:pStyle w:val="TableParagraph"/>
              <w:spacing w:before="114"/>
              <w:ind w:left="311"/>
              <w:rPr>
                <w:b/>
                <w:sz w:val="24"/>
              </w:rPr>
            </w:pPr>
            <w:r>
              <w:rPr>
                <w:b/>
                <w:spacing w:val="-2"/>
                <w:sz w:val="24"/>
              </w:rPr>
              <w:t>Ethanol</w:t>
            </w:r>
          </w:p>
          <w:p>
            <w:pPr>
              <w:pStyle w:val="TableParagraph"/>
              <w:spacing w:before="254"/>
              <w:ind w:left="299"/>
              <w:rPr>
                <w:b/>
                <w:sz w:val="24"/>
              </w:rPr>
            </w:pPr>
            <w:r>
              <w:rPr>
                <w:b/>
                <w:spacing w:val="-2"/>
                <w:sz w:val="24"/>
              </w:rPr>
              <w:t>(mg/dL)</w:t>
            </w:r>
          </w:p>
        </w:tc>
      </w:tr>
      <w:tr>
        <w:trPr>
          <w:trHeight w:val="517" w:hRule="atLeast"/>
        </w:trPr>
        <w:tc>
          <w:tcPr>
            <w:tcW w:w="888" w:type="dxa"/>
            <w:tcBorders>
              <w:top w:val="single" w:sz="4" w:space="0" w:color="000000"/>
            </w:tcBorders>
          </w:tcPr>
          <w:p>
            <w:pPr>
              <w:pStyle w:val="TableParagraph"/>
              <w:spacing w:before="109"/>
              <w:ind w:right="2"/>
              <w:jc w:val="center"/>
              <w:rPr>
                <w:sz w:val="24"/>
              </w:rPr>
            </w:pPr>
            <w:r>
              <w:rPr>
                <w:spacing w:val="-10"/>
                <w:sz w:val="24"/>
              </w:rPr>
              <w:t>0</w:t>
            </w:r>
          </w:p>
        </w:tc>
        <w:tc>
          <w:tcPr>
            <w:tcW w:w="1340" w:type="dxa"/>
            <w:tcBorders>
              <w:top w:val="single" w:sz="4" w:space="0" w:color="000000"/>
            </w:tcBorders>
          </w:tcPr>
          <w:p>
            <w:pPr>
              <w:pStyle w:val="TableParagraph"/>
              <w:spacing w:before="109"/>
              <w:ind w:left="122"/>
              <w:rPr>
                <w:sz w:val="24"/>
              </w:rPr>
            </w:pPr>
            <w:r>
              <w:rPr>
                <w:sz w:val="24"/>
              </w:rPr>
              <w:t>455.5 ± </w:t>
            </w:r>
            <w:r>
              <w:rPr>
                <w:spacing w:val="-5"/>
                <w:sz w:val="24"/>
              </w:rPr>
              <w:t>0.4</w:t>
            </w:r>
          </w:p>
        </w:tc>
        <w:tc>
          <w:tcPr>
            <w:tcW w:w="1468" w:type="dxa"/>
            <w:tcBorders>
              <w:top w:val="single" w:sz="4" w:space="0" w:color="000000"/>
            </w:tcBorders>
          </w:tcPr>
          <w:p>
            <w:pPr>
              <w:pStyle w:val="TableParagraph"/>
              <w:spacing w:before="109"/>
              <w:ind w:left="196"/>
              <w:rPr>
                <w:sz w:val="24"/>
              </w:rPr>
            </w:pPr>
            <w:r>
              <w:rPr>
                <w:sz w:val="24"/>
              </w:rPr>
              <w:t>456.2 ± </w:t>
            </w:r>
            <w:r>
              <w:rPr>
                <w:spacing w:val="-5"/>
                <w:sz w:val="24"/>
              </w:rPr>
              <w:t>0.7</w:t>
            </w:r>
          </w:p>
        </w:tc>
        <w:tc>
          <w:tcPr>
            <w:tcW w:w="1549" w:type="dxa"/>
            <w:tcBorders>
              <w:top w:val="single" w:sz="4" w:space="0" w:color="000000"/>
            </w:tcBorders>
          </w:tcPr>
          <w:p>
            <w:pPr>
              <w:pStyle w:val="TableParagraph"/>
              <w:spacing w:before="109"/>
              <w:ind w:left="209"/>
              <w:rPr>
                <w:sz w:val="24"/>
              </w:rPr>
            </w:pPr>
            <w:r>
              <w:rPr>
                <w:sz w:val="24"/>
              </w:rPr>
              <w:t>456.8 ± </w:t>
            </w:r>
            <w:r>
              <w:rPr>
                <w:spacing w:val="-5"/>
                <w:sz w:val="24"/>
              </w:rPr>
              <w:t>0.5</w:t>
            </w:r>
          </w:p>
        </w:tc>
        <w:tc>
          <w:tcPr>
            <w:tcW w:w="1421" w:type="dxa"/>
            <w:tcBorders>
              <w:top w:val="single" w:sz="4" w:space="0" w:color="000000"/>
            </w:tcBorders>
          </w:tcPr>
          <w:p>
            <w:pPr>
              <w:pStyle w:val="TableParagraph"/>
              <w:spacing w:before="109"/>
              <w:ind w:left="158"/>
              <w:rPr>
                <w:sz w:val="24"/>
              </w:rPr>
            </w:pPr>
            <w:r>
              <w:rPr>
                <w:sz w:val="24"/>
              </w:rPr>
              <w:t>466.7 ± </w:t>
            </w:r>
            <w:r>
              <w:rPr>
                <w:spacing w:val="-5"/>
                <w:sz w:val="24"/>
              </w:rPr>
              <w:t>0.3</w:t>
            </w:r>
          </w:p>
        </w:tc>
        <w:tc>
          <w:tcPr>
            <w:tcW w:w="1411" w:type="dxa"/>
            <w:tcBorders>
              <w:top w:val="single" w:sz="4" w:space="0" w:color="000000"/>
            </w:tcBorders>
          </w:tcPr>
          <w:p>
            <w:pPr>
              <w:pStyle w:val="TableParagraph"/>
              <w:spacing w:before="109"/>
              <w:ind w:left="28"/>
              <w:jc w:val="center"/>
              <w:rPr>
                <w:sz w:val="24"/>
              </w:rPr>
            </w:pPr>
            <w:r>
              <w:rPr>
                <w:sz w:val="24"/>
              </w:rPr>
              <w:t>460.1± </w:t>
            </w:r>
            <w:r>
              <w:rPr>
                <w:spacing w:val="-5"/>
                <w:sz w:val="24"/>
              </w:rPr>
              <w:t>0.2</w:t>
            </w:r>
          </w:p>
        </w:tc>
      </w:tr>
      <w:tr>
        <w:trPr>
          <w:trHeight w:val="529" w:hRule="atLeast"/>
        </w:trPr>
        <w:tc>
          <w:tcPr>
            <w:tcW w:w="888" w:type="dxa"/>
          </w:tcPr>
          <w:p>
            <w:pPr>
              <w:pStyle w:val="TableParagraph"/>
              <w:spacing w:before="122"/>
              <w:ind w:right="2"/>
              <w:jc w:val="center"/>
              <w:rPr>
                <w:sz w:val="24"/>
              </w:rPr>
            </w:pPr>
            <w:r>
              <w:rPr>
                <w:spacing w:val="-10"/>
                <w:sz w:val="24"/>
              </w:rPr>
              <w:t>1</w:t>
            </w:r>
          </w:p>
        </w:tc>
        <w:tc>
          <w:tcPr>
            <w:tcW w:w="1340" w:type="dxa"/>
          </w:tcPr>
          <w:p>
            <w:pPr>
              <w:pStyle w:val="TableParagraph"/>
              <w:spacing w:before="122"/>
              <w:ind w:left="122"/>
              <w:rPr>
                <w:sz w:val="24"/>
              </w:rPr>
            </w:pPr>
            <w:r>
              <w:rPr>
                <w:sz w:val="24"/>
              </w:rPr>
              <w:t>455.5 ± </w:t>
            </w:r>
            <w:r>
              <w:rPr>
                <w:spacing w:val="-5"/>
                <w:sz w:val="24"/>
              </w:rPr>
              <w:t>1.2</w:t>
            </w:r>
          </w:p>
        </w:tc>
        <w:tc>
          <w:tcPr>
            <w:tcW w:w="1468" w:type="dxa"/>
          </w:tcPr>
          <w:p>
            <w:pPr>
              <w:pStyle w:val="TableParagraph"/>
              <w:spacing w:before="122"/>
              <w:ind w:left="196"/>
              <w:rPr>
                <w:sz w:val="24"/>
              </w:rPr>
            </w:pPr>
            <w:r>
              <w:rPr>
                <w:sz w:val="24"/>
              </w:rPr>
              <w:t>457.1 ± </w:t>
            </w:r>
            <w:r>
              <w:rPr>
                <w:spacing w:val="-5"/>
                <w:sz w:val="24"/>
              </w:rPr>
              <w:t>1.4</w:t>
            </w:r>
          </w:p>
        </w:tc>
        <w:tc>
          <w:tcPr>
            <w:tcW w:w="1549" w:type="dxa"/>
          </w:tcPr>
          <w:p>
            <w:pPr>
              <w:pStyle w:val="TableParagraph"/>
              <w:spacing w:before="122"/>
              <w:ind w:left="209"/>
              <w:rPr>
                <w:sz w:val="24"/>
              </w:rPr>
            </w:pPr>
            <w:r>
              <w:rPr>
                <w:sz w:val="24"/>
              </w:rPr>
              <w:t>457.2 ± </w:t>
            </w:r>
            <w:r>
              <w:rPr>
                <w:spacing w:val="-5"/>
                <w:sz w:val="24"/>
              </w:rPr>
              <w:t>0.9</w:t>
            </w:r>
          </w:p>
        </w:tc>
        <w:tc>
          <w:tcPr>
            <w:tcW w:w="1421" w:type="dxa"/>
          </w:tcPr>
          <w:p>
            <w:pPr>
              <w:pStyle w:val="TableParagraph"/>
              <w:spacing w:before="122"/>
              <w:ind w:left="158"/>
              <w:rPr>
                <w:sz w:val="24"/>
              </w:rPr>
            </w:pPr>
            <w:r>
              <w:rPr>
                <w:sz w:val="24"/>
              </w:rPr>
              <w:t>447.7 ± </w:t>
            </w:r>
            <w:r>
              <w:rPr>
                <w:spacing w:val="-5"/>
                <w:sz w:val="24"/>
              </w:rPr>
              <w:t>0.2</w:t>
            </w:r>
          </w:p>
        </w:tc>
        <w:tc>
          <w:tcPr>
            <w:tcW w:w="1411" w:type="dxa"/>
          </w:tcPr>
          <w:p>
            <w:pPr>
              <w:pStyle w:val="TableParagraph"/>
              <w:spacing w:before="122"/>
              <w:ind w:left="175"/>
              <w:rPr>
                <w:sz w:val="24"/>
              </w:rPr>
            </w:pPr>
            <w:r>
              <w:rPr>
                <w:sz w:val="24"/>
              </w:rPr>
              <w:t>451.5 ± </w:t>
            </w:r>
            <w:r>
              <w:rPr>
                <w:spacing w:val="-5"/>
                <w:sz w:val="24"/>
              </w:rPr>
              <w:t>2.3</w:t>
            </w:r>
          </w:p>
        </w:tc>
      </w:tr>
      <w:tr>
        <w:trPr>
          <w:trHeight w:val="529" w:hRule="atLeast"/>
        </w:trPr>
        <w:tc>
          <w:tcPr>
            <w:tcW w:w="888" w:type="dxa"/>
          </w:tcPr>
          <w:p>
            <w:pPr>
              <w:pStyle w:val="TableParagraph"/>
              <w:spacing w:before="121"/>
              <w:ind w:right="2"/>
              <w:jc w:val="center"/>
              <w:rPr>
                <w:sz w:val="24"/>
              </w:rPr>
            </w:pPr>
            <w:r>
              <w:rPr>
                <w:spacing w:val="-10"/>
                <w:sz w:val="24"/>
              </w:rPr>
              <w:t>2</w:t>
            </w:r>
          </w:p>
        </w:tc>
        <w:tc>
          <w:tcPr>
            <w:tcW w:w="1340" w:type="dxa"/>
          </w:tcPr>
          <w:p>
            <w:pPr>
              <w:pStyle w:val="TableParagraph"/>
              <w:spacing w:before="121"/>
              <w:ind w:left="122"/>
              <w:rPr>
                <w:sz w:val="24"/>
              </w:rPr>
            </w:pPr>
            <w:r>
              <w:rPr>
                <w:sz w:val="24"/>
              </w:rPr>
              <w:t>456.6 ± </w:t>
            </w:r>
            <w:r>
              <w:rPr>
                <w:spacing w:val="-5"/>
                <w:sz w:val="24"/>
              </w:rPr>
              <w:t>2.4</w:t>
            </w:r>
          </w:p>
        </w:tc>
        <w:tc>
          <w:tcPr>
            <w:tcW w:w="1468" w:type="dxa"/>
          </w:tcPr>
          <w:p>
            <w:pPr>
              <w:pStyle w:val="TableParagraph"/>
              <w:spacing w:before="121"/>
              <w:ind w:left="196"/>
              <w:rPr>
                <w:sz w:val="24"/>
              </w:rPr>
            </w:pPr>
            <w:r>
              <w:rPr>
                <w:sz w:val="24"/>
              </w:rPr>
              <w:t>457.6 ± </w:t>
            </w:r>
            <w:r>
              <w:rPr>
                <w:spacing w:val="-5"/>
                <w:sz w:val="24"/>
              </w:rPr>
              <w:t>1.3</w:t>
            </w:r>
          </w:p>
        </w:tc>
        <w:tc>
          <w:tcPr>
            <w:tcW w:w="1549" w:type="dxa"/>
          </w:tcPr>
          <w:p>
            <w:pPr>
              <w:pStyle w:val="TableParagraph"/>
              <w:spacing w:before="121"/>
              <w:ind w:left="209"/>
              <w:rPr>
                <w:sz w:val="24"/>
              </w:rPr>
            </w:pPr>
            <w:r>
              <w:rPr>
                <w:sz w:val="24"/>
              </w:rPr>
              <w:t>457.7 ± </w:t>
            </w:r>
            <w:r>
              <w:rPr>
                <w:spacing w:val="-5"/>
                <w:sz w:val="24"/>
              </w:rPr>
              <w:t>0.3</w:t>
            </w:r>
          </w:p>
        </w:tc>
        <w:tc>
          <w:tcPr>
            <w:tcW w:w="1421" w:type="dxa"/>
          </w:tcPr>
          <w:p>
            <w:pPr>
              <w:pStyle w:val="TableParagraph"/>
              <w:spacing w:before="121"/>
              <w:ind w:left="158"/>
              <w:rPr>
                <w:sz w:val="24"/>
              </w:rPr>
            </w:pPr>
            <w:r>
              <w:rPr>
                <w:sz w:val="24"/>
              </w:rPr>
              <w:t>438.3 ± </w:t>
            </w:r>
            <w:r>
              <w:rPr>
                <w:spacing w:val="-5"/>
                <w:sz w:val="24"/>
              </w:rPr>
              <w:t>2.7</w:t>
            </w:r>
          </w:p>
        </w:tc>
        <w:tc>
          <w:tcPr>
            <w:tcW w:w="1411" w:type="dxa"/>
          </w:tcPr>
          <w:p>
            <w:pPr>
              <w:pStyle w:val="TableParagraph"/>
              <w:spacing w:before="121"/>
              <w:ind w:left="175"/>
              <w:rPr>
                <w:sz w:val="24"/>
              </w:rPr>
            </w:pPr>
            <w:r>
              <w:rPr>
                <w:sz w:val="24"/>
              </w:rPr>
              <w:t>440.2 ± </w:t>
            </w:r>
            <w:r>
              <w:rPr>
                <w:spacing w:val="-5"/>
                <w:sz w:val="24"/>
              </w:rPr>
              <w:t>1.0</w:t>
            </w:r>
          </w:p>
        </w:tc>
      </w:tr>
      <w:tr>
        <w:trPr>
          <w:trHeight w:val="529" w:hRule="atLeast"/>
        </w:trPr>
        <w:tc>
          <w:tcPr>
            <w:tcW w:w="888" w:type="dxa"/>
          </w:tcPr>
          <w:p>
            <w:pPr>
              <w:pStyle w:val="TableParagraph"/>
              <w:spacing w:before="122"/>
              <w:ind w:right="2"/>
              <w:jc w:val="center"/>
              <w:rPr>
                <w:sz w:val="24"/>
              </w:rPr>
            </w:pPr>
            <w:r>
              <w:rPr>
                <w:spacing w:val="-10"/>
                <w:sz w:val="24"/>
              </w:rPr>
              <w:t>3</w:t>
            </w:r>
          </w:p>
        </w:tc>
        <w:tc>
          <w:tcPr>
            <w:tcW w:w="1340" w:type="dxa"/>
          </w:tcPr>
          <w:p>
            <w:pPr>
              <w:pStyle w:val="TableParagraph"/>
              <w:spacing w:before="122"/>
              <w:ind w:left="122"/>
              <w:rPr>
                <w:sz w:val="24"/>
              </w:rPr>
            </w:pPr>
            <w:r>
              <w:rPr>
                <w:sz w:val="24"/>
              </w:rPr>
              <w:t>456.4 ± </w:t>
            </w:r>
            <w:r>
              <w:rPr>
                <w:spacing w:val="-5"/>
                <w:sz w:val="24"/>
              </w:rPr>
              <w:t>0.8</w:t>
            </w:r>
          </w:p>
        </w:tc>
        <w:tc>
          <w:tcPr>
            <w:tcW w:w="1468" w:type="dxa"/>
          </w:tcPr>
          <w:p>
            <w:pPr>
              <w:pStyle w:val="TableParagraph"/>
              <w:spacing w:before="122"/>
              <w:ind w:left="196"/>
              <w:rPr>
                <w:sz w:val="24"/>
              </w:rPr>
            </w:pPr>
            <w:r>
              <w:rPr>
                <w:sz w:val="24"/>
              </w:rPr>
              <w:t>456.4 ± </w:t>
            </w:r>
            <w:r>
              <w:rPr>
                <w:spacing w:val="-5"/>
                <w:sz w:val="24"/>
              </w:rPr>
              <w:t>1.3</w:t>
            </w:r>
          </w:p>
        </w:tc>
        <w:tc>
          <w:tcPr>
            <w:tcW w:w="1549" w:type="dxa"/>
          </w:tcPr>
          <w:p>
            <w:pPr>
              <w:pStyle w:val="TableParagraph"/>
              <w:spacing w:before="122"/>
              <w:ind w:left="209"/>
              <w:rPr>
                <w:sz w:val="24"/>
              </w:rPr>
            </w:pPr>
            <w:r>
              <w:rPr>
                <w:sz w:val="24"/>
              </w:rPr>
              <w:t>458.7 ± </w:t>
            </w:r>
            <w:r>
              <w:rPr>
                <w:spacing w:val="-5"/>
                <w:sz w:val="24"/>
              </w:rPr>
              <w:t>2.1</w:t>
            </w:r>
          </w:p>
        </w:tc>
        <w:tc>
          <w:tcPr>
            <w:tcW w:w="1421" w:type="dxa"/>
          </w:tcPr>
          <w:p>
            <w:pPr>
              <w:pStyle w:val="TableParagraph"/>
              <w:spacing w:before="122"/>
              <w:ind w:left="158"/>
              <w:rPr>
                <w:sz w:val="24"/>
              </w:rPr>
            </w:pPr>
            <w:r>
              <w:rPr>
                <w:sz w:val="24"/>
              </w:rPr>
              <w:t>430.4 ± </w:t>
            </w:r>
            <w:r>
              <w:rPr>
                <w:spacing w:val="-5"/>
                <w:sz w:val="24"/>
              </w:rPr>
              <w:t>0.3</w:t>
            </w:r>
          </w:p>
        </w:tc>
        <w:tc>
          <w:tcPr>
            <w:tcW w:w="1411" w:type="dxa"/>
          </w:tcPr>
          <w:p>
            <w:pPr>
              <w:pStyle w:val="TableParagraph"/>
              <w:spacing w:before="122"/>
              <w:ind w:left="175"/>
              <w:rPr>
                <w:sz w:val="24"/>
              </w:rPr>
            </w:pPr>
            <w:r>
              <w:rPr>
                <w:sz w:val="24"/>
              </w:rPr>
              <w:t>433.9 ± </w:t>
            </w:r>
            <w:r>
              <w:rPr>
                <w:spacing w:val="-5"/>
                <w:sz w:val="24"/>
              </w:rPr>
              <w:t>3.4</w:t>
            </w:r>
          </w:p>
        </w:tc>
      </w:tr>
      <w:tr>
        <w:trPr>
          <w:trHeight w:val="527" w:hRule="atLeast"/>
        </w:trPr>
        <w:tc>
          <w:tcPr>
            <w:tcW w:w="888" w:type="dxa"/>
          </w:tcPr>
          <w:p>
            <w:pPr>
              <w:pStyle w:val="TableParagraph"/>
              <w:spacing w:before="121"/>
              <w:ind w:right="2"/>
              <w:jc w:val="center"/>
              <w:rPr>
                <w:sz w:val="24"/>
              </w:rPr>
            </w:pPr>
            <w:r>
              <w:rPr>
                <w:spacing w:val="-10"/>
                <w:sz w:val="24"/>
              </w:rPr>
              <w:t>4</w:t>
            </w:r>
          </w:p>
        </w:tc>
        <w:tc>
          <w:tcPr>
            <w:tcW w:w="1340" w:type="dxa"/>
          </w:tcPr>
          <w:p>
            <w:pPr>
              <w:pStyle w:val="TableParagraph"/>
              <w:spacing w:before="121"/>
              <w:ind w:left="122"/>
              <w:rPr>
                <w:sz w:val="24"/>
              </w:rPr>
            </w:pPr>
            <w:r>
              <w:rPr>
                <w:sz w:val="24"/>
              </w:rPr>
              <w:t>457.2 ± </w:t>
            </w:r>
            <w:r>
              <w:rPr>
                <w:spacing w:val="-5"/>
                <w:sz w:val="24"/>
              </w:rPr>
              <w:t>0.4</w:t>
            </w:r>
          </w:p>
        </w:tc>
        <w:tc>
          <w:tcPr>
            <w:tcW w:w="1468" w:type="dxa"/>
          </w:tcPr>
          <w:p>
            <w:pPr>
              <w:pStyle w:val="TableParagraph"/>
              <w:spacing w:before="121"/>
              <w:ind w:left="196"/>
              <w:rPr>
                <w:sz w:val="24"/>
              </w:rPr>
            </w:pPr>
            <w:r>
              <w:rPr>
                <w:sz w:val="24"/>
              </w:rPr>
              <w:t>457.2 ± </w:t>
            </w:r>
            <w:r>
              <w:rPr>
                <w:spacing w:val="-5"/>
                <w:sz w:val="24"/>
              </w:rPr>
              <w:t>1.3</w:t>
            </w:r>
          </w:p>
        </w:tc>
        <w:tc>
          <w:tcPr>
            <w:tcW w:w="1549" w:type="dxa"/>
          </w:tcPr>
          <w:p>
            <w:pPr>
              <w:pStyle w:val="TableParagraph"/>
              <w:spacing w:before="121"/>
              <w:ind w:left="209"/>
              <w:rPr>
                <w:sz w:val="24"/>
              </w:rPr>
            </w:pPr>
            <w:r>
              <w:rPr>
                <w:sz w:val="24"/>
              </w:rPr>
              <w:t>458.6 ± </w:t>
            </w:r>
            <w:r>
              <w:rPr>
                <w:spacing w:val="-5"/>
                <w:sz w:val="24"/>
              </w:rPr>
              <w:t>1.6</w:t>
            </w:r>
          </w:p>
        </w:tc>
        <w:tc>
          <w:tcPr>
            <w:tcW w:w="1421" w:type="dxa"/>
          </w:tcPr>
          <w:p>
            <w:pPr>
              <w:pStyle w:val="TableParagraph"/>
              <w:spacing w:before="121"/>
              <w:ind w:left="158"/>
              <w:rPr>
                <w:sz w:val="24"/>
              </w:rPr>
            </w:pPr>
            <w:r>
              <w:rPr>
                <w:sz w:val="24"/>
              </w:rPr>
              <w:t>387.2 ± </w:t>
            </w:r>
            <w:r>
              <w:rPr>
                <w:spacing w:val="-5"/>
                <w:sz w:val="24"/>
              </w:rPr>
              <w:t>0.7</w:t>
            </w:r>
          </w:p>
        </w:tc>
        <w:tc>
          <w:tcPr>
            <w:tcW w:w="1411" w:type="dxa"/>
          </w:tcPr>
          <w:p>
            <w:pPr>
              <w:pStyle w:val="TableParagraph"/>
              <w:spacing w:before="121"/>
              <w:ind w:left="175"/>
              <w:rPr>
                <w:sz w:val="24"/>
              </w:rPr>
            </w:pPr>
            <w:r>
              <w:rPr>
                <w:sz w:val="24"/>
              </w:rPr>
              <w:t>382.1 ± </w:t>
            </w:r>
            <w:r>
              <w:rPr>
                <w:spacing w:val="-5"/>
                <w:sz w:val="24"/>
              </w:rPr>
              <w:t>0.5</w:t>
            </w:r>
          </w:p>
        </w:tc>
      </w:tr>
      <w:tr>
        <w:trPr>
          <w:trHeight w:val="529" w:hRule="atLeast"/>
        </w:trPr>
        <w:tc>
          <w:tcPr>
            <w:tcW w:w="888" w:type="dxa"/>
          </w:tcPr>
          <w:p>
            <w:pPr>
              <w:pStyle w:val="TableParagraph"/>
              <w:spacing w:before="121"/>
              <w:ind w:right="2"/>
              <w:jc w:val="center"/>
              <w:rPr>
                <w:sz w:val="24"/>
              </w:rPr>
            </w:pPr>
            <w:r>
              <w:rPr>
                <w:spacing w:val="-10"/>
                <w:sz w:val="24"/>
              </w:rPr>
              <w:t>5</w:t>
            </w:r>
          </w:p>
        </w:tc>
        <w:tc>
          <w:tcPr>
            <w:tcW w:w="1340" w:type="dxa"/>
          </w:tcPr>
          <w:p>
            <w:pPr>
              <w:pStyle w:val="TableParagraph"/>
              <w:spacing w:before="121"/>
              <w:ind w:left="122"/>
              <w:rPr>
                <w:sz w:val="24"/>
              </w:rPr>
            </w:pPr>
            <w:r>
              <w:rPr>
                <w:sz w:val="24"/>
              </w:rPr>
              <w:t>457.3 ± </w:t>
            </w:r>
            <w:r>
              <w:rPr>
                <w:spacing w:val="-5"/>
                <w:sz w:val="24"/>
              </w:rPr>
              <w:t>1.4</w:t>
            </w:r>
          </w:p>
        </w:tc>
        <w:tc>
          <w:tcPr>
            <w:tcW w:w="1468" w:type="dxa"/>
          </w:tcPr>
          <w:p>
            <w:pPr>
              <w:pStyle w:val="TableParagraph"/>
              <w:spacing w:before="121"/>
              <w:ind w:left="196"/>
              <w:rPr>
                <w:sz w:val="24"/>
              </w:rPr>
            </w:pPr>
            <w:r>
              <w:rPr>
                <w:sz w:val="24"/>
              </w:rPr>
              <w:t>457.3 ± </w:t>
            </w:r>
            <w:r>
              <w:rPr>
                <w:spacing w:val="-5"/>
                <w:sz w:val="24"/>
              </w:rPr>
              <w:t>0.5</w:t>
            </w:r>
          </w:p>
        </w:tc>
        <w:tc>
          <w:tcPr>
            <w:tcW w:w="1549" w:type="dxa"/>
          </w:tcPr>
          <w:p>
            <w:pPr>
              <w:pStyle w:val="TableParagraph"/>
              <w:spacing w:before="121"/>
              <w:ind w:left="209"/>
              <w:rPr>
                <w:sz w:val="24"/>
              </w:rPr>
            </w:pPr>
            <w:r>
              <w:rPr>
                <w:sz w:val="24"/>
              </w:rPr>
              <w:t>459.6 ± </w:t>
            </w:r>
            <w:r>
              <w:rPr>
                <w:spacing w:val="-5"/>
                <w:sz w:val="24"/>
              </w:rPr>
              <w:t>4.6</w:t>
            </w:r>
          </w:p>
        </w:tc>
        <w:tc>
          <w:tcPr>
            <w:tcW w:w="1421" w:type="dxa"/>
          </w:tcPr>
          <w:p>
            <w:pPr>
              <w:pStyle w:val="TableParagraph"/>
              <w:spacing w:before="121"/>
              <w:ind w:left="158"/>
              <w:rPr>
                <w:sz w:val="24"/>
              </w:rPr>
            </w:pPr>
            <w:r>
              <w:rPr>
                <w:sz w:val="24"/>
              </w:rPr>
              <w:t>387.5 ± </w:t>
            </w:r>
            <w:r>
              <w:rPr>
                <w:spacing w:val="-5"/>
                <w:sz w:val="24"/>
              </w:rPr>
              <w:t>2.4</w:t>
            </w:r>
          </w:p>
        </w:tc>
        <w:tc>
          <w:tcPr>
            <w:tcW w:w="1411" w:type="dxa"/>
          </w:tcPr>
          <w:p>
            <w:pPr>
              <w:pStyle w:val="TableParagraph"/>
              <w:spacing w:before="121"/>
              <w:ind w:left="175"/>
              <w:rPr>
                <w:sz w:val="24"/>
              </w:rPr>
            </w:pPr>
            <w:r>
              <w:rPr>
                <w:sz w:val="24"/>
              </w:rPr>
              <w:t>382.6 ± </w:t>
            </w:r>
            <w:r>
              <w:rPr>
                <w:spacing w:val="-5"/>
                <w:sz w:val="24"/>
              </w:rPr>
              <w:t>2.6</w:t>
            </w:r>
          </w:p>
        </w:tc>
      </w:tr>
      <w:tr>
        <w:trPr>
          <w:trHeight w:val="529" w:hRule="atLeast"/>
        </w:trPr>
        <w:tc>
          <w:tcPr>
            <w:tcW w:w="888" w:type="dxa"/>
          </w:tcPr>
          <w:p>
            <w:pPr>
              <w:pStyle w:val="TableParagraph"/>
              <w:spacing w:before="122"/>
              <w:ind w:right="2"/>
              <w:jc w:val="center"/>
              <w:rPr>
                <w:sz w:val="24"/>
              </w:rPr>
            </w:pPr>
            <w:r>
              <w:rPr>
                <w:spacing w:val="-10"/>
                <w:sz w:val="24"/>
              </w:rPr>
              <w:t>6</w:t>
            </w:r>
          </w:p>
        </w:tc>
        <w:tc>
          <w:tcPr>
            <w:tcW w:w="1340" w:type="dxa"/>
          </w:tcPr>
          <w:p>
            <w:pPr>
              <w:pStyle w:val="TableParagraph"/>
              <w:spacing w:before="122"/>
              <w:ind w:left="122"/>
              <w:rPr>
                <w:sz w:val="24"/>
              </w:rPr>
            </w:pPr>
            <w:r>
              <w:rPr>
                <w:sz w:val="24"/>
              </w:rPr>
              <w:t>456.1 ± </w:t>
            </w:r>
            <w:r>
              <w:rPr>
                <w:spacing w:val="-5"/>
                <w:sz w:val="24"/>
              </w:rPr>
              <w:t>0.7</w:t>
            </w:r>
          </w:p>
        </w:tc>
        <w:tc>
          <w:tcPr>
            <w:tcW w:w="1468" w:type="dxa"/>
          </w:tcPr>
          <w:p>
            <w:pPr>
              <w:pStyle w:val="TableParagraph"/>
              <w:spacing w:before="122"/>
              <w:ind w:left="196"/>
              <w:rPr>
                <w:sz w:val="24"/>
              </w:rPr>
            </w:pPr>
            <w:r>
              <w:rPr>
                <w:sz w:val="24"/>
              </w:rPr>
              <w:t>458.6 ± </w:t>
            </w:r>
            <w:r>
              <w:rPr>
                <w:spacing w:val="-5"/>
                <w:sz w:val="24"/>
              </w:rPr>
              <w:t>3.7</w:t>
            </w:r>
          </w:p>
        </w:tc>
        <w:tc>
          <w:tcPr>
            <w:tcW w:w="1549" w:type="dxa"/>
          </w:tcPr>
          <w:p>
            <w:pPr>
              <w:pStyle w:val="TableParagraph"/>
              <w:spacing w:before="122"/>
              <w:ind w:left="209"/>
              <w:rPr>
                <w:sz w:val="24"/>
              </w:rPr>
            </w:pPr>
            <w:r>
              <w:rPr>
                <w:sz w:val="24"/>
              </w:rPr>
              <w:t>460.3 ± </w:t>
            </w:r>
            <w:r>
              <w:rPr>
                <w:spacing w:val="-5"/>
                <w:sz w:val="24"/>
              </w:rPr>
              <w:t>7.8</w:t>
            </w:r>
          </w:p>
        </w:tc>
        <w:tc>
          <w:tcPr>
            <w:tcW w:w="1421" w:type="dxa"/>
          </w:tcPr>
          <w:p>
            <w:pPr>
              <w:pStyle w:val="TableParagraph"/>
              <w:spacing w:before="122"/>
              <w:ind w:left="158"/>
              <w:rPr>
                <w:sz w:val="24"/>
              </w:rPr>
            </w:pPr>
            <w:r>
              <w:rPr>
                <w:sz w:val="24"/>
              </w:rPr>
              <w:t>362.7 ± </w:t>
            </w:r>
            <w:r>
              <w:rPr>
                <w:spacing w:val="-5"/>
                <w:sz w:val="24"/>
              </w:rPr>
              <w:t>1.5</w:t>
            </w:r>
          </w:p>
        </w:tc>
        <w:tc>
          <w:tcPr>
            <w:tcW w:w="1411" w:type="dxa"/>
          </w:tcPr>
          <w:p>
            <w:pPr>
              <w:pStyle w:val="TableParagraph"/>
              <w:spacing w:before="122"/>
              <w:ind w:left="175"/>
              <w:rPr>
                <w:sz w:val="24"/>
              </w:rPr>
            </w:pPr>
            <w:r>
              <w:rPr>
                <w:sz w:val="24"/>
              </w:rPr>
              <w:t>337.7 ± </w:t>
            </w:r>
            <w:r>
              <w:rPr>
                <w:spacing w:val="-5"/>
                <w:sz w:val="24"/>
              </w:rPr>
              <w:t>5.7</w:t>
            </w:r>
          </w:p>
        </w:tc>
      </w:tr>
      <w:tr>
        <w:trPr>
          <w:trHeight w:val="529" w:hRule="atLeast"/>
        </w:trPr>
        <w:tc>
          <w:tcPr>
            <w:tcW w:w="888" w:type="dxa"/>
          </w:tcPr>
          <w:p>
            <w:pPr>
              <w:pStyle w:val="TableParagraph"/>
              <w:spacing w:before="121"/>
              <w:ind w:right="2"/>
              <w:jc w:val="center"/>
              <w:rPr>
                <w:sz w:val="24"/>
              </w:rPr>
            </w:pPr>
            <w:r>
              <w:rPr>
                <w:spacing w:val="-10"/>
                <w:sz w:val="24"/>
              </w:rPr>
              <w:t>7</w:t>
            </w:r>
          </w:p>
        </w:tc>
        <w:tc>
          <w:tcPr>
            <w:tcW w:w="1340" w:type="dxa"/>
          </w:tcPr>
          <w:p>
            <w:pPr>
              <w:pStyle w:val="TableParagraph"/>
              <w:spacing w:before="121"/>
              <w:ind w:left="122"/>
              <w:rPr>
                <w:sz w:val="24"/>
              </w:rPr>
            </w:pPr>
            <w:r>
              <w:rPr>
                <w:sz w:val="24"/>
              </w:rPr>
              <w:t>458.8 ± </w:t>
            </w:r>
            <w:r>
              <w:rPr>
                <w:spacing w:val="-5"/>
                <w:sz w:val="24"/>
              </w:rPr>
              <w:t>0.4</w:t>
            </w:r>
          </w:p>
        </w:tc>
        <w:tc>
          <w:tcPr>
            <w:tcW w:w="1468" w:type="dxa"/>
          </w:tcPr>
          <w:p>
            <w:pPr>
              <w:pStyle w:val="TableParagraph"/>
              <w:spacing w:before="121"/>
              <w:ind w:left="196"/>
              <w:rPr>
                <w:sz w:val="24"/>
              </w:rPr>
            </w:pPr>
            <w:r>
              <w:rPr>
                <w:sz w:val="24"/>
              </w:rPr>
              <w:t>458.4 ± </w:t>
            </w:r>
            <w:r>
              <w:rPr>
                <w:spacing w:val="-5"/>
                <w:sz w:val="24"/>
              </w:rPr>
              <w:t>2.7</w:t>
            </w:r>
          </w:p>
        </w:tc>
        <w:tc>
          <w:tcPr>
            <w:tcW w:w="1549" w:type="dxa"/>
          </w:tcPr>
          <w:p>
            <w:pPr>
              <w:pStyle w:val="TableParagraph"/>
              <w:spacing w:before="121"/>
              <w:ind w:left="209"/>
              <w:rPr>
                <w:sz w:val="24"/>
              </w:rPr>
            </w:pPr>
            <w:r>
              <w:rPr>
                <w:sz w:val="24"/>
              </w:rPr>
              <w:t>460.4 ± </w:t>
            </w:r>
            <w:r>
              <w:rPr>
                <w:spacing w:val="-5"/>
                <w:sz w:val="24"/>
              </w:rPr>
              <w:t>6.3</w:t>
            </w:r>
          </w:p>
        </w:tc>
        <w:tc>
          <w:tcPr>
            <w:tcW w:w="1421" w:type="dxa"/>
          </w:tcPr>
          <w:p>
            <w:pPr>
              <w:pStyle w:val="TableParagraph"/>
              <w:spacing w:before="121"/>
              <w:ind w:left="158"/>
              <w:rPr>
                <w:sz w:val="24"/>
              </w:rPr>
            </w:pPr>
            <w:r>
              <w:rPr>
                <w:sz w:val="24"/>
              </w:rPr>
              <w:t>324.6 ± </w:t>
            </w:r>
            <w:r>
              <w:rPr>
                <w:spacing w:val="-5"/>
                <w:sz w:val="24"/>
              </w:rPr>
              <w:t>4.2</w:t>
            </w:r>
          </w:p>
        </w:tc>
        <w:tc>
          <w:tcPr>
            <w:tcW w:w="1411" w:type="dxa"/>
          </w:tcPr>
          <w:p>
            <w:pPr>
              <w:pStyle w:val="TableParagraph"/>
              <w:spacing w:before="121"/>
              <w:ind w:left="175"/>
              <w:rPr>
                <w:sz w:val="24"/>
              </w:rPr>
            </w:pPr>
            <w:r>
              <w:rPr>
                <w:sz w:val="24"/>
              </w:rPr>
              <w:t>337.7 ± </w:t>
            </w:r>
            <w:r>
              <w:rPr>
                <w:spacing w:val="-5"/>
                <w:sz w:val="24"/>
              </w:rPr>
              <w:t>3.5</w:t>
            </w:r>
          </w:p>
        </w:tc>
      </w:tr>
      <w:tr>
        <w:trPr>
          <w:trHeight w:val="529" w:hRule="atLeast"/>
        </w:trPr>
        <w:tc>
          <w:tcPr>
            <w:tcW w:w="888" w:type="dxa"/>
          </w:tcPr>
          <w:p>
            <w:pPr>
              <w:pStyle w:val="TableParagraph"/>
              <w:spacing w:before="122"/>
              <w:ind w:right="2"/>
              <w:jc w:val="center"/>
              <w:rPr>
                <w:sz w:val="24"/>
              </w:rPr>
            </w:pPr>
            <w:r>
              <w:rPr>
                <w:spacing w:val="-10"/>
                <w:sz w:val="24"/>
              </w:rPr>
              <w:t>8</w:t>
            </w:r>
          </w:p>
        </w:tc>
        <w:tc>
          <w:tcPr>
            <w:tcW w:w="1340" w:type="dxa"/>
          </w:tcPr>
          <w:p>
            <w:pPr>
              <w:pStyle w:val="TableParagraph"/>
              <w:spacing w:before="122"/>
              <w:ind w:left="122"/>
              <w:rPr>
                <w:sz w:val="24"/>
              </w:rPr>
            </w:pPr>
            <w:r>
              <w:rPr>
                <w:sz w:val="24"/>
              </w:rPr>
              <w:t>458.5 ± </w:t>
            </w:r>
            <w:r>
              <w:rPr>
                <w:spacing w:val="-5"/>
                <w:sz w:val="24"/>
              </w:rPr>
              <w:t>0.3</w:t>
            </w:r>
          </w:p>
        </w:tc>
        <w:tc>
          <w:tcPr>
            <w:tcW w:w="1468" w:type="dxa"/>
          </w:tcPr>
          <w:p>
            <w:pPr>
              <w:pStyle w:val="TableParagraph"/>
              <w:spacing w:before="122"/>
              <w:ind w:left="196"/>
              <w:rPr>
                <w:sz w:val="24"/>
              </w:rPr>
            </w:pPr>
            <w:r>
              <w:rPr>
                <w:sz w:val="24"/>
              </w:rPr>
              <w:t>459.2 ± </w:t>
            </w:r>
            <w:r>
              <w:rPr>
                <w:spacing w:val="-5"/>
                <w:sz w:val="24"/>
              </w:rPr>
              <w:t>1.3</w:t>
            </w:r>
          </w:p>
        </w:tc>
        <w:tc>
          <w:tcPr>
            <w:tcW w:w="1549" w:type="dxa"/>
          </w:tcPr>
          <w:p>
            <w:pPr>
              <w:pStyle w:val="TableParagraph"/>
              <w:spacing w:before="122"/>
              <w:ind w:left="209"/>
              <w:rPr>
                <w:sz w:val="24"/>
              </w:rPr>
            </w:pPr>
            <w:r>
              <w:rPr>
                <w:sz w:val="24"/>
              </w:rPr>
              <w:t>459.6 ± </w:t>
            </w:r>
            <w:r>
              <w:rPr>
                <w:spacing w:val="-5"/>
                <w:sz w:val="24"/>
              </w:rPr>
              <w:t>7.3</w:t>
            </w:r>
          </w:p>
        </w:tc>
        <w:tc>
          <w:tcPr>
            <w:tcW w:w="1421" w:type="dxa"/>
          </w:tcPr>
          <w:p>
            <w:pPr>
              <w:pStyle w:val="TableParagraph"/>
              <w:spacing w:before="122"/>
              <w:ind w:left="158"/>
              <w:rPr>
                <w:sz w:val="24"/>
              </w:rPr>
            </w:pPr>
            <w:r>
              <w:rPr>
                <w:sz w:val="24"/>
              </w:rPr>
              <w:t>300.6 ± </w:t>
            </w:r>
            <w:r>
              <w:rPr>
                <w:spacing w:val="-5"/>
                <w:sz w:val="24"/>
              </w:rPr>
              <w:t>3.6</w:t>
            </w:r>
          </w:p>
        </w:tc>
        <w:tc>
          <w:tcPr>
            <w:tcW w:w="1411" w:type="dxa"/>
          </w:tcPr>
          <w:p>
            <w:pPr>
              <w:pStyle w:val="TableParagraph"/>
              <w:spacing w:before="122"/>
              <w:ind w:left="175"/>
              <w:rPr>
                <w:sz w:val="24"/>
              </w:rPr>
            </w:pPr>
            <w:r>
              <w:rPr>
                <w:sz w:val="24"/>
              </w:rPr>
              <w:t>305.2 ± </w:t>
            </w:r>
            <w:r>
              <w:rPr>
                <w:spacing w:val="-5"/>
                <w:sz w:val="24"/>
              </w:rPr>
              <w:t>3.8</w:t>
            </w:r>
          </w:p>
        </w:tc>
      </w:tr>
      <w:tr>
        <w:trPr>
          <w:trHeight w:val="541" w:hRule="atLeast"/>
        </w:trPr>
        <w:tc>
          <w:tcPr>
            <w:tcW w:w="888" w:type="dxa"/>
            <w:tcBorders>
              <w:bottom w:val="single" w:sz="4" w:space="0" w:color="000000"/>
            </w:tcBorders>
          </w:tcPr>
          <w:p>
            <w:pPr>
              <w:pStyle w:val="TableParagraph"/>
              <w:spacing w:before="121"/>
              <w:ind w:right="2"/>
              <w:jc w:val="center"/>
              <w:rPr>
                <w:sz w:val="24"/>
              </w:rPr>
            </w:pPr>
            <w:r>
              <w:rPr>
                <w:spacing w:val="-5"/>
                <w:sz w:val="24"/>
              </w:rPr>
              <w:t>24</w:t>
            </w:r>
          </w:p>
        </w:tc>
        <w:tc>
          <w:tcPr>
            <w:tcW w:w="1340" w:type="dxa"/>
            <w:tcBorders>
              <w:bottom w:val="single" w:sz="4" w:space="0" w:color="000000"/>
            </w:tcBorders>
          </w:tcPr>
          <w:p>
            <w:pPr>
              <w:pStyle w:val="TableParagraph"/>
              <w:spacing w:before="121"/>
              <w:ind w:left="122"/>
              <w:rPr>
                <w:sz w:val="24"/>
              </w:rPr>
            </w:pPr>
            <w:r>
              <w:rPr>
                <w:sz w:val="24"/>
              </w:rPr>
              <w:t>464.5 ± </w:t>
            </w:r>
            <w:r>
              <w:rPr>
                <w:spacing w:val="-5"/>
                <w:sz w:val="24"/>
              </w:rPr>
              <w:t>1.6</w:t>
            </w:r>
          </w:p>
        </w:tc>
        <w:tc>
          <w:tcPr>
            <w:tcW w:w="1468" w:type="dxa"/>
            <w:tcBorders>
              <w:bottom w:val="single" w:sz="4" w:space="0" w:color="000000"/>
            </w:tcBorders>
          </w:tcPr>
          <w:p>
            <w:pPr>
              <w:pStyle w:val="TableParagraph"/>
              <w:spacing w:before="121"/>
              <w:ind w:left="196"/>
              <w:rPr>
                <w:sz w:val="24"/>
              </w:rPr>
            </w:pPr>
            <w:r>
              <w:rPr>
                <w:sz w:val="24"/>
              </w:rPr>
              <w:t>463.7 ± </w:t>
            </w:r>
            <w:r>
              <w:rPr>
                <w:spacing w:val="-5"/>
                <w:sz w:val="24"/>
              </w:rPr>
              <w:t>0.6</w:t>
            </w:r>
          </w:p>
        </w:tc>
        <w:tc>
          <w:tcPr>
            <w:tcW w:w="1549" w:type="dxa"/>
            <w:tcBorders>
              <w:bottom w:val="single" w:sz="4" w:space="0" w:color="000000"/>
            </w:tcBorders>
          </w:tcPr>
          <w:p>
            <w:pPr>
              <w:pStyle w:val="TableParagraph"/>
              <w:spacing w:before="121"/>
              <w:ind w:left="209"/>
              <w:rPr>
                <w:sz w:val="24"/>
              </w:rPr>
            </w:pPr>
            <w:r>
              <w:rPr>
                <w:sz w:val="24"/>
              </w:rPr>
              <w:t>460.5 ± </w:t>
            </w:r>
            <w:r>
              <w:rPr>
                <w:spacing w:val="-5"/>
                <w:sz w:val="24"/>
              </w:rPr>
              <w:t>1.2</w:t>
            </w:r>
          </w:p>
        </w:tc>
        <w:tc>
          <w:tcPr>
            <w:tcW w:w="1421" w:type="dxa"/>
            <w:tcBorders>
              <w:bottom w:val="single" w:sz="4" w:space="0" w:color="000000"/>
            </w:tcBorders>
          </w:tcPr>
          <w:p>
            <w:pPr>
              <w:pStyle w:val="TableParagraph"/>
              <w:spacing w:before="121"/>
              <w:ind w:left="158"/>
              <w:rPr>
                <w:sz w:val="24"/>
              </w:rPr>
            </w:pPr>
            <w:r>
              <w:rPr>
                <w:sz w:val="24"/>
              </w:rPr>
              <w:t>284.3 ± </w:t>
            </w:r>
            <w:r>
              <w:rPr>
                <w:spacing w:val="-5"/>
                <w:sz w:val="24"/>
              </w:rPr>
              <w:t>4.3</w:t>
            </w:r>
          </w:p>
        </w:tc>
        <w:tc>
          <w:tcPr>
            <w:tcW w:w="1411" w:type="dxa"/>
            <w:tcBorders>
              <w:bottom w:val="single" w:sz="4" w:space="0" w:color="000000"/>
            </w:tcBorders>
          </w:tcPr>
          <w:p>
            <w:pPr>
              <w:pStyle w:val="TableParagraph"/>
              <w:spacing w:before="121"/>
              <w:ind w:left="175"/>
              <w:rPr>
                <w:sz w:val="24"/>
              </w:rPr>
            </w:pPr>
            <w:r>
              <w:rPr>
                <w:sz w:val="24"/>
              </w:rPr>
              <w:t>281.3 ± </w:t>
            </w:r>
            <w:r>
              <w:rPr>
                <w:spacing w:val="-5"/>
                <w:sz w:val="24"/>
              </w:rPr>
              <w:t>2.6</w:t>
            </w:r>
          </w:p>
        </w:tc>
      </w:tr>
    </w:tbl>
    <w:p>
      <w:pPr>
        <w:spacing w:after="0"/>
        <w:rPr>
          <w:sz w:val="24"/>
        </w:rPr>
        <w:sectPr>
          <w:pgSz w:w="12240" w:h="15840"/>
          <w:pgMar w:header="0" w:footer="1056" w:top="1340" w:bottom="1240" w:left="1420" w:right="420"/>
        </w:sectPr>
      </w:pPr>
    </w:p>
    <w:p>
      <w:pPr>
        <w:pStyle w:val="BodyText"/>
        <w:rPr>
          <w:b/>
        </w:rPr>
      </w:pPr>
      <w:r>
        <w:rPr/>
        <mc:AlternateContent>
          <mc:Choice Requires="wps">
            <w:drawing>
              <wp:anchor distT="0" distB="0" distL="0" distR="0" allowOverlap="1" layoutInCell="1" locked="0" behindDoc="1" simplePos="0" relativeHeight="482974720">
                <wp:simplePos x="0" y="0"/>
                <wp:positionH relativeFrom="page">
                  <wp:posOffset>-1402226</wp:posOffset>
                </wp:positionH>
                <wp:positionV relativeFrom="page">
                  <wp:posOffset>4612234</wp:posOffset>
                </wp:positionV>
                <wp:extent cx="10685780" cy="91440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4176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3"/>
        <w:rPr>
          <w:b/>
        </w:rPr>
      </w:pPr>
    </w:p>
    <w:p>
      <w:pPr>
        <w:pStyle w:val="BodyText"/>
        <w:spacing w:before="1"/>
        <w:ind w:right="317"/>
        <w:jc w:val="center"/>
      </w:pPr>
      <w:r>
        <w:rPr>
          <w:spacing w:val="-2"/>
        </w:rPr>
        <w:t>LANDSCAPE</w:t>
      </w:r>
    </w:p>
    <w:p>
      <w:pPr>
        <w:pStyle w:val="BodyText"/>
      </w:pPr>
    </w:p>
    <w:p>
      <w:pPr>
        <w:pStyle w:val="BodyText"/>
      </w:pPr>
    </w:p>
    <w:p>
      <w:pPr>
        <w:pStyle w:val="BodyText"/>
      </w:pPr>
    </w:p>
    <w:p>
      <w:pPr>
        <w:pStyle w:val="BodyText"/>
      </w:pPr>
    </w:p>
    <w:p>
      <w:pPr>
        <w:pStyle w:val="BodyText"/>
      </w:pPr>
    </w:p>
    <w:p>
      <w:pPr>
        <w:pStyle w:val="BodyText"/>
        <w:ind w:right="321"/>
        <w:jc w:val="center"/>
      </w:pPr>
      <w:r>
        <w:rPr/>
        <w:t>Table</w:t>
      </w:r>
      <w:r>
        <w:rPr>
          <w:spacing w:val="-2"/>
        </w:rPr>
        <w:t> </w:t>
      </w:r>
      <w:r>
        <w:rPr>
          <w:spacing w:val="-5"/>
        </w:rPr>
        <w:t>3.4</w:t>
      </w:r>
    </w:p>
    <w:p>
      <w:pPr>
        <w:spacing w:after="0"/>
        <w:jc w:val="center"/>
        <w:sectPr>
          <w:pgSz w:w="12240" w:h="15840"/>
          <w:pgMar w:header="0" w:footer="1056" w:top="1820" w:bottom="1240" w:left="1420" w:right="420"/>
        </w:sectPr>
      </w:pPr>
    </w:p>
    <w:p>
      <w:pPr>
        <w:pStyle w:val="BodyText"/>
        <w:rPr>
          <w:sz w:val="20"/>
        </w:rPr>
      </w:pPr>
      <w:r>
        <w:rPr/>
        <mc:AlternateContent>
          <mc:Choice Requires="wps">
            <w:drawing>
              <wp:anchor distT="0" distB="0" distL="0" distR="0" allowOverlap="1" layoutInCell="1" locked="0" behindDoc="1" simplePos="0" relativeHeight="482975232">
                <wp:simplePos x="0" y="0"/>
                <wp:positionH relativeFrom="page">
                  <wp:posOffset>3861220</wp:posOffset>
                </wp:positionH>
                <wp:positionV relativeFrom="page">
                  <wp:posOffset>3734575</wp:posOffset>
                </wp:positionV>
                <wp:extent cx="1287780" cy="9144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41248;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75744">
                <wp:simplePos x="0" y="0"/>
                <wp:positionH relativeFrom="page">
                  <wp:posOffset>4288097</wp:posOffset>
                </wp:positionH>
                <wp:positionV relativeFrom="page">
                  <wp:posOffset>1617859</wp:posOffset>
                </wp:positionV>
                <wp:extent cx="3421379" cy="9144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40736;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76256">
                <wp:simplePos x="0" y="0"/>
                <wp:positionH relativeFrom="page">
                  <wp:posOffset>-316181</wp:posOffset>
                </wp:positionH>
                <wp:positionV relativeFrom="page">
                  <wp:posOffset>6721518</wp:posOffset>
                </wp:positionV>
                <wp:extent cx="5504815" cy="91440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40224;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spacing w:before="16"/>
        <w:rPr>
          <w:sz w:val="20"/>
        </w:rPr>
      </w:pPr>
    </w:p>
    <w:p>
      <w:pPr>
        <w:pStyle w:val="BodyText"/>
        <w:ind w:left="937"/>
        <w:rPr>
          <w:sz w:val="20"/>
        </w:rPr>
      </w:pPr>
      <w:r>
        <w:rPr>
          <w:sz w:val="20"/>
        </w:rPr>
        <w:drawing>
          <wp:inline distT="0" distB="0" distL="0" distR="0">
            <wp:extent cx="5125421" cy="5748528"/>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38" cstate="print"/>
                    <a:stretch>
                      <a:fillRect/>
                    </a:stretch>
                  </pic:blipFill>
                  <pic:spPr>
                    <a:xfrm>
                      <a:off x="0" y="0"/>
                      <a:ext cx="5125421" cy="5748528"/>
                    </a:xfrm>
                    <a:prstGeom prst="rect">
                      <a:avLst/>
                    </a:prstGeom>
                  </pic:spPr>
                </pic:pic>
              </a:graphicData>
            </a:graphic>
          </wp:inline>
        </w:drawing>
      </w:r>
      <w:r>
        <w:rPr>
          <w:sz w:val="20"/>
        </w:rPr>
      </w:r>
    </w:p>
    <w:p>
      <w:pPr>
        <w:pStyle w:val="BodyText"/>
      </w:pPr>
    </w:p>
    <w:p>
      <w:pPr>
        <w:pStyle w:val="BodyText"/>
        <w:spacing w:before="52"/>
      </w:pPr>
    </w:p>
    <w:p>
      <w:pPr>
        <w:pStyle w:val="Heading2"/>
        <w:jc w:val="left"/>
      </w:pPr>
      <w:r>
        <w:rPr/>
        <w:t>Fig:</w:t>
      </w:r>
      <w:r>
        <w:rPr>
          <w:spacing w:val="54"/>
        </w:rPr>
        <w:t> </w:t>
      </w:r>
      <w:r>
        <w:rPr/>
        <w:t>3.1: Effects</w:t>
      </w:r>
      <w:r>
        <w:rPr>
          <w:spacing w:val="-1"/>
        </w:rPr>
        <w:t> </w:t>
      </w:r>
      <w:r>
        <w:rPr/>
        <w:t>of</w:t>
      </w:r>
      <w:r>
        <w:rPr>
          <w:spacing w:val="-1"/>
        </w:rPr>
        <w:t> </w:t>
      </w:r>
      <w:r>
        <w:rPr/>
        <w:t>various</w:t>
      </w:r>
      <w:r>
        <w:rPr>
          <w:spacing w:val="-1"/>
        </w:rPr>
        <w:t> </w:t>
      </w:r>
      <w:r>
        <w:rPr/>
        <w:t>doses</w:t>
      </w:r>
      <w:r>
        <w:rPr>
          <w:spacing w:val="-1"/>
        </w:rPr>
        <w:t> </w:t>
      </w:r>
      <w:r>
        <w:rPr/>
        <w:t>of</w:t>
      </w:r>
      <w:r>
        <w:rPr>
          <w:spacing w:val="-1"/>
        </w:rPr>
        <w:t> </w:t>
      </w:r>
      <w:r>
        <w:rPr/>
        <w:t>extract and</w:t>
      </w:r>
      <w:r>
        <w:rPr>
          <w:spacing w:val="-1"/>
        </w:rPr>
        <w:t> </w:t>
      </w:r>
      <w:r>
        <w:rPr/>
        <w:t>glibenclamide</w:t>
      </w:r>
      <w:r>
        <w:rPr>
          <w:spacing w:val="-1"/>
        </w:rPr>
        <w:t> </w:t>
      </w:r>
      <w:r>
        <w:rPr/>
        <w:t>on</w:t>
      </w:r>
      <w:r>
        <w:rPr>
          <w:spacing w:val="-1"/>
        </w:rPr>
        <w:t> </w:t>
      </w:r>
      <w:r>
        <w:rPr/>
        <w:t>diabetic</w:t>
      </w:r>
      <w:r>
        <w:rPr>
          <w:spacing w:val="-3"/>
        </w:rPr>
        <w:t> </w:t>
      </w:r>
      <w:r>
        <w:rPr>
          <w:spacing w:val="-2"/>
        </w:rPr>
        <w:t>rats.</w:t>
      </w:r>
    </w:p>
    <w:p>
      <w:pPr>
        <w:spacing w:after="0"/>
        <w:jc w:val="left"/>
        <w:sectPr>
          <w:pgSz w:w="12240" w:h="15840"/>
          <w:pgMar w:header="0" w:footer="1056" w:top="1820" w:bottom="1240" w:left="1420" w:right="420"/>
        </w:sectPr>
      </w:pPr>
    </w:p>
    <w:p>
      <w:pPr>
        <w:pStyle w:val="BodyText"/>
        <w:spacing w:before="66"/>
        <w:ind w:left="678"/>
        <w:jc w:val="both"/>
      </w:pPr>
      <w:r>
        <w:rPr/>
        <mc:AlternateContent>
          <mc:Choice Requires="wps">
            <w:drawing>
              <wp:anchor distT="0" distB="0" distL="0" distR="0" allowOverlap="1" layoutInCell="1" locked="0" behindDoc="1" simplePos="0" relativeHeight="482976768">
                <wp:simplePos x="0" y="0"/>
                <wp:positionH relativeFrom="page">
                  <wp:posOffset>-1402226</wp:posOffset>
                </wp:positionH>
                <wp:positionV relativeFrom="page">
                  <wp:posOffset>4612234</wp:posOffset>
                </wp:positionV>
                <wp:extent cx="10685780" cy="9144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39712;rotation:306" type="#_x0000_t136" fillcolor="#ff5400" stroked="f">
                <o:extrusion v:ext="view" autorotationcenter="t"/>
                <v:textpath style="font-family:&quot;Arial MT&quot;;font-size:72pt;v-text-kern:t;mso-text-shadow:auto" string="UNIVERSITY OF IBADAN"/>
                <w10:wrap type="none"/>
              </v:shape>
            </w:pict>
          </mc:Fallback>
        </mc:AlternateContent>
      </w:r>
      <w:r>
        <w:rPr/>
        <w:t>The</w:t>
      </w:r>
      <w:r>
        <w:rPr>
          <w:spacing w:val="4"/>
        </w:rPr>
        <w:t> </w:t>
      </w:r>
      <w:r>
        <w:rPr/>
        <w:t>administration</w:t>
      </w:r>
      <w:r>
        <w:rPr>
          <w:spacing w:val="5"/>
        </w:rPr>
        <w:t> </w:t>
      </w:r>
      <w:r>
        <w:rPr/>
        <w:t>of</w:t>
      </w:r>
      <w:r>
        <w:rPr>
          <w:spacing w:val="6"/>
        </w:rPr>
        <w:t> </w:t>
      </w:r>
      <w:r>
        <w:rPr/>
        <w:t>5,</w:t>
      </w:r>
      <w:r>
        <w:rPr>
          <w:spacing w:val="5"/>
        </w:rPr>
        <w:t> </w:t>
      </w:r>
      <w:r>
        <w:rPr/>
        <w:t>10,</w:t>
      </w:r>
      <w:r>
        <w:rPr>
          <w:spacing w:val="5"/>
        </w:rPr>
        <w:t> </w:t>
      </w:r>
      <w:r>
        <w:rPr/>
        <w:t>20,</w:t>
      </w:r>
      <w:r>
        <w:rPr>
          <w:spacing w:val="6"/>
        </w:rPr>
        <w:t> </w:t>
      </w:r>
      <w:r>
        <w:rPr/>
        <w:t>30,</w:t>
      </w:r>
      <w:r>
        <w:rPr>
          <w:spacing w:val="9"/>
        </w:rPr>
        <w:t> </w:t>
      </w:r>
      <w:r>
        <w:rPr/>
        <w:t>40,</w:t>
      </w:r>
      <w:r>
        <w:rPr>
          <w:spacing w:val="5"/>
        </w:rPr>
        <w:t> </w:t>
      </w:r>
      <w:r>
        <w:rPr/>
        <w:t>50</w:t>
      </w:r>
      <w:r>
        <w:rPr>
          <w:spacing w:val="6"/>
        </w:rPr>
        <w:t> </w:t>
      </w:r>
      <w:r>
        <w:rPr/>
        <w:t>and</w:t>
      </w:r>
      <w:r>
        <w:rPr>
          <w:spacing w:val="5"/>
        </w:rPr>
        <w:t> </w:t>
      </w:r>
      <w:r>
        <w:rPr/>
        <w:t>100mg/kg</w:t>
      </w:r>
      <w:r>
        <w:rPr>
          <w:spacing w:val="4"/>
        </w:rPr>
        <w:t> </w:t>
      </w:r>
      <w:r>
        <w:rPr/>
        <w:t>of</w:t>
      </w:r>
      <w:r>
        <w:rPr>
          <w:spacing w:val="5"/>
        </w:rPr>
        <w:t> </w:t>
      </w:r>
      <w:r>
        <w:rPr/>
        <w:t>the</w:t>
      </w:r>
      <w:r>
        <w:rPr>
          <w:spacing w:val="5"/>
        </w:rPr>
        <w:t> </w:t>
      </w:r>
      <w:r>
        <w:rPr/>
        <w:t>crude</w:t>
      </w:r>
      <w:r>
        <w:rPr>
          <w:spacing w:val="7"/>
        </w:rPr>
        <w:t> </w:t>
      </w:r>
      <w:r>
        <w:rPr/>
        <w:t>ethanolic</w:t>
      </w:r>
      <w:r>
        <w:rPr>
          <w:spacing w:val="5"/>
        </w:rPr>
        <w:t> </w:t>
      </w:r>
      <w:r>
        <w:rPr/>
        <w:t>extract</w:t>
      </w:r>
      <w:r>
        <w:rPr>
          <w:spacing w:val="7"/>
        </w:rPr>
        <w:t> </w:t>
      </w:r>
      <w:r>
        <w:rPr>
          <w:spacing w:val="-5"/>
        </w:rPr>
        <w:t>of</w:t>
      </w:r>
    </w:p>
    <w:p>
      <w:pPr>
        <w:pStyle w:val="BodyText"/>
        <w:spacing w:line="360" w:lineRule="auto" w:before="139"/>
        <w:ind w:left="678" w:right="996"/>
        <w:jc w:val="both"/>
      </w:pPr>
      <w:r>
        <w:rPr>
          <w:i/>
        </w:rPr>
        <w:t>M. pruriens </w:t>
      </w:r>
      <w:r>
        <w:rPr/>
        <w:t>resulted in 18.6%, 24.9%, 30.8%, 41.4%, 49.7%, 53.1%, 55.4% reduction, respectively in blood glucose of the diabetic rats after 8 hours of treatment while the administration of glibenclamide (5 mg/kg body weight) resulted in 59.7% reduction.</w:t>
      </w:r>
    </w:p>
    <w:p>
      <w:pPr>
        <w:pStyle w:val="BodyText"/>
      </w:pPr>
    </w:p>
    <w:p>
      <w:pPr>
        <w:pStyle w:val="BodyText"/>
        <w:spacing w:before="66"/>
      </w:pPr>
    </w:p>
    <w:p>
      <w:pPr>
        <w:pStyle w:val="Heading2"/>
        <w:numPr>
          <w:ilvl w:val="2"/>
          <w:numId w:val="43"/>
        </w:numPr>
        <w:tabs>
          <w:tab w:pos="1218" w:val="left" w:leader="none"/>
        </w:tabs>
        <w:spacing w:line="240" w:lineRule="auto" w:before="0" w:after="0"/>
        <w:ind w:left="1218" w:right="0" w:hanging="540"/>
        <w:jc w:val="both"/>
      </w:pPr>
      <w:bookmarkStart w:name="_TOC_250016" w:id="117"/>
      <w:r>
        <w:rPr/>
        <w:t>Chronic</w:t>
      </w:r>
      <w:r>
        <w:rPr>
          <w:spacing w:val="-3"/>
        </w:rPr>
        <w:t> </w:t>
      </w:r>
      <w:r>
        <w:rPr/>
        <w:t>anti-diabetic</w:t>
      </w:r>
      <w:r>
        <w:rPr>
          <w:spacing w:val="-3"/>
        </w:rPr>
        <w:t> </w:t>
      </w:r>
      <w:r>
        <w:rPr/>
        <w:t>effects</w:t>
      </w:r>
      <w:r>
        <w:rPr>
          <w:spacing w:val="-1"/>
        </w:rPr>
        <w:t> </w:t>
      </w:r>
      <w:r>
        <w:rPr/>
        <w:t>on</w:t>
      </w:r>
      <w:r>
        <w:rPr>
          <w:spacing w:val="-2"/>
        </w:rPr>
        <w:t> </w:t>
      </w:r>
      <w:r>
        <w:rPr/>
        <w:t>alloxan-induced</w:t>
      </w:r>
      <w:r>
        <w:rPr>
          <w:spacing w:val="-1"/>
        </w:rPr>
        <w:t> </w:t>
      </w:r>
      <w:r>
        <w:rPr/>
        <w:t>diabetic</w:t>
      </w:r>
      <w:r>
        <w:rPr>
          <w:spacing w:val="-3"/>
        </w:rPr>
        <w:t> </w:t>
      </w:r>
      <w:bookmarkEnd w:id="117"/>
      <w:r>
        <w:rPr>
          <w:spacing w:val="-4"/>
        </w:rPr>
        <w:t>rats</w:t>
      </w:r>
    </w:p>
    <w:p>
      <w:pPr>
        <w:pStyle w:val="BodyText"/>
        <w:spacing w:before="57"/>
        <w:rPr>
          <w:b/>
        </w:rPr>
      </w:pPr>
    </w:p>
    <w:p>
      <w:pPr>
        <w:pStyle w:val="BodyText"/>
        <w:spacing w:line="360" w:lineRule="auto" w:before="1"/>
        <w:ind w:left="678" w:right="994" w:firstLine="720"/>
        <w:jc w:val="both"/>
      </w:pPr>
      <w:r>
        <w:rPr/>
        <w:t>Results of the chronic administration of </w:t>
      </w:r>
      <w:r>
        <w:rPr>
          <w:i/>
        </w:rPr>
        <w:t>Mucuna pruriens </w:t>
      </w:r>
      <w:r>
        <w:rPr/>
        <w:t>extracts on the blood glucose level are presented in Table 3.5 while the plots of % reduction in the blood</w:t>
      </w:r>
      <w:r>
        <w:rPr>
          <w:spacing w:val="40"/>
        </w:rPr>
        <w:t> </w:t>
      </w:r>
      <w:r>
        <w:rPr/>
        <w:t>glucose level versus time (weeks) after chronic administration of different doses of the extract</w:t>
      </w:r>
      <w:r>
        <w:rPr>
          <w:spacing w:val="-3"/>
        </w:rPr>
        <w:t> </w:t>
      </w:r>
      <w:r>
        <w:rPr/>
        <w:t>and</w:t>
      </w:r>
      <w:r>
        <w:rPr>
          <w:spacing w:val="-3"/>
        </w:rPr>
        <w:t> </w:t>
      </w:r>
      <w:r>
        <w:rPr/>
        <w:t>standard</w:t>
      </w:r>
      <w:r>
        <w:rPr>
          <w:spacing w:val="-2"/>
        </w:rPr>
        <w:t> </w:t>
      </w:r>
      <w:r>
        <w:rPr/>
        <w:t>drug</w:t>
      </w:r>
      <w:r>
        <w:rPr>
          <w:spacing w:val="-3"/>
        </w:rPr>
        <w:t> </w:t>
      </w:r>
      <w:r>
        <w:rPr/>
        <w:t>(glibenclamide)</w:t>
      </w:r>
      <w:r>
        <w:rPr>
          <w:spacing w:val="-3"/>
        </w:rPr>
        <w:t> </w:t>
      </w:r>
      <w:r>
        <w:rPr/>
        <w:t>on</w:t>
      </w:r>
      <w:r>
        <w:rPr>
          <w:spacing w:val="-3"/>
        </w:rPr>
        <w:t> </w:t>
      </w:r>
      <w:r>
        <w:rPr/>
        <w:t>diabetic</w:t>
      </w:r>
      <w:r>
        <w:rPr>
          <w:spacing w:val="-3"/>
        </w:rPr>
        <w:t> </w:t>
      </w:r>
      <w:r>
        <w:rPr/>
        <w:t>rats</w:t>
      </w:r>
      <w:r>
        <w:rPr>
          <w:spacing w:val="-1"/>
        </w:rPr>
        <w:t> </w:t>
      </w:r>
      <w:r>
        <w:rPr/>
        <w:t>are</w:t>
      </w:r>
      <w:r>
        <w:rPr>
          <w:spacing w:val="-3"/>
        </w:rPr>
        <w:t> </w:t>
      </w:r>
      <w:r>
        <w:rPr/>
        <w:t>presented</w:t>
      </w:r>
      <w:r>
        <w:rPr>
          <w:spacing w:val="-2"/>
        </w:rPr>
        <w:t> </w:t>
      </w:r>
      <w:r>
        <w:rPr/>
        <w:t>in</w:t>
      </w:r>
      <w:r>
        <w:rPr>
          <w:spacing w:val="-1"/>
        </w:rPr>
        <w:t> </w:t>
      </w:r>
      <w:r>
        <w:rPr/>
        <w:t>Figure</w:t>
      </w:r>
      <w:r>
        <w:rPr>
          <w:spacing w:val="-3"/>
        </w:rPr>
        <w:t> </w:t>
      </w:r>
      <w:r>
        <w:rPr/>
        <w:t>3.2.</w:t>
      </w:r>
      <w:r>
        <w:rPr>
          <w:spacing w:val="-3"/>
        </w:rPr>
        <w:t> </w:t>
      </w:r>
      <w:r>
        <w:rPr/>
        <w:t>This indicates that daily administration of the extract of </w:t>
      </w:r>
      <w:r>
        <w:rPr>
          <w:i/>
        </w:rPr>
        <w:t>Mucuna pruriens </w:t>
      </w:r>
      <w:r>
        <w:rPr/>
        <w:t>seed extract for 12 weeks resulted in a dose dependent reduction in the blood glucose level. Daily administration</w:t>
      </w:r>
      <w:r>
        <w:rPr>
          <w:spacing w:val="6"/>
        </w:rPr>
        <w:t> </w:t>
      </w:r>
      <w:r>
        <w:rPr/>
        <w:t>of</w:t>
      </w:r>
      <w:r>
        <w:rPr>
          <w:spacing w:val="8"/>
        </w:rPr>
        <w:t> </w:t>
      </w:r>
      <w:r>
        <w:rPr/>
        <w:t>5,</w:t>
      </w:r>
      <w:r>
        <w:rPr>
          <w:spacing w:val="8"/>
        </w:rPr>
        <w:t> </w:t>
      </w:r>
      <w:r>
        <w:rPr/>
        <w:t>10,</w:t>
      </w:r>
      <w:r>
        <w:rPr>
          <w:spacing w:val="6"/>
        </w:rPr>
        <w:t> </w:t>
      </w:r>
      <w:r>
        <w:rPr/>
        <w:t>20,</w:t>
      </w:r>
      <w:r>
        <w:rPr>
          <w:spacing w:val="8"/>
        </w:rPr>
        <w:t> </w:t>
      </w:r>
      <w:r>
        <w:rPr/>
        <w:t>30,</w:t>
      </w:r>
      <w:r>
        <w:rPr>
          <w:spacing w:val="9"/>
        </w:rPr>
        <w:t> </w:t>
      </w:r>
      <w:r>
        <w:rPr/>
        <w:t>40,</w:t>
      </w:r>
      <w:r>
        <w:rPr>
          <w:spacing w:val="8"/>
        </w:rPr>
        <w:t> </w:t>
      </w:r>
      <w:r>
        <w:rPr/>
        <w:t>50,</w:t>
      </w:r>
      <w:r>
        <w:rPr>
          <w:spacing w:val="9"/>
        </w:rPr>
        <w:t> </w:t>
      </w:r>
      <w:r>
        <w:rPr/>
        <w:t>and</w:t>
      </w:r>
      <w:r>
        <w:rPr>
          <w:spacing w:val="8"/>
        </w:rPr>
        <w:t> </w:t>
      </w:r>
      <w:r>
        <w:rPr/>
        <w:t>100</w:t>
      </w:r>
      <w:r>
        <w:rPr>
          <w:spacing w:val="8"/>
        </w:rPr>
        <w:t> </w:t>
      </w:r>
      <w:r>
        <w:rPr/>
        <w:t>mg/kg/body</w:t>
      </w:r>
      <w:r>
        <w:rPr>
          <w:spacing w:val="3"/>
        </w:rPr>
        <w:t> </w:t>
      </w:r>
      <w:r>
        <w:rPr/>
        <w:t>weight</w:t>
      </w:r>
      <w:r>
        <w:rPr>
          <w:spacing w:val="9"/>
        </w:rPr>
        <w:t> </w:t>
      </w:r>
      <w:r>
        <w:rPr/>
        <w:t>of</w:t>
      </w:r>
      <w:r>
        <w:rPr>
          <w:spacing w:val="7"/>
        </w:rPr>
        <w:t> </w:t>
      </w:r>
      <w:r>
        <w:rPr/>
        <w:t>the</w:t>
      </w:r>
      <w:r>
        <w:rPr>
          <w:spacing w:val="8"/>
        </w:rPr>
        <w:t> </w:t>
      </w:r>
      <w:r>
        <w:rPr/>
        <w:t>extract</w:t>
      </w:r>
      <w:r>
        <w:rPr>
          <w:spacing w:val="9"/>
        </w:rPr>
        <w:t> </w:t>
      </w:r>
      <w:r>
        <w:rPr>
          <w:spacing w:val="-2"/>
        </w:rPr>
        <w:t>resulted</w:t>
      </w:r>
    </w:p>
    <w:p>
      <w:pPr>
        <w:pStyle w:val="BodyText"/>
        <w:spacing w:line="360" w:lineRule="auto"/>
        <w:ind w:left="678" w:right="992"/>
        <w:jc w:val="both"/>
      </w:pPr>
      <w:r>
        <w:rPr/>
        <w:t>in</w:t>
      </w:r>
      <w:r>
        <w:rPr>
          <w:spacing w:val="40"/>
        </w:rPr>
        <w:t> </w:t>
      </w:r>
      <w:r>
        <w:rPr/>
        <w:t>55.5 </w:t>
      </w:r>
      <w:r>
        <w:rPr>
          <w:vertAlign w:val="superscript"/>
        </w:rPr>
        <w:t>o</w:t>
      </w:r>
      <w:r>
        <w:rPr>
          <w:vertAlign w:val="baseline"/>
        </w:rPr>
        <w:t>/</w:t>
      </w:r>
      <w:r>
        <w:rPr>
          <w:vertAlign w:val="subscript"/>
        </w:rPr>
        <w:t>o</w:t>
      </w:r>
      <w:r>
        <w:rPr>
          <w:vertAlign w:val="baseline"/>
        </w:rPr>
        <w:t>, 59.5 </w:t>
      </w:r>
      <w:r>
        <w:rPr>
          <w:vertAlign w:val="superscript"/>
        </w:rPr>
        <w:t>o</w:t>
      </w:r>
      <w:r>
        <w:rPr>
          <w:vertAlign w:val="baseline"/>
        </w:rPr>
        <w:t>/</w:t>
      </w:r>
      <w:r>
        <w:rPr>
          <w:vertAlign w:val="subscript"/>
        </w:rPr>
        <w:t>o</w:t>
      </w:r>
      <w:r>
        <w:rPr>
          <w:vertAlign w:val="baseline"/>
        </w:rPr>
        <w:t>, 68.4 </w:t>
      </w:r>
      <w:r>
        <w:rPr>
          <w:vertAlign w:val="superscript"/>
        </w:rPr>
        <w:t>o</w:t>
      </w:r>
      <w:r>
        <w:rPr>
          <w:vertAlign w:val="baseline"/>
        </w:rPr>
        <w:t>/</w:t>
      </w:r>
      <w:r>
        <w:rPr>
          <w:vertAlign w:val="subscript"/>
        </w:rPr>
        <w:t>o</w:t>
      </w:r>
      <w:r>
        <w:rPr>
          <w:vertAlign w:val="baseline"/>
        </w:rPr>
        <w:t>, 74.7 </w:t>
      </w:r>
      <w:r>
        <w:rPr>
          <w:vertAlign w:val="superscript"/>
        </w:rPr>
        <w:t>o</w:t>
      </w:r>
      <w:r>
        <w:rPr>
          <w:vertAlign w:val="baseline"/>
        </w:rPr>
        <w:t>/</w:t>
      </w:r>
      <w:r>
        <w:rPr>
          <w:vertAlign w:val="subscript"/>
        </w:rPr>
        <w:t>o</w:t>
      </w:r>
      <w:r>
        <w:rPr>
          <w:vertAlign w:val="baseline"/>
        </w:rPr>
        <w:t>, 78.4%, 80.9 </w:t>
      </w:r>
      <w:r>
        <w:rPr>
          <w:vertAlign w:val="superscript"/>
        </w:rPr>
        <w:t>o</w:t>
      </w:r>
      <w:r>
        <w:rPr>
          <w:vertAlign w:val="baseline"/>
        </w:rPr>
        <w:t>/</w:t>
      </w:r>
      <w:r>
        <w:rPr>
          <w:vertAlign w:val="subscript"/>
        </w:rPr>
        <w:t>o</w:t>
      </w:r>
      <w:r>
        <w:rPr>
          <w:vertAlign w:val="baseline"/>
        </w:rPr>
        <w:t> and 83.2</w:t>
      </w:r>
      <w:r>
        <w:rPr>
          <w:vertAlign w:val="superscript"/>
        </w:rPr>
        <w:t>o</w:t>
      </w:r>
      <w:r>
        <w:rPr>
          <w:vertAlign w:val="baseline"/>
        </w:rPr>
        <w:t>/</w:t>
      </w:r>
      <w:r>
        <w:rPr>
          <w:vertAlign w:val="subscript"/>
        </w:rPr>
        <w:t>o</w:t>
      </w:r>
      <w:r>
        <w:rPr>
          <w:spacing w:val="40"/>
          <w:vertAlign w:val="baseline"/>
        </w:rPr>
        <w:t> </w:t>
      </w:r>
      <w:r>
        <w:rPr>
          <w:vertAlign w:val="baseline"/>
        </w:rPr>
        <w:t>reduction ion blood glucose level, respectively after 12 weeks. On the other hand, the standard drug, glibenclamide (5 mg/kg), resulted in 57.8</w:t>
      </w:r>
      <w:r>
        <w:rPr>
          <w:vertAlign w:val="superscript"/>
        </w:rPr>
        <w:t>o</w:t>
      </w:r>
      <w:r>
        <w:rPr>
          <w:vertAlign w:val="baseline"/>
        </w:rPr>
        <w:t>/</w:t>
      </w:r>
      <w:r>
        <w:rPr>
          <w:vertAlign w:val="subscript"/>
        </w:rPr>
        <w:t>o</w:t>
      </w:r>
      <w:r>
        <w:rPr>
          <w:vertAlign w:val="baseline"/>
        </w:rPr>
        <w:t> reduction in blood glucose level of the diabetic rats. This dose-dependent antihyperglycemic effect of </w:t>
      </w:r>
      <w:r>
        <w:rPr>
          <w:i/>
          <w:vertAlign w:val="baseline"/>
        </w:rPr>
        <w:t>Mucuna pruriens </w:t>
      </w:r>
      <w:r>
        <w:rPr>
          <w:vertAlign w:val="baseline"/>
        </w:rPr>
        <w:t>is in agreement with the reports of Rathi </w:t>
      </w:r>
      <w:r>
        <w:rPr>
          <w:i/>
          <w:vertAlign w:val="baseline"/>
        </w:rPr>
        <w:t>et al</w:t>
      </w:r>
      <w:r>
        <w:rPr>
          <w:vertAlign w:val="baseline"/>
        </w:rPr>
        <w:t>., 2002, who observed that the ethanol extract of </w:t>
      </w:r>
      <w:r>
        <w:rPr>
          <w:i/>
          <w:vertAlign w:val="baseline"/>
        </w:rPr>
        <w:t>Mucuna pruriens </w:t>
      </w:r>
      <w:r>
        <w:rPr>
          <w:vertAlign w:val="baseline"/>
        </w:rPr>
        <w:t>at varying doses showed different degrees of antihyperglycemic activity in alloxan-induced dia Other workers (Bhaskar </w:t>
      </w:r>
      <w:r>
        <w:rPr>
          <w:i/>
          <w:vertAlign w:val="baseline"/>
        </w:rPr>
        <w:t>et al</w:t>
      </w:r>
      <w:r>
        <w:rPr>
          <w:vertAlign w:val="baseline"/>
        </w:rPr>
        <w:t>., 2008) have reported that administration</w:t>
      </w:r>
      <w:r>
        <w:rPr>
          <w:spacing w:val="10"/>
          <w:vertAlign w:val="baseline"/>
        </w:rPr>
        <w:t> </w:t>
      </w:r>
      <w:r>
        <w:rPr>
          <w:vertAlign w:val="baseline"/>
        </w:rPr>
        <w:t>of</w:t>
      </w:r>
      <w:r>
        <w:rPr>
          <w:spacing w:val="10"/>
          <w:vertAlign w:val="baseline"/>
        </w:rPr>
        <w:t> </w:t>
      </w:r>
      <w:r>
        <w:rPr>
          <w:i/>
          <w:vertAlign w:val="baseline"/>
        </w:rPr>
        <w:t>Mucuna</w:t>
      </w:r>
      <w:r>
        <w:rPr>
          <w:i/>
          <w:spacing w:val="11"/>
          <w:vertAlign w:val="baseline"/>
        </w:rPr>
        <w:t> </w:t>
      </w:r>
      <w:r>
        <w:rPr>
          <w:i/>
          <w:vertAlign w:val="baseline"/>
        </w:rPr>
        <w:t>pruriens</w:t>
      </w:r>
      <w:r>
        <w:rPr>
          <w:i/>
          <w:spacing w:val="10"/>
          <w:vertAlign w:val="baseline"/>
        </w:rPr>
        <w:t> </w:t>
      </w:r>
      <w:r>
        <w:rPr>
          <w:vertAlign w:val="baseline"/>
        </w:rPr>
        <w:t>to</w:t>
      </w:r>
      <w:r>
        <w:rPr>
          <w:spacing w:val="8"/>
          <w:vertAlign w:val="baseline"/>
        </w:rPr>
        <w:t> </w:t>
      </w:r>
      <w:r>
        <w:rPr>
          <w:vertAlign w:val="baseline"/>
        </w:rPr>
        <w:t>diabetic</w:t>
      </w:r>
      <w:r>
        <w:rPr>
          <w:spacing w:val="9"/>
          <w:vertAlign w:val="baseline"/>
        </w:rPr>
        <w:t> </w:t>
      </w:r>
      <w:r>
        <w:rPr>
          <w:vertAlign w:val="baseline"/>
        </w:rPr>
        <w:t>rats</w:t>
      </w:r>
      <w:r>
        <w:rPr>
          <w:spacing w:val="10"/>
          <w:vertAlign w:val="baseline"/>
        </w:rPr>
        <w:t> </w:t>
      </w:r>
      <w:r>
        <w:rPr>
          <w:vertAlign w:val="baseline"/>
        </w:rPr>
        <w:t>treated</w:t>
      </w:r>
      <w:r>
        <w:rPr>
          <w:spacing w:val="10"/>
          <w:vertAlign w:val="baseline"/>
        </w:rPr>
        <w:t> </w:t>
      </w:r>
      <w:r>
        <w:rPr>
          <w:vertAlign w:val="baseline"/>
        </w:rPr>
        <w:t>with</w:t>
      </w:r>
      <w:r>
        <w:rPr>
          <w:spacing w:val="11"/>
          <w:vertAlign w:val="baseline"/>
        </w:rPr>
        <w:t> </w:t>
      </w:r>
      <w:r>
        <w:rPr>
          <w:vertAlign w:val="baseline"/>
        </w:rPr>
        <w:t>100</w:t>
      </w:r>
      <w:r>
        <w:rPr>
          <w:spacing w:val="10"/>
          <w:vertAlign w:val="baseline"/>
        </w:rPr>
        <w:t> </w:t>
      </w:r>
      <w:r>
        <w:rPr>
          <w:vertAlign w:val="baseline"/>
        </w:rPr>
        <w:t>and</w:t>
      </w:r>
      <w:r>
        <w:rPr>
          <w:spacing w:val="9"/>
          <w:vertAlign w:val="baseline"/>
        </w:rPr>
        <w:t> </w:t>
      </w:r>
      <w:r>
        <w:rPr>
          <w:vertAlign w:val="baseline"/>
        </w:rPr>
        <w:t>200</w:t>
      </w:r>
      <w:r>
        <w:rPr>
          <w:spacing w:val="10"/>
          <w:vertAlign w:val="baseline"/>
        </w:rPr>
        <w:t> </w:t>
      </w:r>
      <w:r>
        <w:rPr>
          <w:vertAlign w:val="baseline"/>
        </w:rPr>
        <w:t>mg/kg</w:t>
      </w:r>
      <w:r>
        <w:rPr>
          <w:spacing w:val="8"/>
          <w:vertAlign w:val="baseline"/>
        </w:rPr>
        <w:t> </w:t>
      </w:r>
      <w:r>
        <w:rPr>
          <w:vertAlign w:val="baseline"/>
        </w:rPr>
        <w:t>of</w:t>
      </w:r>
      <w:r>
        <w:rPr>
          <w:spacing w:val="10"/>
          <w:vertAlign w:val="baseline"/>
        </w:rPr>
        <w:t> </w:t>
      </w:r>
      <w:r>
        <w:rPr>
          <w:spacing w:val="-5"/>
          <w:vertAlign w:val="baseline"/>
        </w:rPr>
        <w:t>the</w:t>
      </w:r>
    </w:p>
    <w:p>
      <w:pPr>
        <w:pStyle w:val="BodyText"/>
        <w:spacing w:line="360" w:lineRule="auto"/>
        <w:ind w:left="678" w:right="992"/>
        <w:jc w:val="both"/>
      </w:pPr>
      <w:r>
        <w:rPr>
          <w:i/>
        </w:rPr>
        <w:t>M. pruriens </w:t>
      </w:r>
      <w:r>
        <w:rPr/>
        <w:t>seed extract showed a significant reduction in blood glucose of about 12 and 19% respectively after 6 hour of treatment; and after 3 weeks of daily treatment with the </w:t>
      </w:r>
      <w:r>
        <w:rPr>
          <w:i/>
        </w:rPr>
        <w:t>Mucuna pruriens </w:t>
      </w:r>
      <w:r>
        <w:rPr/>
        <w:t>seed aqueous (100 and 200mg/kg), there was significant fall in blood sugar level (55% and 62% respectively).</w:t>
      </w:r>
      <w:r>
        <w:rPr>
          <w:spacing w:val="40"/>
        </w:rPr>
        <w:t> </w:t>
      </w:r>
      <w:r>
        <w:rPr/>
        <w:t>At the same time, Tolbutamide caused a significant (60%) reduction in blood glucose level (Bhaskar </w:t>
      </w:r>
      <w:r>
        <w:rPr>
          <w:i/>
        </w:rPr>
        <w:t>et al</w:t>
      </w:r>
      <w:r>
        <w:rPr/>
        <w:t>., 2008).</w:t>
      </w:r>
    </w:p>
    <w:p>
      <w:pPr>
        <w:pStyle w:val="BodyText"/>
        <w:spacing w:line="360" w:lineRule="auto" w:before="2"/>
        <w:ind w:left="678" w:right="994" w:firstLine="660"/>
        <w:jc w:val="both"/>
      </w:pPr>
      <w:r>
        <w:rPr/>
        <w:t>Though pathophysiology of diabetes remains to be fully understood (Madak </w:t>
      </w:r>
      <w:r>
        <w:rPr>
          <w:i/>
        </w:rPr>
        <w:t>et al.</w:t>
      </w:r>
      <w:r>
        <w:rPr/>
        <w:t>, 2007), experimental evidences suggest the involvement of free radicals in the</w:t>
      </w:r>
      <w:r>
        <w:rPr>
          <w:spacing w:val="40"/>
        </w:rPr>
        <w:t> </w:t>
      </w:r>
      <w:r>
        <w:rPr/>
        <w:t>pathogenesis of diabetes (Matteucci and Giampietro, 2000) and more importantly in the</w:t>
      </w:r>
    </w:p>
    <w:p>
      <w:pPr>
        <w:spacing w:after="0" w:line="360" w:lineRule="auto"/>
        <w:jc w:val="both"/>
        <w:sectPr>
          <w:pgSz w:w="12240" w:h="15840"/>
          <w:pgMar w:header="0" w:footer="1056" w:top="1760" w:bottom="1240" w:left="1420" w:right="420"/>
        </w:sectPr>
      </w:pPr>
    </w:p>
    <w:p>
      <w:pPr>
        <w:pStyle w:val="BodyText"/>
        <w:rPr>
          <w:sz w:val="32"/>
        </w:rPr>
      </w:pPr>
      <w:r>
        <w:rPr/>
        <mc:AlternateContent>
          <mc:Choice Requires="wps">
            <w:drawing>
              <wp:anchor distT="0" distB="0" distL="0" distR="0" allowOverlap="1" layoutInCell="1" locked="0" behindDoc="0" simplePos="0" relativeHeight="15803392">
                <wp:simplePos x="0" y="0"/>
                <wp:positionH relativeFrom="page">
                  <wp:posOffset>-1402226</wp:posOffset>
                </wp:positionH>
                <wp:positionV relativeFrom="page">
                  <wp:posOffset>4612234</wp:posOffset>
                </wp:positionV>
                <wp:extent cx="10685780" cy="9144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339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25"/>
        <w:rPr>
          <w:sz w:val="32"/>
        </w:rPr>
      </w:pPr>
    </w:p>
    <w:p>
      <w:pPr>
        <w:spacing w:before="0"/>
        <w:ind w:left="678" w:right="0" w:firstLine="0"/>
        <w:jc w:val="left"/>
        <w:rPr>
          <w:sz w:val="32"/>
        </w:rPr>
      </w:pPr>
      <w:r>
        <w:rPr>
          <w:sz w:val="32"/>
        </w:rPr>
        <w:t>Table</w:t>
      </w:r>
      <w:r>
        <w:rPr>
          <w:spacing w:val="-9"/>
          <w:sz w:val="32"/>
        </w:rPr>
        <w:t> </w:t>
      </w:r>
      <w:r>
        <w:rPr>
          <w:spacing w:val="-5"/>
          <w:sz w:val="32"/>
        </w:rPr>
        <w:t>3.5</w:t>
      </w:r>
    </w:p>
    <w:p>
      <w:pPr>
        <w:spacing w:after="0"/>
        <w:jc w:val="left"/>
        <w:rPr>
          <w:sz w:val="32"/>
        </w:rPr>
        <w:sectPr>
          <w:pgSz w:w="12240" w:h="15840"/>
          <w:pgMar w:header="0" w:footer="1056" w:top="1820" w:bottom="1240" w:left="1420" w:right="420"/>
        </w:sectPr>
      </w:pPr>
    </w:p>
    <w:p>
      <w:pPr>
        <w:pStyle w:val="BodyText"/>
        <w:rPr>
          <w:sz w:val="36"/>
        </w:rPr>
      </w:pPr>
      <w:r>
        <w:rPr/>
        <mc:AlternateContent>
          <mc:Choice Requires="wps">
            <w:drawing>
              <wp:anchor distT="0" distB="0" distL="0" distR="0" allowOverlap="1" layoutInCell="1" locked="0" behindDoc="0" simplePos="0" relativeHeight="15803904">
                <wp:simplePos x="0" y="0"/>
                <wp:positionH relativeFrom="page">
                  <wp:posOffset>-1402226</wp:posOffset>
                </wp:positionH>
                <wp:positionV relativeFrom="page">
                  <wp:posOffset>4612234</wp:posOffset>
                </wp:positionV>
                <wp:extent cx="10685780" cy="9144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3904;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0"/>
        <w:rPr>
          <w:sz w:val="36"/>
        </w:rPr>
      </w:pPr>
    </w:p>
    <w:p>
      <w:pPr>
        <w:spacing w:before="0"/>
        <w:ind w:left="678" w:right="0" w:firstLine="0"/>
        <w:jc w:val="left"/>
        <w:rPr>
          <w:b/>
          <w:sz w:val="36"/>
        </w:rPr>
      </w:pPr>
      <w:r>
        <w:rPr>
          <w:b/>
          <w:sz w:val="36"/>
        </w:rPr>
        <w:t>Fig. </w:t>
      </w:r>
      <w:r>
        <w:rPr>
          <w:b/>
          <w:spacing w:val="-5"/>
          <w:sz w:val="36"/>
        </w:rPr>
        <w:t>3.2</w:t>
      </w:r>
    </w:p>
    <w:p>
      <w:pPr>
        <w:spacing w:after="0"/>
        <w:jc w:val="left"/>
        <w:rPr>
          <w:sz w:val="36"/>
        </w:rPr>
        <w:sectPr>
          <w:pgSz w:w="12240" w:h="15840"/>
          <w:pgMar w:header="0" w:footer="1056" w:top="1820" w:bottom="1240" w:left="1420" w:right="420"/>
        </w:sectPr>
      </w:pPr>
    </w:p>
    <w:p>
      <w:pPr>
        <w:pStyle w:val="BodyText"/>
        <w:spacing w:line="360" w:lineRule="auto" w:before="72"/>
        <w:ind w:left="678" w:right="995"/>
        <w:jc w:val="both"/>
      </w:pPr>
      <w:r>
        <w:rPr/>
        <mc:AlternateContent>
          <mc:Choice Requires="wps">
            <w:drawing>
              <wp:anchor distT="0" distB="0" distL="0" distR="0" allowOverlap="1" layoutInCell="1" locked="0" behindDoc="1" simplePos="0" relativeHeight="482978304">
                <wp:simplePos x="0" y="0"/>
                <wp:positionH relativeFrom="page">
                  <wp:posOffset>-1402226</wp:posOffset>
                </wp:positionH>
                <wp:positionV relativeFrom="page">
                  <wp:posOffset>4612234</wp:posOffset>
                </wp:positionV>
                <wp:extent cx="10685780" cy="9144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38176;rotation:306" type="#_x0000_t136" fillcolor="#ff5400" stroked="f">
                <o:extrusion v:ext="view" autorotationcenter="t"/>
                <v:textpath style="font-family:&quot;Arial MT&quot;;font-size:72pt;v-text-kern:t;mso-text-shadow:auto" string="UNIVERSITY OF IBADAN"/>
                <w10:wrap type="none"/>
              </v:shape>
            </w:pict>
          </mc:Fallback>
        </mc:AlternateContent>
      </w:r>
      <w:r>
        <w:rPr/>
        <w:t>development</w:t>
      </w:r>
      <w:r>
        <w:rPr>
          <w:spacing w:val="-3"/>
        </w:rPr>
        <w:t> </w:t>
      </w:r>
      <w:r>
        <w:rPr/>
        <w:t>of</w:t>
      </w:r>
      <w:r>
        <w:rPr>
          <w:spacing w:val="-4"/>
        </w:rPr>
        <w:t> </w:t>
      </w:r>
      <w:r>
        <w:rPr/>
        <w:t>diabetic</w:t>
      </w:r>
      <w:r>
        <w:rPr>
          <w:spacing w:val="-4"/>
        </w:rPr>
        <w:t> </w:t>
      </w:r>
      <w:r>
        <w:rPr/>
        <w:t>complications</w:t>
      </w:r>
      <w:r>
        <w:rPr>
          <w:spacing w:val="-3"/>
        </w:rPr>
        <w:t> </w:t>
      </w:r>
      <w:r>
        <w:rPr/>
        <w:t>(Oberly,</w:t>
      </w:r>
      <w:r>
        <w:rPr>
          <w:spacing w:val="-3"/>
        </w:rPr>
        <w:t> </w:t>
      </w:r>
      <w:r>
        <w:rPr/>
        <w:t>1988;</w:t>
      </w:r>
      <w:r>
        <w:rPr>
          <w:spacing w:val="-3"/>
        </w:rPr>
        <w:t> </w:t>
      </w:r>
      <w:r>
        <w:rPr/>
        <w:t>Baynes</w:t>
      </w:r>
      <w:r>
        <w:rPr>
          <w:spacing w:val="-3"/>
        </w:rPr>
        <w:t> </w:t>
      </w:r>
      <w:r>
        <w:rPr/>
        <w:t>and</w:t>
      </w:r>
      <w:r>
        <w:rPr>
          <w:spacing w:val="-3"/>
        </w:rPr>
        <w:t> </w:t>
      </w:r>
      <w:r>
        <w:rPr/>
        <w:t>Thorpe,</w:t>
      </w:r>
      <w:r>
        <w:rPr>
          <w:spacing w:val="-1"/>
        </w:rPr>
        <w:t> </w:t>
      </w:r>
      <w:r>
        <w:rPr/>
        <w:t>1997;</w:t>
      </w:r>
      <w:r>
        <w:rPr>
          <w:spacing w:val="-3"/>
        </w:rPr>
        <w:t> </w:t>
      </w:r>
      <w:r>
        <w:rPr/>
        <w:t>Lipinski, 2001). Free radicals are capable of damaging cellular molecules, DNA, proteins and lipids leading to altered cellular functions. Many recent studies reveal that antioxidants capable of neutralizing free radicals are effective in preventing experimentally induced diabetes in animal models (Kubish </w:t>
      </w:r>
      <w:r>
        <w:rPr>
          <w:i/>
        </w:rPr>
        <w:t>et al</w:t>
      </w:r>
      <w:r>
        <w:rPr/>
        <w:t>., 1997; Naziroglu and Cay, 2001), as well as reducing the severity of diabetic complications (Lipinski, 2001). For the development of diabetic complications, the abnormalities produced in lipids and proteins are the major etiologic factors. In</w:t>
      </w:r>
      <w:r>
        <w:rPr>
          <w:spacing w:val="-1"/>
        </w:rPr>
        <w:t> </w:t>
      </w:r>
      <w:r>
        <w:rPr/>
        <w:t>diabetic</w:t>
      </w:r>
      <w:r>
        <w:rPr>
          <w:spacing w:val="-2"/>
        </w:rPr>
        <w:t> </w:t>
      </w:r>
      <w:r>
        <w:rPr/>
        <w:t>patients,</w:t>
      </w:r>
      <w:r>
        <w:rPr>
          <w:spacing w:val="-1"/>
        </w:rPr>
        <w:t> </w:t>
      </w:r>
      <w:r>
        <w:rPr/>
        <w:t>extra-cellular and</w:t>
      </w:r>
      <w:r>
        <w:rPr>
          <w:spacing w:val="-1"/>
        </w:rPr>
        <w:t> </w:t>
      </w:r>
      <w:r>
        <w:rPr/>
        <w:t>long</w:t>
      </w:r>
      <w:r>
        <w:rPr>
          <w:spacing w:val="-4"/>
        </w:rPr>
        <w:t> </w:t>
      </w:r>
      <w:r>
        <w:rPr/>
        <w:t>lived proteins,</w:t>
      </w:r>
      <w:r>
        <w:rPr>
          <w:spacing w:val="-1"/>
        </w:rPr>
        <w:t> </w:t>
      </w:r>
      <w:r>
        <w:rPr/>
        <w:t>such</w:t>
      </w:r>
      <w:r>
        <w:rPr>
          <w:spacing w:val="-1"/>
        </w:rPr>
        <w:t> </w:t>
      </w:r>
      <w:r>
        <w:rPr/>
        <w:t>as elastin,</w:t>
      </w:r>
      <w:r>
        <w:rPr>
          <w:spacing w:val="-1"/>
        </w:rPr>
        <w:t> </w:t>
      </w:r>
      <w:r>
        <w:rPr/>
        <w:t>laminin, collagen are the major targets of free radicals. These proteins are modified to form glycol- proteins due to hyperglycemia. The modification of these proteins present in tissues such as lens, vascular wall and basement membranes are associated with the development of complications of diabetes such as cataracts, microangiopathy, atherosclerosis and nephropathy (Glugliano </w:t>
      </w:r>
      <w:r>
        <w:rPr>
          <w:i/>
        </w:rPr>
        <w:t>et al</w:t>
      </w:r>
      <w:r>
        <w:rPr/>
        <w:t>., 1996). During diabetes, lipoproteins are oxidised by free radicals. There are also multiple abnormalities of lipoprotein metabolism in very low density lipoprotein (VLDL), low density lipoprotein (LDL), and high density (HDL) in diabetes. Lipid peroxidation is enhanced due to increased oxidative stress in diabetic condition. Also, it is well known that </w:t>
      </w:r>
      <w:r>
        <w:rPr>
          <w:i/>
        </w:rPr>
        <w:t>Mucuna pruriens </w:t>
      </w:r>
      <w:r>
        <w:rPr/>
        <w:t>is a rich source of dietary fibre (8.7-10.5%) (Vadivel and Janaradhanan, 2000). It is also known that it reduces plasma glucose in diabetic subjects. Soluble dietary fibre with high viscosity is more effective in delaying glucose absorption than insoluble fibre.</w:t>
      </w:r>
    </w:p>
    <w:p>
      <w:pPr>
        <w:pStyle w:val="BodyText"/>
        <w:spacing w:line="360" w:lineRule="auto" w:before="3"/>
        <w:ind w:left="678" w:right="996" w:firstLine="660"/>
        <w:jc w:val="both"/>
      </w:pPr>
      <w:r>
        <w:rPr/>
        <w:t>The ethanol extract might be producing its hypoglycaemic effect by an extra- pancreatic action (Dabis </w:t>
      </w:r>
      <w:r>
        <w:rPr>
          <w:i/>
        </w:rPr>
        <w:t>et al</w:t>
      </w:r>
      <w:r>
        <w:rPr/>
        <w:t>., 1984) as well as mimicking the function of insulin as mentioned earlier.</w:t>
      </w:r>
    </w:p>
    <w:p>
      <w:pPr>
        <w:pStyle w:val="BodyText"/>
        <w:spacing w:line="360" w:lineRule="auto"/>
        <w:ind w:left="678" w:right="991" w:firstLine="780"/>
        <w:jc w:val="both"/>
      </w:pPr>
      <w:r>
        <w:rPr/>
        <w:t>The extract of </w:t>
      </w:r>
      <w:r>
        <w:rPr>
          <w:i/>
        </w:rPr>
        <w:t>Mucuna pruriens </w:t>
      </w:r>
      <w:r>
        <w:rPr/>
        <w:t>has both organic and inorganic constituents. It is important to note that the inorganic part of the medicinal plant containing mainly mineral elements, sometimes play a contributing role in enhancing medicinal properties (including hypoglycaemic activity) of the plant (Kar and Choudhary, 1994; Kar </w:t>
      </w:r>
      <w:r>
        <w:rPr>
          <w:i/>
        </w:rPr>
        <w:t>et al</w:t>
      </w:r>
      <w:r>
        <w:rPr/>
        <w:t>., 1999). A number of essential minerals like Na, K, Ca, Zn, Mg, P, Fe, Cu, Mn and Cr have been found to be present in </w:t>
      </w:r>
      <w:r>
        <w:rPr>
          <w:i/>
        </w:rPr>
        <w:t>M. pruriens </w:t>
      </w:r>
      <w:r>
        <w:rPr/>
        <w:t>(Scheffe, 1953). These mineral elements may be associated</w:t>
      </w:r>
      <w:r>
        <w:rPr>
          <w:spacing w:val="45"/>
        </w:rPr>
        <w:t> </w:t>
      </w:r>
      <w:r>
        <w:rPr/>
        <w:t>with</w:t>
      </w:r>
      <w:r>
        <w:rPr>
          <w:spacing w:val="48"/>
        </w:rPr>
        <w:t> </w:t>
      </w:r>
      <w:r>
        <w:rPr/>
        <w:t>the</w:t>
      </w:r>
      <w:r>
        <w:rPr>
          <w:spacing w:val="47"/>
        </w:rPr>
        <w:t> </w:t>
      </w:r>
      <w:r>
        <w:rPr/>
        <w:t>mechanism</w:t>
      </w:r>
      <w:r>
        <w:rPr>
          <w:spacing w:val="48"/>
        </w:rPr>
        <w:t> </w:t>
      </w:r>
      <w:r>
        <w:rPr/>
        <w:t>of</w:t>
      </w:r>
      <w:r>
        <w:rPr>
          <w:spacing w:val="47"/>
        </w:rPr>
        <w:t> </w:t>
      </w:r>
      <w:r>
        <w:rPr/>
        <w:t>insulin</w:t>
      </w:r>
      <w:r>
        <w:rPr>
          <w:spacing w:val="48"/>
        </w:rPr>
        <w:t> </w:t>
      </w:r>
      <w:r>
        <w:rPr/>
        <w:t>release</w:t>
      </w:r>
      <w:r>
        <w:rPr>
          <w:spacing w:val="46"/>
        </w:rPr>
        <w:t> </w:t>
      </w:r>
      <w:r>
        <w:rPr/>
        <w:t>and</w:t>
      </w:r>
      <w:r>
        <w:rPr>
          <w:spacing w:val="47"/>
        </w:rPr>
        <w:t> </w:t>
      </w:r>
      <w:r>
        <w:rPr/>
        <w:t>its</w:t>
      </w:r>
      <w:r>
        <w:rPr>
          <w:spacing w:val="48"/>
        </w:rPr>
        <w:t> </w:t>
      </w:r>
      <w:r>
        <w:rPr/>
        <w:t>activity</w:t>
      </w:r>
      <w:r>
        <w:rPr>
          <w:spacing w:val="42"/>
        </w:rPr>
        <w:t> </w:t>
      </w:r>
      <w:r>
        <w:rPr/>
        <w:t>or</w:t>
      </w:r>
      <w:r>
        <w:rPr>
          <w:spacing w:val="49"/>
        </w:rPr>
        <w:t> </w:t>
      </w:r>
      <w:r>
        <w:rPr/>
        <w:t>glucose</w:t>
      </w:r>
      <w:r>
        <w:rPr>
          <w:spacing w:val="47"/>
        </w:rPr>
        <w:t> </w:t>
      </w:r>
      <w:r>
        <w:rPr>
          <w:spacing w:val="-2"/>
        </w:rPr>
        <w:t>tolerance</w:t>
      </w:r>
    </w:p>
    <w:p>
      <w:pPr>
        <w:spacing w:after="0" w:line="360" w:lineRule="auto"/>
        <w:jc w:val="both"/>
        <w:sectPr>
          <w:pgSz w:w="12240" w:h="15840"/>
          <w:pgMar w:header="0" w:footer="1056" w:top="1340" w:bottom="1240" w:left="1420" w:right="420"/>
        </w:sectPr>
      </w:pPr>
    </w:p>
    <w:p>
      <w:pPr>
        <w:pStyle w:val="BodyText"/>
        <w:spacing w:line="360" w:lineRule="auto" w:before="72"/>
        <w:ind w:left="678" w:right="1041"/>
      </w:pPr>
      <w:r>
        <w:rPr/>
        <mc:AlternateContent>
          <mc:Choice Requires="wps">
            <w:drawing>
              <wp:anchor distT="0" distB="0" distL="0" distR="0" allowOverlap="1" layoutInCell="1" locked="0" behindDoc="1" simplePos="0" relativeHeight="482978816">
                <wp:simplePos x="0" y="0"/>
                <wp:positionH relativeFrom="page">
                  <wp:posOffset>-1402226</wp:posOffset>
                </wp:positionH>
                <wp:positionV relativeFrom="page">
                  <wp:posOffset>4612234</wp:posOffset>
                </wp:positionV>
                <wp:extent cx="10685780" cy="9144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37664;rotation:306" type="#_x0000_t136" fillcolor="#ff5400" stroked="f">
                <o:extrusion v:ext="view" autorotationcenter="t"/>
                <v:textpath style="font-family:&quot;Arial MT&quot;;font-size:72pt;v-text-kern:t;mso-text-shadow:auto" string="UNIVERSITY OF IBADAN"/>
                <w10:wrap type="none"/>
              </v:shape>
            </w:pict>
          </mc:Fallback>
        </mc:AlternateContent>
      </w:r>
      <w:r>
        <w:rPr/>
        <w:t>factor as described in different laboratory animals (Mertz, 1981; Niewoehner </w:t>
      </w:r>
      <w:r>
        <w:rPr>
          <w:i/>
        </w:rPr>
        <w:t>et al</w:t>
      </w:r>
      <w:r>
        <w:rPr/>
        <w:t>., 1986; Chen </w:t>
      </w:r>
      <w:r>
        <w:rPr>
          <w:i/>
        </w:rPr>
        <w:t>et al</w:t>
      </w:r>
      <w:r>
        <w:rPr/>
        <w:t>., 1995; Schroeder, 1996 and Castro, 1998).</w:t>
      </w:r>
    </w:p>
    <w:p>
      <w:pPr>
        <w:pStyle w:val="BodyText"/>
        <w:spacing w:before="142"/>
      </w:pPr>
    </w:p>
    <w:p>
      <w:pPr>
        <w:pStyle w:val="Heading2"/>
        <w:numPr>
          <w:ilvl w:val="2"/>
          <w:numId w:val="43"/>
        </w:numPr>
        <w:tabs>
          <w:tab w:pos="1218" w:val="left" w:leader="none"/>
        </w:tabs>
        <w:spacing w:line="240" w:lineRule="auto" w:before="1" w:after="0"/>
        <w:ind w:left="1218" w:right="0" w:hanging="540"/>
        <w:jc w:val="both"/>
      </w:pPr>
      <w:r>
        <w:rPr/>
        <w:t>Changes</w:t>
      </w:r>
      <w:r>
        <w:rPr>
          <w:spacing w:val="-2"/>
        </w:rPr>
        <w:t> </w:t>
      </w:r>
      <w:r>
        <w:rPr/>
        <w:t>in body</w:t>
      </w:r>
      <w:r>
        <w:rPr>
          <w:spacing w:val="-3"/>
        </w:rPr>
        <w:t> </w:t>
      </w:r>
      <w:r>
        <w:rPr>
          <w:spacing w:val="-2"/>
        </w:rPr>
        <w:t>weight</w:t>
      </w:r>
    </w:p>
    <w:p>
      <w:pPr>
        <w:pStyle w:val="BodyText"/>
        <w:spacing w:line="360" w:lineRule="auto" w:before="237"/>
        <w:ind w:left="678" w:right="997" w:firstLine="720"/>
        <w:jc w:val="both"/>
      </w:pPr>
      <w:r>
        <w:rPr/>
        <w:t>Changes in body weights of diabetic rats after daily administration of the crude ethanolic extract of </w:t>
      </w:r>
      <w:r>
        <w:rPr>
          <w:i/>
        </w:rPr>
        <w:t>Mucuna pruriens </w:t>
      </w:r>
      <w:r>
        <w:rPr/>
        <w:t>seed are shown in Table 3.6 while the plots of</w:t>
      </w:r>
      <w:r>
        <w:rPr>
          <w:spacing w:val="40"/>
        </w:rPr>
        <w:t> </w:t>
      </w:r>
      <w:r>
        <w:rPr/>
        <w:t>weight variations with time on the diabetic rats after the administration of drug and glibenclamide are presented in Fig. 3.3.</w:t>
      </w:r>
    </w:p>
    <w:p>
      <w:pPr>
        <w:pStyle w:val="BodyText"/>
        <w:spacing w:line="360" w:lineRule="auto"/>
        <w:ind w:left="678" w:right="992" w:firstLine="720"/>
        <w:jc w:val="both"/>
      </w:pPr>
      <w:r>
        <w:rPr/>
        <w:t>The result indicates that the normal control showed 27% weight gain while</w:t>
      </w:r>
      <w:r>
        <w:rPr>
          <w:spacing w:val="40"/>
        </w:rPr>
        <w:t> </w:t>
      </w:r>
      <w:r>
        <w:rPr/>
        <w:t>diabetic control rats exhibited 27% weight loss over the 12 weeks period. Rats that were administered with the extracts exhibited 16% - 40% weight gain while those administered with glibenclamide (5 mg/kg body weight) showed 18% weight gain. The weight gain observed</w:t>
      </w:r>
      <w:r>
        <w:rPr>
          <w:spacing w:val="-1"/>
        </w:rPr>
        <w:t> </w:t>
      </w:r>
      <w:r>
        <w:rPr/>
        <w:t>with</w:t>
      </w:r>
      <w:r>
        <w:rPr>
          <w:spacing w:val="-1"/>
        </w:rPr>
        <w:t> </w:t>
      </w:r>
      <w:r>
        <w:rPr/>
        <w:t>the</w:t>
      </w:r>
      <w:r>
        <w:rPr>
          <w:spacing w:val="-2"/>
        </w:rPr>
        <w:t> </w:t>
      </w:r>
      <w:r>
        <w:rPr/>
        <w:t>extract depended</w:t>
      </w:r>
      <w:r>
        <w:rPr>
          <w:spacing w:val="-1"/>
        </w:rPr>
        <w:t> </w:t>
      </w:r>
      <w:r>
        <w:rPr/>
        <w:t>on</w:t>
      </w:r>
      <w:r>
        <w:rPr>
          <w:spacing w:val="-1"/>
        </w:rPr>
        <w:t> </w:t>
      </w:r>
      <w:r>
        <w:rPr/>
        <w:t>the</w:t>
      </w:r>
      <w:r>
        <w:rPr>
          <w:spacing w:val="-2"/>
        </w:rPr>
        <w:t> </w:t>
      </w:r>
      <w:r>
        <w:rPr/>
        <w:t>dose administered.</w:t>
      </w:r>
      <w:r>
        <w:rPr>
          <w:spacing w:val="-1"/>
        </w:rPr>
        <w:t> </w:t>
      </w:r>
      <w:r>
        <w:rPr/>
        <w:t>This</w:t>
      </w:r>
      <w:r>
        <w:rPr>
          <w:spacing w:val="-1"/>
        </w:rPr>
        <w:t> </w:t>
      </w:r>
      <w:r>
        <w:rPr/>
        <w:t>indicates</w:t>
      </w:r>
      <w:r>
        <w:rPr>
          <w:spacing w:val="-2"/>
        </w:rPr>
        <w:t> </w:t>
      </w:r>
      <w:r>
        <w:rPr/>
        <w:t>that</w:t>
      </w:r>
      <w:r>
        <w:rPr>
          <w:spacing w:val="-1"/>
        </w:rPr>
        <w:t> </w:t>
      </w:r>
      <w:r>
        <w:rPr/>
        <w:t>treatment with </w:t>
      </w:r>
      <w:r>
        <w:rPr>
          <w:i/>
        </w:rPr>
        <w:t>Mucuna pruriens </w:t>
      </w:r>
      <w:r>
        <w:rPr/>
        <w:t>seed extract significantly alleviated the weight loss in diabetic rats in a similar manner to glibenclamide (p &lt; 0.001). In the diabetic control rats there could have been a decrease in the production of total protein and albumen as well as the production of insulin. So, in this case fats might have been mobilized and this could result in hyperlipidemia and weight loss as shown in Table 3.6.</w:t>
      </w:r>
    </w:p>
    <w:p>
      <w:pPr>
        <w:pStyle w:val="BodyText"/>
        <w:spacing w:before="143"/>
      </w:pPr>
    </w:p>
    <w:p>
      <w:pPr>
        <w:pStyle w:val="Heading2"/>
        <w:numPr>
          <w:ilvl w:val="2"/>
          <w:numId w:val="43"/>
        </w:numPr>
        <w:tabs>
          <w:tab w:pos="1218" w:val="left" w:leader="none"/>
        </w:tabs>
        <w:spacing w:line="240" w:lineRule="auto" w:before="0" w:after="0"/>
        <w:ind w:left="1218" w:right="0" w:hanging="540"/>
        <w:jc w:val="both"/>
      </w:pPr>
      <w:r>
        <w:rPr/>
        <w:t>Acute</w:t>
      </w:r>
      <w:r>
        <w:rPr>
          <w:spacing w:val="-4"/>
        </w:rPr>
        <w:t> </w:t>
      </w:r>
      <w:r>
        <w:rPr/>
        <w:t>toxicity</w:t>
      </w:r>
      <w:r>
        <w:rPr>
          <w:spacing w:val="-1"/>
        </w:rPr>
        <w:t> </w:t>
      </w:r>
      <w:r>
        <w:rPr/>
        <w:t>determination in </w:t>
      </w:r>
      <w:r>
        <w:rPr>
          <w:spacing w:val="-4"/>
        </w:rPr>
        <w:t>mice</w:t>
      </w:r>
    </w:p>
    <w:p>
      <w:pPr>
        <w:pStyle w:val="BodyText"/>
        <w:spacing w:line="360" w:lineRule="auto" w:before="135"/>
        <w:ind w:left="678" w:right="999" w:firstLine="720"/>
        <w:jc w:val="both"/>
      </w:pPr>
      <w:r>
        <w:rPr/>
        <w:t>Acute toxicity</w:t>
      </w:r>
      <w:r>
        <w:rPr>
          <w:spacing w:val="-6"/>
        </w:rPr>
        <w:t> </w:t>
      </w:r>
      <w:r>
        <w:rPr/>
        <w:t>studies showed that the administration of</w:t>
      </w:r>
      <w:r>
        <w:rPr>
          <w:spacing w:val="-1"/>
        </w:rPr>
        <w:t> </w:t>
      </w:r>
      <w:r>
        <w:rPr/>
        <w:t>the crude</w:t>
      </w:r>
      <w:r>
        <w:rPr>
          <w:spacing w:val="-2"/>
        </w:rPr>
        <w:t> </w:t>
      </w:r>
      <w:r>
        <w:rPr/>
        <w:t>ethanolic extract of </w:t>
      </w:r>
      <w:r>
        <w:rPr>
          <w:i/>
        </w:rPr>
        <w:t>Mucuna pruriens </w:t>
      </w:r>
      <w:r>
        <w:rPr/>
        <w:t>seed was well tolerated by animals as no death was recorded 14 days after the administration of the extract. However, adverse effects such as hyperventilation, clonic</w:t>
      </w:r>
      <w:r>
        <w:rPr>
          <w:spacing w:val="-5"/>
        </w:rPr>
        <w:t> </w:t>
      </w:r>
      <w:r>
        <w:rPr/>
        <w:t>seizures,</w:t>
      </w:r>
      <w:r>
        <w:rPr>
          <w:spacing w:val="-4"/>
        </w:rPr>
        <w:t> </w:t>
      </w:r>
      <w:r>
        <w:rPr/>
        <w:t>pico</w:t>
      </w:r>
      <w:r>
        <w:rPr>
          <w:spacing w:val="-2"/>
        </w:rPr>
        <w:t> </w:t>
      </w:r>
      <w:r>
        <w:rPr/>
        <w:t>erection</w:t>
      </w:r>
      <w:r>
        <w:rPr>
          <w:spacing w:val="-4"/>
        </w:rPr>
        <w:t> </w:t>
      </w:r>
      <w:r>
        <w:rPr/>
        <w:t>and</w:t>
      </w:r>
      <w:r>
        <w:rPr>
          <w:spacing w:val="-4"/>
        </w:rPr>
        <w:t> </w:t>
      </w:r>
      <w:r>
        <w:rPr/>
        <w:t>reduced</w:t>
      </w:r>
      <w:r>
        <w:rPr>
          <w:spacing w:val="-4"/>
        </w:rPr>
        <w:t> </w:t>
      </w:r>
      <w:r>
        <w:rPr/>
        <w:t>spontaneous</w:t>
      </w:r>
      <w:r>
        <w:rPr>
          <w:spacing w:val="-4"/>
        </w:rPr>
        <w:t> </w:t>
      </w:r>
      <w:r>
        <w:rPr/>
        <w:t>motor</w:t>
      </w:r>
      <w:r>
        <w:rPr>
          <w:spacing w:val="-4"/>
        </w:rPr>
        <w:t> </w:t>
      </w:r>
      <w:r>
        <w:rPr/>
        <w:t>activity</w:t>
      </w:r>
      <w:r>
        <w:rPr>
          <w:spacing w:val="-8"/>
        </w:rPr>
        <w:t> </w:t>
      </w:r>
      <w:r>
        <w:rPr/>
        <w:t>were</w:t>
      </w:r>
      <w:r>
        <w:rPr>
          <w:spacing w:val="-2"/>
        </w:rPr>
        <w:t> </w:t>
      </w:r>
      <w:r>
        <w:rPr/>
        <w:t>observed</w:t>
      </w:r>
      <w:r>
        <w:rPr>
          <w:spacing w:val="-2"/>
        </w:rPr>
        <w:t> </w:t>
      </w:r>
      <w:r>
        <w:rPr/>
        <w:t>about I hour after the administration of high doses (8-32g/kg/day).</w:t>
      </w:r>
    </w:p>
    <w:p>
      <w:pPr>
        <w:spacing w:after="0" w:line="360" w:lineRule="auto"/>
        <w:jc w:val="both"/>
        <w:sectPr>
          <w:pgSz w:w="12240" w:h="15840"/>
          <w:pgMar w:header="0" w:footer="1056" w:top="1340" w:bottom="1240" w:left="1420" w:right="420"/>
        </w:sectPr>
      </w:pPr>
    </w:p>
    <w:p>
      <w:pPr>
        <w:pStyle w:val="BodyText"/>
        <w:rPr>
          <w:sz w:val="32"/>
        </w:rPr>
      </w:pPr>
      <w:r>
        <w:rPr/>
        <mc:AlternateContent>
          <mc:Choice Requires="wps">
            <w:drawing>
              <wp:anchor distT="0" distB="0" distL="0" distR="0" allowOverlap="1" layoutInCell="1" locked="0" behindDoc="0" simplePos="0" relativeHeight="15805440">
                <wp:simplePos x="0" y="0"/>
                <wp:positionH relativeFrom="page">
                  <wp:posOffset>-1402226</wp:posOffset>
                </wp:positionH>
                <wp:positionV relativeFrom="page">
                  <wp:posOffset>4612234</wp:posOffset>
                </wp:positionV>
                <wp:extent cx="10685780" cy="9144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544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40"/>
        <w:rPr>
          <w:sz w:val="32"/>
        </w:rPr>
      </w:pPr>
    </w:p>
    <w:p>
      <w:pPr>
        <w:spacing w:before="0"/>
        <w:ind w:left="678" w:right="0" w:firstLine="0"/>
        <w:jc w:val="left"/>
        <w:rPr>
          <w:b/>
          <w:sz w:val="32"/>
        </w:rPr>
      </w:pPr>
      <w:r>
        <w:rPr>
          <w:b/>
          <w:sz w:val="32"/>
        </w:rPr>
        <w:t>TABLE</w:t>
      </w:r>
      <w:r>
        <w:rPr>
          <w:b/>
          <w:spacing w:val="-11"/>
          <w:sz w:val="32"/>
        </w:rPr>
        <w:t> </w:t>
      </w:r>
      <w:r>
        <w:rPr>
          <w:b/>
          <w:spacing w:val="-5"/>
          <w:sz w:val="32"/>
        </w:rPr>
        <w:t>3.6</w:t>
      </w:r>
    </w:p>
    <w:p>
      <w:pPr>
        <w:spacing w:after="0"/>
        <w:jc w:val="left"/>
        <w:rPr>
          <w:sz w:val="32"/>
        </w:rPr>
        <w:sectPr>
          <w:pgSz w:w="12240" w:h="15840"/>
          <w:pgMar w:header="0" w:footer="1056" w:top="1820" w:bottom="1240" w:left="1420" w:right="420"/>
        </w:sectPr>
      </w:pPr>
    </w:p>
    <w:p>
      <w:pPr>
        <w:pStyle w:val="BodyText"/>
        <w:rPr>
          <w:b/>
          <w:sz w:val="32"/>
        </w:rPr>
      </w:pPr>
      <w:r>
        <w:rPr/>
        <mc:AlternateContent>
          <mc:Choice Requires="wps">
            <w:drawing>
              <wp:anchor distT="0" distB="0" distL="0" distR="0" allowOverlap="1" layoutInCell="1" locked="0" behindDoc="0" simplePos="0" relativeHeight="15805952">
                <wp:simplePos x="0" y="0"/>
                <wp:positionH relativeFrom="page">
                  <wp:posOffset>-1402226</wp:posOffset>
                </wp:positionH>
                <wp:positionV relativeFrom="page">
                  <wp:posOffset>4612234</wp:posOffset>
                </wp:positionV>
                <wp:extent cx="10685780" cy="9144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595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spacing w:before="100"/>
        <w:rPr>
          <w:b/>
          <w:sz w:val="32"/>
        </w:rPr>
      </w:pPr>
    </w:p>
    <w:p>
      <w:pPr>
        <w:spacing w:before="0"/>
        <w:ind w:left="678" w:right="0" w:firstLine="0"/>
        <w:jc w:val="left"/>
        <w:rPr>
          <w:b/>
          <w:sz w:val="32"/>
        </w:rPr>
      </w:pPr>
      <w:r>
        <w:rPr>
          <w:b/>
          <w:sz w:val="32"/>
        </w:rPr>
        <w:t>Fig.</w:t>
      </w:r>
      <w:r>
        <w:rPr>
          <w:b/>
          <w:spacing w:val="-7"/>
          <w:sz w:val="32"/>
        </w:rPr>
        <w:t> </w:t>
      </w:r>
      <w:r>
        <w:rPr>
          <w:b/>
          <w:spacing w:val="-5"/>
          <w:sz w:val="32"/>
        </w:rPr>
        <w:t>3.3</w:t>
      </w:r>
    </w:p>
    <w:p>
      <w:pPr>
        <w:spacing w:after="0"/>
        <w:jc w:val="left"/>
        <w:rPr>
          <w:sz w:val="32"/>
        </w:rPr>
        <w:sectPr>
          <w:pgSz w:w="12240" w:h="15840"/>
          <w:pgMar w:header="0" w:footer="1056" w:top="1820" w:bottom="1240" w:left="1420" w:right="420"/>
        </w:sectPr>
      </w:pPr>
    </w:p>
    <w:p>
      <w:pPr>
        <w:pStyle w:val="Heading2"/>
        <w:numPr>
          <w:ilvl w:val="1"/>
          <w:numId w:val="43"/>
        </w:numPr>
        <w:tabs>
          <w:tab w:pos="1277" w:val="left" w:leader="none"/>
          <w:tab w:pos="1398" w:val="left" w:leader="none"/>
        </w:tabs>
        <w:spacing w:line="276" w:lineRule="auto" w:before="77" w:after="0"/>
        <w:ind w:left="1398" w:right="2211" w:hanging="720"/>
        <w:jc w:val="left"/>
      </w:pPr>
      <w:r>
        <w:rPr/>
        <mc:AlternateContent>
          <mc:Choice Requires="wps">
            <w:drawing>
              <wp:anchor distT="0" distB="0" distL="0" distR="0" allowOverlap="1" layoutInCell="1" locked="0" behindDoc="1" simplePos="0" relativeHeight="482980352">
                <wp:simplePos x="0" y="0"/>
                <wp:positionH relativeFrom="page">
                  <wp:posOffset>-1402226</wp:posOffset>
                </wp:positionH>
                <wp:positionV relativeFrom="page">
                  <wp:posOffset>4612234</wp:posOffset>
                </wp:positionV>
                <wp:extent cx="10685780" cy="9144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36128;rotation:306" type="#_x0000_t136" fillcolor="#ff5400" stroked="f">
                <o:extrusion v:ext="view" autorotationcenter="t"/>
                <v:textpath style="font-family:&quot;Arial MT&quot;;font-size:72pt;v-text-kern:t;mso-text-shadow:auto" string="UNIVERSITY OF IBADAN"/>
                <w10:wrap type="none"/>
              </v:shape>
            </w:pict>
          </mc:Fallback>
        </mc:AlternateContent>
      </w:r>
      <w:r>
        <w:rPr/>
        <w:t>Determination</w:t>
      </w:r>
      <w:r>
        <w:rPr>
          <w:spacing w:val="-5"/>
        </w:rPr>
        <w:t> </w:t>
      </w:r>
      <w:r>
        <w:rPr/>
        <w:t>of</w:t>
      </w:r>
      <w:r>
        <w:rPr>
          <w:spacing w:val="-7"/>
        </w:rPr>
        <w:t> </w:t>
      </w:r>
      <w:r>
        <w:rPr/>
        <w:t>ameliorative</w:t>
      </w:r>
      <w:r>
        <w:rPr>
          <w:spacing w:val="-6"/>
        </w:rPr>
        <w:t> </w:t>
      </w:r>
      <w:r>
        <w:rPr/>
        <w:t>potentials</w:t>
      </w:r>
      <w:r>
        <w:rPr>
          <w:spacing w:val="-4"/>
        </w:rPr>
        <w:t> </w:t>
      </w:r>
      <w:r>
        <w:rPr/>
        <w:t>of</w:t>
      </w:r>
      <w:r>
        <w:rPr>
          <w:spacing w:val="-2"/>
        </w:rPr>
        <w:t> </w:t>
      </w:r>
      <w:r>
        <w:rPr>
          <w:i/>
        </w:rPr>
        <w:t>Mucuna</w:t>
      </w:r>
      <w:r>
        <w:rPr>
          <w:i/>
          <w:spacing w:val="-6"/>
        </w:rPr>
        <w:t> </w:t>
      </w:r>
      <w:r>
        <w:rPr>
          <w:i/>
        </w:rPr>
        <w:t>pruriens</w:t>
      </w:r>
      <w:r>
        <w:rPr>
          <w:i/>
          <w:spacing w:val="-5"/>
        </w:rPr>
        <w:t> </w:t>
      </w:r>
      <w:r>
        <w:rPr/>
        <w:t>on</w:t>
      </w:r>
      <w:r>
        <w:rPr>
          <w:spacing w:val="-6"/>
        </w:rPr>
        <w:t> </w:t>
      </w:r>
      <w:r>
        <w:rPr/>
        <w:t>the complications of diabetes mellitus</w:t>
      </w:r>
    </w:p>
    <w:p>
      <w:pPr>
        <w:pStyle w:val="Heading2"/>
        <w:numPr>
          <w:ilvl w:val="2"/>
          <w:numId w:val="43"/>
        </w:numPr>
        <w:tabs>
          <w:tab w:pos="1278" w:val="left" w:leader="none"/>
        </w:tabs>
        <w:spacing w:line="240" w:lineRule="auto" w:before="199" w:after="0"/>
        <w:ind w:left="1278" w:right="0" w:hanging="540"/>
        <w:jc w:val="both"/>
      </w:pPr>
      <w:bookmarkStart w:name="_TOC_250015" w:id="118"/>
      <w:r>
        <w:rPr/>
        <w:t>Biochemical</w:t>
      </w:r>
      <w:r>
        <w:rPr>
          <w:spacing w:val="-5"/>
        </w:rPr>
        <w:t> </w:t>
      </w:r>
      <w:r>
        <w:rPr/>
        <w:t>and</w:t>
      </w:r>
      <w:r>
        <w:rPr>
          <w:spacing w:val="-2"/>
        </w:rPr>
        <w:t> </w:t>
      </w:r>
      <w:r>
        <w:rPr/>
        <w:t>hematological</w:t>
      </w:r>
      <w:bookmarkEnd w:id="118"/>
      <w:r>
        <w:rPr>
          <w:spacing w:val="-2"/>
        </w:rPr>
        <w:t> studies</w:t>
      </w:r>
    </w:p>
    <w:p>
      <w:pPr>
        <w:pStyle w:val="BodyText"/>
        <w:spacing w:before="113"/>
        <w:ind w:left="1398"/>
        <w:jc w:val="both"/>
      </w:pPr>
      <w:r>
        <w:rPr/>
        <w:t>The</w:t>
      </w:r>
      <w:r>
        <w:rPr>
          <w:spacing w:val="8"/>
        </w:rPr>
        <w:t> </w:t>
      </w:r>
      <w:r>
        <w:rPr/>
        <w:t>results</w:t>
      </w:r>
      <w:r>
        <w:rPr>
          <w:spacing w:val="13"/>
        </w:rPr>
        <w:t> </w:t>
      </w:r>
      <w:r>
        <w:rPr/>
        <w:t>of</w:t>
      </w:r>
      <w:r>
        <w:rPr>
          <w:spacing w:val="12"/>
        </w:rPr>
        <w:t> </w:t>
      </w:r>
      <w:r>
        <w:rPr/>
        <w:t>the</w:t>
      </w:r>
      <w:r>
        <w:rPr>
          <w:spacing w:val="12"/>
        </w:rPr>
        <w:t> </w:t>
      </w:r>
      <w:r>
        <w:rPr/>
        <w:t>biochemical</w:t>
      </w:r>
      <w:r>
        <w:rPr>
          <w:spacing w:val="13"/>
        </w:rPr>
        <w:t> </w:t>
      </w:r>
      <w:r>
        <w:rPr/>
        <w:t>and</w:t>
      </w:r>
      <w:r>
        <w:rPr>
          <w:spacing w:val="12"/>
        </w:rPr>
        <w:t> </w:t>
      </w:r>
      <w:r>
        <w:rPr/>
        <w:t>haematological</w:t>
      </w:r>
      <w:r>
        <w:rPr>
          <w:spacing w:val="13"/>
        </w:rPr>
        <w:t> </w:t>
      </w:r>
      <w:r>
        <w:rPr/>
        <w:t>studies</w:t>
      </w:r>
      <w:r>
        <w:rPr>
          <w:spacing w:val="13"/>
        </w:rPr>
        <w:t> </w:t>
      </w:r>
      <w:r>
        <w:rPr/>
        <w:t>are</w:t>
      </w:r>
      <w:r>
        <w:rPr>
          <w:spacing w:val="11"/>
        </w:rPr>
        <w:t> </w:t>
      </w:r>
      <w:r>
        <w:rPr/>
        <w:t>presented</w:t>
      </w:r>
      <w:r>
        <w:rPr>
          <w:spacing w:val="12"/>
        </w:rPr>
        <w:t> </w:t>
      </w:r>
      <w:r>
        <w:rPr/>
        <w:t>in</w:t>
      </w:r>
      <w:r>
        <w:rPr>
          <w:spacing w:val="15"/>
        </w:rPr>
        <w:t> </w:t>
      </w:r>
      <w:r>
        <w:rPr>
          <w:spacing w:val="-2"/>
        </w:rPr>
        <w:t>Tables</w:t>
      </w:r>
    </w:p>
    <w:p>
      <w:pPr>
        <w:pStyle w:val="BodyText"/>
        <w:spacing w:line="360" w:lineRule="auto" w:before="136"/>
        <w:ind w:left="678" w:right="999"/>
        <w:jc w:val="both"/>
      </w:pPr>
      <w:r>
        <w:rPr/>
        <w:t>3.7 - 3.9 while their various representative plots are presented in Figures 3.4 - 3.6. The diabetic rats showed significant (p &lt; 0.05) elevated levels of plasma cholesterol, triglycerides, urea, creatinine (Table 3.7), AST, total bilirubin and ALT</w:t>
      </w:r>
      <w:r>
        <w:rPr>
          <w:spacing w:val="40"/>
        </w:rPr>
        <w:t> </w:t>
      </w:r>
      <w:r>
        <w:rPr/>
        <w:t>with concomitant decrease in total plasma protein (Table 3.8) when compared with normal rats. Plasma cholesterol, triglycerides, LDL, creatinine, urea and alkaline phosphatase levels decreased significantly (p &lt; 0.05) by glibenclamide and </w:t>
      </w:r>
      <w:r>
        <w:rPr>
          <w:i/>
        </w:rPr>
        <w:t>Mucuna pruriens </w:t>
      </w:r>
      <w:r>
        <w:rPr/>
        <w:t>extract after 12 weeks of administration compared with diabetic rats as shown in Table 3.7. High density lipoproteins (HDL) levels also increased (p &lt; 0.05) significantly following the administration of glibenclamide and </w:t>
      </w:r>
      <w:r>
        <w:rPr>
          <w:i/>
        </w:rPr>
        <w:t>Mucuna pruriens </w:t>
      </w:r>
      <w:r>
        <w:rPr/>
        <w:t>extract compared with diabetic control (Table 3.7). Following the administration of </w:t>
      </w:r>
      <w:r>
        <w:rPr>
          <w:i/>
        </w:rPr>
        <w:t>Mucuna pruriens </w:t>
      </w:r>
      <w:r>
        <w:rPr/>
        <w:t>seed extract or glibenclamide (5 mg/kg), cholesterol, triglycerides (Table 3.7) and total plasma protein levels (Table 3.8) were restored to near normal. The present results show that plasma urea and creatinine levels (Table 3.7) increased in diabetic rats when compared with normal </w:t>
      </w:r>
      <w:r>
        <w:rPr>
          <w:spacing w:val="-2"/>
        </w:rPr>
        <w:t>rats.</w:t>
      </w:r>
    </w:p>
    <w:p>
      <w:pPr>
        <w:pStyle w:val="BodyText"/>
        <w:spacing w:line="360" w:lineRule="auto" w:before="117"/>
        <w:ind w:left="678" w:right="1003" w:firstLine="720"/>
        <w:jc w:val="both"/>
      </w:pPr>
      <w:r>
        <w:rPr/>
        <w:t>The administration of </w:t>
      </w:r>
      <w:r>
        <w:rPr>
          <w:i/>
        </w:rPr>
        <w:t>Mucuna pruriens </w:t>
      </w:r>
      <w:r>
        <w:rPr/>
        <w:t>seeds extracts significantly (p &lt; 0.05) decreased plasma urea and creatinine when compared with diabetic rats (Table 3.7). Administration of </w:t>
      </w:r>
      <w:r>
        <w:rPr>
          <w:i/>
        </w:rPr>
        <w:t>Mucuna pruriens </w:t>
      </w:r>
      <w:r>
        <w:rPr/>
        <w:t>extract and glibenclamide restored the above biochemical parameters to almost normal values. There was significant (p &lt; 0.05)</w:t>
      </w:r>
      <w:r>
        <w:rPr>
          <w:spacing w:val="40"/>
        </w:rPr>
        <w:t> </w:t>
      </w:r>
      <w:r>
        <w:rPr/>
        <w:t>decrease in plasma Na</w:t>
      </w:r>
      <w:r>
        <w:rPr>
          <w:vertAlign w:val="superscript"/>
        </w:rPr>
        <w:t>+</w:t>
      </w:r>
      <w:r>
        <w:rPr>
          <w:vertAlign w:val="baseline"/>
        </w:rPr>
        <w:t>, K</w:t>
      </w:r>
      <w:r>
        <w:rPr>
          <w:vertAlign w:val="superscript"/>
        </w:rPr>
        <w:t>+</w:t>
      </w:r>
      <w:r>
        <w:rPr>
          <w:vertAlign w:val="baseline"/>
        </w:rPr>
        <w:t>, Cl</w:t>
      </w:r>
      <w:r>
        <w:rPr>
          <w:vertAlign w:val="superscript"/>
        </w:rPr>
        <w:t>-</w:t>
      </w:r>
      <w:r>
        <w:rPr>
          <w:vertAlign w:val="baseline"/>
        </w:rPr>
        <w:t> and HC0</w:t>
      </w:r>
      <w:r>
        <w:rPr>
          <w:vertAlign w:val="superscript"/>
        </w:rPr>
        <w:t>3-</w:t>
      </w:r>
      <w:r>
        <w:rPr>
          <w:vertAlign w:val="baseline"/>
        </w:rPr>
        <w:t> in alloxan treated group (Table 3.9). Administration of </w:t>
      </w:r>
      <w:r>
        <w:rPr>
          <w:i/>
          <w:vertAlign w:val="baseline"/>
        </w:rPr>
        <w:t>Mucuna pruriens </w:t>
      </w:r>
      <w:r>
        <w:rPr>
          <w:vertAlign w:val="baseline"/>
        </w:rPr>
        <w:t>seeds extracts or glibenclamide ameliorated depletion of Na</w:t>
      </w:r>
      <w:r>
        <w:rPr>
          <w:vertAlign w:val="superscript"/>
        </w:rPr>
        <w:t>+</w:t>
      </w:r>
      <w:r>
        <w:rPr>
          <w:vertAlign w:val="baseline"/>
        </w:rPr>
        <w:t>, Cl</w:t>
      </w:r>
      <w:r>
        <w:rPr>
          <w:vertAlign w:val="superscript"/>
        </w:rPr>
        <w:t>-</w:t>
      </w:r>
      <w:r>
        <w:rPr>
          <w:vertAlign w:val="baseline"/>
        </w:rPr>
        <w:t> and HC0</w:t>
      </w:r>
      <w:r>
        <w:rPr>
          <w:vertAlign w:val="superscript"/>
        </w:rPr>
        <w:t>3-</w:t>
      </w:r>
      <w:r>
        <w:rPr>
          <w:spacing w:val="-8"/>
          <w:vertAlign w:val="baseline"/>
        </w:rPr>
        <w:t> </w:t>
      </w:r>
      <w:r>
        <w:rPr>
          <w:vertAlign w:val="baseline"/>
        </w:rPr>
        <w:t>but not</w:t>
      </w:r>
      <w:r>
        <w:rPr>
          <w:spacing w:val="-6"/>
          <w:vertAlign w:val="baseline"/>
        </w:rPr>
        <w:t> </w:t>
      </w:r>
      <w:r>
        <w:rPr>
          <w:vertAlign w:val="baseline"/>
        </w:rPr>
        <w:t>K</w:t>
      </w:r>
      <w:r>
        <w:rPr>
          <w:vertAlign w:val="superscript"/>
        </w:rPr>
        <w:t>+</w:t>
      </w:r>
      <w:r>
        <w:rPr>
          <w:vertAlign w:val="baseline"/>
        </w:rPr>
        <w:t> ion. The graphical representations of the various effects of</w:t>
      </w:r>
      <w:r>
        <w:rPr>
          <w:spacing w:val="-4"/>
          <w:vertAlign w:val="baseline"/>
        </w:rPr>
        <w:t> </w:t>
      </w:r>
      <w:r>
        <w:rPr>
          <w:vertAlign w:val="baseline"/>
        </w:rPr>
        <w:t>ethanol</w:t>
      </w:r>
      <w:r>
        <w:rPr>
          <w:spacing w:val="-3"/>
          <w:vertAlign w:val="baseline"/>
        </w:rPr>
        <w:t> </w:t>
      </w:r>
      <w:r>
        <w:rPr>
          <w:vertAlign w:val="baseline"/>
        </w:rPr>
        <w:t>seed</w:t>
      </w:r>
      <w:r>
        <w:rPr>
          <w:spacing w:val="-3"/>
          <w:vertAlign w:val="baseline"/>
        </w:rPr>
        <w:t> </w:t>
      </w:r>
      <w:r>
        <w:rPr>
          <w:vertAlign w:val="baseline"/>
        </w:rPr>
        <w:t>extract</w:t>
      </w:r>
      <w:r>
        <w:rPr>
          <w:spacing w:val="-3"/>
          <w:vertAlign w:val="baseline"/>
        </w:rPr>
        <w:t> </w:t>
      </w:r>
      <w:r>
        <w:rPr>
          <w:vertAlign w:val="baseline"/>
        </w:rPr>
        <w:t>of </w:t>
      </w:r>
      <w:r>
        <w:rPr>
          <w:i/>
          <w:vertAlign w:val="baseline"/>
        </w:rPr>
        <w:t>Mucuna</w:t>
      </w:r>
      <w:r>
        <w:rPr>
          <w:i/>
          <w:spacing w:val="-3"/>
          <w:vertAlign w:val="baseline"/>
        </w:rPr>
        <w:t> </w:t>
      </w:r>
      <w:r>
        <w:rPr>
          <w:i/>
          <w:vertAlign w:val="baseline"/>
        </w:rPr>
        <w:t>pruriens</w:t>
      </w:r>
      <w:r>
        <w:rPr>
          <w:i/>
          <w:spacing w:val="-3"/>
          <w:vertAlign w:val="baseline"/>
        </w:rPr>
        <w:t> </w:t>
      </w:r>
      <w:r>
        <w:rPr>
          <w:vertAlign w:val="baseline"/>
        </w:rPr>
        <w:t>on</w:t>
      </w:r>
      <w:r>
        <w:rPr>
          <w:spacing w:val="-3"/>
          <w:vertAlign w:val="baseline"/>
        </w:rPr>
        <w:t> </w:t>
      </w:r>
      <w:r>
        <w:rPr>
          <w:vertAlign w:val="baseline"/>
        </w:rPr>
        <w:t>the</w:t>
      </w:r>
      <w:r>
        <w:rPr>
          <w:spacing w:val="-2"/>
          <w:vertAlign w:val="baseline"/>
        </w:rPr>
        <w:t> </w:t>
      </w:r>
      <w:r>
        <w:rPr>
          <w:vertAlign w:val="baseline"/>
        </w:rPr>
        <w:t>liver</w:t>
      </w:r>
      <w:r>
        <w:rPr>
          <w:spacing w:val="-3"/>
          <w:vertAlign w:val="baseline"/>
        </w:rPr>
        <w:t> </w:t>
      </w:r>
      <w:r>
        <w:rPr>
          <w:vertAlign w:val="baseline"/>
        </w:rPr>
        <w:t>function</w:t>
      </w:r>
      <w:r>
        <w:rPr>
          <w:spacing w:val="-3"/>
          <w:vertAlign w:val="baseline"/>
        </w:rPr>
        <w:t> </w:t>
      </w:r>
      <w:r>
        <w:rPr>
          <w:vertAlign w:val="baseline"/>
        </w:rPr>
        <w:t>tests</w:t>
      </w:r>
      <w:r>
        <w:rPr>
          <w:spacing w:val="-3"/>
          <w:vertAlign w:val="baseline"/>
        </w:rPr>
        <w:t> </w:t>
      </w:r>
      <w:r>
        <w:rPr>
          <w:vertAlign w:val="baseline"/>
        </w:rPr>
        <w:t>are</w:t>
      </w:r>
      <w:r>
        <w:rPr>
          <w:spacing w:val="-4"/>
          <w:vertAlign w:val="baseline"/>
        </w:rPr>
        <w:t> </w:t>
      </w:r>
      <w:r>
        <w:rPr>
          <w:vertAlign w:val="baseline"/>
        </w:rPr>
        <w:t>shown</w:t>
      </w:r>
      <w:r>
        <w:rPr>
          <w:spacing w:val="-3"/>
          <w:vertAlign w:val="baseline"/>
        </w:rPr>
        <w:t> </w:t>
      </w:r>
      <w:r>
        <w:rPr>
          <w:vertAlign w:val="baseline"/>
        </w:rPr>
        <w:t>in</w:t>
      </w:r>
      <w:r>
        <w:rPr>
          <w:spacing w:val="-3"/>
          <w:vertAlign w:val="baseline"/>
        </w:rPr>
        <w:t> </w:t>
      </w:r>
      <w:r>
        <w:rPr>
          <w:vertAlign w:val="baseline"/>
        </w:rPr>
        <w:t>Figures 3.4a, b and c, while the graphical representations of the effects of different doses of the seed extract of </w:t>
      </w:r>
      <w:r>
        <w:rPr>
          <w:i/>
          <w:vertAlign w:val="baseline"/>
        </w:rPr>
        <w:t>Mucuna pruriens </w:t>
      </w:r>
      <w:r>
        <w:rPr>
          <w:vertAlign w:val="baseline"/>
        </w:rPr>
        <w:t>on the plasma total cholesterol, triglycerides, high</w:t>
      </w:r>
      <w:r>
        <w:rPr>
          <w:spacing w:val="40"/>
          <w:vertAlign w:val="baseline"/>
        </w:rPr>
        <w:t> </w:t>
      </w:r>
      <w:r>
        <w:rPr>
          <w:vertAlign w:val="baseline"/>
        </w:rPr>
        <w:t>density lipoprotein, low density lipoprotein, blood urea nitrogen and creatinine are shown in Figure. 3.5.</w:t>
      </w:r>
    </w:p>
    <w:p>
      <w:pPr>
        <w:spacing w:after="0" w:line="360" w:lineRule="auto"/>
        <w:jc w:val="both"/>
        <w:sectPr>
          <w:pgSz w:w="12240" w:h="15840"/>
          <w:pgMar w:header="0" w:footer="1056" w:top="1340" w:bottom="1240" w:left="1420" w:right="420"/>
        </w:sectPr>
      </w:pPr>
    </w:p>
    <w:p>
      <w:pPr>
        <w:pStyle w:val="BodyText"/>
      </w:pPr>
      <w:r>
        <w:rPr/>
        <mc:AlternateContent>
          <mc:Choice Requires="wps">
            <w:drawing>
              <wp:anchor distT="0" distB="0" distL="0" distR="0" allowOverlap="1" layoutInCell="1" locked="0" behindDoc="0" simplePos="0" relativeHeight="15806976">
                <wp:simplePos x="0" y="0"/>
                <wp:positionH relativeFrom="page">
                  <wp:posOffset>-1402226</wp:posOffset>
                </wp:positionH>
                <wp:positionV relativeFrom="page">
                  <wp:posOffset>4612234</wp:posOffset>
                </wp:positionV>
                <wp:extent cx="10685780" cy="91440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6976;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ind w:left="1398"/>
      </w:pPr>
      <w:r>
        <w:rPr/>
        <w:t>TABLE</w:t>
      </w:r>
      <w:r>
        <w:rPr>
          <w:spacing w:val="-3"/>
        </w:rPr>
        <w:t> </w:t>
      </w:r>
      <w:r>
        <w:rPr>
          <w:spacing w:val="-5"/>
        </w:rPr>
        <w:t>3.7</w:t>
      </w:r>
    </w:p>
    <w:p>
      <w:pPr>
        <w:spacing w:after="0"/>
        <w:sectPr>
          <w:pgSz w:w="12240" w:h="15840"/>
          <w:pgMar w:header="0" w:footer="1056" w:top="1820" w:bottom="1240" w:left="1420" w:right="420"/>
        </w:sectPr>
      </w:pPr>
    </w:p>
    <w:p>
      <w:pPr>
        <w:pStyle w:val="BodyText"/>
      </w:pPr>
      <w:r>
        <w:rPr/>
        <mc:AlternateContent>
          <mc:Choice Requires="wps">
            <w:drawing>
              <wp:anchor distT="0" distB="0" distL="0" distR="0" allowOverlap="1" layoutInCell="1" locked="0" behindDoc="0" simplePos="0" relativeHeight="15807488">
                <wp:simplePos x="0" y="0"/>
                <wp:positionH relativeFrom="page">
                  <wp:posOffset>-1402226</wp:posOffset>
                </wp:positionH>
                <wp:positionV relativeFrom="page">
                  <wp:posOffset>4612234</wp:posOffset>
                </wp:positionV>
                <wp:extent cx="10685780" cy="9144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748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1"/>
      </w:pPr>
    </w:p>
    <w:p>
      <w:pPr>
        <w:pStyle w:val="BodyText"/>
        <w:ind w:left="1398"/>
      </w:pPr>
      <w:r>
        <w:rPr/>
        <w:t>TABLE</w:t>
      </w:r>
      <w:r>
        <w:rPr>
          <w:spacing w:val="-3"/>
        </w:rPr>
        <w:t> </w:t>
      </w:r>
      <w:r>
        <w:rPr>
          <w:spacing w:val="-5"/>
        </w:rPr>
        <w:t>3.8</w:t>
      </w:r>
    </w:p>
    <w:p>
      <w:pPr>
        <w:spacing w:after="0"/>
        <w:sectPr>
          <w:pgSz w:w="12240" w:h="15840"/>
          <w:pgMar w:header="0" w:footer="1056" w:top="1820" w:bottom="1240" w:left="1420" w:right="420"/>
        </w:sectPr>
      </w:pPr>
    </w:p>
    <w:p>
      <w:pPr>
        <w:pStyle w:val="BodyText"/>
      </w:pPr>
      <w:r>
        <w:rPr/>
        <mc:AlternateContent>
          <mc:Choice Requires="wps">
            <w:drawing>
              <wp:anchor distT="0" distB="0" distL="0" distR="0" allowOverlap="1" layoutInCell="1" locked="0" behindDoc="0" simplePos="0" relativeHeight="15808000">
                <wp:simplePos x="0" y="0"/>
                <wp:positionH relativeFrom="page">
                  <wp:posOffset>-1402226</wp:posOffset>
                </wp:positionH>
                <wp:positionV relativeFrom="page">
                  <wp:posOffset>4612234</wp:posOffset>
                </wp:positionV>
                <wp:extent cx="10685780" cy="9144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1580800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1"/>
      </w:pPr>
    </w:p>
    <w:p>
      <w:pPr>
        <w:pStyle w:val="BodyText"/>
        <w:ind w:left="1398"/>
      </w:pPr>
      <w:r>
        <w:rPr/>
        <w:t>TABLE</w:t>
      </w:r>
      <w:r>
        <w:rPr>
          <w:spacing w:val="-3"/>
        </w:rPr>
        <w:t> </w:t>
      </w:r>
      <w:r>
        <w:rPr>
          <w:spacing w:val="-5"/>
        </w:rPr>
        <w:t>3.9</w:t>
      </w:r>
    </w:p>
    <w:p>
      <w:pPr>
        <w:spacing w:after="0"/>
        <w:sectPr>
          <w:pgSz w:w="12240" w:h="15840"/>
          <w:pgMar w:header="0" w:footer="1056" w:top="1820" w:bottom="1240" w:left="1420" w:right="420"/>
        </w:sectPr>
      </w:pPr>
    </w:p>
    <w:p>
      <w:pPr>
        <w:pStyle w:val="BodyText"/>
        <w:rPr>
          <w:sz w:val="20"/>
        </w:rPr>
      </w:pPr>
      <w:r>
        <w:rPr/>
        <mc:AlternateContent>
          <mc:Choice Requires="wps">
            <w:drawing>
              <wp:anchor distT="0" distB="0" distL="0" distR="0" allowOverlap="1" layoutInCell="1" locked="0" behindDoc="1" simplePos="0" relativeHeight="482982400">
                <wp:simplePos x="0" y="0"/>
                <wp:positionH relativeFrom="page">
                  <wp:posOffset>-1402226</wp:posOffset>
                </wp:positionH>
                <wp:positionV relativeFrom="page">
                  <wp:posOffset>4612234</wp:posOffset>
                </wp:positionV>
                <wp:extent cx="10685780" cy="9144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34080;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ind w:left="831"/>
        <w:rPr>
          <w:sz w:val="20"/>
        </w:rPr>
      </w:pPr>
      <w:r>
        <w:rPr>
          <w:sz w:val="20"/>
        </w:rPr>
        <w:drawing>
          <wp:inline distT="0" distB="0" distL="0" distR="0">
            <wp:extent cx="5622602" cy="2596896"/>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39" cstate="print"/>
                    <a:stretch>
                      <a:fillRect/>
                    </a:stretch>
                  </pic:blipFill>
                  <pic:spPr>
                    <a:xfrm>
                      <a:off x="0" y="0"/>
                      <a:ext cx="5622602" cy="2596896"/>
                    </a:xfrm>
                    <a:prstGeom prst="rect">
                      <a:avLst/>
                    </a:prstGeom>
                  </pic:spPr>
                </pic:pic>
              </a:graphicData>
            </a:graphic>
          </wp:inline>
        </w:drawing>
      </w:r>
      <w:r>
        <w:rPr>
          <w:sz w:val="20"/>
        </w:rPr>
      </w:r>
    </w:p>
    <w:p>
      <w:pPr>
        <w:pStyle w:val="BodyText"/>
      </w:pPr>
    </w:p>
    <w:p>
      <w:pPr>
        <w:pStyle w:val="BodyText"/>
      </w:pPr>
    </w:p>
    <w:p>
      <w:pPr>
        <w:pStyle w:val="BodyText"/>
        <w:spacing w:before="160"/>
      </w:pPr>
    </w:p>
    <w:p>
      <w:pPr>
        <w:spacing w:before="0"/>
        <w:ind w:left="2379" w:right="1386" w:hanging="982"/>
        <w:jc w:val="left"/>
        <w:rPr>
          <w:b/>
          <w:sz w:val="24"/>
        </w:rPr>
      </w:pPr>
      <w:r>
        <w:rPr>
          <w:b/>
          <w:sz w:val="24"/>
        </w:rPr>
        <w:t>Fig. 3.4a: Effects of doses of ethanolic seed extract of </w:t>
      </w:r>
      <w:r>
        <w:rPr>
          <w:b/>
          <w:i/>
          <w:sz w:val="24"/>
        </w:rPr>
        <w:t>M.pruriens </w:t>
      </w:r>
      <w:r>
        <w:rPr>
          <w:b/>
          <w:sz w:val="24"/>
        </w:rPr>
        <w:t>and glibenclamide</w:t>
      </w:r>
      <w:r>
        <w:rPr>
          <w:b/>
          <w:spacing w:val="-5"/>
          <w:sz w:val="24"/>
        </w:rPr>
        <w:t> </w:t>
      </w:r>
      <w:r>
        <w:rPr>
          <w:b/>
          <w:sz w:val="24"/>
        </w:rPr>
        <w:t>on</w:t>
      </w:r>
      <w:r>
        <w:rPr>
          <w:b/>
          <w:spacing w:val="-5"/>
          <w:sz w:val="24"/>
        </w:rPr>
        <w:t> </w:t>
      </w:r>
      <w:r>
        <w:rPr>
          <w:b/>
          <w:sz w:val="24"/>
        </w:rPr>
        <w:t>liver</w:t>
      </w:r>
      <w:r>
        <w:rPr>
          <w:b/>
          <w:spacing w:val="-5"/>
          <w:sz w:val="24"/>
        </w:rPr>
        <w:t> </w:t>
      </w:r>
      <w:r>
        <w:rPr>
          <w:b/>
          <w:sz w:val="24"/>
        </w:rPr>
        <w:t>function</w:t>
      </w:r>
      <w:r>
        <w:rPr>
          <w:b/>
          <w:spacing w:val="-5"/>
          <w:sz w:val="24"/>
        </w:rPr>
        <w:t> </w:t>
      </w:r>
      <w:r>
        <w:rPr>
          <w:b/>
          <w:sz w:val="24"/>
        </w:rPr>
        <w:t>test</w:t>
      </w:r>
      <w:r>
        <w:rPr>
          <w:b/>
          <w:spacing w:val="-5"/>
          <w:sz w:val="24"/>
        </w:rPr>
        <w:t> </w:t>
      </w:r>
      <w:r>
        <w:rPr>
          <w:b/>
          <w:sz w:val="24"/>
        </w:rPr>
        <w:t>[(Total</w:t>
      </w:r>
      <w:r>
        <w:rPr>
          <w:b/>
          <w:spacing w:val="-5"/>
          <w:sz w:val="24"/>
        </w:rPr>
        <w:t> </w:t>
      </w:r>
      <w:r>
        <w:rPr>
          <w:b/>
          <w:sz w:val="24"/>
        </w:rPr>
        <w:t>Bilirubin</w:t>
      </w:r>
      <w:r>
        <w:rPr>
          <w:b/>
          <w:spacing w:val="-4"/>
          <w:sz w:val="24"/>
        </w:rPr>
        <w:t> </w:t>
      </w:r>
      <w:r>
        <w:rPr>
          <w:b/>
          <w:sz w:val="24"/>
        </w:rPr>
        <w:t>(TB)</w:t>
      </w:r>
      <w:r>
        <w:rPr>
          <w:b/>
          <w:spacing w:val="-5"/>
          <w:sz w:val="24"/>
        </w:rPr>
        <w:t> </w:t>
      </w:r>
      <w:r>
        <w:rPr>
          <w:b/>
          <w:sz w:val="24"/>
        </w:rPr>
        <w:t>and Direct Bilirubin (DB)].</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2982912">
                <wp:simplePos x="0" y="0"/>
                <wp:positionH relativeFrom="page">
                  <wp:posOffset>3861220</wp:posOffset>
                </wp:positionH>
                <wp:positionV relativeFrom="page">
                  <wp:posOffset>3734575</wp:posOffset>
                </wp:positionV>
                <wp:extent cx="1287780" cy="9144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33568;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83424">
                <wp:simplePos x="0" y="0"/>
                <wp:positionH relativeFrom="page">
                  <wp:posOffset>4288097</wp:posOffset>
                </wp:positionH>
                <wp:positionV relativeFrom="page">
                  <wp:posOffset>1617859</wp:posOffset>
                </wp:positionV>
                <wp:extent cx="3421379" cy="9144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33056;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83936">
                <wp:simplePos x="0" y="0"/>
                <wp:positionH relativeFrom="page">
                  <wp:posOffset>-316181</wp:posOffset>
                </wp:positionH>
                <wp:positionV relativeFrom="page">
                  <wp:posOffset>6721518</wp:posOffset>
                </wp:positionV>
                <wp:extent cx="5504815" cy="9144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32544;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9"/>
        <w:rPr>
          <w:b/>
          <w:sz w:val="20"/>
        </w:rPr>
      </w:pPr>
    </w:p>
    <w:p>
      <w:pPr>
        <w:pStyle w:val="BodyText"/>
        <w:ind w:left="764"/>
        <w:rPr>
          <w:sz w:val="20"/>
        </w:rPr>
      </w:pPr>
      <w:r>
        <w:rPr>
          <w:sz w:val="20"/>
        </w:rPr>
        <w:drawing>
          <wp:inline distT="0" distB="0" distL="0" distR="0">
            <wp:extent cx="5363400" cy="3901440"/>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40" cstate="print"/>
                    <a:stretch>
                      <a:fillRect/>
                    </a:stretch>
                  </pic:blipFill>
                  <pic:spPr>
                    <a:xfrm>
                      <a:off x="0" y="0"/>
                      <a:ext cx="5363400" cy="3901440"/>
                    </a:xfrm>
                    <a:prstGeom prst="rect">
                      <a:avLst/>
                    </a:prstGeom>
                  </pic:spPr>
                </pic:pic>
              </a:graphicData>
            </a:graphic>
          </wp:inline>
        </w:drawing>
      </w:r>
      <w:r>
        <w:rPr>
          <w:sz w:val="20"/>
        </w:rPr>
      </w:r>
    </w:p>
    <w:p>
      <w:pPr>
        <w:pStyle w:val="BodyText"/>
        <w:spacing w:before="224"/>
        <w:rPr>
          <w:b/>
        </w:rPr>
      </w:pPr>
    </w:p>
    <w:p>
      <w:pPr>
        <w:spacing w:before="0"/>
        <w:ind w:left="2379" w:right="1041" w:hanging="982"/>
        <w:jc w:val="left"/>
        <w:rPr>
          <w:b/>
          <w:sz w:val="24"/>
        </w:rPr>
      </w:pPr>
      <w:r>
        <w:rPr>
          <w:b/>
          <w:sz w:val="24"/>
        </w:rPr>
        <w:t>Fig. 3.4b: Effects of doses of ethanolic seed extract of </w:t>
      </w:r>
      <w:r>
        <w:rPr>
          <w:b/>
          <w:i/>
          <w:sz w:val="24"/>
        </w:rPr>
        <w:t>M. pruriens </w:t>
      </w:r>
      <w:r>
        <w:rPr>
          <w:b/>
          <w:sz w:val="24"/>
        </w:rPr>
        <w:t>and glibenclamide</w:t>
      </w:r>
      <w:r>
        <w:rPr>
          <w:b/>
          <w:spacing w:val="-5"/>
          <w:sz w:val="24"/>
        </w:rPr>
        <w:t> </w:t>
      </w:r>
      <w:r>
        <w:rPr>
          <w:b/>
          <w:sz w:val="24"/>
        </w:rPr>
        <w:t>on</w:t>
      </w:r>
      <w:r>
        <w:rPr>
          <w:b/>
          <w:spacing w:val="-5"/>
          <w:sz w:val="24"/>
        </w:rPr>
        <w:t> </w:t>
      </w:r>
      <w:r>
        <w:rPr>
          <w:b/>
          <w:sz w:val="24"/>
        </w:rPr>
        <w:t>liver</w:t>
      </w:r>
      <w:r>
        <w:rPr>
          <w:b/>
          <w:spacing w:val="-5"/>
          <w:sz w:val="24"/>
        </w:rPr>
        <w:t> </w:t>
      </w:r>
      <w:r>
        <w:rPr>
          <w:b/>
          <w:sz w:val="24"/>
        </w:rPr>
        <w:t>function</w:t>
      </w:r>
      <w:r>
        <w:rPr>
          <w:b/>
          <w:spacing w:val="-5"/>
          <w:sz w:val="24"/>
        </w:rPr>
        <w:t> </w:t>
      </w:r>
      <w:r>
        <w:rPr>
          <w:b/>
          <w:sz w:val="24"/>
        </w:rPr>
        <w:t>tests</w:t>
      </w:r>
      <w:r>
        <w:rPr>
          <w:b/>
          <w:spacing w:val="-5"/>
          <w:sz w:val="24"/>
        </w:rPr>
        <w:t> </w:t>
      </w:r>
      <w:r>
        <w:rPr>
          <w:b/>
          <w:sz w:val="24"/>
        </w:rPr>
        <w:t>[(Alkaline</w:t>
      </w:r>
      <w:r>
        <w:rPr>
          <w:b/>
          <w:spacing w:val="-5"/>
          <w:sz w:val="24"/>
        </w:rPr>
        <w:t> </w:t>
      </w:r>
      <w:r>
        <w:rPr>
          <w:b/>
          <w:sz w:val="24"/>
        </w:rPr>
        <w:t>phosphatase</w:t>
      </w:r>
      <w:r>
        <w:rPr>
          <w:b/>
          <w:spacing w:val="-5"/>
          <w:sz w:val="24"/>
        </w:rPr>
        <w:t> </w:t>
      </w:r>
      <w:r>
        <w:rPr>
          <w:b/>
          <w:sz w:val="24"/>
        </w:rPr>
        <w:t>(ALP)</w:t>
      </w:r>
      <w:r>
        <w:rPr>
          <w:b/>
          <w:spacing w:val="-5"/>
          <w:sz w:val="24"/>
        </w:rPr>
        <w:t> </w:t>
      </w:r>
      <w:r>
        <w:rPr>
          <w:b/>
          <w:sz w:val="24"/>
        </w:rPr>
        <w:t>, Aspartame aminotransferase(AST) , Alanine aminotransferase (ALT) and Gamma glutt amyltransferase (GGT).</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2984448">
                <wp:simplePos x="0" y="0"/>
                <wp:positionH relativeFrom="page">
                  <wp:posOffset>3861220</wp:posOffset>
                </wp:positionH>
                <wp:positionV relativeFrom="page">
                  <wp:posOffset>3734575</wp:posOffset>
                </wp:positionV>
                <wp:extent cx="1287780" cy="91440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32032;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84960">
                <wp:simplePos x="0" y="0"/>
                <wp:positionH relativeFrom="page">
                  <wp:posOffset>4288097</wp:posOffset>
                </wp:positionH>
                <wp:positionV relativeFrom="page">
                  <wp:posOffset>1617859</wp:posOffset>
                </wp:positionV>
                <wp:extent cx="3421379" cy="9144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3152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85472">
                <wp:simplePos x="0" y="0"/>
                <wp:positionH relativeFrom="page">
                  <wp:posOffset>-316181</wp:posOffset>
                </wp:positionH>
                <wp:positionV relativeFrom="page">
                  <wp:posOffset>6721518</wp:posOffset>
                </wp:positionV>
                <wp:extent cx="5504815" cy="9144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31008;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5"/>
        <w:rPr>
          <w:b/>
          <w:sz w:val="20"/>
        </w:rPr>
      </w:pPr>
    </w:p>
    <w:p>
      <w:pPr>
        <w:pStyle w:val="BodyText"/>
        <w:ind w:left="1504"/>
        <w:rPr>
          <w:sz w:val="20"/>
        </w:rPr>
      </w:pPr>
      <w:r>
        <w:rPr>
          <w:sz w:val="20"/>
        </w:rPr>
        <w:drawing>
          <wp:inline distT="0" distB="0" distL="0" distR="0">
            <wp:extent cx="5333634" cy="4126991"/>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41" cstate="print"/>
                    <a:stretch>
                      <a:fillRect/>
                    </a:stretch>
                  </pic:blipFill>
                  <pic:spPr>
                    <a:xfrm>
                      <a:off x="0" y="0"/>
                      <a:ext cx="5333634" cy="4126991"/>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269"/>
        <w:rPr>
          <w:b/>
        </w:rPr>
      </w:pPr>
    </w:p>
    <w:p>
      <w:pPr>
        <w:spacing w:before="0"/>
        <w:ind w:left="2379" w:right="1679" w:hanging="982"/>
        <w:jc w:val="left"/>
        <w:rPr>
          <w:b/>
          <w:sz w:val="24"/>
        </w:rPr>
      </w:pPr>
      <w:r>
        <w:rPr>
          <w:b/>
          <w:sz w:val="24"/>
        </w:rPr>
        <w:t>Fig. 3.4c: Effects of doses of ethanolic seed extract of </w:t>
      </w:r>
      <w:r>
        <w:rPr>
          <w:b/>
          <w:i/>
          <w:sz w:val="24"/>
        </w:rPr>
        <w:t>M. pruriens </w:t>
      </w:r>
      <w:r>
        <w:rPr>
          <w:b/>
          <w:sz w:val="24"/>
        </w:rPr>
        <w:t>and glibenclamide</w:t>
      </w:r>
      <w:r>
        <w:rPr>
          <w:b/>
          <w:spacing w:val="-6"/>
          <w:sz w:val="24"/>
        </w:rPr>
        <w:t> </w:t>
      </w:r>
      <w:r>
        <w:rPr>
          <w:b/>
          <w:sz w:val="24"/>
        </w:rPr>
        <w:t>on</w:t>
      </w:r>
      <w:r>
        <w:rPr>
          <w:b/>
          <w:spacing w:val="-5"/>
          <w:sz w:val="24"/>
        </w:rPr>
        <w:t> </w:t>
      </w:r>
      <w:r>
        <w:rPr>
          <w:b/>
          <w:sz w:val="24"/>
        </w:rPr>
        <w:t>liver</w:t>
      </w:r>
      <w:r>
        <w:rPr>
          <w:b/>
          <w:spacing w:val="-6"/>
          <w:sz w:val="24"/>
        </w:rPr>
        <w:t> </w:t>
      </w:r>
      <w:r>
        <w:rPr>
          <w:b/>
          <w:sz w:val="24"/>
        </w:rPr>
        <w:t>function</w:t>
      </w:r>
      <w:r>
        <w:rPr>
          <w:b/>
          <w:spacing w:val="-5"/>
          <w:sz w:val="24"/>
        </w:rPr>
        <w:t> </w:t>
      </w:r>
      <w:r>
        <w:rPr>
          <w:b/>
          <w:sz w:val="24"/>
        </w:rPr>
        <w:t>tests</w:t>
      </w:r>
      <w:r>
        <w:rPr>
          <w:b/>
          <w:spacing w:val="-5"/>
          <w:sz w:val="24"/>
        </w:rPr>
        <w:t> </w:t>
      </w:r>
      <w:r>
        <w:rPr>
          <w:b/>
          <w:sz w:val="24"/>
        </w:rPr>
        <w:t>[(Total</w:t>
      </w:r>
      <w:r>
        <w:rPr>
          <w:b/>
          <w:spacing w:val="-5"/>
          <w:sz w:val="24"/>
        </w:rPr>
        <w:t> </w:t>
      </w:r>
      <w:r>
        <w:rPr>
          <w:b/>
          <w:sz w:val="24"/>
        </w:rPr>
        <w:t>protein</w:t>
      </w:r>
      <w:r>
        <w:rPr>
          <w:b/>
          <w:spacing w:val="-4"/>
          <w:sz w:val="24"/>
        </w:rPr>
        <w:t> </w:t>
      </w:r>
      <w:r>
        <w:rPr>
          <w:b/>
          <w:sz w:val="24"/>
        </w:rPr>
        <w:t>(TP)</w:t>
      </w:r>
      <w:r>
        <w:rPr>
          <w:b/>
          <w:spacing w:val="-6"/>
          <w:sz w:val="24"/>
        </w:rPr>
        <w:t> </w:t>
      </w:r>
      <w:r>
        <w:rPr>
          <w:b/>
          <w:sz w:val="24"/>
        </w:rPr>
        <w:t>and Albumin (ALB)]</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2985984">
                <wp:simplePos x="0" y="0"/>
                <wp:positionH relativeFrom="page">
                  <wp:posOffset>3861220</wp:posOffset>
                </wp:positionH>
                <wp:positionV relativeFrom="page">
                  <wp:posOffset>3734575</wp:posOffset>
                </wp:positionV>
                <wp:extent cx="1287780" cy="91440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30496;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86496">
                <wp:simplePos x="0" y="0"/>
                <wp:positionH relativeFrom="page">
                  <wp:posOffset>4288097</wp:posOffset>
                </wp:positionH>
                <wp:positionV relativeFrom="page">
                  <wp:posOffset>1617859</wp:posOffset>
                </wp:positionV>
                <wp:extent cx="3421379" cy="91440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29984;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87008">
                <wp:simplePos x="0" y="0"/>
                <wp:positionH relativeFrom="page">
                  <wp:posOffset>-316181</wp:posOffset>
                </wp:positionH>
                <wp:positionV relativeFrom="page">
                  <wp:posOffset>6721518</wp:posOffset>
                </wp:positionV>
                <wp:extent cx="5504815" cy="9144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29472;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4"/>
        <w:rPr>
          <w:b/>
          <w:sz w:val="20"/>
        </w:rPr>
      </w:pPr>
    </w:p>
    <w:p>
      <w:pPr>
        <w:pStyle w:val="BodyText"/>
        <w:ind w:left="822"/>
        <w:rPr>
          <w:sz w:val="20"/>
        </w:rPr>
      </w:pPr>
      <w:r>
        <w:rPr>
          <w:sz w:val="20"/>
        </w:rPr>
        <w:drawing>
          <wp:inline distT="0" distB="0" distL="0" distR="0">
            <wp:extent cx="5373445" cy="3779520"/>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42" cstate="print"/>
                    <a:stretch>
                      <a:fillRect/>
                    </a:stretch>
                  </pic:blipFill>
                  <pic:spPr>
                    <a:xfrm>
                      <a:off x="0" y="0"/>
                      <a:ext cx="5373445" cy="3779520"/>
                    </a:xfrm>
                    <a:prstGeom prst="rect">
                      <a:avLst/>
                    </a:prstGeom>
                  </pic:spPr>
                </pic:pic>
              </a:graphicData>
            </a:graphic>
          </wp:inline>
        </w:drawing>
      </w:r>
      <w:r>
        <w:rPr>
          <w:sz w:val="20"/>
        </w:rPr>
      </w:r>
    </w:p>
    <w:p>
      <w:pPr>
        <w:pStyle w:val="BodyText"/>
        <w:spacing w:before="5"/>
        <w:rPr>
          <w:b/>
        </w:rPr>
      </w:pPr>
    </w:p>
    <w:p>
      <w:pPr>
        <w:spacing w:before="1"/>
        <w:ind w:left="678" w:right="1082" w:firstLine="0"/>
        <w:jc w:val="left"/>
        <w:rPr>
          <w:b/>
          <w:sz w:val="24"/>
        </w:rPr>
      </w:pPr>
      <w:r>
        <w:rPr>
          <w:b/>
          <w:sz w:val="24"/>
        </w:rPr>
        <w:t>Fig. 3.5: Effects of different doses of ethanol seed extract of </w:t>
      </w:r>
      <w:r>
        <w:rPr>
          <w:b/>
          <w:i/>
          <w:sz w:val="24"/>
        </w:rPr>
        <w:t>M.pruriens </w:t>
      </w:r>
      <w:r>
        <w:rPr>
          <w:b/>
          <w:sz w:val="24"/>
        </w:rPr>
        <w:t>on the plasma total cholestrol, (TC), triglycerides, (TRI), high density lipoprotein (HDL), low</w:t>
      </w:r>
      <w:r>
        <w:rPr>
          <w:b/>
          <w:spacing w:val="-2"/>
          <w:sz w:val="24"/>
        </w:rPr>
        <w:t> </w:t>
      </w:r>
      <w:r>
        <w:rPr>
          <w:b/>
          <w:sz w:val="24"/>
        </w:rPr>
        <w:t>density</w:t>
      </w:r>
      <w:r>
        <w:rPr>
          <w:b/>
          <w:spacing w:val="-3"/>
          <w:sz w:val="24"/>
        </w:rPr>
        <w:t> </w:t>
      </w:r>
      <w:r>
        <w:rPr>
          <w:b/>
          <w:sz w:val="24"/>
        </w:rPr>
        <w:t>lipoprotein</w:t>
      </w:r>
      <w:r>
        <w:rPr>
          <w:b/>
          <w:spacing w:val="-3"/>
          <w:sz w:val="24"/>
        </w:rPr>
        <w:t> </w:t>
      </w:r>
      <w:r>
        <w:rPr>
          <w:b/>
          <w:sz w:val="24"/>
        </w:rPr>
        <w:t>(LDL),</w:t>
      </w:r>
      <w:r>
        <w:rPr>
          <w:b/>
          <w:spacing w:val="-3"/>
          <w:sz w:val="24"/>
        </w:rPr>
        <w:t> </w:t>
      </w:r>
      <w:r>
        <w:rPr>
          <w:b/>
          <w:sz w:val="24"/>
        </w:rPr>
        <w:t>BUN</w:t>
      </w:r>
      <w:r>
        <w:rPr>
          <w:b/>
          <w:spacing w:val="-4"/>
          <w:sz w:val="24"/>
        </w:rPr>
        <w:t> </w:t>
      </w:r>
      <w:r>
        <w:rPr>
          <w:b/>
          <w:sz w:val="24"/>
        </w:rPr>
        <w:t>and</w:t>
      </w:r>
      <w:r>
        <w:rPr>
          <w:b/>
          <w:spacing w:val="-3"/>
          <w:sz w:val="24"/>
        </w:rPr>
        <w:t> </w:t>
      </w:r>
      <w:r>
        <w:rPr>
          <w:b/>
          <w:sz w:val="24"/>
        </w:rPr>
        <w:t>creatinine.</w:t>
      </w:r>
      <w:r>
        <w:rPr>
          <w:b/>
          <w:spacing w:val="40"/>
          <w:sz w:val="24"/>
        </w:rPr>
        <w:t> </w:t>
      </w:r>
      <w:r>
        <w:rPr>
          <w:b/>
          <w:sz w:val="24"/>
        </w:rPr>
        <w:t>Values</w:t>
      </w:r>
      <w:r>
        <w:rPr>
          <w:b/>
          <w:spacing w:val="-3"/>
          <w:sz w:val="24"/>
        </w:rPr>
        <w:t> </w:t>
      </w:r>
      <w:r>
        <w:rPr>
          <w:b/>
          <w:sz w:val="24"/>
        </w:rPr>
        <w:t>are</w:t>
      </w:r>
      <w:r>
        <w:rPr>
          <w:b/>
          <w:spacing w:val="-5"/>
          <w:sz w:val="24"/>
        </w:rPr>
        <w:t> </w:t>
      </w:r>
      <w:r>
        <w:rPr>
          <w:b/>
          <w:sz w:val="24"/>
        </w:rPr>
        <w:t>means</w:t>
      </w:r>
      <w:r>
        <w:rPr>
          <w:b/>
          <w:spacing w:val="-3"/>
          <w:sz w:val="24"/>
        </w:rPr>
        <w:t> </w:t>
      </w:r>
      <w:r>
        <w:rPr>
          <w:b/>
          <w:sz w:val="24"/>
        </w:rPr>
        <w:t>±</w:t>
      </w:r>
      <w:r>
        <w:rPr>
          <w:b/>
          <w:spacing w:val="-4"/>
          <w:sz w:val="24"/>
        </w:rPr>
        <w:t> </w:t>
      </w:r>
      <w:r>
        <w:rPr>
          <w:b/>
          <w:sz w:val="24"/>
        </w:rPr>
        <w:t>SEM</w:t>
      </w:r>
      <w:r>
        <w:rPr>
          <w:b/>
          <w:spacing w:val="-4"/>
          <w:sz w:val="24"/>
        </w:rPr>
        <w:t> </w:t>
      </w:r>
      <w:r>
        <w:rPr>
          <w:b/>
          <w:sz w:val="24"/>
        </w:rPr>
        <w:t>(n=6).</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2987520">
                <wp:simplePos x="0" y="0"/>
                <wp:positionH relativeFrom="page">
                  <wp:posOffset>3861220</wp:posOffset>
                </wp:positionH>
                <wp:positionV relativeFrom="page">
                  <wp:posOffset>3734575</wp:posOffset>
                </wp:positionV>
                <wp:extent cx="1287780" cy="9144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28960;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88032">
                <wp:simplePos x="0" y="0"/>
                <wp:positionH relativeFrom="page">
                  <wp:posOffset>4288097</wp:posOffset>
                </wp:positionH>
                <wp:positionV relativeFrom="page">
                  <wp:posOffset>1617859</wp:posOffset>
                </wp:positionV>
                <wp:extent cx="3421379" cy="91440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28448;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88544">
                <wp:simplePos x="0" y="0"/>
                <wp:positionH relativeFrom="page">
                  <wp:posOffset>-316181</wp:posOffset>
                </wp:positionH>
                <wp:positionV relativeFrom="page">
                  <wp:posOffset>6721518</wp:posOffset>
                </wp:positionV>
                <wp:extent cx="5504815" cy="9144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27936;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0"/>
        <w:rPr>
          <w:b/>
          <w:sz w:val="20"/>
        </w:rPr>
      </w:pPr>
    </w:p>
    <w:p>
      <w:pPr>
        <w:pStyle w:val="BodyText"/>
        <w:ind w:left="965"/>
        <w:rPr>
          <w:sz w:val="20"/>
        </w:rPr>
      </w:pPr>
      <w:r>
        <w:rPr>
          <w:sz w:val="20"/>
        </w:rPr>
        <w:drawing>
          <wp:inline distT="0" distB="0" distL="0" distR="0">
            <wp:extent cx="5241376" cy="3358896"/>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43" cstate="print"/>
                    <a:stretch>
                      <a:fillRect/>
                    </a:stretch>
                  </pic:blipFill>
                  <pic:spPr>
                    <a:xfrm>
                      <a:off x="0" y="0"/>
                      <a:ext cx="5241376" cy="3358896"/>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2"/>
        <w:rPr>
          <w:b/>
        </w:rPr>
      </w:pPr>
    </w:p>
    <w:p>
      <w:pPr>
        <w:spacing w:before="0"/>
        <w:ind w:left="2238" w:right="1171" w:hanging="840"/>
        <w:jc w:val="both"/>
        <w:rPr>
          <w:b/>
          <w:sz w:val="24"/>
        </w:rPr>
      </w:pPr>
      <w:r>
        <w:rPr>
          <w:b/>
          <w:sz w:val="24"/>
        </w:rPr>
        <w:t>Fig.</w:t>
      </w:r>
      <w:r>
        <w:rPr>
          <w:b/>
          <w:spacing w:val="-4"/>
          <w:sz w:val="24"/>
        </w:rPr>
        <w:t> </w:t>
      </w:r>
      <w:r>
        <w:rPr>
          <w:b/>
          <w:sz w:val="24"/>
        </w:rPr>
        <w:t>3.6:</w:t>
      </w:r>
      <w:r>
        <w:rPr>
          <w:b/>
          <w:spacing w:val="-4"/>
          <w:sz w:val="24"/>
        </w:rPr>
        <w:t> </w:t>
      </w:r>
      <w:r>
        <w:rPr>
          <w:b/>
          <w:sz w:val="24"/>
        </w:rPr>
        <w:t>Effects</w:t>
      </w:r>
      <w:r>
        <w:rPr>
          <w:b/>
          <w:spacing w:val="-4"/>
          <w:sz w:val="24"/>
        </w:rPr>
        <w:t> </w:t>
      </w:r>
      <w:r>
        <w:rPr>
          <w:b/>
          <w:sz w:val="24"/>
        </w:rPr>
        <w:t>of</w:t>
      </w:r>
      <w:r>
        <w:rPr>
          <w:b/>
          <w:spacing w:val="-4"/>
          <w:sz w:val="24"/>
        </w:rPr>
        <w:t> </w:t>
      </w:r>
      <w:r>
        <w:rPr>
          <w:b/>
          <w:sz w:val="24"/>
        </w:rPr>
        <w:t>MP</w:t>
      </w:r>
      <w:r>
        <w:rPr>
          <w:b/>
          <w:spacing w:val="-5"/>
          <w:sz w:val="24"/>
        </w:rPr>
        <w:t> </w:t>
      </w:r>
      <w:r>
        <w:rPr>
          <w:b/>
          <w:sz w:val="24"/>
        </w:rPr>
        <w:t>ethanol</w:t>
      </w:r>
      <w:r>
        <w:rPr>
          <w:b/>
          <w:spacing w:val="-4"/>
          <w:sz w:val="24"/>
        </w:rPr>
        <w:t> </w:t>
      </w:r>
      <w:r>
        <w:rPr>
          <w:b/>
          <w:sz w:val="24"/>
        </w:rPr>
        <w:t>seed</w:t>
      </w:r>
      <w:r>
        <w:rPr>
          <w:b/>
          <w:spacing w:val="-4"/>
          <w:sz w:val="24"/>
        </w:rPr>
        <w:t> </w:t>
      </w:r>
      <w:r>
        <w:rPr>
          <w:b/>
          <w:sz w:val="24"/>
        </w:rPr>
        <w:t>extract</w:t>
      </w:r>
      <w:r>
        <w:rPr>
          <w:b/>
          <w:spacing w:val="-4"/>
          <w:sz w:val="24"/>
        </w:rPr>
        <w:t> </w:t>
      </w:r>
      <w:r>
        <w:rPr>
          <w:b/>
          <w:sz w:val="24"/>
        </w:rPr>
        <w:t>on</w:t>
      </w:r>
      <w:r>
        <w:rPr>
          <w:b/>
          <w:spacing w:val="-4"/>
          <w:sz w:val="24"/>
        </w:rPr>
        <w:t> </w:t>
      </w:r>
      <w:r>
        <w:rPr>
          <w:b/>
          <w:sz w:val="24"/>
        </w:rPr>
        <w:t>plasma</w:t>
      </w:r>
      <w:r>
        <w:rPr>
          <w:b/>
          <w:spacing w:val="-4"/>
          <w:sz w:val="24"/>
        </w:rPr>
        <w:t> </w:t>
      </w:r>
      <w:r>
        <w:rPr>
          <w:b/>
          <w:sz w:val="24"/>
        </w:rPr>
        <w:t>electrolytes</w:t>
      </w:r>
      <w:r>
        <w:rPr>
          <w:b/>
          <w:spacing w:val="-4"/>
          <w:sz w:val="24"/>
        </w:rPr>
        <w:t> </w:t>
      </w:r>
      <w:r>
        <w:rPr>
          <w:b/>
          <w:sz w:val="24"/>
        </w:rPr>
        <w:t>of Sodium ion (Na+),</w:t>
      </w:r>
      <w:r>
        <w:rPr>
          <w:b/>
          <w:spacing w:val="-1"/>
          <w:sz w:val="24"/>
        </w:rPr>
        <w:t> </w:t>
      </w:r>
      <w:r>
        <w:rPr>
          <w:b/>
          <w:sz w:val="24"/>
        </w:rPr>
        <w:t>Potasium</w:t>
      </w:r>
      <w:r>
        <w:rPr>
          <w:b/>
          <w:spacing w:val="-5"/>
          <w:sz w:val="24"/>
        </w:rPr>
        <w:t> </w:t>
      </w:r>
      <w:r>
        <w:rPr>
          <w:b/>
          <w:sz w:val="24"/>
        </w:rPr>
        <w:t>ion (K+), Chloride</w:t>
      </w:r>
      <w:r>
        <w:rPr>
          <w:b/>
          <w:spacing w:val="-2"/>
          <w:sz w:val="24"/>
        </w:rPr>
        <w:t> </w:t>
      </w:r>
      <w:r>
        <w:rPr>
          <w:b/>
          <w:sz w:val="24"/>
        </w:rPr>
        <w:t>ion and</w:t>
      </w:r>
      <w:r>
        <w:rPr>
          <w:b/>
          <w:spacing w:val="-3"/>
          <w:sz w:val="24"/>
        </w:rPr>
        <w:t> </w:t>
      </w:r>
      <w:r>
        <w:rPr>
          <w:b/>
          <w:sz w:val="24"/>
        </w:rPr>
        <w:t>Bicarbonate.</w:t>
      </w:r>
      <w:r>
        <w:rPr>
          <w:b/>
          <w:spacing w:val="-1"/>
          <w:sz w:val="24"/>
        </w:rPr>
        <w:t> </w:t>
      </w:r>
      <w:r>
        <w:rPr>
          <w:b/>
          <w:sz w:val="24"/>
        </w:rPr>
        <w:t>Values are means ± SEM (n=6).</w:t>
      </w:r>
    </w:p>
    <w:p>
      <w:pPr>
        <w:spacing w:after="0"/>
        <w:jc w:val="both"/>
        <w:rPr>
          <w:sz w:val="24"/>
        </w:rPr>
        <w:sectPr>
          <w:pgSz w:w="12240" w:h="15840"/>
          <w:pgMar w:header="0" w:footer="1056" w:top="1820" w:bottom="1240" w:left="1420" w:right="420"/>
        </w:sectPr>
      </w:pPr>
    </w:p>
    <w:p>
      <w:pPr>
        <w:pStyle w:val="BodyText"/>
        <w:spacing w:line="360" w:lineRule="auto" w:before="72"/>
        <w:ind w:left="678" w:right="989" w:firstLine="720"/>
        <w:jc w:val="both"/>
      </w:pPr>
      <w:r>
        <w:rPr/>
        <mc:AlternateContent>
          <mc:Choice Requires="wps">
            <w:drawing>
              <wp:anchor distT="0" distB="0" distL="0" distR="0" allowOverlap="1" layoutInCell="1" locked="0" behindDoc="1" simplePos="0" relativeHeight="482989056">
                <wp:simplePos x="0" y="0"/>
                <wp:positionH relativeFrom="page">
                  <wp:posOffset>-1402226</wp:posOffset>
                </wp:positionH>
                <wp:positionV relativeFrom="page">
                  <wp:posOffset>4612234</wp:posOffset>
                </wp:positionV>
                <wp:extent cx="10685780" cy="91440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27424;rotation:306" type="#_x0000_t136" fillcolor="#ff5400" stroked="f">
                <o:extrusion v:ext="view" autorotationcenter="t"/>
                <v:textpath style="font-family:&quot;Arial MT&quot;;font-size:72pt;v-text-kern:t;mso-text-shadow:auto" string="UNIVERSITY OF IBADAN"/>
                <w10:wrap type="none"/>
              </v:shape>
            </w:pict>
          </mc:Fallback>
        </mc:AlternateContent>
      </w:r>
      <w:r>
        <w:rPr/>
        <w:t>Diabetes mellitus is known to cause hyperlipidemia through various metabolic derangements (Hardman and Limberd, 2001). Among several metabolic derangements, insulin deficiency</w:t>
      </w:r>
      <w:r>
        <w:rPr>
          <w:spacing w:val="-3"/>
        </w:rPr>
        <w:t> </w:t>
      </w:r>
      <w:r>
        <w:rPr/>
        <w:t>has been known to stimulate lipolysis in the adipose tissue and give rise to hyperlipidemia and fatty liver. Thus, in diabetes, hypercholesterolemia and hyper triglyceridaemia often occur (Hardman and Limberd, 2001). Many traditional medicines</w:t>
      </w:r>
      <w:r>
        <w:rPr>
          <w:spacing w:val="80"/>
        </w:rPr>
        <w:t> </w:t>
      </w:r>
      <w:r>
        <w:rPr/>
        <w:t>in use are derived from medicinal plants, minerals and organic matter (Grover </w:t>
      </w:r>
      <w:r>
        <w:rPr>
          <w:i/>
        </w:rPr>
        <w:t>et al.,</w:t>
      </w:r>
      <w:r>
        <w:rPr>
          <w:i/>
          <w:spacing w:val="40"/>
        </w:rPr>
        <w:t> </w:t>
      </w:r>
      <w:r>
        <w:rPr/>
        <w:t>2002). In recent years, there has been a renewed interest to screen such plants by examining toxicity associated with their long term use, identify the active principle, and understand the mechanism of action (Sridhar and Bhat, 2007). The plasma aminotransferases (ALT and AST) and phosphatase (ALP), LDL-cholesterol, total bilirubin, were significantly (p &lt; 0.05) increased in diabetic alloxan treated group. On the other</w:t>
      </w:r>
      <w:r>
        <w:rPr>
          <w:spacing w:val="-2"/>
        </w:rPr>
        <w:t> </w:t>
      </w:r>
      <w:r>
        <w:rPr/>
        <w:t>hand, animals which were</w:t>
      </w:r>
      <w:r>
        <w:rPr>
          <w:spacing w:val="-1"/>
        </w:rPr>
        <w:t> </w:t>
      </w:r>
      <w:r>
        <w:rPr/>
        <w:t>administered with </w:t>
      </w:r>
      <w:r>
        <w:rPr>
          <w:i/>
        </w:rPr>
        <w:t>M. pruriens </w:t>
      </w:r>
      <w:r>
        <w:rPr/>
        <w:t>extract, the plasma</w:t>
      </w:r>
      <w:r>
        <w:rPr>
          <w:spacing w:val="-1"/>
        </w:rPr>
        <w:t> </w:t>
      </w:r>
      <w:r>
        <w:rPr/>
        <w:t>activity and the levels of ALT, AST and ALP, LDL, TB decreased significantly. The fall in</w:t>
      </w:r>
      <w:r>
        <w:rPr>
          <w:spacing w:val="40"/>
        </w:rPr>
        <w:t> </w:t>
      </w:r>
      <w:r>
        <w:rPr/>
        <w:t>plasma enzymes suggests a protective effect of </w:t>
      </w:r>
      <w:r>
        <w:rPr>
          <w:i/>
        </w:rPr>
        <w:t>Mucuna pruriens </w:t>
      </w:r>
      <w:r>
        <w:rPr/>
        <w:t>on the liver against alloxan-induced hepato-toxicity. Elevated activities of AST and ALT in plasma are indicative of cellular leakage and loss of functional integrity of cell membrane in the liver (Rajesh and Latha, 2004). Their estimations are useful quantitative marker for the extent</w:t>
      </w:r>
      <w:r>
        <w:rPr>
          <w:spacing w:val="40"/>
        </w:rPr>
        <w:t> </w:t>
      </w:r>
      <w:r>
        <w:rPr/>
        <w:t>of hepatocellular damage (Kumar </w:t>
      </w:r>
      <w:r>
        <w:rPr>
          <w:i/>
        </w:rPr>
        <w:t>et al</w:t>
      </w:r>
      <w:r>
        <w:rPr/>
        <w:t>., 2004).</w:t>
      </w:r>
    </w:p>
    <w:p>
      <w:pPr>
        <w:pStyle w:val="BodyText"/>
        <w:spacing w:line="360" w:lineRule="auto" w:before="2"/>
        <w:ind w:left="678" w:right="993" w:firstLine="720"/>
        <w:jc w:val="both"/>
      </w:pPr>
      <w:r>
        <w:rPr/>
        <w:t>The increase in the levels of plasma bilirubin reflected the depth of jaundice and the increase in transaminases and alkaline phosphatase have been reported as clear indication of cellular leakage and loss of functional integrity of the cell membrane (Saraswat </w:t>
      </w:r>
      <w:r>
        <w:rPr>
          <w:i/>
        </w:rPr>
        <w:t>et al.</w:t>
      </w:r>
      <w:r>
        <w:rPr/>
        <w:t>, 1993). Yamini and Anil (2001) reported that </w:t>
      </w:r>
      <w:r>
        <w:rPr>
          <w:i/>
        </w:rPr>
        <w:t>M. pruriens </w:t>
      </w:r>
      <w:r>
        <w:rPr/>
        <w:t>possessed antioxidant property and the alloxan initiated the process of lipid peroxidation through the production</w:t>
      </w:r>
      <w:r>
        <w:rPr>
          <w:spacing w:val="-2"/>
        </w:rPr>
        <w:t> </w:t>
      </w:r>
      <w:r>
        <w:rPr/>
        <w:t>of</w:t>
      </w:r>
      <w:r>
        <w:rPr>
          <w:spacing w:val="-2"/>
        </w:rPr>
        <w:t> </w:t>
      </w:r>
      <w:r>
        <w:rPr/>
        <w:t>superoxide</w:t>
      </w:r>
      <w:r>
        <w:rPr>
          <w:spacing w:val="-2"/>
        </w:rPr>
        <w:t> </w:t>
      </w:r>
      <w:r>
        <w:rPr/>
        <w:t>radicals.</w:t>
      </w:r>
      <w:r>
        <w:rPr>
          <w:spacing w:val="-2"/>
        </w:rPr>
        <w:t> </w:t>
      </w:r>
      <w:r>
        <w:rPr/>
        <w:t>Effects</w:t>
      </w:r>
      <w:r>
        <w:rPr>
          <w:spacing w:val="-2"/>
        </w:rPr>
        <w:t> </w:t>
      </w:r>
      <w:r>
        <w:rPr/>
        <w:t>of </w:t>
      </w:r>
      <w:r>
        <w:rPr>
          <w:i/>
        </w:rPr>
        <w:t>M.</w:t>
      </w:r>
      <w:r>
        <w:rPr>
          <w:i/>
          <w:spacing w:val="-2"/>
        </w:rPr>
        <w:t> </w:t>
      </w:r>
      <w:r>
        <w:rPr>
          <w:i/>
        </w:rPr>
        <w:t>pruriens</w:t>
      </w:r>
      <w:r>
        <w:rPr>
          <w:i/>
          <w:spacing w:val="-1"/>
        </w:rPr>
        <w:t> </w:t>
      </w:r>
      <w:r>
        <w:rPr/>
        <w:t>extract</w:t>
      </w:r>
      <w:r>
        <w:rPr>
          <w:spacing w:val="-2"/>
        </w:rPr>
        <w:t> </w:t>
      </w:r>
      <w:r>
        <w:rPr/>
        <w:t>on</w:t>
      </w:r>
      <w:r>
        <w:rPr>
          <w:spacing w:val="-2"/>
        </w:rPr>
        <w:t> </w:t>
      </w:r>
      <w:r>
        <w:rPr/>
        <w:t>alloxan-treated groups could be due to the property of </w:t>
      </w:r>
      <w:r>
        <w:rPr>
          <w:i/>
        </w:rPr>
        <w:t>M. pruriens </w:t>
      </w:r>
      <w:r>
        <w:rPr/>
        <w:t>in trapping the superoxide radicals. Although free radicals are considered to be important for normal physiology but, when produced in excess, they cause cellular damage. The radicals initiate a chain reaction of lipid and protein peroxidation by attacking the double bonds of these molecules. The medicinal properties of </w:t>
      </w:r>
      <w:r>
        <w:rPr>
          <w:i/>
        </w:rPr>
        <w:t>M. pruriens </w:t>
      </w:r>
      <w:r>
        <w:rPr/>
        <w:t>against diseases associated with free radical, especially the age- related male-infertility</w:t>
      </w:r>
      <w:r>
        <w:rPr>
          <w:spacing w:val="-5"/>
        </w:rPr>
        <w:t> </w:t>
      </w:r>
      <w:r>
        <w:rPr/>
        <w:t>and Parkingson‘s disease</w:t>
      </w:r>
      <w:r>
        <w:rPr>
          <w:spacing w:val="-1"/>
        </w:rPr>
        <w:t> </w:t>
      </w:r>
      <w:r>
        <w:rPr/>
        <w:t>is well documented (Vaidya </w:t>
      </w:r>
      <w:r>
        <w:rPr>
          <w:i/>
        </w:rPr>
        <w:t>et al</w:t>
      </w:r>
      <w:r>
        <w:rPr/>
        <w:t>., 1978). Hence,</w:t>
      </w:r>
      <w:r>
        <w:rPr>
          <w:spacing w:val="13"/>
        </w:rPr>
        <w:t> </w:t>
      </w:r>
      <w:r>
        <w:rPr/>
        <w:t>it</w:t>
      </w:r>
      <w:r>
        <w:rPr>
          <w:spacing w:val="16"/>
        </w:rPr>
        <w:t> </w:t>
      </w:r>
      <w:r>
        <w:rPr/>
        <w:t>is</w:t>
      </w:r>
      <w:r>
        <w:rPr>
          <w:spacing w:val="16"/>
        </w:rPr>
        <w:t> </w:t>
      </w:r>
      <w:r>
        <w:rPr/>
        <w:t>possible</w:t>
      </w:r>
      <w:r>
        <w:rPr>
          <w:spacing w:val="16"/>
        </w:rPr>
        <w:t> </w:t>
      </w:r>
      <w:r>
        <w:rPr/>
        <w:t>that</w:t>
      </w:r>
      <w:r>
        <w:rPr>
          <w:spacing w:val="13"/>
        </w:rPr>
        <w:t> </w:t>
      </w:r>
      <w:r>
        <w:rPr/>
        <w:t>the</w:t>
      </w:r>
      <w:r>
        <w:rPr>
          <w:spacing w:val="15"/>
        </w:rPr>
        <w:t> </w:t>
      </w:r>
      <w:r>
        <w:rPr/>
        <w:t>mechanism</w:t>
      </w:r>
      <w:r>
        <w:rPr>
          <w:spacing w:val="16"/>
        </w:rPr>
        <w:t> </w:t>
      </w:r>
      <w:r>
        <w:rPr/>
        <w:t>of</w:t>
      </w:r>
      <w:r>
        <w:rPr>
          <w:spacing w:val="15"/>
        </w:rPr>
        <w:t> </w:t>
      </w:r>
      <w:r>
        <w:rPr/>
        <w:t>hepato-protection</w:t>
      </w:r>
      <w:r>
        <w:rPr>
          <w:spacing w:val="15"/>
        </w:rPr>
        <w:t> </w:t>
      </w:r>
      <w:r>
        <w:rPr/>
        <w:t>of</w:t>
      </w:r>
      <w:r>
        <w:rPr>
          <w:spacing w:val="15"/>
        </w:rPr>
        <w:t> </w:t>
      </w:r>
      <w:r>
        <w:rPr>
          <w:i/>
        </w:rPr>
        <w:t>M.</w:t>
      </w:r>
      <w:r>
        <w:rPr>
          <w:i/>
          <w:spacing w:val="15"/>
        </w:rPr>
        <w:t> </w:t>
      </w:r>
      <w:r>
        <w:rPr>
          <w:i/>
        </w:rPr>
        <w:t>pruriens</w:t>
      </w:r>
      <w:r>
        <w:rPr>
          <w:i/>
          <w:spacing w:val="18"/>
        </w:rPr>
        <w:t> </w:t>
      </w:r>
      <w:r>
        <w:rPr/>
        <w:t>is</w:t>
      </w:r>
      <w:r>
        <w:rPr>
          <w:spacing w:val="16"/>
        </w:rPr>
        <w:t> </w:t>
      </w:r>
      <w:r>
        <w:rPr/>
        <w:t>due</w:t>
      </w:r>
      <w:r>
        <w:rPr>
          <w:spacing w:val="14"/>
        </w:rPr>
        <w:t> </w:t>
      </w:r>
      <w:r>
        <w:rPr/>
        <w:t>to</w:t>
      </w:r>
      <w:r>
        <w:rPr>
          <w:spacing w:val="17"/>
        </w:rPr>
        <w:t> </w:t>
      </w:r>
      <w:r>
        <w:rPr>
          <w:spacing w:val="-5"/>
        </w:rPr>
        <w:t>its</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jc w:val="both"/>
        <w:rPr>
          <w:i/>
        </w:rPr>
      </w:pPr>
      <w:r>
        <w:rPr/>
        <mc:AlternateContent>
          <mc:Choice Requires="wps">
            <w:drawing>
              <wp:anchor distT="0" distB="0" distL="0" distR="0" allowOverlap="1" layoutInCell="1" locked="0" behindDoc="1" simplePos="0" relativeHeight="482989568">
                <wp:simplePos x="0" y="0"/>
                <wp:positionH relativeFrom="page">
                  <wp:posOffset>-1402226</wp:posOffset>
                </wp:positionH>
                <wp:positionV relativeFrom="page">
                  <wp:posOffset>4612234</wp:posOffset>
                </wp:positionV>
                <wp:extent cx="10685780" cy="91440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26912;rotation:306" type="#_x0000_t136" fillcolor="#ff5400" stroked="f">
                <o:extrusion v:ext="view" autorotationcenter="t"/>
                <v:textpath style="font-family:&quot;Arial MT&quot;;font-size:72pt;v-text-kern:t;mso-text-shadow:auto" string="UNIVERSITY OF IBADAN"/>
                <w10:wrap type="none"/>
              </v:shape>
            </w:pict>
          </mc:Fallback>
        </mc:AlternateContent>
      </w:r>
      <w:r>
        <w:rPr/>
        <w:t>antioxidant effect. Also in the present study, animals treated with alloxan had significant increase in the activities of AST and ALT double-fold respectively. Alkaline phosphatase mainly arises from the lining of canaliculi in hepatocytes and also brush border of the</w:t>
      </w:r>
      <w:r>
        <w:rPr>
          <w:spacing w:val="40"/>
        </w:rPr>
        <w:t> </w:t>
      </w:r>
      <w:r>
        <w:rPr/>
        <w:t>renal tubule. It is excreted normally via bile through liver and involves active transport across the capillary wall. Increased activity of alkaline phosphatase, which occurs due to </w:t>
      </w:r>
      <w:r>
        <w:rPr>
          <w:i/>
        </w:rPr>
        <w:t>de novo </w:t>
      </w:r>
      <w:r>
        <w:rPr/>
        <w:t>synthesis by liver cells, is a reliable marker of hepato-biliary dysfunction due to damage in liver and kidney. </w:t>
      </w:r>
      <w:r>
        <w:rPr>
          <w:i/>
        </w:rPr>
        <w:t>Mucuna pruriens </w:t>
      </w:r>
      <w:r>
        <w:rPr/>
        <w:t>enhanced the synthesis of total protein and albumin which accelerated the regeneration process and the protection of liver cells. The increased level of total protein in plasma indicates the hepatoprotective activity of </w:t>
      </w:r>
      <w:r>
        <w:rPr>
          <w:i/>
        </w:rPr>
        <w:t>M. </w:t>
      </w:r>
      <w:r>
        <w:rPr>
          <w:i/>
          <w:spacing w:val="-2"/>
        </w:rPr>
        <w:t>pruriens.</w:t>
      </w:r>
    </w:p>
    <w:p>
      <w:pPr>
        <w:pStyle w:val="BodyText"/>
        <w:spacing w:line="360" w:lineRule="auto" w:before="2"/>
        <w:ind w:left="678" w:right="994" w:firstLine="720"/>
        <w:jc w:val="both"/>
      </w:pPr>
      <w:r>
        <w:rPr/>
        <w:t>The administration of </w:t>
      </w:r>
      <w:r>
        <w:rPr>
          <w:i/>
        </w:rPr>
        <w:t>Mucuna pruriens </w:t>
      </w:r>
      <w:r>
        <w:rPr/>
        <w:t>seed extract increased the activity of GTT in dose dependent manner. This, therefore, shows that prolonged administration of </w:t>
      </w:r>
      <w:r>
        <w:rPr>
          <w:i/>
        </w:rPr>
        <w:t>M. pruriens </w:t>
      </w:r>
      <w:r>
        <w:rPr/>
        <w:t>seed extract precipitated liver injury in animal models. Gamma- glutamyltransferase (GGT) is the enzyme activity responsible for the extracellular catabolism of glutathione, the main thiol antioxidant in mammalian cells (Meister, 1983). The determination of serum GGT activity is a well-established diagnostic test for hepatobiliary</w:t>
      </w:r>
      <w:r>
        <w:rPr>
          <w:spacing w:val="-1"/>
        </w:rPr>
        <w:t> </w:t>
      </w:r>
      <w:r>
        <w:rPr/>
        <w:t>disease, and is used as a sensitive marker of alcohol consumption and abuse (Rollason </w:t>
      </w:r>
      <w:r>
        <w:rPr>
          <w:i/>
        </w:rPr>
        <w:t>et al</w:t>
      </w:r>
      <w:r>
        <w:rPr/>
        <w:t>., 1972).</w:t>
      </w:r>
    </w:p>
    <w:p>
      <w:pPr>
        <w:pStyle w:val="BodyText"/>
        <w:spacing w:line="360" w:lineRule="auto"/>
        <w:ind w:left="678" w:right="990" w:firstLine="720"/>
        <w:jc w:val="both"/>
      </w:pPr>
      <w:r>
        <w:rPr>
          <w:color w:val="221F1F"/>
        </w:rPr>
        <w:t>Diabetes mellitus is a condition characterized by hyperglycemia and a markedly increased risk of cardiovascular disease, a major cause of death and disability in our society. The presence of diabetes mellitus also markedly increases the risk of retinopathy and blindness, nephropathy and renal failure, and neuropathy. Patients with diabetes often have elevations in plasma triglycerides, remnant lipoprotein cholesterol, and small dense LDL, as well as decreased HDL as compared to control subjects (Siegel </w:t>
      </w:r>
      <w:r>
        <w:rPr>
          <w:i/>
        </w:rPr>
        <w:t>et al., </w:t>
      </w:r>
      <w:r>
        <w:rPr/>
        <w:t>1996 and </w:t>
      </w:r>
      <w:r>
        <w:rPr>
          <w:color w:val="221F1F"/>
        </w:rPr>
        <w:t>Schaefer </w:t>
      </w:r>
      <w:r>
        <w:rPr>
          <w:i/>
        </w:rPr>
        <w:t>et al</w:t>
      </w:r>
      <w:r>
        <w:rPr/>
        <w:t>., 2002a). </w:t>
      </w:r>
      <w:r>
        <w:rPr>
          <w:color w:val="221F1F"/>
        </w:rPr>
        <w:t>The direct LDL-cholesterol offers the physician the option of assessing LDL-C in the non-fasting state, as well as when the patient has significant hypertriglyceridemia</w:t>
      </w:r>
      <w:r>
        <w:rPr>
          <w:color w:val="221F1F"/>
          <w:spacing w:val="40"/>
        </w:rPr>
        <w:t> </w:t>
      </w:r>
      <w:r>
        <w:rPr>
          <w:color w:val="221F1F"/>
        </w:rPr>
        <w:t>(Schaefer </w:t>
      </w:r>
      <w:r>
        <w:rPr>
          <w:i/>
        </w:rPr>
        <w:t>et al</w:t>
      </w:r>
      <w:r>
        <w:rPr/>
        <w:t>., 2001; </w:t>
      </w:r>
      <w:r>
        <w:rPr>
          <w:color w:val="221F1F"/>
        </w:rPr>
        <w:t>Schaefer </w:t>
      </w:r>
      <w:r>
        <w:rPr>
          <w:i/>
        </w:rPr>
        <w:t>et al</w:t>
      </w:r>
      <w:r>
        <w:rPr/>
        <w:t>., 2002b and </w:t>
      </w:r>
      <w:r>
        <w:rPr>
          <w:color w:val="221F1F"/>
        </w:rPr>
        <w:t>Schaefer </w:t>
      </w:r>
      <w:r>
        <w:rPr>
          <w:i/>
        </w:rPr>
        <w:t>et al</w:t>
      </w:r>
      <w:r>
        <w:rPr/>
        <w:t>., 2004). Data obtained in this study showed that the </w:t>
      </w:r>
      <w:r>
        <w:rPr>
          <w:i/>
        </w:rPr>
        <w:t>M. pruriens </w:t>
      </w:r>
      <w:r>
        <w:rPr/>
        <w:t>seed extract produced significant reduction in LDL-cholesterol, total cholesterol and triglyceride with</w:t>
      </w:r>
      <w:r>
        <w:rPr>
          <w:spacing w:val="40"/>
        </w:rPr>
        <w:t> </w:t>
      </w:r>
      <w:r>
        <w:rPr/>
        <w:t>appreciable increase in HDL-cholesterol as shown in Table 3.7. </w:t>
      </w:r>
      <w:r>
        <w:rPr>
          <w:i/>
        </w:rPr>
        <w:t>Mucuna. pruriens </w:t>
      </w:r>
      <w:r>
        <w:rPr/>
        <w:t>extract could</w:t>
      </w:r>
      <w:r>
        <w:rPr>
          <w:spacing w:val="45"/>
        </w:rPr>
        <w:t> </w:t>
      </w:r>
      <w:r>
        <w:rPr/>
        <w:t>therefore</w:t>
      </w:r>
      <w:r>
        <w:rPr>
          <w:spacing w:val="45"/>
        </w:rPr>
        <w:t> </w:t>
      </w:r>
      <w:r>
        <w:rPr/>
        <w:t>be</w:t>
      </w:r>
      <w:r>
        <w:rPr>
          <w:spacing w:val="45"/>
        </w:rPr>
        <w:t> </w:t>
      </w:r>
      <w:r>
        <w:rPr/>
        <w:t>used</w:t>
      </w:r>
      <w:r>
        <w:rPr>
          <w:spacing w:val="48"/>
        </w:rPr>
        <w:t> </w:t>
      </w:r>
      <w:r>
        <w:rPr/>
        <w:t>to</w:t>
      </w:r>
      <w:r>
        <w:rPr>
          <w:spacing w:val="47"/>
        </w:rPr>
        <w:t> </w:t>
      </w:r>
      <w:r>
        <w:rPr/>
        <w:t>ameliorate</w:t>
      </w:r>
      <w:r>
        <w:rPr>
          <w:spacing w:val="46"/>
        </w:rPr>
        <w:t> </w:t>
      </w:r>
      <w:r>
        <w:rPr/>
        <w:t>complications</w:t>
      </w:r>
      <w:r>
        <w:rPr>
          <w:spacing w:val="47"/>
        </w:rPr>
        <w:t> </w:t>
      </w:r>
      <w:r>
        <w:rPr/>
        <w:t>associated</w:t>
      </w:r>
      <w:r>
        <w:rPr>
          <w:spacing w:val="46"/>
        </w:rPr>
        <w:t> </w:t>
      </w:r>
      <w:r>
        <w:rPr/>
        <w:t>with</w:t>
      </w:r>
      <w:r>
        <w:rPr>
          <w:spacing w:val="47"/>
        </w:rPr>
        <w:t> </w:t>
      </w:r>
      <w:r>
        <w:rPr/>
        <w:t>diabetes</w:t>
      </w:r>
      <w:r>
        <w:rPr>
          <w:spacing w:val="46"/>
        </w:rPr>
        <w:t> </w:t>
      </w:r>
      <w:r>
        <w:rPr>
          <w:spacing w:val="-2"/>
        </w:rPr>
        <w:t>mellitus.</w:t>
      </w:r>
    </w:p>
    <w:p>
      <w:pPr>
        <w:spacing w:after="0" w:line="360" w:lineRule="auto"/>
        <w:jc w:val="both"/>
        <w:sectPr>
          <w:pgSz w:w="12240" w:h="15840"/>
          <w:pgMar w:header="0" w:footer="1056" w:top="1340" w:bottom="1240" w:left="1420" w:right="420"/>
        </w:sectPr>
      </w:pPr>
    </w:p>
    <w:p>
      <w:pPr>
        <w:pStyle w:val="BodyText"/>
        <w:spacing w:line="360" w:lineRule="auto" w:before="72"/>
        <w:ind w:left="678" w:right="992"/>
        <w:jc w:val="both"/>
      </w:pPr>
      <w:r>
        <w:rPr/>
        <mc:AlternateContent>
          <mc:Choice Requires="wps">
            <w:drawing>
              <wp:anchor distT="0" distB="0" distL="0" distR="0" allowOverlap="1" layoutInCell="1" locked="0" behindDoc="1" simplePos="0" relativeHeight="482990080">
                <wp:simplePos x="0" y="0"/>
                <wp:positionH relativeFrom="page">
                  <wp:posOffset>-1402226</wp:posOffset>
                </wp:positionH>
                <wp:positionV relativeFrom="page">
                  <wp:posOffset>4612234</wp:posOffset>
                </wp:positionV>
                <wp:extent cx="10685780" cy="91440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26400;rotation:306" type="#_x0000_t136" fillcolor="#ff5400" stroked="f">
                <o:extrusion v:ext="view" autorotationcenter="t"/>
                <v:textpath style="font-family:&quot;Arial MT&quot;;font-size:72pt;v-text-kern:t;mso-text-shadow:auto" string="UNIVERSITY OF IBADAN"/>
                <w10:wrap type="none"/>
              </v:shape>
            </w:pict>
          </mc:Fallback>
        </mc:AlternateContent>
      </w:r>
      <w:r>
        <w:rPr/>
        <w:t>Epidemiological evidence shows that the plasma concentration of high-density</w:t>
      </w:r>
      <w:r>
        <w:rPr>
          <w:spacing w:val="40"/>
        </w:rPr>
        <w:t> </w:t>
      </w:r>
      <w:r>
        <w:rPr/>
        <w:t>lipoproteins (HDL) has been reported to be inversely related to the risk of cardiovascular disease</w:t>
      </w:r>
      <w:r>
        <w:rPr>
          <w:spacing w:val="-1"/>
        </w:rPr>
        <w:t> </w:t>
      </w:r>
      <w:r>
        <w:rPr/>
        <w:t>(Nicholls </w:t>
      </w:r>
      <w:r>
        <w:rPr>
          <w:i/>
        </w:rPr>
        <w:t>et al.</w:t>
      </w:r>
      <w:r>
        <w:rPr/>
        <w:t>, 2005). The best known anti-atherogenic function of</w:t>
      </w:r>
      <w:r>
        <w:rPr>
          <w:spacing w:val="-1"/>
        </w:rPr>
        <w:t> </w:t>
      </w:r>
      <w:r>
        <w:rPr/>
        <w:t>HDL</w:t>
      </w:r>
      <w:r>
        <w:rPr>
          <w:spacing w:val="-1"/>
        </w:rPr>
        <w:t> </w:t>
      </w:r>
      <w:r>
        <w:rPr/>
        <w:t>particles is attributable to their ability to promote the efflux of cholesterol from cells. However, there is mounting evidence that HDL has other effects that are independent of the cholesterol transporting functions, including antioxidant, anti-inflammatory and anti- thrombotic properties (Barter </w:t>
      </w:r>
      <w:r>
        <w:rPr>
          <w:i/>
        </w:rPr>
        <w:t>et al</w:t>
      </w:r>
      <w:r>
        <w:rPr/>
        <w:t>., 2004; Nicholls </w:t>
      </w:r>
      <w:r>
        <w:rPr>
          <w:i/>
        </w:rPr>
        <w:t>et al.</w:t>
      </w:r>
      <w:r>
        <w:rPr/>
        <w:t>, 2005 and Negre-Salvayre </w:t>
      </w:r>
      <w:r>
        <w:rPr>
          <w:i/>
        </w:rPr>
        <w:t>et al</w:t>
      </w:r>
      <w:r>
        <w:rPr/>
        <w:t>., 2006). Also, the observable decrease in plasma blood urea nitrogen (BUN) and creatinine following administration of </w:t>
      </w:r>
      <w:r>
        <w:rPr>
          <w:i/>
        </w:rPr>
        <w:t>Mucuna pruriens </w:t>
      </w:r>
      <w:r>
        <w:rPr/>
        <w:t>extract confirmed that </w:t>
      </w:r>
      <w:r>
        <w:rPr>
          <w:i/>
        </w:rPr>
        <w:t>M. pruriens </w:t>
      </w:r>
      <w:r>
        <w:rPr/>
        <w:t>could ameliorate kidney damage which is one of the complications of diabetic mellitus.</w:t>
      </w:r>
    </w:p>
    <w:p>
      <w:pPr>
        <w:pStyle w:val="BodyText"/>
        <w:spacing w:before="6"/>
      </w:pPr>
    </w:p>
    <w:p>
      <w:pPr>
        <w:pStyle w:val="Heading2"/>
        <w:numPr>
          <w:ilvl w:val="2"/>
          <w:numId w:val="43"/>
        </w:numPr>
        <w:tabs>
          <w:tab w:pos="1218" w:val="left" w:leader="none"/>
        </w:tabs>
        <w:spacing w:line="240" w:lineRule="auto" w:before="1" w:after="0"/>
        <w:ind w:left="1218" w:right="0" w:hanging="540"/>
        <w:jc w:val="both"/>
      </w:pPr>
      <w:bookmarkStart w:name="_TOC_250014" w:id="119"/>
      <w:r>
        <w:rPr/>
        <w:t>Histopathological</w:t>
      </w:r>
      <w:bookmarkEnd w:id="119"/>
      <w:r>
        <w:rPr>
          <w:spacing w:val="-2"/>
        </w:rPr>
        <w:t> studies</w:t>
      </w:r>
    </w:p>
    <w:p>
      <w:pPr>
        <w:pStyle w:val="BodyText"/>
        <w:spacing w:line="360" w:lineRule="auto" w:before="132"/>
        <w:ind w:left="678" w:right="993" w:firstLine="720"/>
        <w:jc w:val="both"/>
      </w:pPr>
      <w:r>
        <w:rPr/>
        <w:t>After 12 weeks of daily administration of </w:t>
      </w:r>
      <w:r>
        <w:rPr>
          <w:i/>
        </w:rPr>
        <w:t>M. pruriens </w:t>
      </w:r>
      <w:r>
        <w:rPr/>
        <w:t>extract no changes were detected in the kidney (Fig. 3.7 a), liver (Fig. 3.7b), adrenal glands, pancreas (Fig.3.7c), epidydimis of the normal rats (group A). The diabetic rats (group B) were observed to possess individual cell necrosis in the pancreas (Fig. 3.8a), very</w:t>
      </w:r>
      <w:r>
        <w:rPr>
          <w:spacing w:val="-1"/>
        </w:rPr>
        <w:t> </w:t>
      </w:r>
      <w:r>
        <w:rPr/>
        <w:t>mild tubular degeneration in the kidneys (Fig. 3.8b) but diffuse, extensive hepatic degeneration, peripheral hepatic necrosis and cytoplasmic fatty vacuolation of the centrilobular hepatocytes (Fig.3.8c). In the adrenal gland and epidydimis no visible lesion was observed.</w:t>
      </w:r>
    </w:p>
    <w:p>
      <w:pPr>
        <w:pStyle w:val="BodyText"/>
        <w:spacing w:line="360" w:lineRule="auto" w:before="1"/>
        <w:ind w:left="678" w:right="994" w:firstLine="720"/>
        <w:jc w:val="both"/>
      </w:pPr>
      <w:r>
        <w:rPr/>
        <w:t>In the diabetic rats treated with 5 mg/kg body weight of </w:t>
      </w:r>
      <w:r>
        <w:rPr>
          <w:i/>
        </w:rPr>
        <w:t>Mucuna pruriens </w:t>
      </w:r>
      <w:r>
        <w:rPr/>
        <w:t>(group C), no visible lesion was observed in the kidney, adrenal glands, pancreas (Fig. 3.9a) and epidydimis, but in the liver, hyperplasia of the kupfiller and central venous congestion were</w:t>
      </w:r>
      <w:r>
        <w:rPr>
          <w:spacing w:val="40"/>
        </w:rPr>
        <w:t> </w:t>
      </w:r>
      <w:r>
        <w:rPr/>
        <w:t>observed (Fig. 3.9b).</w:t>
      </w:r>
    </w:p>
    <w:p>
      <w:pPr>
        <w:pStyle w:val="BodyText"/>
        <w:spacing w:line="360" w:lineRule="auto" w:before="1"/>
        <w:ind w:left="678" w:right="993"/>
        <w:jc w:val="both"/>
      </w:pPr>
      <w:r>
        <w:rPr/>
        <w:t>In the rats treated with 10 mg/kg, 20 mg/kg, 30 mg/kg, 40 mg/kg, 50 mg/kg, 100 mg/kg body weight of </w:t>
      </w:r>
      <w:r>
        <w:rPr>
          <w:i/>
        </w:rPr>
        <w:t>M. pruriens </w:t>
      </w:r>
      <w:r>
        <w:rPr/>
        <w:t>and glibenclamide (5 mg/kg) no significant lesions were observed</w:t>
      </w:r>
      <w:r>
        <w:rPr>
          <w:spacing w:val="-1"/>
        </w:rPr>
        <w:t> </w:t>
      </w:r>
      <w:r>
        <w:rPr/>
        <w:t>in</w:t>
      </w:r>
      <w:r>
        <w:rPr>
          <w:spacing w:val="-1"/>
        </w:rPr>
        <w:t> </w:t>
      </w:r>
      <w:r>
        <w:rPr/>
        <w:t>the</w:t>
      </w:r>
      <w:r>
        <w:rPr>
          <w:spacing w:val="-2"/>
        </w:rPr>
        <w:t> </w:t>
      </w:r>
      <w:r>
        <w:rPr/>
        <w:t>kidneys</w:t>
      </w:r>
      <w:r>
        <w:rPr>
          <w:spacing w:val="-1"/>
        </w:rPr>
        <w:t> </w:t>
      </w:r>
      <w:r>
        <w:rPr/>
        <w:t>(Fig.</w:t>
      </w:r>
      <w:r>
        <w:rPr>
          <w:spacing w:val="-1"/>
        </w:rPr>
        <w:t> </w:t>
      </w:r>
      <w:r>
        <w:rPr/>
        <w:t>3.9c),</w:t>
      </w:r>
      <w:r>
        <w:rPr>
          <w:spacing w:val="-2"/>
        </w:rPr>
        <w:t> </w:t>
      </w:r>
      <w:r>
        <w:rPr/>
        <w:t>liver</w:t>
      </w:r>
      <w:r>
        <w:rPr>
          <w:spacing w:val="-2"/>
        </w:rPr>
        <w:t> </w:t>
      </w:r>
      <w:r>
        <w:rPr/>
        <w:t>(Fig</w:t>
      </w:r>
      <w:r>
        <w:rPr>
          <w:spacing w:val="-3"/>
        </w:rPr>
        <w:t> </w:t>
      </w:r>
      <w:r>
        <w:rPr/>
        <w:t>3.9a)</w:t>
      </w:r>
      <w:r>
        <w:rPr>
          <w:spacing w:val="-2"/>
        </w:rPr>
        <w:t> </w:t>
      </w:r>
      <w:r>
        <w:rPr/>
        <w:t>and</w:t>
      </w:r>
      <w:r>
        <w:rPr>
          <w:spacing w:val="-1"/>
        </w:rPr>
        <w:t> </w:t>
      </w:r>
      <w:r>
        <w:rPr/>
        <w:t>pancreas (Fig.</w:t>
      </w:r>
      <w:r>
        <w:rPr>
          <w:spacing w:val="-1"/>
        </w:rPr>
        <w:t> </w:t>
      </w:r>
      <w:r>
        <w:rPr/>
        <w:t>3.8c). In</w:t>
      </w:r>
      <w:r>
        <w:rPr>
          <w:spacing w:val="-1"/>
        </w:rPr>
        <w:t> </w:t>
      </w:r>
      <w:r>
        <w:rPr/>
        <w:t>the</w:t>
      </w:r>
      <w:r>
        <w:rPr>
          <w:spacing w:val="-1"/>
        </w:rPr>
        <w:t> </w:t>
      </w:r>
      <w:r>
        <w:rPr/>
        <w:t>normal control, the islets are normal. The architecture of islet was preserved. The acini are lined by round to oval cells with moderate cytoplasm and small round to oval nuclei. No</w:t>
      </w:r>
      <w:r>
        <w:rPr>
          <w:spacing w:val="40"/>
        </w:rPr>
        <w:t> </w:t>
      </w:r>
      <w:r>
        <w:rPr/>
        <w:t>fibrosis or any inflammation was seen.</w:t>
      </w:r>
    </w:p>
    <w:p>
      <w:pPr>
        <w:pStyle w:val="BodyText"/>
        <w:spacing w:line="360" w:lineRule="auto"/>
        <w:ind w:left="678" w:right="992" w:firstLine="720"/>
        <w:jc w:val="both"/>
      </w:pPr>
      <w:r>
        <w:rPr/>
        <w:t>Microscopically, the pancreas Section of diabetic control shows pancreas with engorged and congested blood vessels. The islets were damaged. The acini were lined by round to oval cells with moderate cytoplasm and small round to oval nuclei.</w:t>
      </w:r>
    </w:p>
    <w:p>
      <w:pPr>
        <w:spacing w:after="0" w:line="360" w:lineRule="auto"/>
        <w:jc w:val="both"/>
        <w:sectPr>
          <w:pgSz w:w="12240" w:h="15840"/>
          <w:pgMar w:header="0" w:footer="1056" w:top="1340" w:bottom="1240" w:left="1420" w:right="420"/>
        </w:sectPr>
      </w:pPr>
    </w:p>
    <w:p>
      <w:pPr>
        <w:pStyle w:val="BodyText"/>
        <w:rPr>
          <w:sz w:val="20"/>
        </w:rPr>
      </w:pPr>
      <w:r>
        <w:rPr/>
        <mc:AlternateContent>
          <mc:Choice Requires="wps">
            <w:drawing>
              <wp:anchor distT="0" distB="0" distL="0" distR="0" allowOverlap="1" layoutInCell="1" locked="0" behindDoc="1" simplePos="0" relativeHeight="482990592">
                <wp:simplePos x="0" y="0"/>
                <wp:positionH relativeFrom="page">
                  <wp:posOffset>3861220</wp:posOffset>
                </wp:positionH>
                <wp:positionV relativeFrom="page">
                  <wp:posOffset>3734575</wp:posOffset>
                </wp:positionV>
                <wp:extent cx="1287780" cy="91440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25888;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91104">
                <wp:simplePos x="0" y="0"/>
                <wp:positionH relativeFrom="page">
                  <wp:posOffset>4288097</wp:posOffset>
                </wp:positionH>
                <wp:positionV relativeFrom="page">
                  <wp:posOffset>1617859</wp:posOffset>
                </wp:positionV>
                <wp:extent cx="3421379" cy="91440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25376;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91616">
                <wp:simplePos x="0" y="0"/>
                <wp:positionH relativeFrom="page">
                  <wp:posOffset>-316181</wp:posOffset>
                </wp:positionH>
                <wp:positionV relativeFrom="page">
                  <wp:posOffset>6721518</wp:posOffset>
                </wp:positionV>
                <wp:extent cx="5504815" cy="91440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24864;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rPr>
          <w:sz w:val="20"/>
        </w:rPr>
      </w:pPr>
    </w:p>
    <w:p>
      <w:pPr>
        <w:pStyle w:val="BodyText"/>
        <w:ind w:left="1398"/>
        <w:rPr>
          <w:sz w:val="20"/>
        </w:rPr>
      </w:pPr>
      <w:r>
        <w:rPr>
          <w:sz w:val="20"/>
        </w:rPr>
        <w:drawing>
          <wp:inline distT="0" distB="0" distL="0" distR="0">
            <wp:extent cx="4387423" cy="4185856"/>
            <wp:effectExtent l="0" t="0" r="0" b="0"/>
            <wp:docPr id="261" name="Image 261" descr="C:\Users\Majek\Documents\pics histology\MAJEK SLIDE\IMG_0242.jpg"/>
            <wp:cNvGraphicFramePr>
              <a:graphicFrameLocks/>
            </wp:cNvGraphicFramePr>
            <a:graphic>
              <a:graphicData uri="http://schemas.openxmlformats.org/drawingml/2006/picture">
                <pic:pic>
                  <pic:nvPicPr>
                    <pic:cNvPr id="261" name="Image 261" descr="C:\Users\Majek\Documents\pics histology\MAJEK SLIDE\IMG_0242.jpg"/>
                    <pic:cNvPicPr/>
                  </pic:nvPicPr>
                  <pic:blipFill>
                    <a:blip r:embed="rId44" cstate="print"/>
                    <a:stretch>
                      <a:fillRect/>
                    </a:stretch>
                  </pic:blipFill>
                  <pic:spPr>
                    <a:xfrm>
                      <a:off x="0" y="0"/>
                      <a:ext cx="4387423" cy="4185856"/>
                    </a:xfrm>
                    <a:prstGeom prst="rect">
                      <a:avLst/>
                    </a:prstGeom>
                  </pic:spPr>
                </pic:pic>
              </a:graphicData>
            </a:graphic>
          </wp:inline>
        </w:drawing>
      </w:r>
      <w:r>
        <w:rPr>
          <w:sz w:val="20"/>
        </w:rPr>
      </w:r>
    </w:p>
    <w:p>
      <w:pPr>
        <w:pStyle w:val="BodyText"/>
      </w:pPr>
    </w:p>
    <w:p>
      <w:pPr>
        <w:pStyle w:val="BodyText"/>
      </w:pPr>
    </w:p>
    <w:p>
      <w:pPr>
        <w:pStyle w:val="BodyText"/>
        <w:spacing w:before="128"/>
      </w:pPr>
    </w:p>
    <w:p>
      <w:pPr>
        <w:spacing w:line="480" w:lineRule="auto" w:before="1"/>
        <w:ind w:left="678" w:right="1041" w:firstLine="0"/>
        <w:jc w:val="left"/>
        <w:rPr>
          <w:b/>
          <w:sz w:val="24"/>
        </w:rPr>
      </w:pPr>
      <w:r>
        <w:rPr>
          <w:b/>
          <w:sz w:val="24"/>
        </w:rPr>
        <w:t>Fig.</w:t>
      </w:r>
      <w:r>
        <w:rPr>
          <w:b/>
          <w:spacing w:val="40"/>
          <w:sz w:val="24"/>
        </w:rPr>
        <w:t> </w:t>
      </w:r>
      <w:r>
        <w:rPr>
          <w:b/>
          <w:sz w:val="24"/>
        </w:rPr>
        <w:t>3.7a:</w:t>
      </w:r>
      <w:r>
        <w:rPr>
          <w:b/>
          <w:spacing w:val="40"/>
          <w:sz w:val="24"/>
        </w:rPr>
        <w:t> </w:t>
      </w:r>
      <w:r>
        <w:rPr>
          <w:b/>
          <w:sz w:val="24"/>
        </w:rPr>
        <w:t>Photomicrograph</w:t>
      </w:r>
      <w:r>
        <w:rPr>
          <w:b/>
          <w:spacing w:val="40"/>
          <w:sz w:val="24"/>
        </w:rPr>
        <w:t> </w:t>
      </w:r>
      <w:r>
        <w:rPr>
          <w:b/>
          <w:sz w:val="24"/>
        </w:rPr>
        <w:t>of</w:t>
      </w:r>
      <w:r>
        <w:rPr>
          <w:b/>
          <w:spacing w:val="40"/>
          <w:sz w:val="24"/>
        </w:rPr>
        <w:t> </w:t>
      </w:r>
      <w:r>
        <w:rPr>
          <w:b/>
          <w:sz w:val="24"/>
        </w:rPr>
        <w:t>the</w:t>
      </w:r>
      <w:r>
        <w:rPr>
          <w:b/>
          <w:spacing w:val="40"/>
          <w:sz w:val="24"/>
        </w:rPr>
        <w:t> </w:t>
      </w:r>
      <w:r>
        <w:rPr>
          <w:b/>
          <w:sz w:val="24"/>
        </w:rPr>
        <w:t>kidney</w:t>
      </w:r>
      <w:r>
        <w:rPr>
          <w:b/>
          <w:spacing w:val="40"/>
          <w:sz w:val="24"/>
        </w:rPr>
        <w:t> </w:t>
      </w:r>
      <w:r>
        <w:rPr>
          <w:b/>
          <w:sz w:val="24"/>
        </w:rPr>
        <w:t>showing</w:t>
      </w:r>
      <w:r>
        <w:rPr>
          <w:b/>
          <w:spacing w:val="40"/>
          <w:sz w:val="24"/>
        </w:rPr>
        <w:t> </w:t>
      </w:r>
      <w:r>
        <w:rPr>
          <w:b/>
          <w:sz w:val="24"/>
        </w:rPr>
        <w:t>no</w:t>
      </w:r>
      <w:r>
        <w:rPr>
          <w:b/>
          <w:spacing w:val="40"/>
          <w:sz w:val="24"/>
        </w:rPr>
        <w:t> </w:t>
      </w:r>
      <w:r>
        <w:rPr>
          <w:b/>
          <w:sz w:val="24"/>
        </w:rPr>
        <w:t>visible</w:t>
      </w:r>
      <w:r>
        <w:rPr>
          <w:b/>
          <w:spacing w:val="40"/>
          <w:sz w:val="24"/>
        </w:rPr>
        <w:t> </w:t>
      </w:r>
      <w:r>
        <w:rPr>
          <w:b/>
          <w:sz w:val="24"/>
        </w:rPr>
        <w:t>lesion</w:t>
      </w:r>
      <w:r>
        <w:rPr>
          <w:b/>
          <w:spacing w:val="68"/>
          <w:sz w:val="24"/>
        </w:rPr>
        <w:t> </w:t>
      </w:r>
      <w:r>
        <w:rPr>
          <w:b/>
          <w:sz w:val="24"/>
        </w:rPr>
        <w:t>in</w:t>
      </w:r>
      <w:r>
        <w:rPr>
          <w:b/>
          <w:spacing w:val="40"/>
          <w:sz w:val="24"/>
        </w:rPr>
        <w:t> </w:t>
      </w:r>
      <w:r>
        <w:rPr>
          <w:b/>
          <w:sz w:val="24"/>
        </w:rPr>
        <w:t>group</w:t>
      </w:r>
      <w:r>
        <w:rPr>
          <w:b/>
          <w:spacing w:val="40"/>
          <w:sz w:val="24"/>
        </w:rPr>
        <w:t> </w:t>
      </w:r>
      <w:r>
        <w:rPr>
          <w:b/>
          <w:sz w:val="24"/>
        </w:rPr>
        <w:t>A</w:t>
      </w:r>
      <w:r>
        <w:rPr>
          <w:b/>
          <w:spacing w:val="40"/>
          <w:sz w:val="24"/>
        </w:rPr>
        <w:t> </w:t>
      </w:r>
      <w:r>
        <w:rPr>
          <w:b/>
          <w:sz w:val="24"/>
        </w:rPr>
        <w:t>normal rats</w:t>
      </w:r>
    </w:p>
    <w:p>
      <w:pPr>
        <w:spacing w:after="0" w:line="480" w:lineRule="auto"/>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2992128">
                <wp:simplePos x="0" y="0"/>
                <wp:positionH relativeFrom="page">
                  <wp:posOffset>3861220</wp:posOffset>
                </wp:positionH>
                <wp:positionV relativeFrom="page">
                  <wp:posOffset>3734575</wp:posOffset>
                </wp:positionV>
                <wp:extent cx="1287780" cy="91440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24352;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2992640">
                <wp:simplePos x="0" y="0"/>
                <wp:positionH relativeFrom="page">
                  <wp:posOffset>4288097</wp:posOffset>
                </wp:positionH>
                <wp:positionV relativeFrom="page">
                  <wp:posOffset>1617859</wp:posOffset>
                </wp:positionV>
                <wp:extent cx="3421379" cy="9144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2384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93152">
                <wp:simplePos x="0" y="0"/>
                <wp:positionH relativeFrom="page">
                  <wp:posOffset>-316181</wp:posOffset>
                </wp:positionH>
                <wp:positionV relativeFrom="page">
                  <wp:posOffset>6721518</wp:posOffset>
                </wp:positionV>
                <wp:extent cx="5504815" cy="9144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23328;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04"/>
        <w:rPr>
          <w:b/>
          <w:sz w:val="20"/>
        </w:rPr>
      </w:pPr>
    </w:p>
    <w:p>
      <w:pPr>
        <w:pStyle w:val="BodyText"/>
        <w:ind w:left="1398"/>
        <w:rPr>
          <w:sz w:val="20"/>
        </w:rPr>
      </w:pPr>
      <w:r>
        <w:rPr>
          <w:sz w:val="20"/>
        </w:rPr>
        <w:drawing>
          <wp:inline distT="0" distB="0" distL="0" distR="0">
            <wp:extent cx="4455287" cy="3956494"/>
            <wp:effectExtent l="0" t="0" r="0" b="0"/>
            <wp:docPr id="265" name="Image 265" descr="C:\Users\Majek\Documents\pics histology\MAJEK SLIDE\IMG_0248.jpg"/>
            <wp:cNvGraphicFramePr>
              <a:graphicFrameLocks/>
            </wp:cNvGraphicFramePr>
            <a:graphic>
              <a:graphicData uri="http://schemas.openxmlformats.org/drawingml/2006/picture">
                <pic:pic>
                  <pic:nvPicPr>
                    <pic:cNvPr id="265" name="Image 265" descr="C:\Users\Majek\Documents\pics histology\MAJEK SLIDE\IMG_0248.jpg"/>
                    <pic:cNvPicPr/>
                  </pic:nvPicPr>
                  <pic:blipFill>
                    <a:blip r:embed="rId45" cstate="print"/>
                    <a:stretch>
                      <a:fillRect/>
                    </a:stretch>
                  </pic:blipFill>
                  <pic:spPr>
                    <a:xfrm>
                      <a:off x="0" y="0"/>
                      <a:ext cx="4455287" cy="3956494"/>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235"/>
        <w:rPr>
          <w:b/>
        </w:rPr>
      </w:pPr>
    </w:p>
    <w:p>
      <w:pPr>
        <w:spacing w:line="480" w:lineRule="auto" w:before="0"/>
        <w:ind w:left="678" w:right="997" w:firstLine="0"/>
        <w:jc w:val="left"/>
        <w:rPr>
          <w:b/>
          <w:sz w:val="24"/>
        </w:rPr>
      </w:pPr>
      <w:r>
        <w:rPr>
          <w:b/>
          <w:sz w:val="24"/>
        </w:rPr>
        <w:t>Fig.</w:t>
      </w:r>
      <w:r>
        <w:rPr>
          <w:b/>
          <w:spacing w:val="-1"/>
          <w:sz w:val="24"/>
        </w:rPr>
        <w:t> </w:t>
      </w:r>
      <w:r>
        <w:rPr>
          <w:b/>
          <w:sz w:val="24"/>
        </w:rPr>
        <w:t>3.7b: Photomicrograph</w:t>
      </w:r>
      <w:r>
        <w:rPr>
          <w:b/>
          <w:spacing w:val="-1"/>
          <w:sz w:val="24"/>
        </w:rPr>
        <w:t> </w:t>
      </w:r>
      <w:r>
        <w:rPr>
          <w:b/>
          <w:sz w:val="24"/>
        </w:rPr>
        <w:t>of the</w:t>
      </w:r>
      <w:r>
        <w:rPr>
          <w:b/>
          <w:spacing w:val="-2"/>
          <w:sz w:val="24"/>
        </w:rPr>
        <w:t> </w:t>
      </w:r>
      <w:r>
        <w:rPr>
          <w:b/>
          <w:sz w:val="24"/>
        </w:rPr>
        <w:t>liver</w:t>
      </w:r>
      <w:r>
        <w:rPr>
          <w:b/>
          <w:spacing w:val="-2"/>
          <w:sz w:val="24"/>
        </w:rPr>
        <w:t> </w:t>
      </w:r>
      <w:r>
        <w:rPr>
          <w:b/>
          <w:sz w:val="24"/>
        </w:rPr>
        <w:t>of rat</w:t>
      </w:r>
      <w:r>
        <w:rPr>
          <w:b/>
          <w:spacing w:val="-2"/>
          <w:sz w:val="24"/>
        </w:rPr>
        <w:t> </w:t>
      </w:r>
      <w:r>
        <w:rPr>
          <w:b/>
          <w:sz w:val="24"/>
        </w:rPr>
        <w:t>in group</w:t>
      </w:r>
      <w:r>
        <w:rPr>
          <w:b/>
          <w:spacing w:val="-1"/>
          <w:sz w:val="24"/>
        </w:rPr>
        <w:t> </w:t>
      </w:r>
      <w:r>
        <w:rPr>
          <w:b/>
          <w:sz w:val="24"/>
        </w:rPr>
        <w:t>A</w:t>
      </w:r>
      <w:r>
        <w:rPr>
          <w:b/>
          <w:spacing w:val="-2"/>
          <w:sz w:val="24"/>
        </w:rPr>
        <w:t> </w:t>
      </w:r>
      <w:r>
        <w:rPr>
          <w:b/>
          <w:sz w:val="24"/>
        </w:rPr>
        <w:t>normal</w:t>
      </w:r>
      <w:r>
        <w:rPr>
          <w:b/>
          <w:spacing w:val="-1"/>
          <w:sz w:val="24"/>
        </w:rPr>
        <w:t> </w:t>
      </w:r>
      <w:r>
        <w:rPr>
          <w:b/>
          <w:sz w:val="24"/>
        </w:rPr>
        <w:t>rat where</w:t>
      </w:r>
      <w:r>
        <w:rPr>
          <w:b/>
          <w:spacing w:val="-2"/>
          <w:sz w:val="24"/>
        </w:rPr>
        <w:t> </w:t>
      </w:r>
      <w:r>
        <w:rPr>
          <w:b/>
          <w:sz w:val="24"/>
        </w:rPr>
        <w:t>no</w:t>
      </w:r>
      <w:r>
        <w:rPr>
          <w:b/>
          <w:spacing w:val="-1"/>
          <w:sz w:val="24"/>
        </w:rPr>
        <w:t> </w:t>
      </w:r>
      <w:r>
        <w:rPr>
          <w:b/>
          <w:sz w:val="24"/>
        </w:rPr>
        <w:t>visible lesion was observed</w:t>
      </w:r>
    </w:p>
    <w:p>
      <w:pPr>
        <w:spacing w:after="0" w:line="480" w:lineRule="auto"/>
        <w:jc w:val="left"/>
        <w:rPr>
          <w:sz w:val="24"/>
        </w:rPr>
        <w:sectPr>
          <w:pgSz w:w="12240" w:h="15840"/>
          <w:pgMar w:header="0" w:footer="1056" w:top="1820" w:bottom="1240" w:left="1420" w:right="420"/>
        </w:sectPr>
      </w:pPr>
    </w:p>
    <w:p>
      <w:pPr>
        <w:pStyle w:val="BodyText"/>
        <w:ind w:left="1398"/>
        <w:rPr>
          <w:sz w:val="20"/>
        </w:rPr>
      </w:pPr>
      <w:r>
        <w:rPr/>
        <mc:AlternateContent>
          <mc:Choice Requires="wps">
            <w:drawing>
              <wp:anchor distT="0" distB="0" distL="0" distR="0" allowOverlap="1" layoutInCell="1" locked="0" behindDoc="1" simplePos="0" relativeHeight="482994176">
                <wp:simplePos x="0" y="0"/>
                <wp:positionH relativeFrom="page">
                  <wp:posOffset>4288097</wp:posOffset>
                </wp:positionH>
                <wp:positionV relativeFrom="page">
                  <wp:posOffset>1617859</wp:posOffset>
                </wp:positionV>
                <wp:extent cx="3421379" cy="91440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22304;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94688">
                <wp:simplePos x="0" y="0"/>
                <wp:positionH relativeFrom="page">
                  <wp:posOffset>-316181</wp:posOffset>
                </wp:positionH>
                <wp:positionV relativeFrom="page">
                  <wp:posOffset>6721518</wp:posOffset>
                </wp:positionV>
                <wp:extent cx="5504815" cy="91440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21792;rotation:306" type="#_x0000_t136" fillcolor="#ff5400" stroked="f">
                <o:extrusion v:ext="view" autorotationcenter="t"/>
                <v:textpath style="font-family:&quot;Arial MT&quot;;font-size:72pt;v-text-kern:t;mso-text-shadow:auto" string="UNIVERSITY"/>
                <w10:wrap type="none"/>
              </v:shape>
            </w:pict>
          </mc:Fallback>
        </mc:AlternateContent>
      </w:r>
      <w:r>
        <w:rPr>
          <w:sz w:val="20"/>
        </w:rPr>
        <w:drawing>
          <wp:inline distT="0" distB="0" distL="0" distR="0">
            <wp:extent cx="4725324" cy="3325749"/>
            <wp:effectExtent l="0" t="0" r="0" b="0"/>
            <wp:docPr id="268" name="Image 268" descr="C:\Users\Majek\Documents\pics histology\MAJEK SLIDE\101_0004.jpg"/>
            <wp:cNvGraphicFramePr>
              <a:graphicFrameLocks/>
            </wp:cNvGraphicFramePr>
            <a:graphic>
              <a:graphicData uri="http://schemas.openxmlformats.org/drawingml/2006/picture">
                <pic:pic>
                  <pic:nvPicPr>
                    <pic:cNvPr id="268" name="Image 268" descr="C:\Users\Majek\Documents\pics histology\MAJEK SLIDE\101_0004.jpg"/>
                    <pic:cNvPicPr/>
                  </pic:nvPicPr>
                  <pic:blipFill>
                    <a:blip r:embed="rId46" cstate="print"/>
                    <a:stretch>
                      <a:fillRect/>
                    </a:stretch>
                  </pic:blipFill>
                  <pic:spPr>
                    <a:xfrm>
                      <a:off x="0" y="0"/>
                      <a:ext cx="4725324" cy="3325749"/>
                    </a:xfrm>
                    <a:prstGeom prst="rect">
                      <a:avLst/>
                    </a:prstGeom>
                  </pic:spPr>
                </pic:pic>
              </a:graphicData>
            </a:graphic>
          </wp:inline>
        </w:drawing>
      </w:r>
      <w:r>
        <w:rPr>
          <w:sz w:val="20"/>
        </w:rPr>
      </w:r>
    </w:p>
    <w:p>
      <w:pPr>
        <w:pStyle w:val="BodyText"/>
        <w:rPr>
          <w:b/>
        </w:rPr>
      </w:pPr>
    </w:p>
    <w:p>
      <w:pPr>
        <w:pStyle w:val="BodyText"/>
        <w:rPr>
          <w:b/>
        </w:rPr>
      </w:pPr>
    </w:p>
    <w:p>
      <w:pPr>
        <w:pStyle w:val="BodyText"/>
        <w:spacing w:before="206"/>
        <w:rPr>
          <w:b/>
        </w:rPr>
      </w:pPr>
    </w:p>
    <w:p>
      <w:pPr>
        <w:spacing w:line="276" w:lineRule="auto" w:before="0"/>
        <w:ind w:left="678" w:right="1041" w:firstLine="0"/>
        <w:jc w:val="left"/>
        <w:rPr>
          <w:b/>
          <w:sz w:val="24"/>
        </w:rPr>
      </w:pPr>
      <w:r>
        <w:rPr/>
        <mc:AlternateContent>
          <mc:Choice Requires="wps">
            <w:drawing>
              <wp:anchor distT="0" distB="0" distL="0" distR="0" allowOverlap="1" layoutInCell="1" locked="0" behindDoc="1" simplePos="0" relativeHeight="482993664">
                <wp:simplePos x="0" y="0"/>
                <wp:positionH relativeFrom="page">
                  <wp:posOffset>3861220</wp:posOffset>
                </wp:positionH>
                <wp:positionV relativeFrom="paragraph">
                  <wp:posOffset>-1149799</wp:posOffset>
                </wp:positionV>
                <wp:extent cx="1287780" cy="91440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90.535397pt;width:101.4pt;height:72pt;mso-position-horizontal-relative:page;mso-position-vertical-relative:paragraph;z-index:-20322816;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4"/>
          <w:sz w:val="24"/>
        </w:rPr>
        <w:t> </w:t>
      </w:r>
      <w:r>
        <w:rPr>
          <w:b/>
          <w:sz w:val="24"/>
        </w:rPr>
        <w:t>3.7c:</w:t>
      </w:r>
      <w:r>
        <w:rPr>
          <w:b/>
          <w:spacing w:val="-3"/>
          <w:sz w:val="24"/>
        </w:rPr>
        <w:t> </w:t>
      </w:r>
      <w:r>
        <w:rPr>
          <w:b/>
          <w:sz w:val="24"/>
        </w:rPr>
        <w:t>Photomicrograph</w:t>
      </w:r>
      <w:r>
        <w:rPr>
          <w:b/>
          <w:spacing w:val="-4"/>
          <w:sz w:val="24"/>
        </w:rPr>
        <w:t> </w:t>
      </w:r>
      <w:r>
        <w:rPr>
          <w:b/>
          <w:sz w:val="24"/>
        </w:rPr>
        <w:t>of</w:t>
      </w:r>
      <w:r>
        <w:rPr>
          <w:b/>
          <w:spacing w:val="-3"/>
          <w:sz w:val="24"/>
        </w:rPr>
        <w:t> </w:t>
      </w:r>
      <w:r>
        <w:rPr>
          <w:b/>
          <w:sz w:val="24"/>
        </w:rPr>
        <w:t>the</w:t>
      </w:r>
      <w:r>
        <w:rPr>
          <w:b/>
          <w:spacing w:val="-5"/>
          <w:sz w:val="24"/>
        </w:rPr>
        <w:t> </w:t>
      </w:r>
      <w:r>
        <w:rPr>
          <w:b/>
          <w:sz w:val="24"/>
        </w:rPr>
        <w:t>pancrease</w:t>
      </w:r>
      <w:r>
        <w:rPr>
          <w:b/>
          <w:spacing w:val="-4"/>
          <w:sz w:val="24"/>
        </w:rPr>
        <w:t> </w:t>
      </w:r>
      <w:r>
        <w:rPr>
          <w:b/>
          <w:sz w:val="24"/>
        </w:rPr>
        <w:t>showing</w:t>
      </w:r>
      <w:r>
        <w:rPr>
          <w:b/>
          <w:spacing w:val="-7"/>
          <w:sz w:val="24"/>
        </w:rPr>
        <w:t> </w:t>
      </w:r>
      <w:r>
        <w:rPr>
          <w:b/>
          <w:sz w:val="24"/>
        </w:rPr>
        <w:t>no</w:t>
      </w:r>
      <w:r>
        <w:rPr>
          <w:b/>
          <w:spacing w:val="-4"/>
          <w:sz w:val="24"/>
        </w:rPr>
        <w:t> </w:t>
      </w:r>
      <w:r>
        <w:rPr>
          <w:b/>
          <w:sz w:val="24"/>
        </w:rPr>
        <w:t>visible</w:t>
      </w:r>
      <w:r>
        <w:rPr>
          <w:b/>
          <w:spacing w:val="-4"/>
          <w:sz w:val="24"/>
        </w:rPr>
        <w:t> </w:t>
      </w:r>
      <w:r>
        <w:rPr>
          <w:b/>
          <w:sz w:val="24"/>
        </w:rPr>
        <w:t>lesion</w:t>
      </w:r>
      <w:r>
        <w:rPr>
          <w:b/>
          <w:spacing w:val="-3"/>
          <w:sz w:val="24"/>
        </w:rPr>
        <w:t> </w:t>
      </w:r>
      <w:r>
        <w:rPr>
          <w:b/>
          <w:sz w:val="24"/>
        </w:rPr>
        <w:t>in</w:t>
      </w:r>
      <w:r>
        <w:rPr>
          <w:b/>
          <w:spacing w:val="-4"/>
          <w:sz w:val="24"/>
        </w:rPr>
        <w:t> </w:t>
      </w:r>
      <w:r>
        <w:rPr>
          <w:b/>
          <w:sz w:val="24"/>
        </w:rPr>
        <w:t>the</w:t>
      </w:r>
      <w:r>
        <w:rPr>
          <w:b/>
          <w:spacing w:val="-5"/>
          <w:sz w:val="24"/>
        </w:rPr>
        <w:t> </w:t>
      </w:r>
      <w:r>
        <w:rPr>
          <w:b/>
          <w:sz w:val="24"/>
        </w:rPr>
        <w:t>normal </w:t>
      </w:r>
      <w:r>
        <w:rPr>
          <w:b/>
          <w:spacing w:val="-4"/>
          <w:sz w:val="24"/>
        </w:rPr>
        <w:t>rat.</w:t>
      </w:r>
    </w:p>
    <w:p>
      <w:pPr>
        <w:spacing w:after="0" w:line="276" w:lineRule="auto"/>
        <w:jc w:val="left"/>
        <w:rPr>
          <w:sz w:val="24"/>
        </w:rPr>
        <w:sectPr>
          <w:pgSz w:w="12240" w:h="15840"/>
          <w:pgMar w:header="0" w:footer="1056" w:top="1420" w:bottom="1240" w:left="1420" w:right="420"/>
        </w:sectPr>
      </w:pPr>
    </w:p>
    <w:p>
      <w:pPr>
        <w:pStyle w:val="BodyText"/>
        <w:rPr>
          <w:b/>
          <w:sz w:val="20"/>
        </w:rPr>
      </w:pPr>
      <w:r>
        <w:rPr/>
        <mc:AlternateContent>
          <mc:Choice Requires="wps">
            <w:drawing>
              <wp:anchor distT="0" distB="0" distL="0" distR="0" allowOverlap="1" layoutInCell="1" locked="0" behindDoc="1" simplePos="0" relativeHeight="482995712">
                <wp:simplePos x="0" y="0"/>
                <wp:positionH relativeFrom="page">
                  <wp:posOffset>4288097</wp:posOffset>
                </wp:positionH>
                <wp:positionV relativeFrom="page">
                  <wp:posOffset>1617859</wp:posOffset>
                </wp:positionV>
                <wp:extent cx="3421379" cy="9144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20768;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96224">
                <wp:simplePos x="0" y="0"/>
                <wp:positionH relativeFrom="page">
                  <wp:posOffset>-316181</wp:posOffset>
                </wp:positionH>
                <wp:positionV relativeFrom="page">
                  <wp:posOffset>6721518</wp:posOffset>
                </wp:positionV>
                <wp:extent cx="5504815" cy="91440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20256;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spacing w:before="149"/>
        <w:rPr>
          <w:b/>
          <w:sz w:val="20"/>
        </w:rPr>
      </w:pPr>
    </w:p>
    <w:p>
      <w:pPr>
        <w:pStyle w:val="BodyText"/>
        <w:ind w:left="1398"/>
        <w:rPr>
          <w:sz w:val="20"/>
        </w:rPr>
      </w:pPr>
      <w:r>
        <w:rPr>
          <w:sz w:val="20"/>
        </w:rPr>
        <w:drawing>
          <wp:inline distT="0" distB="0" distL="0" distR="0">
            <wp:extent cx="4435517" cy="2981705"/>
            <wp:effectExtent l="0" t="0" r="0" b="0"/>
            <wp:docPr id="272" name="Image 272" descr="C:\Users\Majek\Documents\pics histology\MAJEK SLIDE\101_0004.jpg"/>
            <wp:cNvGraphicFramePr>
              <a:graphicFrameLocks/>
            </wp:cNvGraphicFramePr>
            <a:graphic>
              <a:graphicData uri="http://schemas.openxmlformats.org/drawingml/2006/picture">
                <pic:pic>
                  <pic:nvPicPr>
                    <pic:cNvPr id="272" name="Image 272" descr="C:\Users\Majek\Documents\pics histology\MAJEK SLIDE\101_0004.jpg"/>
                    <pic:cNvPicPr/>
                  </pic:nvPicPr>
                  <pic:blipFill>
                    <a:blip r:embed="rId46" cstate="print"/>
                    <a:stretch>
                      <a:fillRect/>
                    </a:stretch>
                  </pic:blipFill>
                  <pic:spPr>
                    <a:xfrm>
                      <a:off x="0" y="0"/>
                      <a:ext cx="4435517" cy="2981705"/>
                    </a:xfrm>
                    <a:prstGeom prst="rect">
                      <a:avLst/>
                    </a:prstGeom>
                  </pic:spPr>
                </pic:pic>
              </a:graphicData>
            </a:graphic>
          </wp:inline>
        </w:drawing>
      </w:r>
      <w:r>
        <w:rPr>
          <w:sz w:val="20"/>
        </w:rPr>
      </w:r>
    </w:p>
    <w:p>
      <w:pPr>
        <w:pStyle w:val="BodyText"/>
        <w:rPr>
          <w:b/>
        </w:rPr>
      </w:pPr>
    </w:p>
    <w:p>
      <w:pPr>
        <w:pStyle w:val="BodyText"/>
        <w:rPr>
          <w:b/>
        </w:rPr>
      </w:pPr>
    </w:p>
    <w:p>
      <w:pPr>
        <w:pStyle w:val="BodyText"/>
        <w:spacing w:before="152"/>
        <w:rPr>
          <w:b/>
        </w:rPr>
      </w:pPr>
    </w:p>
    <w:p>
      <w:pPr>
        <w:spacing w:before="0"/>
        <w:ind w:left="1398" w:right="0" w:firstLine="0"/>
        <w:jc w:val="left"/>
        <w:rPr>
          <w:b/>
          <w:sz w:val="24"/>
        </w:rPr>
      </w:pPr>
      <w:r>
        <w:rPr/>
        <mc:AlternateContent>
          <mc:Choice Requires="wps">
            <w:drawing>
              <wp:anchor distT="0" distB="0" distL="0" distR="0" allowOverlap="1" layoutInCell="1" locked="0" behindDoc="1" simplePos="0" relativeHeight="482995200">
                <wp:simplePos x="0" y="0"/>
                <wp:positionH relativeFrom="page">
                  <wp:posOffset>3861220</wp:posOffset>
                </wp:positionH>
                <wp:positionV relativeFrom="paragraph">
                  <wp:posOffset>-1558104</wp:posOffset>
                </wp:positionV>
                <wp:extent cx="1287780" cy="9144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122.685391pt;width:101.4pt;height:72pt;mso-position-horizontal-relative:page;mso-position-vertical-relative:paragraph;z-index:-20321280;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5"/>
          <w:sz w:val="24"/>
        </w:rPr>
        <w:t> </w:t>
      </w:r>
      <w:r>
        <w:rPr>
          <w:b/>
          <w:sz w:val="24"/>
        </w:rPr>
        <w:t>3.8a Group</w:t>
      </w:r>
      <w:r>
        <w:rPr>
          <w:b/>
          <w:spacing w:val="-2"/>
          <w:sz w:val="24"/>
        </w:rPr>
        <w:t> </w:t>
      </w:r>
      <w:r>
        <w:rPr>
          <w:b/>
          <w:sz w:val="24"/>
        </w:rPr>
        <w:t>B</w:t>
      </w:r>
      <w:r>
        <w:rPr>
          <w:b/>
          <w:spacing w:val="-2"/>
          <w:sz w:val="24"/>
        </w:rPr>
        <w:t> </w:t>
      </w:r>
      <w:r>
        <w:rPr>
          <w:b/>
          <w:sz w:val="24"/>
        </w:rPr>
        <w:t>=Prominent</w:t>
      </w:r>
      <w:r>
        <w:rPr>
          <w:b/>
          <w:spacing w:val="-2"/>
          <w:sz w:val="24"/>
        </w:rPr>
        <w:t> </w:t>
      </w:r>
      <w:r>
        <w:rPr>
          <w:b/>
          <w:sz w:val="24"/>
        </w:rPr>
        <w:t>interlobular</w:t>
      </w:r>
      <w:r>
        <w:rPr>
          <w:b/>
          <w:spacing w:val="-2"/>
          <w:sz w:val="24"/>
        </w:rPr>
        <w:t> </w:t>
      </w:r>
      <w:r>
        <w:rPr>
          <w:b/>
          <w:sz w:val="24"/>
        </w:rPr>
        <w:t>connective</w:t>
      </w:r>
      <w:r>
        <w:rPr>
          <w:b/>
          <w:spacing w:val="-4"/>
          <w:sz w:val="24"/>
        </w:rPr>
        <w:t> </w:t>
      </w:r>
      <w:r>
        <w:rPr>
          <w:b/>
          <w:spacing w:val="-2"/>
          <w:sz w:val="24"/>
        </w:rPr>
        <w:t>tissue</w:t>
      </w:r>
    </w:p>
    <w:p>
      <w:pPr>
        <w:spacing w:after="0"/>
        <w:jc w:val="left"/>
        <w:rPr>
          <w:sz w:val="24"/>
        </w:rPr>
        <w:sectPr>
          <w:pgSz w:w="12240" w:h="15840"/>
          <w:pgMar w:header="0" w:footer="1056" w:top="1820" w:bottom="1240" w:left="1420" w:right="420"/>
        </w:sectPr>
      </w:pPr>
    </w:p>
    <w:p>
      <w:pPr>
        <w:pStyle w:val="BodyText"/>
        <w:ind w:left="1398"/>
        <w:rPr>
          <w:sz w:val="20"/>
        </w:rPr>
      </w:pPr>
      <w:r>
        <w:rPr/>
        <mc:AlternateContent>
          <mc:Choice Requires="wps">
            <w:drawing>
              <wp:anchor distT="0" distB="0" distL="0" distR="0" allowOverlap="1" layoutInCell="1" locked="0" behindDoc="1" simplePos="0" relativeHeight="482997248">
                <wp:simplePos x="0" y="0"/>
                <wp:positionH relativeFrom="page">
                  <wp:posOffset>4288097</wp:posOffset>
                </wp:positionH>
                <wp:positionV relativeFrom="page">
                  <wp:posOffset>1617859</wp:posOffset>
                </wp:positionV>
                <wp:extent cx="3421379" cy="91440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19232;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2997760">
                <wp:simplePos x="0" y="0"/>
                <wp:positionH relativeFrom="page">
                  <wp:posOffset>-316181</wp:posOffset>
                </wp:positionH>
                <wp:positionV relativeFrom="page">
                  <wp:posOffset>6721518</wp:posOffset>
                </wp:positionV>
                <wp:extent cx="5504815" cy="91440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18720;rotation:306" type="#_x0000_t136" fillcolor="#ff5400" stroked="f">
                <o:extrusion v:ext="view" autorotationcenter="t"/>
                <v:textpath style="font-family:&quot;Arial MT&quot;;font-size:72pt;v-text-kern:t;mso-text-shadow:auto" string="UNIVERSITY"/>
                <w10:wrap type="none"/>
              </v:shape>
            </w:pict>
          </mc:Fallback>
        </mc:AlternateContent>
      </w:r>
      <w:r>
        <w:rPr>
          <w:sz w:val="20"/>
        </w:rPr>
        <w:drawing>
          <wp:inline distT="0" distB="0" distL="0" distR="0">
            <wp:extent cx="4869253" cy="3393186"/>
            <wp:effectExtent l="0" t="0" r="0" b="0"/>
            <wp:docPr id="276" name="Image 276" descr="C:\Users\Majek\Documents\pics histology\MAJEK SLIDE\IMG_0269.jpg"/>
            <wp:cNvGraphicFramePr>
              <a:graphicFrameLocks/>
            </wp:cNvGraphicFramePr>
            <a:graphic>
              <a:graphicData uri="http://schemas.openxmlformats.org/drawingml/2006/picture">
                <pic:pic>
                  <pic:nvPicPr>
                    <pic:cNvPr id="276" name="Image 276" descr="C:\Users\Majek\Documents\pics histology\MAJEK SLIDE\IMG_0269.jpg"/>
                    <pic:cNvPicPr/>
                  </pic:nvPicPr>
                  <pic:blipFill>
                    <a:blip r:embed="rId47" cstate="print"/>
                    <a:stretch>
                      <a:fillRect/>
                    </a:stretch>
                  </pic:blipFill>
                  <pic:spPr>
                    <a:xfrm>
                      <a:off x="0" y="0"/>
                      <a:ext cx="4869253" cy="3393186"/>
                    </a:xfrm>
                    <a:prstGeom prst="rect">
                      <a:avLst/>
                    </a:prstGeom>
                  </pic:spPr>
                </pic:pic>
              </a:graphicData>
            </a:graphic>
          </wp:inline>
        </w:drawing>
      </w:r>
      <w:r>
        <w:rPr>
          <w:sz w:val="20"/>
        </w:rPr>
      </w:r>
    </w:p>
    <w:p>
      <w:pPr>
        <w:pStyle w:val="BodyText"/>
        <w:rPr>
          <w:b/>
        </w:rPr>
      </w:pPr>
    </w:p>
    <w:p>
      <w:pPr>
        <w:pStyle w:val="BodyText"/>
        <w:rPr>
          <w:b/>
        </w:rPr>
      </w:pPr>
    </w:p>
    <w:p>
      <w:pPr>
        <w:pStyle w:val="BodyText"/>
        <w:spacing w:before="160"/>
        <w:rPr>
          <w:b/>
        </w:rPr>
      </w:pPr>
    </w:p>
    <w:p>
      <w:pPr>
        <w:spacing w:before="0"/>
        <w:ind w:left="1158" w:right="0" w:firstLine="0"/>
        <w:jc w:val="left"/>
        <w:rPr>
          <w:b/>
          <w:sz w:val="24"/>
        </w:rPr>
      </w:pPr>
      <w:r>
        <w:rPr/>
        <mc:AlternateContent>
          <mc:Choice Requires="wps">
            <w:drawing>
              <wp:anchor distT="0" distB="0" distL="0" distR="0" allowOverlap="1" layoutInCell="1" locked="0" behindDoc="1" simplePos="0" relativeHeight="482996736">
                <wp:simplePos x="0" y="0"/>
                <wp:positionH relativeFrom="page">
                  <wp:posOffset>3861220</wp:posOffset>
                </wp:positionH>
                <wp:positionV relativeFrom="paragraph">
                  <wp:posOffset>-1187899</wp:posOffset>
                </wp:positionV>
                <wp:extent cx="1287780" cy="91440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93.535397pt;width:101.4pt;height:72pt;mso-position-horizontal-relative:page;mso-position-vertical-relative:paragraph;z-index:-20319744;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2"/>
          <w:sz w:val="24"/>
        </w:rPr>
        <w:t> </w:t>
      </w:r>
      <w:r>
        <w:rPr>
          <w:b/>
          <w:sz w:val="24"/>
        </w:rPr>
        <w:t>3.8b:</w:t>
      </w:r>
      <w:r>
        <w:rPr>
          <w:b/>
          <w:spacing w:val="-1"/>
          <w:sz w:val="24"/>
        </w:rPr>
        <w:t> </w:t>
      </w:r>
      <w:r>
        <w:rPr>
          <w:b/>
          <w:sz w:val="24"/>
        </w:rPr>
        <w:t>Photomicrogragh</w:t>
      </w:r>
      <w:r>
        <w:rPr>
          <w:b/>
          <w:spacing w:val="-2"/>
          <w:sz w:val="24"/>
        </w:rPr>
        <w:t> </w:t>
      </w:r>
      <w:r>
        <w:rPr>
          <w:b/>
          <w:sz w:val="24"/>
        </w:rPr>
        <w:t>of</w:t>
      </w:r>
      <w:r>
        <w:rPr>
          <w:b/>
          <w:spacing w:val="-1"/>
          <w:sz w:val="24"/>
        </w:rPr>
        <w:t> </w:t>
      </w:r>
      <w:r>
        <w:rPr>
          <w:b/>
          <w:sz w:val="24"/>
        </w:rPr>
        <w:t>the</w:t>
      </w:r>
      <w:r>
        <w:rPr>
          <w:b/>
          <w:spacing w:val="-2"/>
          <w:sz w:val="24"/>
        </w:rPr>
        <w:t> </w:t>
      </w:r>
      <w:r>
        <w:rPr>
          <w:b/>
          <w:sz w:val="24"/>
        </w:rPr>
        <w:t>liver</w:t>
      </w:r>
      <w:r>
        <w:rPr>
          <w:b/>
          <w:spacing w:val="-1"/>
          <w:sz w:val="24"/>
        </w:rPr>
        <w:t> </w:t>
      </w:r>
      <w:r>
        <w:rPr>
          <w:b/>
          <w:sz w:val="24"/>
        </w:rPr>
        <w:t>showing</w:t>
      </w:r>
      <w:r>
        <w:rPr>
          <w:b/>
          <w:spacing w:val="-2"/>
          <w:sz w:val="24"/>
        </w:rPr>
        <w:t> </w:t>
      </w:r>
      <w:r>
        <w:rPr>
          <w:b/>
          <w:sz w:val="24"/>
        </w:rPr>
        <w:t>Kupfller</w:t>
      </w:r>
      <w:r>
        <w:rPr>
          <w:b/>
          <w:spacing w:val="-2"/>
          <w:sz w:val="24"/>
        </w:rPr>
        <w:t> </w:t>
      </w:r>
      <w:r>
        <w:rPr>
          <w:b/>
          <w:sz w:val="24"/>
        </w:rPr>
        <w:t>cell</w:t>
      </w:r>
      <w:r>
        <w:rPr>
          <w:b/>
          <w:spacing w:val="-1"/>
          <w:sz w:val="24"/>
        </w:rPr>
        <w:t> </w:t>
      </w:r>
      <w:r>
        <w:rPr>
          <w:b/>
          <w:spacing w:val="-2"/>
          <w:sz w:val="24"/>
        </w:rPr>
        <w:t>hyperplasia</w:t>
      </w:r>
    </w:p>
    <w:p>
      <w:pPr>
        <w:spacing w:after="0"/>
        <w:jc w:val="left"/>
        <w:rPr>
          <w:sz w:val="24"/>
        </w:rPr>
        <w:sectPr>
          <w:pgSz w:w="12240" w:h="15840"/>
          <w:pgMar w:header="0" w:footer="1056" w:top="1420" w:bottom="1240" w:left="1420" w:right="420"/>
        </w:sectPr>
      </w:pPr>
    </w:p>
    <w:p>
      <w:pPr>
        <w:pStyle w:val="BodyText"/>
        <w:ind w:left="1398"/>
        <w:rPr>
          <w:sz w:val="20"/>
        </w:rPr>
      </w:pPr>
      <w:r>
        <w:rPr/>
        <mc:AlternateContent>
          <mc:Choice Requires="wps">
            <w:drawing>
              <wp:anchor distT="0" distB="0" distL="0" distR="0" allowOverlap="1" layoutInCell="1" locked="0" behindDoc="1" simplePos="0" relativeHeight="482998272">
                <wp:simplePos x="0" y="0"/>
                <wp:positionH relativeFrom="page">
                  <wp:posOffset>-1402226</wp:posOffset>
                </wp:positionH>
                <wp:positionV relativeFrom="page">
                  <wp:posOffset>4612234</wp:posOffset>
                </wp:positionV>
                <wp:extent cx="10685780" cy="91440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18208;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w:drawing>
          <wp:inline distT="0" distB="0" distL="0" distR="0">
            <wp:extent cx="4368533" cy="3242786"/>
            <wp:effectExtent l="0" t="0" r="0" b="0"/>
            <wp:docPr id="279" name="Image 279" descr="C:\Users\Majek\Documents\pics histology\MAJEK SLIDE\IMG_0262.jpg"/>
            <wp:cNvGraphicFramePr>
              <a:graphicFrameLocks/>
            </wp:cNvGraphicFramePr>
            <a:graphic>
              <a:graphicData uri="http://schemas.openxmlformats.org/drawingml/2006/picture">
                <pic:pic>
                  <pic:nvPicPr>
                    <pic:cNvPr id="279" name="Image 279" descr="C:\Users\Majek\Documents\pics histology\MAJEK SLIDE\IMG_0262.jpg"/>
                    <pic:cNvPicPr/>
                  </pic:nvPicPr>
                  <pic:blipFill>
                    <a:blip r:embed="rId48" cstate="print"/>
                    <a:stretch>
                      <a:fillRect/>
                    </a:stretch>
                  </pic:blipFill>
                  <pic:spPr>
                    <a:xfrm>
                      <a:off x="0" y="0"/>
                      <a:ext cx="4368533" cy="3242786"/>
                    </a:xfrm>
                    <a:prstGeom prst="rect">
                      <a:avLst/>
                    </a:prstGeom>
                  </pic:spPr>
                </pic:pic>
              </a:graphicData>
            </a:graphic>
          </wp:inline>
        </w:drawing>
      </w:r>
      <w:r>
        <w:rPr>
          <w:sz w:val="20"/>
        </w:rPr>
      </w:r>
    </w:p>
    <w:p>
      <w:pPr>
        <w:pStyle w:val="BodyText"/>
        <w:rPr>
          <w:b/>
        </w:rPr>
      </w:pPr>
    </w:p>
    <w:p>
      <w:pPr>
        <w:pStyle w:val="BodyText"/>
        <w:rPr>
          <w:b/>
        </w:rPr>
      </w:pPr>
    </w:p>
    <w:p>
      <w:pPr>
        <w:pStyle w:val="BodyText"/>
        <w:spacing w:before="140"/>
        <w:rPr>
          <w:b/>
        </w:rPr>
      </w:pPr>
    </w:p>
    <w:p>
      <w:pPr>
        <w:spacing w:before="0"/>
        <w:ind w:left="678" w:right="0" w:firstLine="0"/>
        <w:jc w:val="left"/>
        <w:rPr>
          <w:b/>
          <w:sz w:val="24"/>
        </w:rPr>
      </w:pPr>
      <w:r>
        <w:rPr>
          <w:b/>
          <w:sz w:val="24"/>
        </w:rPr>
        <w:t>Fig.</w:t>
      </w:r>
      <w:r>
        <w:rPr>
          <w:b/>
          <w:spacing w:val="-4"/>
          <w:sz w:val="24"/>
        </w:rPr>
        <w:t> </w:t>
      </w:r>
      <w:r>
        <w:rPr>
          <w:b/>
          <w:sz w:val="24"/>
        </w:rPr>
        <w:t>3.8c: Photomicrogragh</w:t>
      </w:r>
      <w:r>
        <w:rPr>
          <w:b/>
          <w:spacing w:val="-1"/>
          <w:sz w:val="24"/>
        </w:rPr>
        <w:t> </w:t>
      </w:r>
      <w:r>
        <w:rPr>
          <w:b/>
          <w:sz w:val="24"/>
        </w:rPr>
        <w:t>of the</w:t>
      </w:r>
      <w:r>
        <w:rPr>
          <w:b/>
          <w:spacing w:val="-2"/>
          <w:sz w:val="24"/>
        </w:rPr>
        <w:t> </w:t>
      </w:r>
      <w:r>
        <w:rPr>
          <w:b/>
          <w:sz w:val="24"/>
        </w:rPr>
        <w:t>liver showing</w:t>
      </w:r>
      <w:r>
        <w:rPr>
          <w:b/>
          <w:spacing w:val="-4"/>
          <w:sz w:val="24"/>
        </w:rPr>
        <w:t> </w:t>
      </w:r>
      <w:r>
        <w:rPr>
          <w:b/>
          <w:sz w:val="24"/>
        </w:rPr>
        <w:t>no</w:t>
      </w:r>
      <w:r>
        <w:rPr>
          <w:b/>
          <w:spacing w:val="-1"/>
          <w:sz w:val="24"/>
        </w:rPr>
        <w:t> </w:t>
      </w:r>
      <w:r>
        <w:rPr>
          <w:b/>
          <w:sz w:val="24"/>
        </w:rPr>
        <w:t>visible</w:t>
      </w:r>
      <w:r>
        <w:rPr>
          <w:b/>
          <w:spacing w:val="-1"/>
          <w:sz w:val="24"/>
        </w:rPr>
        <w:t> </w:t>
      </w:r>
      <w:r>
        <w:rPr>
          <w:b/>
          <w:spacing w:val="-2"/>
          <w:sz w:val="24"/>
        </w:rPr>
        <w:t>lesion</w:t>
      </w:r>
    </w:p>
    <w:p>
      <w:pPr>
        <w:spacing w:after="0"/>
        <w:jc w:val="left"/>
        <w:rPr>
          <w:sz w:val="24"/>
        </w:rPr>
        <w:sectPr>
          <w:pgSz w:w="12240" w:h="15840"/>
          <w:pgMar w:header="0" w:footer="1056" w:top="1420" w:bottom="1240" w:left="1420" w:right="420"/>
        </w:sectPr>
      </w:pPr>
    </w:p>
    <w:p>
      <w:pPr>
        <w:pStyle w:val="BodyText"/>
        <w:ind w:left="1398"/>
        <w:rPr>
          <w:sz w:val="20"/>
        </w:rPr>
      </w:pPr>
      <w:r>
        <w:rPr/>
        <mc:AlternateContent>
          <mc:Choice Requires="wps">
            <w:drawing>
              <wp:anchor distT="0" distB="0" distL="0" distR="0" allowOverlap="1" layoutInCell="1" locked="0" behindDoc="1" simplePos="0" relativeHeight="482998784">
                <wp:simplePos x="0" y="0"/>
                <wp:positionH relativeFrom="page">
                  <wp:posOffset>-1402226</wp:posOffset>
                </wp:positionH>
                <wp:positionV relativeFrom="page">
                  <wp:posOffset>4612234</wp:posOffset>
                </wp:positionV>
                <wp:extent cx="10685780" cy="91440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1769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0"/>
        </w:rPr>
        <w:drawing>
          <wp:inline distT="0" distB="0" distL="0" distR="0">
            <wp:extent cx="3995935" cy="2828925"/>
            <wp:effectExtent l="0" t="0" r="0" b="0"/>
            <wp:docPr id="281" name="Image 281" descr="C:\Users\Majek\Documents\pics histology\MAJEK SLIDE\IMG_0277.jpg"/>
            <wp:cNvGraphicFramePr>
              <a:graphicFrameLocks/>
            </wp:cNvGraphicFramePr>
            <a:graphic>
              <a:graphicData uri="http://schemas.openxmlformats.org/drawingml/2006/picture">
                <pic:pic>
                  <pic:nvPicPr>
                    <pic:cNvPr id="281" name="Image 281" descr="C:\Users\Majek\Documents\pics histology\MAJEK SLIDE\IMG_0277.jpg"/>
                    <pic:cNvPicPr/>
                  </pic:nvPicPr>
                  <pic:blipFill>
                    <a:blip r:embed="rId49" cstate="print"/>
                    <a:stretch>
                      <a:fillRect/>
                    </a:stretch>
                  </pic:blipFill>
                  <pic:spPr>
                    <a:xfrm>
                      <a:off x="0" y="0"/>
                      <a:ext cx="3995935" cy="2828925"/>
                    </a:xfrm>
                    <a:prstGeom prst="rect">
                      <a:avLst/>
                    </a:prstGeom>
                  </pic:spPr>
                </pic:pic>
              </a:graphicData>
            </a:graphic>
          </wp:inline>
        </w:drawing>
      </w:r>
      <w:r>
        <w:rPr>
          <w:sz w:val="20"/>
        </w:rPr>
      </w:r>
    </w:p>
    <w:p>
      <w:pPr>
        <w:pStyle w:val="BodyText"/>
        <w:rPr>
          <w:b/>
        </w:rPr>
      </w:pPr>
    </w:p>
    <w:p>
      <w:pPr>
        <w:pStyle w:val="BodyText"/>
        <w:rPr>
          <w:b/>
        </w:rPr>
      </w:pPr>
    </w:p>
    <w:p>
      <w:pPr>
        <w:pStyle w:val="BodyText"/>
        <w:spacing w:before="149"/>
        <w:rPr>
          <w:b/>
        </w:rPr>
      </w:pPr>
    </w:p>
    <w:p>
      <w:pPr>
        <w:spacing w:before="0"/>
        <w:ind w:left="1278" w:right="0" w:firstLine="0"/>
        <w:jc w:val="left"/>
        <w:rPr>
          <w:b/>
          <w:sz w:val="24"/>
        </w:rPr>
      </w:pPr>
      <w:r>
        <w:rPr>
          <w:b/>
          <w:sz w:val="24"/>
        </w:rPr>
        <w:t>Fig.</w:t>
      </w:r>
      <w:r>
        <w:rPr>
          <w:b/>
          <w:spacing w:val="-2"/>
          <w:sz w:val="24"/>
        </w:rPr>
        <w:t> </w:t>
      </w:r>
      <w:r>
        <w:rPr>
          <w:b/>
          <w:sz w:val="24"/>
        </w:rPr>
        <w:t>3.9a:</w:t>
      </w:r>
      <w:r>
        <w:rPr>
          <w:b/>
          <w:spacing w:val="59"/>
          <w:sz w:val="24"/>
        </w:rPr>
        <w:t> </w:t>
      </w:r>
      <w:r>
        <w:rPr>
          <w:b/>
          <w:sz w:val="24"/>
        </w:rPr>
        <w:t>Photomicrogragh</w:t>
      </w:r>
      <w:r>
        <w:rPr>
          <w:b/>
          <w:spacing w:val="-1"/>
          <w:sz w:val="24"/>
        </w:rPr>
        <w:t> </w:t>
      </w:r>
      <w:r>
        <w:rPr>
          <w:b/>
          <w:sz w:val="24"/>
        </w:rPr>
        <w:t>of</w:t>
      </w:r>
      <w:r>
        <w:rPr>
          <w:b/>
          <w:spacing w:val="-1"/>
          <w:sz w:val="24"/>
        </w:rPr>
        <w:t> </w:t>
      </w:r>
      <w:r>
        <w:rPr>
          <w:b/>
          <w:sz w:val="24"/>
        </w:rPr>
        <w:t>the</w:t>
      </w:r>
      <w:r>
        <w:rPr>
          <w:b/>
          <w:spacing w:val="-2"/>
          <w:sz w:val="24"/>
        </w:rPr>
        <w:t> </w:t>
      </w:r>
      <w:r>
        <w:rPr>
          <w:b/>
          <w:sz w:val="24"/>
        </w:rPr>
        <w:t>pancreas</w:t>
      </w:r>
      <w:r>
        <w:rPr>
          <w:b/>
          <w:spacing w:val="2"/>
          <w:sz w:val="24"/>
        </w:rPr>
        <w:t> </w:t>
      </w:r>
      <w:r>
        <w:rPr>
          <w:b/>
          <w:sz w:val="24"/>
        </w:rPr>
        <w:t>showing</w:t>
      </w:r>
      <w:r>
        <w:rPr>
          <w:b/>
          <w:spacing w:val="-5"/>
          <w:sz w:val="24"/>
        </w:rPr>
        <w:t> </w:t>
      </w:r>
      <w:r>
        <w:rPr>
          <w:b/>
          <w:sz w:val="24"/>
        </w:rPr>
        <w:t>no</w:t>
      </w:r>
      <w:r>
        <w:rPr>
          <w:b/>
          <w:spacing w:val="-1"/>
          <w:sz w:val="24"/>
        </w:rPr>
        <w:t> </w:t>
      </w:r>
      <w:r>
        <w:rPr>
          <w:b/>
          <w:sz w:val="24"/>
        </w:rPr>
        <w:t>visible</w:t>
      </w:r>
      <w:r>
        <w:rPr>
          <w:b/>
          <w:spacing w:val="-1"/>
          <w:sz w:val="24"/>
        </w:rPr>
        <w:t> </w:t>
      </w:r>
      <w:r>
        <w:rPr>
          <w:b/>
          <w:spacing w:val="-2"/>
          <w:sz w:val="24"/>
        </w:rPr>
        <w:t>lesion</w:t>
      </w:r>
    </w:p>
    <w:p>
      <w:pPr>
        <w:spacing w:after="0"/>
        <w:jc w:val="left"/>
        <w:rPr>
          <w:sz w:val="24"/>
        </w:rPr>
        <w:sectPr>
          <w:pgSz w:w="12240" w:h="15840"/>
          <w:pgMar w:header="0" w:footer="1056" w:top="1420" w:bottom="1240" w:left="1420" w:right="420"/>
        </w:sectPr>
      </w:pPr>
    </w:p>
    <w:p>
      <w:pPr>
        <w:pStyle w:val="BodyText"/>
        <w:spacing w:before="196"/>
        <w:rPr>
          <w:b/>
          <w:sz w:val="20"/>
        </w:rPr>
      </w:pPr>
      <w:r>
        <w:rPr/>
        <mc:AlternateContent>
          <mc:Choice Requires="wps">
            <w:drawing>
              <wp:anchor distT="0" distB="0" distL="0" distR="0" allowOverlap="1" layoutInCell="1" locked="0" behindDoc="1" simplePos="0" relativeHeight="482999808">
                <wp:simplePos x="0" y="0"/>
                <wp:positionH relativeFrom="page">
                  <wp:posOffset>4288097</wp:posOffset>
                </wp:positionH>
                <wp:positionV relativeFrom="page">
                  <wp:posOffset>1617859</wp:posOffset>
                </wp:positionV>
                <wp:extent cx="3421379" cy="91440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16672;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00320">
                <wp:simplePos x="0" y="0"/>
                <wp:positionH relativeFrom="page">
                  <wp:posOffset>-316181</wp:posOffset>
                </wp:positionH>
                <wp:positionV relativeFrom="page">
                  <wp:posOffset>6721518</wp:posOffset>
                </wp:positionV>
                <wp:extent cx="5504815" cy="91440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16160;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ind w:left="1398"/>
        <w:rPr>
          <w:sz w:val="20"/>
        </w:rPr>
      </w:pPr>
      <w:r>
        <w:rPr>
          <w:sz w:val="20"/>
        </w:rPr>
        <w:drawing>
          <wp:inline distT="0" distB="0" distL="0" distR="0">
            <wp:extent cx="4992532" cy="3383089"/>
            <wp:effectExtent l="0" t="0" r="0" b="0"/>
            <wp:docPr id="284" name="Image 284" descr="C:\Users\Majek\Documents\pics histology\MAJEK SLIDE\IMG_0246.jpg"/>
            <wp:cNvGraphicFramePr>
              <a:graphicFrameLocks/>
            </wp:cNvGraphicFramePr>
            <a:graphic>
              <a:graphicData uri="http://schemas.openxmlformats.org/drawingml/2006/picture">
                <pic:pic>
                  <pic:nvPicPr>
                    <pic:cNvPr id="284" name="Image 284" descr="C:\Users\Majek\Documents\pics histology\MAJEK SLIDE\IMG_0246.jpg"/>
                    <pic:cNvPicPr/>
                  </pic:nvPicPr>
                  <pic:blipFill>
                    <a:blip r:embed="rId50" cstate="print"/>
                    <a:stretch>
                      <a:fillRect/>
                    </a:stretch>
                  </pic:blipFill>
                  <pic:spPr>
                    <a:xfrm>
                      <a:off x="0" y="0"/>
                      <a:ext cx="4992532" cy="3383089"/>
                    </a:xfrm>
                    <a:prstGeom prst="rect">
                      <a:avLst/>
                    </a:prstGeom>
                  </pic:spPr>
                </pic:pic>
              </a:graphicData>
            </a:graphic>
          </wp:inline>
        </w:drawing>
      </w:r>
      <w:r>
        <w:rPr>
          <w:sz w:val="20"/>
        </w:rPr>
      </w:r>
    </w:p>
    <w:p>
      <w:pPr>
        <w:pStyle w:val="BodyText"/>
        <w:rPr>
          <w:b/>
        </w:rPr>
      </w:pPr>
    </w:p>
    <w:p>
      <w:pPr>
        <w:pStyle w:val="BodyText"/>
        <w:rPr>
          <w:b/>
        </w:rPr>
      </w:pPr>
    </w:p>
    <w:p>
      <w:pPr>
        <w:pStyle w:val="BodyText"/>
        <w:spacing w:before="106"/>
        <w:rPr>
          <w:b/>
        </w:rPr>
      </w:pPr>
    </w:p>
    <w:p>
      <w:pPr>
        <w:spacing w:line="360" w:lineRule="auto" w:before="0"/>
        <w:ind w:left="1398" w:right="0" w:firstLine="0"/>
        <w:jc w:val="left"/>
        <w:rPr>
          <w:b/>
          <w:sz w:val="24"/>
        </w:rPr>
      </w:pPr>
      <w:r>
        <w:rPr/>
        <mc:AlternateContent>
          <mc:Choice Requires="wps">
            <w:drawing>
              <wp:anchor distT="0" distB="0" distL="0" distR="0" allowOverlap="1" layoutInCell="1" locked="0" behindDoc="1" simplePos="0" relativeHeight="482999296">
                <wp:simplePos x="0" y="0"/>
                <wp:positionH relativeFrom="page">
                  <wp:posOffset>3861220</wp:posOffset>
                </wp:positionH>
                <wp:positionV relativeFrom="paragraph">
                  <wp:posOffset>-1667959</wp:posOffset>
                </wp:positionV>
                <wp:extent cx="1287780" cy="91440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131.3354pt;width:101.4pt;height:72pt;mso-position-horizontal-relative:page;mso-position-vertical-relative:paragraph;z-index:-20317184;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77"/>
          <w:sz w:val="24"/>
        </w:rPr>
        <w:t> </w:t>
      </w:r>
      <w:r>
        <w:rPr>
          <w:b/>
          <w:sz w:val="24"/>
        </w:rPr>
        <w:t>3.9b:</w:t>
      </w:r>
      <w:r>
        <w:rPr>
          <w:b/>
          <w:spacing w:val="79"/>
          <w:sz w:val="24"/>
        </w:rPr>
        <w:t> </w:t>
      </w:r>
      <w:r>
        <w:rPr>
          <w:b/>
          <w:sz w:val="24"/>
        </w:rPr>
        <w:t>Photomicrograph</w:t>
      </w:r>
      <w:r>
        <w:rPr>
          <w:b/>
          <w:spacing w:val="78"/>
          <w:sz w:val="24"/>
        </w:rPr>
        <w:t> </w:t>
      </w:r>
      <w:r>
        <w:rPr>
          <w:b/>
          <w:sz w:val="24"/>
        </w:rPr>
        <w:t>of</w:t>
      </w:r>
      <w:r>
        <w:rPr>
          <w:b/>
          <w:spacing w:val="78"/>
          <w:sz w:val="24"/>
        </w:rPr>
        <w:t> </w:t>
      </w:r>
      <w:r>
        <w:rPr>
          <w:b/>
          <w:sz w:val="24"/>
        </w:rPr>
        <w:t>the</w:t>
      </w:r>
      <w:r>
        <w:rPr>
          <w:b/>
          <w:spacing w:val="76"/>
          <w:sz w:val="24"/>
        </w:rPr>
        <w:t> </w:t>
      </w:r>
      <w:r>
        <w:rPr>
          <w:b/>
          <w:sz w:val="24"/>
        </w:rPr>
        <w:t>kidney</w:t>
      </w:r>
      <w:r>
        <w:rPr>
          <w:b/>
          <w:spacing w:val="74"/>
          <w:sz w:val="24"/>
        </w:rPr>
        <w:t> </w:t>
      </w:r>
      <w:r>
        <w:rPr>
          <w:b/>
          <w:sz w:val="24"/>
        </w:rPr>
        <w:t>showing</w:t>
      </w:r>
      <w:r>
        <w:rPr>
          <w:b/>
          <w:spacing w:val="77"/>
          <w:sz w:val="24"/>
        </w:rPr>
        <w:t> </w:t>
      </w:r>
      <w:r>
        <w:rPr>
          <w:b/>
          <w:sz w:val="24"/>
        </w:rPr>
        <w:t>a</w:t>
      </w:r>
      <w:r>
        <w:rPr>
          <w:b/>
          <w:spacing w:val="77"/>
          <w:sz w:val="24"/>
        </w:rPr>
        <w:t> </w:t>
      </w:r>
      <w:r>
        <w:rPr>
          <w:b/>
          <w:sz w:val="24"/>
        </w:rPr>
        <w:t>very</w:t>
      </w:r>
      <w:r>
        <w:rPr>
          <w:b/>
          <w:spacing w:val="80"/>
          <w:sz w:val="24"/>
        </w:rPr>
        <w:t> </w:t>
      </w:r>
      <w:r>
        <w:rPr>
          <w:b/>
          <w:sz w:val="24"/>
        </w:rPr>
        <w:t>mild</w:t>
      </w:r>
      <w:r>
        <w:rPr>
          <w:b/>
          <w:spacing w:val="80"/>
          <w:sz w:val="24"/>
        </w:rPr>
        <w:t> </w:t>
      </w:r>
      <w:r>
        <w:rPr>
          <w:b/>
          <w:sz w:val="24"/>
        </w:rPr>
        <w:t>tubular degeneration in diabetic rats</w:t>
      </w:r>
    </w:p>
    <w:p>
      <w:pPr>
        <w:spacing w:after="0" w:line="360" w:lineRule="auto"/>
        <w:jc w:val="left"/>
        <w:rPr>
          <w:sz w:val="24"/>
        </w:rPr>
        <w:sectPr>
          <w:pgSz w:w="12240" w:h="15840"/>
          <w:pgMar w:header="0" w:footer="1056" w:top="1820" w:bottom="1240" w:left="1420" w:right="420"/>
        </w:sectPr>
      </w:pPr>
    </w:p>
    <w:p>
      <w:pPr>
        <w:pStyle w:val="BodyText"/>
        <w:ind w:left="1398"/>
        <w:rPr>
          <w:sz w:val="20"/>
        </w:rPr>
      </w:pPr>
      <w:r>
        <w:rPr/>
        <mc:AlternateContent>
          <mc:Choice Requires="wps">
            <w:drawing>
              <wp:anchor distT="0" distB="0" distL="0" distR="0" allowOverlap="1" layoutInCell="1" locked="0" behindDoc="1" simplePos="0" relativeHeight="483001344">
                <wp:simplePos x="0" y="0"/>
                <wp:positionH relativeFrom="page">
                  <wp:posOffset>4288097</wp:posOffset>
                </wp:positionH>
                <wp:positionV relativeFrom="page">
                  <wp:posOffset>1617859</wp:posOffset>
                </wp:positionV>
                <wp:extent cx="3421379" cy="9144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15136;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01856">
                <wp:simplePos x="0" y="0"/>
                <wp:positionH relativeFrom="page">
                  <wp:posOffset>-316181</wp:posOffset>
                </wp:positionH>
                <wp:positionV relativeFrom="page">
                  <wp:posOffset>6721518</wp:posOffset>
                </wp:positionV>
                <wp:extent cx="5504815" cy="91440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14624;rotation:306" type="#_x0000_t136" fillcolor="#ff5400" stroked="f">
                <o:extrusion v:ext="view" autorotationcenter="t"/>
                <v:textpath style="font-family:&quot;Arial MT&quot;;font-size:72pt;v-text-kern:t;mso-text-shadow:auto" string="UNIVERSITY"/>
                <w10:wrap type="none"/>
              </v:shape>
            </w:pict>
          </mc:Fallback>
        </mc:AlternateContent>
      </w:r>
      <w:r>
        <w:rPr>
          <w:sz w:val="20"/>
        </w:rPr>
        <w:drawing>
          <wp:inline distT="0" distB="0" distL="0" distR="0">
            <wp:extent cx="4591190" cy="3701415"/>
            <wp:effectExtent l="0" t="0" r="0" b="0"/>
            <wp:docPr id="288" name="Image 288" descr="C:\Users\Majek\Documents\pics histology\MAJEK SLIDE\IMG_0270.jpg"/>
            <wp:cNvGraphicFramePr>
              <a:graphicFrameLocks/>
            </wp:cNvGraphicFramePr>
            <a:graphic>
              <a:graphicData uri="http://schemas.openxmlformats.org/drawingml/2006/picture">
                <pic:pic>
                  <pic:nvPicPr>
                    <pic:cNvPr id="288" name="Image 288" descr="C:\Users\Majek\Documents\pics histology\MAJEK SLIDE\IMG_0270.jpg"/>
                    <pic:cNvPicPr/>
                  </pic:nvPicPr>
                  <pic:blipFill>
                    <a:blip r:embed="rId51" cstate="print"/>
                    <a:stretch>
                      <a:fillRect/>
                    </a:stretch>
                  </pic:blipFill>
                  <pic:spPr>
                    <a:xfrm>
                      <a:off x="0" y="0"/>
                      <a:ext cx="4591190" cy="3701415"/>
                    </a:xfrm>
                    <a:prstGeom prst="rect">
                      <a:avLst/>
                    </a:prstGeom>
                  </pic:spPr>
                </pic:pic>
              </a:graphicData>
            </a:graphic>
          </wp:inline>
        </w:drawing>
      </w:r>
      <w:r>
        <w:rPr>
          <w:sz w:val="20"/>
        </w:rPr>
      </w:r>
    </w:p>
    <w:p>
      <w:pPr>
        <w:pStyle w:val="BodyText"/>
        <w:rPr>
          <w:b/>
        </w:rPr>
      </w:pPr>
    </w:p>
    <w:p>
      <w:pPr>
        <w:pStyle w:val="BodyText"/>
        <w:spacing w:before="49"/>
        <w:rPr>
          <w:b/>
        </w:rPr>
      </w:pPr>
    </w:p>
    <w:p>
      <w:pPr>
        <w:spacing w:line="360" w:lineRule="auto" w:before="0"/>
        <w:ind w:left="678" w:right="997" w:firstLine="0"/>
        <w:jc w:val="left"/>
        <w:rPr>
          <w:b/>
          <w:i/>
          <w:sz w:val="24"/>
        </w:rPr>
      </w:pPr>
      <w:r>
        <w:rPr/>
        <mc:AlternateContent>
          <mc:Choice Requires="wps">
            <w:drawing>
              <wp:anchor distT="0" distB="0" distL="0" distR="0" allowOverlap="1" layoutInCell="1" locked="0" behindDoc="1" simplePos="0" relativeHeight="483000832">
                <wp:simplePos x="0" y="0"/>
                <wp:positionH relativeFrom="page">
                  <wp:posOffset>3861220</wp:posOffset>
                </wp:positionH>
                <wp:positionV relativeFrom="paragraph">
                  <wp:posOffset>-1250144</wp:posOffset>
                </wp:positionV>
                <wp:extent cx="1287780" cy="9144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98.436574pt;width:101.4pt;height:72pt;mso-position-horizontal-relative:page;mso-position-vertical-relative:paragraph;z-index:-20315648;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39"/>
          <w:sz w:val="24"/>
        </w:rPr>
        <w:t> </w:t>
      </w:r>
      <w:r>
        <w:rPr>
          <w:b/>
          <w:sz w:val="24"/>
        </w:rPr>
        <w:t>3.9c:</w:t>
      </w:r>
      <w:r>
        <w:rPr>
          <w:b/>
          <w:spacing w:val="40"/>
          <w:sz w:val="24"/>
        </w:rPr>
        <w:t> </w:t>
      </w:r>
      <w:r>
        <w:rPr>
          <w:b/>
          <w:sz w:val="24"/>
        </w:rPr>
        <w:t>Photomicrograph</w:t>
      </w:r>
      <w:r>
        <w:rPr>
          <w:b/>
          <w:spacing w:val="39"/>
          <w:sz w:val="24"/>
        </w:rPr>
        <w:t> </w:t>
      </w:r>
      <w:r>
        <w:rPr>
          <w:b/>
          <w:sz w:val="24"/>
        </w:rPr>
        <w:t>of</w:t>
      </w:r>
      <w:r>
        <w:rPr>
          <w:b/>
          <w:spacing w:val="40"/>
          <w:sz w:val="24"/>
        </w:rPr>
        <w:t> </w:t>
      </w:r>
      <w:r>
        <w:rPr>
          <w:b/>
          <w:sz w:val="24"/>
        </w:rPr>
        <w:t>the</w:t>
      </w:r>
      <w:r>
        <w:rPr>
          <w:b/>
          <w:spacing w:val="38"/>
          <w:sz w:val="24"/>
        </w:rPr>
        <w:t> </w:t>
      </w:r>
      <w:r>
        <w:rPr>
          <w:b/>
          <w:sz w:val="24"/>
        </w:rPr>
        <w:t>kidney</w:t>
      </w:r>
      <w:r>
        <w:rPr>
          <w:b/>
          <w:spacing w:val="38"/>
          <w:sz w:val="24"/>
        </w:rPr>
        <w:t> </w:t>
      </w:r>
      <w:r>
        <w:rPr>
          <w:b/>
          <w:sz w:val="24"/>
        </w:rPr>
        <w:t>showing</w:t>
      </w:r>
      <w:r>
        <w:rPr>
          <w:b/>
          <w:spacing w:val="38"/>
          <w:sz w:val="24"/>
        </w:rPr>
        <w:t> </w:t>
      </w:r>
      <w:r>
        <w:rPr>
          <w:b/>
          <w:sz w:val="24"/>
        </w:rPr>
        <w:t>the</w:t>
      </w:r>
      <w:r>
        <w:rPr>
          <w:b/>
          <w:spacing w:val="38"/>
          <w:sz w:val="24"/>
        </w:rPr>
        <w:t> </w:t>
      </w:r>
      <w:r>
        <w:rPr>
          <w:b/>
          <w:sz w:val="24"/>
        </w:rPr>
        <w:t>amelioration</w:t>
      </w:r>
      <w:r>
        <w:rPr>
          <w:b/>
          <w:spacing w:val="40"/>
          <w:sz w:val="24"/>
        </w:rPr>
        <w:t> </w:t>
      </w:r>
      <w:r>
        <w:rPr>
          <w:b/>
          <w:sz w:val="24"/>
        </w:rPr>
        <w:t>of</w:t>
      </w:r>
      <w:r>
        <w:rPr>
          <w:b/>
          <w:spacing w:val="40"/>
          <w:sz w:val="24"/>
        </w:rPr>
        <w:t> </w:t>
      </w:r>
      <w:r>
        <w:rPr>
          <w:b/>
          <w:sz w:val="24"/>
        </w:rPr>
        <w:t>the</w:t>
      </w:r>
      <w:r>
        <w:rPr>
          <w:b/>
          <w:spacing w:val="38"/>
          <w:sz w:val="24"/>
        </w:rPr>
        <w:t> </w:t>
      </w:r>
      <w:r>
        <w:rPr>
          <w:b/>
          <w:sz w:val="24"/>
        </w:rPr>
        <w:t>kidney cells upon the administration of ethanolic extract of </w:t>
      </w:r>
      <w:r>
        <w:rPr>
          <w:b/>
          <w:i/>
          <w:sz w:val="24"/>
        </w:rPr>
        <w:t>M. pruriens</w:t>
      </w:r>
    </w:p>
    <w:p>
      <w:pPr>
        <w:spacing w:after="0" w:line="360" w:lineRule="auto"/>
        <w:jc w:val="left"/>
        <w:rPr>
          <w:sz w:val="24"/>
        </w:rPr>
        <w:sectPr>
          <w:pgSz w:w="12240" w:h="15840"/>
          <w:pgMar w:header="0" w:footer="1056" w:top="1420" w:bottom="1240" w:left="1420" w:right="420"/>
        </w:sectPr>
      </w:pPr>
    </w:p>
    <w:p>
      <w:pPr>
        <w:pStyle w:val="BodyText"/>
        <w:ind w:left="678"/>
        <w:rPr>
          <w:sz w:val="20"/>
        </w:rPr>
      </w:pPr>
      <w:r>
        <w:rPr/>
        <mc:AlternateContent>
          <mc:Choice Requires="wps">
            <w:drawing>
              <wp:anchor distT="0" distB="0" distL="0" distR="0" allowOverlap="1" layoutInCell="1" locked="0" behindDoc="1" simplePos="0" relativeHeight="483002880">
                <wp:simplePos x="0" y="0"/>
                <wp:positionH relativeFrom="page">
                  <wp:posOffset>4288097</wp:posOffset>
                </wp:positionH>
                <wp:positionV relativeFrom="page">
                  <wp:posOffset>1617859</wp:posOffset>
                </wp:positionV>
                <wp:extent cx="3421379" cy="9144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1360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03392">
                <wp:simplePos x="0" y="0"/>
                <wp:positionH relativeFrom="page">
                  <wp:posOffset>-316181</wp:posOffset>
                </wp:positionH>
                <wp:positionV relativeFrom="page">
                  <wp:posOffset>6721518</wp:posOffset>
                </wp:positionV>
                <wp:extent cx="5504815" cy="91440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13088;rotation:306" type="#_x0000_t136" fillcolor="#ff5400" stroked="f">
                <o:extrusion v:ext="view" autorotationcenter="t"/>
                <v:textpath style="font-family:&quot;Arial MT&quot;;font-size:72pt;v-text-kern:t;mso-text-shadow:auto" string="UNIVERSITY"/>
                <w10:wrap type="none"/>
              </v:shape>
            </w:pict>
          </mc:Fallback>
        </mc:AlternateContent>
      </w:r>
      <w:r>
        <w:rPr>
          <w:sz w:val="20"/>
        </w:rPr>
        <w:drawing>
          <wp:inline distT="0" distB="0" distL="0" distR="0">
            <wp:extent cx="4374683" cy="3457575"/>
            <wp:effectExtent l="0" t="0" r="0" b="0"/>
            <wp:docPr id="292" name="Image 292" descr="C:\Users\Majek\Documents\pics histology\MAJEK SLIDE\IMG_0277.jpg"/>
            <wp:cNvGraphicFramePr>
              <a:graphicFrameLocks/>
            </wp:cNvGraphicFramePr>
            <a:graphic>
              <a:graphicData uri="http://schemas.openxmlformats.org/drawingml/2006/picture">
                <pic:pic>
                  <pic:nvPicPr>
                    <pic:cNvPr id="292" name="Image 292" descr="C:\Users\Majek\Documents\pics histology\MAJEK SLIDE\IMG_0277.jpg"/>
                    <pic:cNvPicPr/>
                  </pic:nvPicPr>
                  <pic:blipFill>
                    <a:blip r:embed="rId49" cstate="print"/>
                    <a:stretch>
                      <a:fillRect/>
                    </a:stretch>
                  </pic:blipFill>
                  <pic:spPr>
                    <a:xfrm>
                      <a:off x="0" y="0"/>
                      <a:ext cx="4374683" cy="3457575"/>
                    </a:xfrm>
                    <a:prstGeom prst="rect">
                      <a:avLst/>
                    </a:prstGeom>
                  </pic:spPr>
                </pic:pic>
              </a:graphicData>
            </a:graphic>
          </wp:inline>
        </w:drawing>
      </w:r>
      <w:r>
        <w:rPr>
          <w:sz w:val="20"/>
        </w:rPr>
      </w:r>
    </w:p>
    <w:p>
      <w:pPr>
        <w:pStyle w:val="BodyText"/>
        <w:rPr>
          <w:b/>
          <w:i/>
        </w:rPr>
      </w:pPr>
    </w:p>
    <w:p>
      <w:pPr>
        <w:pStyle w:val="BodyText"/>
        <w:rPr>
          <w:b/>
          <w:i/>
        </w:rPr>
      </w:pPr>
    </w:p>
    <w:p>
      <w:pPr>
        <w:pStyle w:val="BodyText"/>
        <w:spacing w:before="138"/>
        <w:rPr>
          <w:b/>
          <w:i/>
        </w:rPr>
      </w:pPr>
    </w:p>
    <w:p>
      <w:pPr>
        <w:spacing w:line="276" w:lineRule="auto" w:before="0"/>
        <w:ind w:left="678" w:right="1433" w:firstLine="0"/>
        <w:jc w:val="left"/>
        <w:rPr>
          <w:b/>
          <w:sz w:val="24"/>
        </w:rPr>
      </w:pPr>
      <w:r>
        <w:rPr/>
        <mc:AlternateContent>
          <mc:Choice Requires="wps">
            <w:drawing>
              <wp:anchor distT="0" distB="0" distL="0" distR="0" allowOverlap="1" layoutInCell="1" locked="0" behindDoc="1" simplePos="0" relativeHeight="483002368">
                <wp:simplePos x="0" y="0"/>
                <wp:positionH relativeFrom="page">
                  <wp:posOffset>3861220</wp:posOffset>
                </wp:positionH>
                <wp:positionV relativeFrom="paragraph">
                  <wp:posOffset>-1238064</wp:posOffset>
                </wp:positionV>
                <wp:extent cx="1287780" cy="91440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97.485402pt;width:101.4pt;height:72pt;mso-position-horizontal-relative:page;mso-position-vertical-relative:paragraph;z-index:-20314112;rotation:306" type="#_x0000_t136" fillcolor="#ff5400" stroked="f">
                <o:extrusion v:ext="view" autorotationcenter="t"/>
                <v:textpath style="font-family:&quot;Arial MT&quot;;font-size:72pt;v-text-kern:t;mso-text-shadow:auto" string="OF"/>
                <w10:wrap type="none"/>
              </v:shape>
            </w:pict>
          </mc:Fallback>
        </mc:AlternateContent>
      </w:r>
      <w:r>
        <w:rPr>
          <w:b/>
          <w:sz w:val="24"/>
        </w:rPr>
        <w:t>Fig. 3.10a: Photomicrograph of the pancrease showing quasi-amelioration of the pancreatic</w:t>
      </w:r>
      <w:r>
        <w:rPr>
          <w:b/>
          <w:spacing w:val="-4"/>
          <w:sz w:val="24"/>
        </w:rPr>
        <w:t> </w:t>
      </w:r>
      <w:r>
        <w:rPr>
          <w:b/>
          <w:sz w:val="24"/>
        </w:rPr>
        <w:t>cells</w:t>
      </w:r>
      <w:r>
        <w:rPr>
          <w:b/>
          <w:spacing w:val="-4"/>
          <w:sz w:val="24"/>
        </w:rPr>
        <w:t> </w:t>
      </w:r>
      <w:r>
        <w:rPr>
          <w:b/>
          <w:sz w:val="24"/>
        </w:rPr>
        <w:t>upon</w:t>
      </w:r>
      <w:r>
        <w:rPr>
          <w:b/>
          <w:spacing w:val="-4"/>
          <w:sz w:val="24"/>
        </w:rPr>
        <w:t> </w:t>
      </w:r>
      <w:r>
        <w:rPr>
          <w:b/>
          <w:sz w:val="24"/>
        </w:rPr>
        <w:t>the</w:t>
      </w:r>
      <w:r>
        <w:rPr>
          <w:b/>
          <w:spacing w:val="-5"/>
          <w:sz w:val="24"/>
        </w:rPr>
        <w:t> </w:t>
      </w:r>
      <w:r>
        <w:rPr>
          <w:b/>
          <w:sz w:val="24"/>
        </w:rPr>
        <w:t>administration</w:t>
      </w:r>
      <w:r>
        <w:rPr>
          <w:b/>
          <w:spacing w:val="-3"/>
          <w:sz w:val="24"/>
        </w:rPr>
        <w:t> </w:t>
      </w:r>
      <w:r>
        <w:rPr>
          <w:b/>
          <w:sz w:val="24"/>
        </w:rPr>
        <w:t>of</w:t>
      </w:r>
      <w:r>
        <w:rPr>
          <w:b/>
          <w:spacing w:val="-3"/>
          <w:sz w:val="24"/>
        </w:rPr>
        <w:t> </w:t>
      </w:r>
      <w:r>
        <w:rPr>
          <w:b/>
          <w:sz w:val="24"/>
        </w:rPr>
        <w:t>ethanolic</w:t>
      </w:r>
      <w:r>
        <w:rPr>
          <w:b/>
          <w:spacing w:val="-5"/>
          <w:sz w:val="24"/>
        </w:rPr>
        <w:t> </w:t>
      </w:r>
      <w:r>
        <w:rPr>
          <w:b/>
          <w:sz w:val="24"/>
        </w:rPr>
        <w:t>extract</w:t>
      </w:r>
      <w:r>
        <w:rPr>
          <w:b/>
          <w:spacing w:val="-4"/>
          <w:sz w:val="24"/>
        </w:rPr>
        <w:t> </w:t>
      </w:r>
      <w:r>
        <w:rPr>
          <w:b/>
          <w:sz w:val="24"/>
        </w:rPr>
        <w:t>of </w:t>
      </w:r>
      <w:r>
        <w:rPr>
          <w:b/>
          <w:i/>
          <w:sz w:val="24"/>
        </w:rPr>
        <w:t>M.</w:t>
      </w:r>
      <w:r>
        <w:rPr>
          <w:b/>
          <w:i/>
          <w:spacing w:val="-5"/>
          <w:sz w:val="24"/>
        </w:rPr>
        <w:t> </w:t>
      </w:r>
      <w:r>
        <w:rPr>
          <w:b/>
          <w:i/>
          <w:sz w:val="24"/>
        </w:rPr>
        <w:t>pruriens</w:t>
      </w:r>
      <w:r>
        <w:rPr>
          <w:b/>
          <w:i/>
          <w:spacing w:val="-3"/>
          <w:sz w:val="24"/>
        </w:rPr>
        <w:t> </w:t>
      </w:r>
      <w:r>
        <w:rPr>
          <w:b/>
          <w:sz w:val="24"/>
        </w:rPr>
        <w:t>to</w:t>
      </w:r>
      <w:r>
        <w:rPr>
          <w:b/>
          <w:spacing w:val="-4"/>
          <w:sz w:val="24"/>
        </w:rPr>
        <w:t> </w:t>
      </w:r>
      <w:r>
        <w:rPr>
          <w:b/>
          <w:sz w:val="24"/>
        </w:rPr>
        <w:t>the diabetic rat.</w:t>
      </w:r>
    </w:p>
    <w:p>
      <w:pPr>
        <w:spacing w:after="0" w:line="276" w:lineRule="auto"/>
        <w:jc w:val="left"/>
        <w:rPr>
          <w:sz w:val="24"/>
        </w:rPr>
        <w:sectPr>
          <w:pgSz w:w="12240" w:h="15840"/>
          <w:pgMar w:header="0" w:footer="1056" w:top="1420" w:bottom="1240" w:left="1420" w:right="420"/>
        </w:sectPr>
      </w:pPr>
    </w:p>
    <w:p>
      <w:pPr>
        <w:pStyle w:val="BodyText"/>
        <w:spacing w:before="10"/>
        <w:rPr>
          <w:b/>
          <w:sz w:val="9"/>
        </w:rPr>
      </w:pPr>
      <w:r>
        <w:rPr/>
        <mc:AlternateContent>
          <mc:Choice Requires="wps">
            <w:drawing>
              <wp:anchor distT="0" distB="0" distL="0" distR="0" allowOverlap="1" layoutInCell="1" locked="0" behindDoc="1" simplePos="0" relativeHeight="483004416">
                <wp:simplePos x="0" y="0"/>
                <wp:positionH relativeFrom="page">
                  <wp:posOffset>4288097</wp:posOffset>
                </wp:positionH>
                <wp:positionV relativeFrom="page">
                  <wp:posOffset>1617859</wp:posOffset>
                </wp:positionV>
                <wp:extent cx="3421379" cy="9144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12064;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04928">
                <wp:simplePos x="0" y="0"/>
                <wp:positionH relativeFrom="page">
                  <wp:posOffset>-316181</wp:posOffset>
                </wp:positionH>
                <wp:positionV relativeFrom="page">
                  <wp:posOffset>6721518</wp:posOffset>
                </wp:positionV>
                <wp:extent cx="5504815" cy="9144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11552;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ind w:left="678"/>
        <w:rPr>
          <w:sz w:val="20"/>
        </w:rPr>
      </w:pPr>
      <w:r>
        <w:rPr>
          <w:sz w:val="20"/>
        </w:rPr>
        <w:drawing>
          <wp:inline distT="0" distB="0" distL="0" distR="0">
            <wp:extent cx="4343252" cy="3281934"/>
            <wp:effectExtent l="0" t="0" r="0" b="0"/>
            <wp:docPr id="296" name="Image 296" descr="C:\Users\Majek\Documents\pics histology\MAJEK SLIDE\IMG_0269.jpg"/>
            <wp:cNvGraphicFramePr>
              <a:graphicFrameLocks/>
            </wp:cNvGraphicFramePr>
            <a:graphic>
              <a:graphicData uri="http://schemas.openxmlformats.org/drawingml/2006/picture">
                <pic:pic>
                  <pic:nvPicPr>
                    <pic:cNvPr id="296" name="Image 296" descr="C:\Users\Majek\Documents\pics histology\MAJEK SLIDE\IMG_0269.jpg"/>
                    <pic:cNvPicPr/>
                  </pic:nvPicPr>
                  <pic:blipFill>
                    <a:blip r:embed="rId47" cstate="print"/>
                    <a:stretch>
                      <a:fillRect/>
                    </a:stretch>
                  </pic:blipFill>
                  <pic:spPr>
                    <a:xfrm>
                      <a:off x="0" y="0"/>
                      <a:ext cx="4343252" cy="3281934"/>
                    </a:xfrm>
                    <a:prstGeom prst="rect">
                      <a:avLst/>
                    </a:prstGeom>
                  </pic:spPr>
                </pic:pic>
              </a:graphicData>
            </a:graphic>
          </wp:inline>
        </w:drawing>
      </w:r>
      <w:r>
        <w:rPr>
          <w:sz w:val="20"/>
        </w:rPr>
      </w:r>
    </w:p>
    <w:p>
      <w:pPr>
        <w:pStyle w:val="BodyText"/>
        <w:rPr>
          <w:b/>
        </w:rPr>
      </w:pPr>
    </w:p>
    <w:p>
      <w:pPr>
        <w:pStyle w:val="BodyText"/>
        <w:spacing w:before="22"/>
        <w:rPr>
          <w:b/>
        </w:rPr>
      </w:pPr>
    </w:p>
    <w:p>
      <w:pPr>
        <w:spacing w:before="0"/>
        <w:ind w:left="678" w:right="1041" w:firstLine="0"/>
        <w:jc w:val="left"/>
        <w:rPr>
          <w:b/>
          <w:sz w:val="24"/>
        </w:rPr>
      </w:pPr>
      <w:r>
        <w:rPr/>
        <mc:AlternateContent>
          <mc:Choice Requires="wps">
            <w:drawing>
              <wp:anchor distT="0" distB="0" distL="0" distR="0" allowOverlap="1" layoutInCell="1" locked="0" behindDoc="1" simplePos="0" relativeHeight="483003904">
                <wp:simplePos x="0" y="0"/>
                <wp:positionH relativeFrom="page">
                  <wp:posOffset>3861220</wp:posOffset>
                </wp:positionH>
                <wp:positionV relativeFrom="paragraph">
                  <wp:posOffset>-1140289</wp:posOffset>
                </wp:positionV>
                <wp:extent cx="1287780" cy="91440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89.786572pt;width:101.4pt;height:72pt;mso-position-horizontal-relative:page;mso-position-vertical-relative:paragraph;z-index:-20312576;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3"/>
          <w:sz w:val="24"/>
        </w:rPr>
        <w:t> </w:t>
      </w:r>
      <w:r>
        <w:rPr>
          <w:b/>
          <w:sz w:val="24"/>
        </w:rPr>
        <w:t>3.10b:</w:t>
      </w:r>
      <w:r>
        <w:rPr>
          <w:b/>
          <w:spacing w:val="-2"/>
          <w:sz w:val="24"/>
        </w:rPr>
        <w:t> </w:t>
      </w:r>
      <w:r>
        <w:rPr>
          <w:b/>
          <w:sz w:val="24"/>
        </w:rPr>
        <w:t>Photomicrograph</w:t>
      </w:r>
      <w:r>
        <w:rPr>
          <w:b/>
          <w:spacing w:val="-3"/>
          <w:sz w:val="24"/>
        </w:rPr>
        <w:t> </w:t>
      </w:r>
      <w:r>
        <w:rPr>
          <w:b/>
          <w:sz w:val="24"/>
        </w:rPr>
        <w:t>of</w:t>
      </w:r>
      <w:r>
        <w:rPr>
          <w:b/>
          <w:spacing w:val="-2"/>
          <w:sz w:val="24"/>
        </w:rPr>
        <w:t> </w:t>
      </w:r>
      <w:r>
        <w:rPr>
          <w:b/>
          <w:sz w:val="24"/>
        </w:rPr>
        <w:t>the</w:t>
      </w:r>
      <w:r>
        <w:rPr>
          <w:b/>
          <w:spacing w:val="-4"/>
          <w:sz w:val="24"/>
        </w:rPr>
        <w:t> </w:t>
      </w:r>
      <w:r>
        <w:rPr>
          <w:b/>
          <w:sz w:val="24"/>
        </w:rPr>
        <w:t>liver</w:t>
      </w:r>
      <w:r>
        <w:rPr>
          <w:b/>
          <w:spacing w:val="-4"/>
          <w:sz w:val="24"/>
        </w:rPr>
        <w:t> </w:t>
      </w:r>
      <w:r>
        <w:rPr>
          <w:b/>
          <w:sz w:val="24"/>
        </w:rPr>
        <w:t>cells</w:t>
      </w:r>
      <w:r>
        <w:rPr>
          <w:b/>
          <w:spacing w:val="-3"/>
          <w:sz w:val="24"/>
        </w:rPr>
        <w:t> </w:t>
      </w:r>
      <w:r>
        <w:rPr>
          <w:b/>
          <w:sz w:val="24"/>
        </w:rPr>
        <w:t>of</w:t>
      </w:r>
      <w:r>
        <w:rPr>
          <w:b/>
          <w:spacing w:val="-2"/>
          <w:sz w:val="24"/>
        </w:rPr>
        <w:t> </w:t>
      </w:r>
      <w:r>
        <w:rPr>
          <w:b/>
          <w:sz w:val="24"/>
        </w:rPr>
        <w:t>rats</w:t>
      </w:r>
      <w:r>
        <w:rPr>
          <w:b/>
          <w:spacing w:val="-3"/>
          <w:sz w:val="24"/>
        </w:rPr>
        <w:t> </w:t>
      </w:r>
      <w:r>
        <w:rPr>
          <w:b/>
          <w:sz w:val="24"/>
        </w:rPr>
        <w:t>in</w:t>
      </w:r>
      <w:r>
        <w:rPr>
          <w:b/>
          <w:spacing w:val="-2"/>
          <w:sz w:val="24"/>
        </w:rPr>
        <w:t> </w:t>
      </w:r>
      <w:r>
        <w:rPr>
          <w:b/>
          <w:sz w:val="24"/>
        </w:rPr>
        <w:t>group</w:t>
      </w:r>
      <w:r>
        <w:rPr>
          <w:b/>
          <w:spacing w:val="-3"/>
          <w:sz w:val="24"/>
        </w:rPr>
        <w:t> </w:t>
      </w:r>
      <w:r>
        <w:rPr>
          <w:b/>
          <w:sz w:val="24"/>
        </w:rPr>
        <w:t>B</w:t>
      </w:r>
      <w:r>
        <w:rPr>
          <w:b/>
          <w:spacing w:val="-3"/>
          <w:sz w:val="24"/>
        </w:rPr>
        <w:t> </w:t>
      </w:r>
      <w:r>
        <w:rPr>
          <w:b/>
          <w:sz w:val="24"/>
        </w:rPr>
        <w:t>showing</w:t>
      </w:r>
      <w:r>
        <w:rPr>
          <w:b/>
          <w:spacing w:val="-3"/>
          <w:sz w:val="24"/>
        </w:rPr>
        <w:t> </w:t>
      </w:r>
      <w:r>
        <w:rPr>
          <w:b/>
          <w:sz w:val="24"/>
        </w:rPr>
        <w:t>hyperplasia of the Kupfller cell</w:t>
      </w:r>
    </w:p>
    <w:p>
      <w:pPr>
        <w:spacing w:after="0"/>
        <w:jc w:val="left"/>
        <w:rPr>
          <w:sz w:val="24"/>
        </w:rPr>
        <w:sectPr>
          <w:pgSz w:w="12240" w:h="15840"/>
          <w:pgMar w:header="0" w:footer="1056" w:top="1820" w:bottom="1240" w:left="1420" w:right="420"/>
        </w:sectPr>
      </w:pPr>
    </w:p>
    <w:p>
      <w:pPr>
        <w:pStyle w:val="BodyText"/>
        <w:ind w:left="678"/>
        <w:rPr>
          <w:sz w:val="20"/>
        </w:rPr>
      </w:pPr>
      <w:r>
        <w:rPr/>
        <mc:AlternateContent>
          <mc:Choice Requires="wps">
            <w:drawing>
              <wp:anchor distT="0" distB="0" distL="0" distR="0" allowOverlap="1" layoutInCell="1" locked="0" behindDoc="1" simplePos="0" relativeHeight="483005952">
                <wp:simplePos x="0" y="0"/>
                <wp:positionH relativeFrom="page">
                  <wp:posOffset>4288097</wp:posOffset>
                </wp:positionH>
                <wp:positionV relativeFrom="page">
                  <wp:posOffset>1617859</wp:posOffset>
                </wp:positionV>
                <wp:extent cx="3421379" cy="9144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10528;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06464">
                <wp:simplePos x="0" y="0"/>
                <wp:positionH relativeFrom="page">
                  <wp:posOffset>-316181</wp:posOffset>
                </wp:positionH>
                <wp:positionV relativeFrom="page">
                  <wp:posOffset>6721518</wp:posOffset>
                </wp:positionV>
                <wp:extent cx="5504815" cy="9144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10016;rotation:306" type="#_x0000_t136" fillcolor="#ff5400" stroked="f">
                <o:extrusion v:ext="view" autorotationcenter="t"/>
                <v:textpath style="font-family:&quot;Arial MT&quot;;font-size:72pt;v-text-kern:t;mso-text-shadow:auto" string="UNIVERSITY"/>
                <w10:wrap type="none"/>
              </v:shape>
            </w:pict>
          </mc:Fallback>
        </mc:AlternateContent>
      </w:r>
      <w:r>
        <w:rPr>
          <w:sz w:val="20"/>
        </w:rPr>
        <w:drawing>
          <wp:inline distT="0" distB="0" distL="0" distR="0">
            <wp:extent cx="4396327" cy="3360705"/>
            <wp:effectExtent l="0" t="0" r="0" b="0"/>
            <wp:docPr id="300" name="Image 300" descr="C:\Users\Majek\Documents\pics histology\MAJEK SLIDE\IMG_0262.jpg"/>
            <wp:cNvGraphicFramePr>
              <a:graphicFrameLocks/>
            </wp:cNvGraphicFramePr>
            <a:graphic>
              <a:graphicData uri="http://schemas.openxmlformats.org/drawingml/2006/picture">
                <pic:pic>
                  <pic:nvPicPr>
                    <pic:cNvPr id="300" name="Image 300" descr="C:\Users\Majek\Documents\pics histology\MAJEK SLIDE\IMG_0262.jpg"/>
                    <pic:cNvPicPr/>
                  </pic:nvPicPr>
                  <pic:blipFill>
                    <a:blip r:embed="rId52" cstate="print"/>
                    <a:stretch>
                      <a:fillRect/>
                    </a:stretch>
                  </pic:blipFill>
                  <pic:spPr>
                    <a:xfrm>
                      <a:off x="0" y="0"/>
                      <a:ext cx="4396327" cy="3360705"/>
                    </a:xfrm>
                    <a:prstGeom prst="rect">
                      <a:avLst/>
                    </a:prstGeom>
                  </pic:spPr>
                </pic:pic>
              </a:graphicData>
            </a:graphic>
          </wp:inline>
        </w:drawing>
      </w:r>
      <w:r>
        <w:rPr>
          <w:sz w:val="20"/>
        </w:rPr>
      </w:r>
    </w:p>
    <w:p>
      <w:pPr>
        <w:pStyle w:val="BodyText"/>
        <w:rPr>
          <w:b/>
        </w:rPr>
      </w:pPr>
    </w:p>
    <w:p>
      <w:pPr>
        <w:pStyle w:val="BodyText"/>
        <w:rPr>
          <w:b/>
        </w:rPr>
      </w:pPr>
    </w:p>
    <w:p>
      <w:pPr>
        <w:pStyle w:val="BodyText"/>
        <w:spacing w:before="24"/>
        <w:rPr>
          <w:b/>
        </w:rPr>
      </w:pPr>
    </w:p>
    <w:p>
      <w:pPr>
        <w:spacing w:before="1"/>
        <w:ind w:left="678" w:right="1041" w:firstLine="0"/>
        <w:jc w:val="left"/>
        <w:rPr>
          <w:b/>
          <w:sz w:val="24"/>
        </w:rPr>
      </w:pPr>
      <w:r>
        <w:rPr/>
        <mc:AlternateContent>
          <mc:Choice Requires="wps">
            <w:drawing>
              <wp:anchor distT="0" distB="0" distL="0" distR="0" allowOverlap="1" layoutInCell="1" locked="0" behindDoc="1" simplePos="0" relativeHeight="483005440">
                <wp:simplePos x="0" y="0"/>
                <wp:positionH relativeFrom="page">
                  <wp:posOffset>3861220</wp:posOffset>
                </wp:positionH>
                <wp:positionV relativeFrom="paragraph">
                  <wp:posOffset>-1323154</wp:posOffset>
                </wp:positionV>
                <wp:extent cx="1287780" cy="9144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104.185399pt;width:101.4pt;height:72pt;mso-position-horizontal-relative:page;mso-position-vertical-relative:paragraph;z-index:-20311040;rotation:306" type="#_x0000_t136" fillcolor="#ff5400" stroked="f">
                <o:extrusion v:ext="view" autorotationcenter="t"/>
                <v:textpath style="font-family:&quot;Arial MT&quot;;font-size:72pt;v-text-kern:t;mso-text-shadow:auto" string="OF"/>
                <w10:wrap type="none"/>
              </v:shape>
            </w:pict>
          </mc:Fallback>
        </mc:AlternateContent>
      </w:r>
      <w:r>
        <w:rPr>
          <w:b/>
          <w:sz w:val="24"/>
        </w:rPr>
        <w:t>Fig.</w:t>
      </w:r>
      <w:r>
        <w:rPr>
          <w:b/>
          <w:spacing w:val="-4"/>
          <w:sz w:val="24"/>
        </w:rPr>
        <w:t> </w:t>
      </w:r>
      <w:r>
        <w:rPr>
          <w:b/>
          <w:sz w:val="24"/>
        </w:rPr>
        <w:t>3.10c:</w:t>
      </w:r>
      <w:r>
        <w:rPr>
          <w:b/>
          <w:spacing w:val="-3"/>
          <w:sz w:val="24"/>
        </w:rPr>
        <w:t> </w:t>
      </w:r>
      <w:r>
        <w:rPr>
          <w:b/>
          <w:sz w:val="24"/>
        </w:rPr>
        <w:t>Photomicrograph</w:t>
      </w:r>
      <w:r>
        <w:rPr>
          <w:b/>
          <w:spacing w:val="-4"/>
          <w:sz w:val="24"/>
        </w:rPr>
        <w:t> </w:t>
      </w:r>
      <w:r>
        <w:rPr>
          <w:b/>
          <w:sz w:val="24"/>
        </w:rPr>
        <w:t>of</w:t>
      </w:r>
      <w:r>
        <w:rPr>
          <w:b/>
          <w:spacing w:val="-3"/>
          <w:sz w:val="24"/>
        </w:rPr>
        <w:t> </w:t>
      </w:r>
      <w:r>
        <w:rPr>
          <w:b/>
          <w:sz w:val="24"/>
        </w:rPr>
        <w:t>the</w:t>
      </w:r>
      <w:r>
        <w:rPr>
          <w:b/>
          <w:spacing w:val="-5"/>
          <w:sz w:val="24"/>
        </w:rPr>
        <w:t> </w:t>
      </w:r>
      <w:r>
        <w:rPr>
          <w:b/>
          <w:sz w:val="24"/>
        </w:rPr>
        <w:t>liver</w:t>
      </w:r>
      <w:r>
        <w:rPr>
          <w:b/>
          <w:spacing w:val="-5"/>
          <w:sz w:val="24"/>
        </w:rPr>
        <w:t> </w:t>
      </w:r>
      <w:r>
        <w:rPr>
          <w:b/>
          <w:sz w:val="24"/>
        </w:rPr>
        <w:t>cells</w:t>
      </w:r>
      <w:r>
        <w:rPr>
          <w:b/>
          <w:spacing w:val="-4"/>
          <w:sz w:val="24"/>
        </w:rPr>
        <w:t> </w:t>
      </w:r>
      <w:r>
        <w:rPr>
          <w:b/>
          <w:sz w:val="24"/>
        </w:rPr>
        <w:t>of</w:t>
      </w:r>
      <w:r>
        <w:rPr>
          <w:b/>
          <w:spacing w:val="-4"/>
          <w:sz w:val="24"/>
        </w:rPr>
        <w:t> </w:t>
      </w:r>
      <w:r>
        <w:rPr>
          <w:b/>
          <w:sz w:val="24"/>
        </w:rPr>
        <w:t>rats</w:t>
      </w:r>
      <w:r>
        <w:rPr>
          <w:b/>
          <w:spacing w:val="-3"/>
          <w:sz w:val="24"/>
        </w:rPr>
        <w:t> </w:t>
      </w:r>
      <w:r>
        <w:rPr>
          <w:b/>
          <w:sz w:val="24"/>
        </w:rPr>
        <w:t>administered</w:t>
      </w:r>
      <w:r>
        <w:rPr>
          <w:b/>
          <w:spacing w:val="-4"/>
          <w:sz w:val="24"/>
        </w:rPr>
        <w:t> </w:t>
      </w:r>
      <w:r>
        <w:rPr>
          <w:b/>
          <w:sz w:val="24"/>
        </w:rPr>
        <w:t>with</w:t>
      </w:r>
      <w:r>
        <w:rPr>
          <w:b/>
          <w:spacing w:val="-4"/>
          <w:sz w:val="24"/>
        </w:rPr>
        <w:t> </w:t>
      </w:r>
      <w:r>
        <w:rPr>
          <w:b/>
          <w:sz w:val="24"/>
        </w:rPr>
        <w:t>the</w:t>
      </w:r>
      <w:r>
        <w:rPr>
          <w:b/>
          <w:spacing w:val="-5"/>
          <w:sz w:val="24"/>
        </w:rPr>
        <w:t> </w:t>
      </w:r>
      <w:r>
        <w:rPr>
          <w:b/>
          <w:sz w:val="24"/>
        </w:rPr>
        <w:t>ethanolic extract of </w:t>
      </w:r>
      <w:r>
        <w:rPr>
          <w:b/>
          <w:i/>
          <w:sz w:val="24"/>
        </w:rPr>
        <w:t>M. pruriens </w:t>
      </w:r>
      <w:r>
        <w:rPr>
          <w:b/>
          <w:sz w:val="24"/>
        </w:rPr>
        <w:t>showing amelioration of the damage caused by diabetes </w:t>
      </w:r>
      <w:r>
        <w:rPr>
          <w:b/>
          <w:spacing w:val="-2"/>
          <w:sz w:val="24"/>
        </w:rPr>
        <w:t>mellitus.</w:t>
      </w:r>
    </w:p>
    <w:p>
      <w:pPr>
        <w:spacing w:after="0"/>
        <w:jc w:val="left"/>
        <w:rPr>
          <w:sz w:val="24"/>
        </w:rPr>
        <w:sectPr>
          <w:pgSz w:w="12240" w:h="15840"/>
          <w:pgMar w:header="0" w:footer="1056" w:top="182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3006976">
                <wp:simplePos x="0" y="0"/>
                <wp:positionH relativeFrom="page">
                  <wp:posOffset>-1402226</wp:posOffset>
                </wp:positionH>
                <wp:positionV relativeFrom="page">
                  <wp:posOffset>4612234</wp:posOffset>
                </wp:positionV>
                <wp:extent cx="10685780" cy="9144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9504;rotation:306" type="#_x0000_t136" fillcolor="#ff5400" stroked="f">
                <o:extrusion v:ext="view" autorotationcenter="t"/>
                <v:textpath style="font-family:&quot;Arial MT&quot;;font-size:72pt;v-text-kern:t;mso-text-shadow:auto" string="UNIVERSITY OF IBADAN"/>
                <w10:wrap type="none"/>
              </v:shape>
            </w:pict>
          </mc:Fallback>
        </mc:AlternateContent>
      </w:r>
      <w:r>
        <w:rPr/>
        <w:t>Microscopically, the pancreas section of standard glibenclamide and </w:t>
      </w:r>
      <w:r>
        <w:rPr>
          <w:i/>
        </w:rPr>
        <w:t>M. pruriens </w:t>
      </w:r>
      <w:r>
        <w:rPr/>
        <w:t>treated rats section shows pancreas with normal architecture and acini. The islet cells show moderate cytoplasm and round to oval nuclei. There is no evidence of inflammation.</w:t>
      </w:r>
    </w:p>
    <w:p>
      <w:pPr>
        <w:pStyle w:val="BodyText"/>
        <w:spacing w:line="275" w:lineRule="exact"/>
        <w:ind w:left="678"/>
        <w:jc w:val="both"/>
      </w:pPr>
      <w:r>
        <w:rPr>
          <w:i/>
        </w:rPr>
        <w:t>M.</w:t>
      </w:r>
      <w:r>
        <w:rPr>
          <w:i/>
          <w:spacing w:val="-1"/>
        </w:rPr>
        <w:t> </w:t>
      </w:r>
      <w:r>
        <w:rPr>
          <w:i/>
        </w:rPr>
        <w:t>pruriens</w:t>
      </w:r>
      <w:r>
        <w:rPr>
          <w:i/>
          <w:spacing w:val="-1"/>
        </w:rPr>
        <w:t> </w:t>
      </w:r>
      <w:r>
        <w:rPr/>
        <w:t>has</w:t>
      </w:r>
      <w:r>
        <w:rPr>
          <w:spacing w:val="-1"/>
        </w:rPr>
        <w:t> </w:t>
      </w:r>
      <w:r>
        <w:rPr/>
        <w:t>restored</w:t>
      </w:r>
      <w:r>
        <w:rPr>
          <w:spacing w:val="2"/>
        </w:rPr>
        <w:t> </w:t>
      </w:r>
      <w:r>
        <w:rPr/>
        <w:t>the</w:t>
      </w:r>
      <w:r>
        <w:rPr>
          <w:spacing w:val="-1"/>
        </w:rPr>
        <w:t> </w:t>
      </w:r>
      <w:r>
        <w:rPr/>
        <w:t>damaged</w:t>
      </w:r>
      <w:r>
        <w:rPr>
          <w:spacing w:val="-1"/>
        </w:rPr>
        <w:t> </w:t>
      </w:r>
      <w:r>
        <w:rPr/>
        <w:t>organs</w:t>
      </w:r>
      <w:r>
        <w:rPr>
          <w:spacing w:val="-1"/>
        </w:rPr>
        <w:t> </w:t>
      </w:r>
      <w:r>
        <w:rPr/>
        <w:t>due</w:t>
      </w:r>
      <w:r>
        <w:rPr>
          <w:spacing w:val="-1"/>
        </w:rPr>
        <w:t> </w:t>
      </w:r>
      <w:r>
        <w:rPr/>
        <w:t>to</w:t>
      </w:r>
      <w:r>
        <w:rPr>
          <w:spacing w:val="-1"/>
        </w:rPr>
        <w:t> </w:t>
      </w:r>
      <w:r>
        <w:rPr/>
        <w:t>the</w:t>
      </w:r>
      <w:r>
        <w:rPr>
          <w:spacing w:val="-1"/>
        </w:rPr>
        <w:t> </w:t>
      </w:r>
      <w:r>
        <w:rPr/>
        <w:t>effects of</w:t>
      </w:r>
      <w:r>
        <w:rPr>
          <w:spacing w:val="-1"/>
        </w:rPr>
        <w:t> </w:t>
      </w:r>
      <w:r>
        <w:rPr/>
        <w:t>alloxan</w:t>
      </w:r>
      <w:r>
        <w:rPr>
          <w:spacing w:val="-1"/>
        </w:rPr>
        <w:t> </w:t>
      </w:r>
      <w:r>
        <w:rPr/>
        <w:t>to </w:t>
      </w:r>
      <w:r>
        <w:rPr>
          <w:spacing w:val="-2"/>
        </w:rPr>
        <w:t>normalcy.</w:t>
      </w:r>
    </w:p>
    <w:p>
      <w:pPr>
        <w:spacing w:after="0" w:line="275" w:lineRule="exact"/>
        <w:jc w:val="both"/>
        <w:sectPr>
          <w:pgSz w:w="12240" w:h="15840"/>
          <w:pgMar w:header="0" w:footer="1056" w:top="1340" w:bottom="1240" w:left="1420" w:right="420"/>
        </w:sectPr>
      </w:pPr>
    </w:p>
    <w:p>
      <w:pPr>
        <w:pStyle w:val="Heading2"/>
        <w:spacing w:before="147"/>
        <w:ind w:left="2418"/>
        <w:jc w:val="left"/>
      </w:pPr>
      <w:r>
        <w:rPr/>
        <mc:AlternateContent>
          <mc:Choice Requires="wps">
            <w:drawing>
              <wp:anchor distT="0" distB="0" distL="0" distR="0" allowOverlap="1" layoutInCell="1" locked="0" behindDoc="1" simplePos="0" relativeHeight="483007488">
                <wp:simplePos x="0" y="0"/>
                <wp:positionH relativeFrom="page">
                  <wp:posOffset>-1402226</wp:posOffset>
                </wp:positionH>
                <wp:positionV relativeFrom="page">
                  <wp:posOffset>4612234</wp:posOffset>
                </wp:positionV>
                <wp:extent cx="10685780" cy="9144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8992;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13" w:id="120"/>
      <w:r>
        <w:rPr/>
        <w:t>CHAPTER</w:t>
      </w:r>
      <w:r>
        <w:rPr>
          <w:spacing w:val="-4"/>
        </w:rPr>
        <w:t> </w:t>
      </w:r>
      <w:r>
        <w:rPr/>
        <w:t>FOUR:</w:t>
      </w:r>
      <w:r>
        <w:rPr>
          <w:spacing w:val="-2"/>
        </w:rPr>
        <w:t> </w:t>
      </w:r>
      <w:r>
        <w:rPr/>
        <w:t>FORMULATION</w:t>
      </w:r>
      <w:r>
        <w:rPr>
          <w:spacing w:val="-1"/>
        </w:rPr>
        <w:t> </w:t>
      </w:r>
      <w:bookmarkEnd w:id="120"/>
      <w:r>
        <w:rPr>
          <w:spacing w:val="-2"/>
        </w:rPr>
        <w:t>STUDIES</w:t>
      </w:r>
    </w:p>
    <w:p>
      <w:pPr>
        <w:pStyle w:val="BodyText"/>
        <w:rPr>
          <w:b/>
        </w:rPr>
      </w:pPr>
    </w:p>
    <w:p>
      <w:pPr>
        <w:pStyle w:val="BodyText"/>
        <w:spacing w:before="139"/>
        <w:rPr>
          <w:b/>
        </w:rPr>
      </w:pPr>
    </w:p>
    <w:p>
      <w:pPr>
        <w:pStyle w:val="ListParagraph"/>
        <w:numPr>
          <w:ilvl w:val="1"/>
          <w:numId w:val="44"/>
        </w:numPr>
        <w:tabs>
          <w:tab w:pos="1038" w:val="left" w:leader="none"/>
        </w:tabs>
        <w:spacing w:line="240" w:lineRule="auto" w:before="1" w:after="0"/>
        <w:ind w:left="1038" w:right="0" w:hanging="360"/>
        <w:jc w:val="both"/>
        <w:rPr>
          <w:b/>
          <w:sz w:val="24"/>
        </w:rPr>
      </w:pPr>
      <w:r>
        <w:rPr>
          <w:b/>
          <w:sz w:val="24"/>
        </w:rPr>
        <w:t>Material</w:t>
      </w:r>
      <w:r>
        <w:rPr>
          <w:b/>
          <w:spacing w:val="-2"/>
          <w:sz w:val="24"/>
        </w:rPr>
        <w:t> </w:t>
      </w:r>
      <w:r>
        <w:rPr>
          <w:b/>
          <w:sz w:val="24"/>
        </w:rPr>
        <w:t>properties</w:t>
      </w:r>
      <w:r>
        <w:rPr>
          <w:b/>
          <w:spacing w:val="1"/>
          <w:sz w:val="24"/>
        </w:rPr>
        <w:t> </w:t>
      </w:r>
      <w:r>
        <w:rPr>
          <w:b/>
          <w:sz w:val="24"/>
        </w:rPr>
        <w:t>of the</w:t>
      </w:r>
      <w:r>
        <w:rPr>
          <w:b/>
          <w:spacing w:val="-2"/>
          <w:sz w:val="24"/>
        </w:rPr>
        <w:t> </w:t>
      </w:r>
      <w:r>
        <w:rPr>
          <w:b/>
          <w:i/>
          <w:sz w:val="24"/>
        </w:rPr>
        <w:t>M.</w:t>
      </w:r>
      <w:r>
        <w:rPr>
          <w:b/>
          <w:i/>
          <w:spacing w:val="-1"/>
          <w:sz w:val="24"/>
        </w:rPr>
        <w:t> </w:t>
      </w:r>
      <w:r>
        <w:rPr>
          <w:b/>
          <w:i/>
          <w:sz w:val="24"/>
        </w:rPr>
        <w:t>pruriens </w:t>
      </w:r>
      <w:r>
        <w:rPr>
          <w:b/>
          <w:sz w:val="24"/>
        </w:rPr>
        <w:t>ethanol</w:t>
      </w:r>
      <w:r>
        <w:rPr>
          <w:b/>
          <w:spacing w:val="-1"/>
          <w:sz w:val="24"/>
        </w:rPr>
        <w:t> </w:t>
      </w:r>
      <w:r>
        <w:rPr>
          <w:b/>
          <w:spacing w:val="-2"/>
          <w:sz w:val="24"/>
        </w:rPr>
        <w:t>extract</w:t>
      </w:r>
    </w:p>
    <w:p>
      <w:pPr>
        <w:pStyle w:val="BodyText"/>
        <w:spacing w:line="360" w:lineRule="auto" w:before="134"/>
        <w:ind w:left="678" w:right="993" w:firstLine="720"/>
        <w:jc w:val="both"/>
      </w:pPr>
      <w:r>
        <w:rPr/>
        <w:t>The bulk density, tap density and Hausner ratio of the ethanol seed extract of the various powder mixes for direct compression are presented in Table 4.1. The bulk density of a powder describes its packing behavior during the various unit operations of tableting such as die filling, mixing, granulation and compression. Higher bulk density is advantageous in tableting because of reduction in the fill volume of the die. The ranking</w:t>
      </w:r>
      <w:r>
        <w:rPr>
          <w:spacing w:val="40"/>
        </w:rPr>
        <w:t> </w:t>
      </w:r>
      <w:r>
        <w:rPr/>
        <w:t>of the bulk density was Extract &gt; Avicel &gt; Cellulose &gt; Lactose. The tap density indicates the rate and extent of packing that would be experienced by a material during the various unit operations of tableting (Wray, 1992). The ranking of the tap density was Avicel &gt; Extract &gt; Cellactose &gt; Lactose. The difference observed in the tap density</w:t>
      </w:r>
      <w:r>
        <w:rPr>
          <w:spacing w:val="-3"/>
        </w:rPr>
        <w:t> </w:t>
      </w:r>
      <w:r>
        <w:rPr/>
        <w:t>values could be due to the difference in particle shape and particle size distribution, both of which affect the packing arrangement of particles.</w:t>
      </w:r>
    </w:p>
    <w:p>
      <w:pPr>
        <w:pStyle w:val="BodyText"/>
        <w:spacing w:line="360" w:lineRule="auto"/>
        <w:ind w:left="678" w:right="992" w:firstLine="720"/>
        <w:jc w:val="both"/>
      </w:pPr>
      <w:r>
        <w:rPr/>
        <w:t>The</w:t>
      </w:r>
      <w:r>
        <w:rPr>
          <w:spacing w:val="-4"/>
        </w:rPr>
        <w:t> </w:t>
      </w:r>
      <w:r>
        <w:rPr/>
        <w:t>Hausner</w:t>
      </w:r>
      <w:r>
        <w:rPr>
          <w:spacing w:val="-2"/>
        </w:rPr>
        <w:t> </w:t>
      </w:r>
      <w:r>
        <w:rPr/>
        <w:t>ratio</w:t>
      </w:r>
      <w:r>
        <w:rPr>
          <w:spacing w:val="-2"/>
        </w:rPr>
        <w:t> </w:t>
      </w:r>
      <w:r>
        <w:rPr/>
        <w:t>(tap</w:t>
      </w:r>
      <w:r>
        <w:rPr>
          <w:spacing w:val="-2"/>
        </w:rPr>
        <w:t> </w:t>
      </w:r>
      <w:r>
        <w:rPr/>
        <w:t>to</w:t>
      </w:r>
      <w:r>
        <w:rPr>
          <w:spacing w:val="-2"/>
        </w:rPr>
        <w:t> </w:t>
      </w:r>
      <w:r>
        <w:rPr/>
        <w:t>bulk</w:t>
      </w:r>
      <w:r>
        <w:rPr>
          <w:spacing w:val="-2"/>
        </w:rPr>
        <w:t> </w:t>
      </w:r>
      <w:r>
        <w:rPr/>
        <w:t>density</w:t>
      </w:r>
      <w:r>
        <w:rPr>
          <w:spacing w:val="-7"/>
        </w:rPr>
        <w:t> </w:t>
      </w:r>
      <w:r>
        <w:rPr/>
        <w:t>ratio)</w:t>
      </w:r>
      <w:r>
        <w:rPr>
          <w:spacing w:val="-3"/>
        </w:rPr>
        <w:t> </w:t>
      </w:r>
      <w:r>
        <w:rPr/>
        <w:t>provides</w:t>
      </w:r>
      <w:r>
        <w:rPr>
          <w:spacing w:val="-2"/>
        </w:rPr>
        <w:t> </w:t>
      </w:r>
      <w:r>
        <w:rPr/>
        <w:t>an</w:t>
      </w:r>
      <w:r>
        <w:rPr>
          <w:spacing w:val="-2"/>
        </w:rPr>
        <w:t> </w:t>
      </w:r>
      <w:r>
        <w:rPr/>
        <w:t>indication</w:t>
      </w:r>
      <w:r>
        <w:rPr>
          <w:spacing w:val="-2"/>
        </w:rPr>
        <w:t> </w:t>
      </w:r>
      <w:r>
        <w:rPr/>
        <w:t>of</w:t>
      </w:r>
      <w:r>
        <w:rPr>
          <w:spacing w:val="-2"/>
        </w:rPr>
        <w:t> </w:t>
      </w:r>
      <w:r>
        <w:rPr/>
        <w:t>the</w:t>
      </w:r>
      <w:r>
        <w:rPr>
          <w:spacing w:val="-4"/>
        </w:rPr>
        <w:t> </w:t>
      </w:r>
      <w:r>
        <w:rPr/>
        <w:t>degree</w:t>
      </w:r>
      <w:r>
        <w:rPr>
          <w:spacing w:val="-1"/>
        </w:rPr>
        <w:t> </w:t>
      </w:r>
      <w:r>
        <w:rPr/>
        <w:t>of densification</w:t>
      </w:r>
      <w:r>
        <w:rPr>
          <w:spacing w:val="-3"/>
        </w:rPr>
        <w:t> </w:t>
      </w:r>
      <w:r>
        <w:rPr/>
        <w:t>which</w:t>
      </w:r>
      <w:r>
        <w:rPr>
          <w:spacing w:val="-1"/>
        </w:rPr>
        <w:t> </w:t>
      </w:r>
      <w:r>
        <w:rPr/>
        <w:t>could</w:t>
      </w:r>
      <w:r>
        <w:rPr>
          <w:spacing w:val="-3"/>
        </w:rPr>
        <w:t> </w:t>
      </w:r>
      <w:r>
        <w:rPr/>
        <w:t>result</w:t>
      </w:r>
      <w:r>
        <w:rPr>
          <w:spacing w:val="-3"/>
        </w:rPr>
        <w:t> </w:t>
      </w:r>
      <w:r>
        <w:rPr/>
        <w:t>from</w:t>
      </w:r>
      <w:r>
        <w:rPr>
          <w:spacing w:val="-3"/>
        </w:rPr>
        <w:t> </w:t>
      </w:r>
      <w:r>
        <w:rPr/>
        <w:t>vibration of</w:t>
      </w:r>
      <w:r>
        <w:rPr>
          <w:spacing w:val="-2"/>
        </w:rPr>
        <w:t> </w:t>
      </w:r>
      <w:r>
        <w:rPr/>
        <w:t>the</w:t>
      </w:r>
      <w:r>
        <w:rPr>
          <w:spacing w:val="-3"/>
        </w:rPr>
        <w:t> </w:t>
      </w:r>
      <w:r>
        <w:rPr/>
        <w:t>feed</w:t>
      </w:r>
      <w:r>
        <w:rPr>
          <w:spacing w:val="-1"/>
        </w:rPr>
        <w:t> </w:t>
      </w:r>
      <w:r>
        <w:rPr/>
        <w:t>hopper</w:t>
      </w:r>
      <w:r>
        <w:rPr>
          <w:spacing w:val="-1"/>
        </w:rPr>
        <w:t> </w:t>
      </w:r>
      <w:r>
        <w:rPr/>
        <w:t>during</w:t>
      </w:r>
      <w:r>
        <w:rPr>
          <w:spacing w:val="-6"/>
        </w:rPr>
        <w:t> </w:t>
      </w:r>
      <w:r>
        <w:rPr/>
        <w:t>tableting.</w:t>
      </w:r>
      <w:r>
        <w:rPr>
          <w:spacing w:val="-1"/>
        </w:rPr>
        <w:t> </w:t>
      </w:r>
      <w:r>
        <w:rPr/>
        <w:t>Higher values of Hausner ratio predict significant densification of powders. The ranking of Hausner</w:t>
      </w:r>
      <w:r>
        <w:rPr>
          <w:spacing w:val="-3"/>
        </w:rPr>
        <w:t> </w:t>
      </w:r>
      <w:r>
        <w:rPr/>
        <w:t>ratio</w:t>
      </w:r>
      <w:r>
        <w:rPr>
          <w:spacing w:val="-1"/>
        </w:rPr>
        <w:t> </w:t>
      </w:r>
      <w:r>
        <w:rPr/>
        <w:t>was</w:t>
      </w:r>
      <w:r>
        <w:rPr>
          <w:spacing w:val="-1"/>
        </w:rPr>
        <w:t> </w:t>
      </w:r>
      <w:r>
        <w:rPr/>
        <w:t>Avicel &gt; Extract</w:t>
      </w:r>
      <w:r>
        <w:rPr>
          <w:spacing w:val="-1"/>
        </w:rPr>
        <w:t> </w:t>
      </w:r>
      <w:r>
        <w:rPr/>
        <w:t>&gt;</w:t>
      </w:r>
      <w:r>
        <w:rPr>
          <w:spacing w:val="-2"/>
        </w:rPr>
        <w:t> </w:t>
      </w:r>
      <w:r>
        <w:rPr/>
        <w:t>Cellactose</w:t>
      </w:r>
      <w:r>
        <w:rPr>
          <w:spacing w:val="-2"/>
        </w:rPr>
        <w:t> </w:t>
      </w:r>
      <w:r>
        <w:rPr/>
        <w:t>&gt; Lactose.</w:t>
      </w:r>
      <w:r>
        <w:rPr>
          <w:spacing w:val="-2"/>
        </w:rPr>
        <w:t> </w:t>
      </w:r>
      <w:r>
        <w:rPr/>
        <w:t>Thus,</w:t>
      </w:r>
      <w:r>
        <w:rPr>
          <w:spacing w:val="-1"/>
        </w:rPr>
        <w:t> </w:t>
      </w:r>
      <w:r>
        <w:rPr/>
        <w:t>Avicel</w:t>
      </w:r>
      <w:r>
        <w:rPr>
          <w:spacing w:val="-1"/>
        </w:rPr>
        <w:t> </w:t>
      </w:r>
      <w:r>
        <w:rPr/>
        <w:t>exhibited</w:t>
      </w:r>
      <w:r>
        <w:rPr>
          <w:spacing w:val="-2"/>
        </w:rPr>
        <w:t> </w:t>
      </w:r>
      <w:r>
        <w:rPr/>
        <w:t>highest degree of densification with tapping while lactose had the lowest values. The angle of repose </w:t>
      </w:r>
      <w:r>
        <w:rPr>
          <w:b/>
        </w:rPr>
        <w:t>(</w:t>
      </w:r>
      <w:r>
        <w:rPr/>
        <w:t>θ) has been used as a qualitative measure of the cohesiveness or the tendency of powdered or granulated materials to flow, for instance, from hoppers through the feed frame into tableting machine. Such uniformity of flow will minimize weight variations in tablets produced (Varthalis and Pilpel, 1976). Angle of repose of 30</w:t>
      </w:r>
      <w:r>
        <w:rPr>
          <w:vertAlign w:val="superscript"/>
        </w:rPr>
        <w:t>o</w:t>
      </w:r>
      <w:r>
        <w:rPr>
          <w:vertAlign w:val="baseline"/>
        </w:rPr>
        <w:t> or below usually indicate that the powder is free flowing. Angle of repose of 40</w:t>
      </w:r>
      <w:r>
        <w:rPr>
          <w:vertAlign w:val="superscript"/>
        </w:rPr>
        <w:t>o</w:t>
      </w:r>
      <w:r>
        <w:rPr>
          <w:vertAlign w:val="baseline"/>
        </w:rPr>
        <w:t> or above indicates poor flow. The angle of repose is affected by</w:t>
      </w:r>
      <w:r>
        <w:rPr>
          <w:spacing w:val="-2"/>
          <w:vertAlign w:val="baseline"/>
        </w:rPr>
        <w:t> </w:t>
      </w:r>
      <w:r>
        <w:rPr>
          <w:vertAlign w:val="baseline"/>
        </w:rPr>
        <w:t>the particle size distribution and usually</w:t>
      </w:r>
      <w:r>
        <w:rPr>
          <w:spacing w:val="-2"/>
          <w:vertAlign w:val="baseline"/>
        </w:rPr>
        <w:t> </w:t>
      </w:r>
      <w:r>
        <w:rPr>
          <w:vertAlign w:val="baseline"/>
        </w:rPr>
        <w:t>increases with a decrease in particle size. The ranking of angle of repose was Lactose &gt; Extract &gt; Cellactose &gt; Avicel.</w:t>
      </w:r>
    </w:p>
    <w:p>
      <w:pPr>
        <w:spacing w:after="0" w:line="360" w:lineRule="auto"/>
        <w:jc w:val="both"/>
        <w:sectPr>
          <w:pgSz w:w="12240" w:h="15840"/>
          <w:pgMar w:header="0" w:footer="1056" w:top="1820" w:bottom="1240" w:left="1420" w:right="420"/>
        </w:sectPr>
      </w:pPr>
    </w:p>
    <w:p>
      <w:pPr>
        <w:pStyle w:val="Heading2"/>
        <w:spacing w:before="77"/>
        <w:jc w:val="left"/>
      </w:pPr>
      <w:r>
        <w:rPr/>
        <mc:AlternateContent>
          <mc:Choice Requires="wps">
            <w:drawing>
              <wp:anchor distT="0" distB="0" distL="0" distR="0" allowOverlap="1" layoutInCell="1" locked="0" behindDoc="1" simplePos="0" relativeHeight="483008000">
                <wp:simplePos x="0" y="0"/>
                <wp:positionH relativeFrom="page">
                  <wp:posOffset>-1402226</wp:posOffset>
                </wp:positionH>
                <wp:positionV relativeFrom="page">
                  <wp:posOffset>4612234</wp:posOffset>
                </wp:positionV>
                <wp:extent cx="10685780" cy="91440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8480;rotation:306" type="#_x0000_t136" fillcolor="#ff5400" stroked="f">
                <o:extrusion v:ext="view" autorotationcenter="t"/>
                <v:textpath style="font-family:&quot;Arial MT&quot;;font-size:72pt;v-text-kern:t;mso-text-shadow:auto" string="UNIVERSITY OF IBADAN"/>
                <w10:wrap type="none"/>
              </v:shape>
            </w:pict>
          </mc:Fallback>
        </mc:AlternateContent>
      </w:r>
      <w:r>
        <w:rPr/>
        <w:t>Table</w:t>
      </w:r>
      <w:r>
        <w:rPr>
          <w:spacing w:val="-1"/>
        </w:rPr>
        <w:t> </w:t>
      </w:r>
      <w:r>
        <w:rPr/>
        <w:t>4.1:</w:t>
      </w:r>
      <w:r>
        <w:rPr>
          <w:spacing w:val="-2"/>
        </w:rPr>
        <w:t> </w:t>
      </w:r>
      <w:r>
        <w:rPr/>
        <w:t>Material properties of </w:t>
      </w:r>
      <w:r>
        <w:rPr>
          <w:i/>
        </w:rPr>
        <w:t>M.</w:t>
      </w:r>
      <w:r>
        <w:rPr>
          <w:i/>
          <w:spacing w:val="-1"/>
        </w:rPr>
        <w:t> </w:t>
      </w:r>
      <w:r>
        <w:rPr>
          <w:i/>
        </w:rPr>
        <w:t>pruriens </w:t>
      </w:r>
      <w:r>
        <w:rPr/>
        <w:t>ethanol</w:t>
      </w:r>
      <w:r>
        <w:rPr>
          <w:spacing w:val="-1"/>
        </w:rPr>
        <w:t> </w:t>
      </w:r>
      <w:r>
        <w:rPr/>
        <w:t>extract</w:t>
      </w:r>
      <w:r>
        <w:rPr>
          <w:spacing w:val="-1"/>
        </w:rPr>
        <w:t> </w:t>
      </w:r>
      <w:r>
        <w:rPr/>
        <w:t>(Mean</w:t>
      </w:r>
      <w:r>
        <w:rPr>
          <w:spacing w:val="-1"/>
        </w:rPr>
        <w:t> </w:t>
      </w:r>
      <w:r>
        <w:rPr/>
        <w:t>±</w:t>
      </w:r>
      <w:r>
        <w:rPr>
          <w:spacing w:val="-1"/>
        </w:rPr>
        <w:t> </w:t>
      </w:r>
      <w:r>
        <w:rPr/>
        <w:t>SD,</w:t>
      </w:r>
      <w:r>
        <w:rPr>
          <w:spacing w:val="-1"/>
        </w:rPr>
        <w:t> </w:t>
      </w:r>
      <w:r>
        <w:rPr/>
        <w:t>n</w:t>
      </w:r>
      <w:r>
        <w:rPr>
          <w:spacing w:val="-1"/>
        </w:rPr>
        <w:t> </w:t>
      </w:r>
      <w:r>
        <w:rPr/>
        <w:t>= </w:t>
      </w:r>
      <w:r>
        <w:rPr>
          <w:spacing w:val="-10"/>
        </w:rPr>
        <w:t>4</w:t>
      </w:r>
    </w:p>
    <w:p>
      <w:pPr>
        <w:pStyle w:val="BodyText"/>
        <w:rPr>
          <w:b/>
          <w:sz w:val="20"/>
        </w:rPr>
      </w:pPr>
    </w:p>
    <w:p>
      <w:pPr>
        <w:pStyle w:val="BodyText"/>
        <w:rPr>
          <w:b/>
          <w:sz w:val="20"/>
        </w:rPr>
      </w:pPr>
    </w:p>
    <w:p>
      <w:pPr>
        <w:pStyle w:val="BodyText"/>
        <w:spacing w:before="31" w:after="1"/>
        <w:rPr>
          <w:b/>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7"/>
        <w:gridCol w:w="2095"/>
        <w:gridCol w:w="1574"/>
        <w:gridCol w:w="1928"/>
        <w:gridCol w:w="1632"/>
      </w:tblGrid>
      <w:tr>
        <w:trPr>
          <w:trHeight w:val="1242" w:hRule="atLeast"/>
        </w:trPr>
        <w:tc>
          <w:tcPr>
            <w:tcW w:w="1717"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Diluent</w:t>
            </w:r>
          </w:p>
        </w:tc>
        <w:tc>
          <w:tcPr>
            <w:tcW w:w="2095" w:type="dxa"/>
            <w:tcBorders>
              <w:top w:val="single" w:sz="4" w:space="0" w:color="000000"/>
              <w:bottom w:val="single" w:sz="4" w:space="0" w:color="000000"/>
            </w:tcBorders>
          </w:tcPr>
          <w:p>
            <w:pPr>
              <w:pStyle w:val="TableParagraph"/>
              <w:spacing w:line="360" w:lineRule="auto"/>
              <w:ind w:left="1019" w:hanging="416"/>
              <w:rPr>
                <w:b/>
                <w:sz w:val="24"/>
              </w:rPr>
            </w:pPr>
            <w:r>
              <w:rPr>
                <w:b/>
                <w:sz w:val="24"/>
              </w:rPr>
              <w:t>Bulk</w:t>
            </w:r>
            <w:r>
              <w:rPr>
                <w:b/>
                <w:spacing w:val="-15"/>
                <w:sz w:val="24"/>
              </w:rPr>
              <w:t> </w:t>
            </w:r>
            <w:r>
              <w:rPr>
                <w:b/>
                <w:sz w:val="24"/>
              </w:rPr>
              <w:t>Density </w:t>
            </w:r>
            <w:r>
              <w:rPr>
                <w:b/>
                <w:spacing w:val="-4"/>
                <w:sz w:val="24"/>
              </w:rPr>
              <w:t>(BD)</w:t>
            </w:r>
          </w:p>
        </w:tc>
        <w:tc>
          <w:tcPr>
            <w:tcW w:w="1574" w:type="dxa"/>
            <w:tcBorders>
              <w:top w:val="single" w:sz="4" w:space="0" w:color="000000"/>
              <w:bottom w:val="single" w:sz="4" w:space="0" w:color="000000"/>
            </w:tcBorders>
          </w:tcPr>
          <w:p>
            <w:pPr>
              <w:pStyle w:val="TableParagraph"/>
              <w:spacing w:line="360" w:lineRule="auto"/>
              <w:ind w:left="539" w:right="160" w:hanging="377"/>
              <w:rPr>
                <w:b/>
                <w:sz w:val="24"/>
              </w:rPr>
            </w:pPr>
            <w:r>
              <w:rPr>
                <w:b/>
                <w:sz w:val="24"/>
              </w:rPr>
              <w:t>Tap</w:t>
            </w:r>
            <w:r>
              <w:rPr>
                <w:b/>
                <w:spacing w:val="-15"/>
                <w:sz w:val="24"/>
              </w:rPr>
              <w:t> </w:t>
            </w:r>
            <w:r>
              <w:rPr>
                <w:b/>
                <w:sz w:val="24"/>
              </w:rPr>
              <w:t>Density </w:t>
            </w:r>
            <w:r>
              <w:rPr>
                <w:b/>
                <w:spacing w:val="-4"/>
                <w:sz w:val="24"/>
              </w:rPr>
              <w:t>(TD)</w:t>
            </w:r>
          </w:p>
        </w:tc>
        <w:tc>
          <w:tcPr>
            <w:tcW w:w="1928" w:type="dxa"/>
            <w:tcBorders>
              <w:top w:val="single" w:sz="4" w:space="0" w:color="000000"/>
              <w:bottom w:val="single" w:sz="4" w:space="0" w:color="000000"/>
            </w:tcBorders>
          </w:tcPr>
          <w:p>
            <w:pPr>
              <w:pStyle w:val="TableParagraph"/>
              <w:spacing w:line="360" w:lineRule="auto"/>
              <w:ind w:left="655" w:right="258" w:hanging="490"/>
              <w:rPr>
                <w:b/>
                <w:sz w:val="24"/>
              </w:rPr>
            </w:pPr>
            <w:r>
              <w:rPr>
                <w:b/>
                <w:sz w:val="24"/>
              </w:rPr>
              <w:t>Hausner</w:t>
            </w:r>
            <w:r>
              <w:rPr>
                <w:b/>
                <w:spacing w:val="-15"/>
                <w:sz w:val="24"/>
              </w:rPr>
              <w:t> </w:t>
            </w:r>
            <w:r>
              <w:rPr>
                <w:b/>
                <w:sz w:val="24"/>
              </w:rPr>
              <w:t>Ratio </w:t>
            </w:r>
            <w:r>
              <w:rPr>
                <w:b/>
                <w:spacing w:val="-4"/>
                <w:sz w:val="24"/>
              </w:rPr>
              <w:t>(HR)</w:t>
            </w:r>
          </w:p>
        </w:tc>
        <w:tc>
          <w:tcPr>
            <w:tcW w:w="1632" w:type="dxa"/>
            <w:tcBorders>
              <w:top w:val="single" w:sz="4" w:space="0" w:color="000000"/>
              <w:bottom w:val="single" w:sz="4" w:space="0" w:color="000000"/>
            </w:tcBorders>
          </w:tcPr>
          <w:p>
            <w:pPr>
              <w:pStyle w:val="TableParagraph"/>
              <w:spacing w:line="275" w:lineRule="exact"/>
              <w:ind w:left="384" w:hanging="63"/>
              <w:rPr>
                <w:b/>
                <w:sz w:val="24"/>
              </w:rPr>
            </w:pPr>
            <w:r>
              <w:rPr>
                <w:b/>
                <w:sz w:val="24"/>
              </w:rPr>
              <w:t>Angle</w:t>
            </w:r>
            <w:r>
              <w:rPr>
                <w:b/>
                <w:spacing w:val="-1"/>
                <w:sz w:val="24"/>
              </w:rPr>
              <w:t> </w:t>
            </w:r>
            <w:r>
              <w:rPr>
                <w:b/>
                <w:spacing w:val="-5"/>
                <w:sz w:val="24"/>
              </w:rPr>
              <w:t>of</w:t>
            </w:r>
          </w:p>
          <w:p>
            <w:pPr>
              <w:pStyle w:val="TableParagraph"/>
              <w:spacing w:line="410" w:lineRule="atLeast" w:before="5"/>
              <w:ind w:left="631" w:right="507" w:hanging="248"/>
              <w:rPr>
                <w:b/>
                <w:sz w:val="24"/>
              </w:rPr>
            </w:pPr>
            <w:r>
              <w:rPr>
                <w:b/>
                <w:spacing w:val="-2"/>
                <w:sz w:val="24"/>
              </w:rPr>
              <w:t>Repose </w:t>
            </w:r>
            <w:r>
              <w:rPr>
                <w:b/>
                <w:spacing w:val="-4"/>
                <w:sz w:val="24"/>
              </w:rPr>
              <w:t>(</w:t>
            </w:r>
            <w:r>
              <w:rPr>
                <w:b/>
                <w:spacing w:val="-4"/>
                <w:sz w:val="24"/>
                <w:vertAlign w:val="superscript"/>
              </w:rPr>
              <w:t>o</w:t>
            </w:r>
            <w:r>
              <w:rPr>
                <w:b/>
                <w:spacing w:val="-4"/>
                <w:sz w:val="24"/>
                <w:vertAlign w:val="baseline"/>
              </w:rPr>
              <w:t>)</w:t>
            </w:r>
          </w:p>
        </w:tc>
      </w:tr>
      <w:tr>
        <w:trPr>
          <w:trHeight w:val="344" w:hRule="atLeast"/>
        </w:trPr>
        <w:tc>
          <w:tcPr>
            <w:tcW w:w="1717" w:type="dxa"/>
            <w:tcBorders>
              <w:top w:val="single" w:sz="4" w:space="0" w:color="000000"/>
            </w:tcBorders>
          </w:tcPr>
          <w:p>
            <w:pPr>
              <w:pStyle w:val="TableParagraph"/>
              <w:spacing w:line="270" w:lineRule="exact"/>
              <w:ind w:left="115"/>
              <w:rPr>
                <w:sz w:val="24"/>
              </w:rPr>
            </w:pPr>
            <w:r>
              <w:rPr>
                <w:spacing w:val="-2"/>
                <w:sz w:val="24"/>
              </w:rPr>
              <w:t>Extract</w:t>
            </w:r>
          </w:p>
        </w:tc>
        <w:tc>
          <w:tcPr>
            <w:tcW w:w="2095" w:type="dxa"/>
            <w:tcBorders>
              <w:top w:val="single" w:sz="4" w:space="0" w:color="000000"/>
            </w:tcBorders>
          </w:tcPr>
          <w:p>
            <w:pPr>
              <w:pStyle w:val="TableParagraph"/>
              <w:spacing w:line="270" w:lineRule="exact"/>
              <w:ind w:right="399"/>
              <w:jc w:val="right"/>
              <w:rPr>
                <w:sz w:val="24"/>
              </w:rPr>
            </w:pPr>
            <w:r>
              <w:rPr>
                <w:spacing w:val="-2"/>
                <w:sz w:val="24"/>
              </w:rPr>
              <w:t>0.65±0.0</w:t>
            </w:r>
          </w:p>
        </w:tc>
        <w:tc>
          <w:tcPr>
            <w:tcW w:w="1574" w:type="dxa"/>
            <w:tcBorders>
              <w:top w:val="single" w:sz="4" w:space="0" w:color="000000"/>
            </w:tcBorders>
          </w:tcPr>
          <w:p>
            <w:pPr>
              <w:pStyle w:val="TableParagraph"/>
              <w:spacing w:line="270" w:lineRule="exact"/>
              <w:ind w:left="1" w:right="88"/>
              <w:jc w:val="center"/>
              <w:rPr>
                <w:sz w:val="24"/>
              </w:rPr>
            </w:pPr>
            <w:r>
              <w:rPr>
                <w:spacing w:val="-2"/>
                <w:sz w:val="24"/>
              </w:rPr>
              <w:t>0.70±0.0</w:t>
            </w:r>
          </w:p>
        </w:tc>
        <w:tc>
          <w:tcPr>
            <w:tcW w:w="1928" w:type="dxa"/>
            <w:tcBorders>
              <w:top w:val="single" w:sz="4" w:space="0" w:color="000000"/>
            </w:tcBorders>
          </w:tcPr>
          <w:p>
            <w:pPr>
              <w:pStyle w:val="TableParagraph"/>
              <w:spacing w:line="270" w:lineRule="exact"/>
              <w:ind w:right="94"/>
              <w:jc w:val="center"/>
              <w:rPr>
                <w:sz w:val="24"/>
              </w:rPr>
            </w:pPr>
            <w:r>
              <w:rPr>
                <w:spacing w:val="-2"/>
                <w:sz w:val="24"/>
              </w:rPr>
              <w:t>1.08±0.0</w:t>
            </w:r>
          </w:p>
        </w:tc>
        <w:tc>
          <w:tcPr>
            <w:tcW w:w="1632" w:type="dxa"/>
            <w:tcBorders>
              <w:top w:val="single" w:sz="4" w:space="0" w:color="000000"/>
            </w:tcBorders>
          </w:tcPr>
          <w:p>
            <w:pPr>
              <w:pStyle w:val="TableParagraph"/>
              <w:spacing w:line="270" w:lineRule="exact"/>
              <w:ind w:right="124"/>
              <w:jc w:val="center"/>
              <w:rPr>
                <w:sz w:val="24"/>
              </w:rPr>
            </w:pPr>
            <w:r>
              <w:rPr>
                <w:spacing w:val="-2"/>
                <w:sz w:val="24"/>
              </w:rPr>
              <w:t>30.40±0.1</w:t>
            </w:r>
          </w:p>
        </w:tc>
      </w:tr>
      <w:tr>
        <w:trPr>
          <w:trHeight w:val="413" w:hRule="atLeast"/>
        </w:trPr>
        <w:tc>
          <w:tcPr>
            <w:tcW w:w="1717" w:type="dxa"/>
          </w:tcPr>
          <w:p>
            <w:pPr>
              <w:pStyle w:val="TableParagraph"/>
              <w:spacing w:before="64"/>
              <w:ind w:left="115"/>
              <w:rPr>
                <w:sz w:val="24"/>
              </w:rPr>
            </w:pPr>
            <w:r>
              <w:rPr>
                <w:spacing w:val="-2"/>
                <w:sz w:val="24"/>
              </w:rPr>
              <w:t>Avicel</w:t>
            </w:r>
          </w:p>
        </w:tc>
        <w:tc>
          <w:tcPr>
            <w:tcW w:w="2095" w:type="dxa"/>
          </w:tcPr>
          <w:p>
            <w:pPr>
              <w:pStyle w:val="TableParagraph"/>
              <w:spacing w:before="64"/>
              <w:ind w:right="399"/>
              <w:jc w:val="right"/>
              <w:rPr>
                <w:sz w:val="24"/>
              </w:rPr>
            </w:pPr>
            <w:r>
              <w:rPr>
                <w:spacing w:val="-2"/>
                <w:sz w:val="24"/>
              </w:rPr>
              <w:t>0.64±0.0</w:t>
            </w:r>
          </w:p>
        </w:tc>
        <w:tc>
          <w:tcPr>
            <w:tcW w:w="1574" w:type="dxa"/>
          </w:tcPr>
          <w:p>
            <w:pPr>
              <w:pStyle w:val="TableParagraph"/>
              <w:spacing w:before="64"/>
              <w:ind w:left="88" w:right="87"/>
              <w:jc w:val="center"/>
              <w:rPr>
                <w:sz w:val="24"/>
              </w:rPr>
            </w:pPr>
            <w:r>
              <w:rPr>
                <w:spacing w:val="-2"/>
                <w:sz w:val="24"/>
              </w:rPr>
              <w:t>0.71±0.0</w:t>
            </w:r>
          </w:p>
        </w:tc>
        <w:tc>
          <w:tcPr>
            <w:tcW w:w="1928" w:type="dxa"/>
          </w:tcPr>
          <w:p>
            <w:pPr>
              <w:pStyle w:val="TableParagraph"/>
              <w:spacing w:before="64"/>
              <w:ind w:right="94"/>
              <w:jc w:val="center"/>
              <w:rPr>
                <w:sz w:val="24"/>
              </w:rPr>
            </w:pPr>
            <w:r>
              <w:rPr>
                <w:spacing w:val="-2"/>
                <w:sz w:val="24"/>
              </w:rPr>
              <w:t>0.90±0.0</w:t>
            </w:r>
          </w:p>
        </w:tc>
        <w:tc>
          <w:tcPr>
            <w:tcW w:w="1632" w:type="dxa"/>
          </w:tcPr>
          <w:p>
            <w:pPr>
              <w:pStyle w:val="TableParagraph"/>
              <w:spacing w:before="64"/>
              <w:ind w:right="124"/>
              <w:jc w:val="center"/>
              <w:rPr>
                <w:sz w:val="24"/>
              </w:rPr>
            </w:pPr>
            <w:r>
              <w:rPr>
                <w:spacing w:val="-2"/>
                <w:sz w:val="24"/>
              </w:rPr>
              <w:t>22.32±0.3</w:t>
            </w:r>
          </w:p>
        </w:tc>
      </w:tr>
      <w:tr>
        <w:trPr>
          <w:trHeight w:val="412" w:hRule="atLeast"/>
        </w:trPr>
        <w:tc>
          <w:tcPr>
            <w:tcW w:w="1717" w:type="dxa"/>
          </w:tcPr>
          <w:p>
            <w:pPr>
              <w:pStyle w:val="TableParagraph"/>
              <w:spacing w:before="63"/>
              <w:ind w:left="115"/>
              <w:rPr>
                <w:sz w:val="24"/>
              </w:rPr>
            </w:pPr>
            <w:r>
              <w:rPr>
                <w:spacing w:val="-2"/>
                <w:sz w:val="24"/>
              </w:rPr>
              <w:t>Cellactose</w:t>
            </w:r>
          </w:p>
        </w:tc>
        <w:tc>
          <w:tcPr>
            <w:tcW w:w="2095" w:type="dxa"/>
          </w:tcPr>
          <w:p>
            <w:pPr>
              <w:pStyle w:val="TableParagraph"/>
              <w:spacing w:before="63"/>
              <w:ind w:right="399"/>
              <w:jc w:val="right"/>
              <w:rPr>
                <w:sz w:val="24"/>
              </w:rPr>
            </w:pPr>
            <w:r>
              <w:rPr>
                <w:spacing w:val="-2"/>
                <w:sz w:val="24"/>
              </w:rPr>
              <w:t>0.77±0.0</w:t>
            </w:r>
          </w:p>
        </w:tc>
        <w:tc>
          <w:tcPr>
            <w:tcW w:w="1574" w:type="dxa"/>
          </w:tcPr>
          <w:p>
            <w:pPr>
              <w:pStyle w:val="TableParagraph"/>
              <w:spacing w:before="63"/>
              <w:ind w:left="88" w:right="87"/>
              <w:jc w:val="center"/>
              <w:rPr>
                <w:sz w:val="24"/>
              </w:rPr>
            </w:pPr>
            <w:r>
              <w:rPr>
                <w:spacing w:val="-2"/>
                <w:sz w:val="24"/>
              </w:rPr>
              <w:t>0.79±0.0</w:t>
            </w:r>
          </w:p>
        </w:tc>
        <w:tc>
          <w:tcPr>
            <w:tcW w:w="1928" w:type="dxa"/>
          </w:tcPr>
          <w:p>
            <w:pPr>
              <w:pStyle w:val="TableParagraph"/>
              <w:spacing w:before="63"/>
              <w:ind w:right="94"/>
              <w:jc w:val="center"/>
              <w:rPr>
                <w:sz w:val="24"/>
              </w:rPr>
            </w:pPr>
            <w:r>
              <w:rPr>
                <w:spacing w:val="-2"/>
                <w:sz w:val="24"/>
              </w:rPr>
              <w:t>0.97±0.0</w:t>
            </w:r>
          </w:p>
        </w:tc>
        <w:tc>
          <w:tcPr>
            <w:tcW w:w="1632" w:type="dxa"/>
          </w:tcPr>
          <w:p>
            <w:pPr>
              <w:pStyle w:val="TableParagraph"/>
              <w:spacing w:before="63"/>
              <w:ind w:right="124"/>
              <w:jc w:val="center"/>
              <w:rPr>
                <w:sz w:val="24"/>
              </w:rPr>
            </w:pPr>
            <w:r>
              <w:rPr>
                <w:spacing w:val="-2"/>
                <w:sz w:val="24"/>
              </w:rPr>
              <w:t>26.12±0.2</w:t>
            </w:r>
          </w:p>
        </w:tc>
      </w:tr>
      <w:tr>
        <w:trPr>
          <w:trHeight w:val="484" w:hRule="atLeast"/>
        </w:trPr>
        <w:tc>
          <w:tcPr>
            <w:tcW w:w="1717" w:type="dxa"/>
            <w:tcBorders>
              <w:bottom w:val="single" w:sz="4" w:space="0" w:color="000000"/>
            </w:tcBorders>
          </w:tcPr>
          <w:p>
            <w:pPr>
              <w:pStyle w:val="TableParagraph"/>
              <w:spacing w:before="63"/>
              <w:ind w:left="115"/>
              <w:rPr>
                <w:sz w:val="24"/>
              </w:rPr>
            </w:pPr>
            <w:r>
              <w:rPr>
                <w:spacing w:val="-2"/>
                <w:sz w:val="24"/>
              </w:rPr>
              <w:t>Lactose</w:t>
            </w:r>
          </w:p>
        </w:tc>
        <w:tc>
          <w:tcPr>
            <w:tcW w:w="2095" w:type="dxa"/>
            <w:tcBorders>
              <w:bottom w:val="single" w:sz="4" w:space="0" w:color="000000"/>
            </w:tcBorders>
          </w:tcPr>
          <w:p>
            <w:pPr>
              <w:pStyle w:val="TableParagraph"/>
              <w:spacing w:before="63"/>
              <w:ind w:right="399"/>
              <w:jc w:val="right"/>
              <w:rPr>
                <w:sz w:val="24"/>
              </w:rPr>
            </w:pPr>
            <w:r>
              <w:rPr>
                <w:spacing w:val="-2"/>
                <w:sz w:val="24"/>
              </w:rPr>
              <w:t>0.36±0.0</w:t>
            </w:r>
          </w:p>
        </w:tc>
        <w:tc>
          <w:tcPr>
            <w:tcW w:w="1574" w:type="dxa"/>
            <w:tcBorders>
              <w:bottom w:val="single" w:sz="4" w:space="0" w:color="000000"/>
            </w:tcBorders>
          </w:tcPr>
          <w:p>
            <w:pPr>
              <w:pStyle w:val="TableParagraph"/>
              <w:spacing w:before="63"/>
              <w:ind w:left="88" w:right="87"/>
              <w:jc w:val="center"/>
              <w:rPr>
                <w:sz w:val="24"/>
              </w:rPr>
            </w:pPr>
            <w:r>
              <w:rPr>
                <w:spacing w:val="-2"/>
                <w:sz w:val="24"/>
              </w:rPr>
              <w:t>0.51±0.0</w:t>
            </w:r>
          </w:p>
        </w:tc>
        <w:tc>
          <w:tcPr>
            <w:tcW w:w="1928" w:type="dxa"/>
            <w:tcBorders>
              <w:bottom w:val="single" w:sz="4" w:space="0" w:color="000000"/>
            </w:tcBorders>
          </w:tcPr>
          <w:p>
            <w:pPr>
              <w:pStyle w:val="TableParagraph"/>
              <w:spacing w:before="63"/>
              <w:ind w:right="94"/>
              <w:jc w:val="center"/>
              <w:rPr>
                <w:sz w:val="24"/>
              </w:rPr>
            </w:pPr>
            <w:r>
              <w:rPr>
                <w:spacing w:val="-2"/>
                <w:sz w:val="24"/>
              </w:rPr>
              <w:t>1.43±0.0</w:t>
            </w:r>
          </w:p>
        </w:tc>
        <w:tc>
          <w:tcPr>
            <w:tcW w:w="1632" w:type="dxa"/>
            <w:tcBorders>
              <w:bottom w:val="single" w:sz="4" w:space="0" w:color="000000"/>
            </w:tcBorders>
          </w:tcPr>
          <w:p>
            <w:pPr>
              <w:pStyle w:val="TableParagraph"/>
              <w:spacing w:before="63"/>
              <w:ind w:right="124"/>
              <w:jc w:val="center"/>
              <w:rPr>
                <w:sz w:val="24"/>
              </w:rPr>
            </w:pPr>
            <w:r>
              <w:rPr>
                <w:spacing w:val="-2"/>
                <w:sz w:val="24"/>
              </w:rPr>
              <w:t>40.64±0.5</w:t>
            </w:r>
          </w:p>
        </w:tc>
      </w:tr>
    </w:tbl>
    <w:p>
      <w:pPr>
        <w:spacing w:after="0"/>
        <w:jc w:val="center"/>
        <w:rPr>
          <w:sz w:val="24"/>
        </w:rPr>
        <w:sectPr>
          <w:pgSz w:w="12240" w:h="15840"/>
          <w:pgMar w:header="0" w:footer="1056" w:top="1340" w:bottom="1240" w:left="1420" w:right="420"/>
        </w:sectPr>
      </w:pPr>
    </w:p>
    <w:p>
      <w:pPr>
        <w:pStyle w:val="Heading2"/>
        <w:numPr>
          <w:ilvl w:val="1"/>
          <w:numId w:val="44"/>
        </w:numPr>
        <w:tabs>
          <w:tab w:pos="1038" w:val="left" w:leader="none"/>
        </w:tabs>
        <w:spacing w:line="240" w:lineRule="auto" w:before="77" w:after="0"/>
        <w:ind w:left="1038" w:right="0" w:hanging="360"/>
        <w:jc w:val="both"/>
      </w:pPr>
      <w:r>
        <w:rPr/>
        <mc:AlternateContent>
          <mc:Choice Requires="wps">
            <w:drawing>
              <wp:anchor distT="0" distB="0" distL="0" distR="0" allowOverlap="1" layoutInCell="1" locked="0" behindDoc="1" simplePos="0" relativeHeight="483008512">
                <wp:simplePos x="0" y="0"/>
                <wp:positionH relativeFrom="page">
                  <wp:posOffset>-1402226</wp:posOffset>
                </wp:positionH>
                <wp:positionV relativeFrom="page">
                  <wp:posOffset>4612234</wp:posOffset>
                </wp:positionV>
                <wp:extent cx="10685780" cy="9144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796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12" w:id="121"/>
      <w:r>
        <w:rPr/>
        <w:t>Particle</w:t>
      </w:r>
      <w:r>
        <w:rPr>
          <w:spacing w:val="-4"/>
        </w:rPr>
        <w:t> </w:t>
      </w:r>
      <w:r>
        <w:rPr/>
        <w:t>size</w:t>
      </w:r>
      <w:r>
        <w:rPr>
          <w:spacing w:val="-2"/>
        </w:rPr>
        <w:t> </w:t>
      </w:r>
      <w:r>
        <w:rPr/>
        <w:t>and</w:t>
      </w:r>
      <w:r>
        <w:rPr>
          <w:spacing w:val="-1"/>
        </w:rPr>
        <w:t> </w:t>
      </w:r>
      <w:r>
        <w:rPr/>
        <w:t>size</w:t>
      </w:r>
      <w:r>
        <w:rPr>
          <w:spacing w:val="-3"/>
        </w:rPr>
        <w:t> </w:t>
      </w:r>
      <w:r>
        <w:rPr/>
        <w:t>distribution</w:t>
      </w:r>
      <w:r>
        <w:rPr>
          <w:spacing w:val="-1"/>
        </w:rPr>
        <w:t> </w:t>
      </w:r>
      <w:r>
        <w:rPr/>
        <w:t>of formulations</w:t>
      </w:r>
      <w:r>
        <w:rPr>
          <w:spacing w:val="-1"/>
        </w:rPr>
        <w:t> </w:t>
      </w:r>
      <w:r>
        <w:rPr/>
        <w:t>for</w:t>
      </w:r>
      <w:r>
        <w:rPr>
          <w:spacing w:val="-2"/>
        </w:rPr>
        <w:t> </w:t>
      </w:r>
      <w:r>
        <w:rPr/>
        <w:t>direct </w:t>
      </w:r>
      <w:bookmarkEnd w:id="121"/>
      <w:r>
        <w:rPr>
          <w:spacing w:val="-2"/>
        </w:rPr>
        <w:t>compression</w:t>
      </w:r>
    </w:p>
    <w:p>
      <w:pPr>
        <w:pStyle w:val="BodyText"/>
        <w:spacing w:line="360" w:lineRule="auto" w:before="133"/>
        <w:ind w:left="678" w:right="996" w:firstLine="720"/>
        <w:jc w:val="both"/>
      </w:pPr>
      <w:r>
        <w:rPr/>
        <w:t>The size distributions of the formulations in the direct compression are presented</w:t>
      </w:r>
      <w:r>
        <w:rPr>
          <w:spacing w:val="40"/>
        </w:rPr>
        <w:t> </w:t>
      </w:r>
      <w:r>
        <w:rPr/>
        <w:t>in Table 4.2. Particle size has significant effect on the densification of the powder mix during die filling, particle rearrangement, fragmentation propensity and elastic/plastic deformation (Wray, 1992; Munoz – Ruiz and Paronen, 1996). It has been shown that cohesiveness is usually</w:t>
      </w:r>
      <w:r>
        <w:rPr>
          <w:spacing w:val="-4"/>
        </w:rPr>
        <w:t> </w:t>
      </w:r>
      <w:r>
        <w:rPr/>
        <w:t>inversely</w:t>
      </w:r>
      <w:r>
        <w:rPr>
          <w:spacing w:val="-1"/>
        </w:rPr>
        <w:t> </w:t>
      </w:r>
      <w:r>
        <w:rPr/>
        <w:t>related to the particle diameter of materials (Shotton and Obiorah, 1973).</w:t>
      </w:r>
    </w:p>
    <w:p>
      <w:pPr>
        <w:pStyle w:val="BodyText"/>
        <w:spacing w:before="141"/>
      </w:pPr>
    </w:p>
    <w:p>
      <w:pPr>
        <w:pStyle w:val="ListParagraph"/>
        <w:numPr>
          <w:ilvl w:val="1"/>
          <w:numId w:val="44"/>
        </w:numPr>
        <w:tabs>
          <w:tab w:pos="1158" w:val="left" w:leader="none"/>
        </w:tabs>
        <w:spacing w:line="240" w:lineRule="auto" w:before="0" w:after="0"/>
        <w:ind w:left="1158" w:right="0" w:hanging="480"/>
        <w:jc w:val="both"/>
        <w:rPr>
          <w:b/>
          <w:sz w:val="24"/>
        </w:rPr>
      </w:pPr>
      <w:r>
        <w:rPr>
          <w:b/>
          <w:sz w:val="24"/>
        </w:rPr>
        <w:t>Binding</w:t>
      </w:r>
      <w:r>
        <w:rPr>
          <w:b/>
          <w:spacing w:val="-2"/>
          <w:sz w:val="24"/>
        </w:rPr>
        <w:t> </w:t>
      </w:r>
      <w:r>
        <w:rPr>
          <w:b/>
          <w:sz w:val="24"/>
        </w:rPr>
        <w:t>properties</w:t>
      </w:r>
      <w:r>
        <w:rPr>
          <w:b/>
          <w:spacing w:val="-2"/>
          <w:sz w:val="24"/>
        </w:rPr>
        <w:t> </w:t>
      </w:r>
      <w:r>
        <w:rPr>
          <w:b/>
          <w:sz w:val="24"/>
        </w:rPr>
        <w:t>of</w:t>
      </w:r>
      <w:r>
        <w:rPr>
          <w:b/>
          <w:spacing w:val="3"/>
          <w:sz w:val="24"/>
        </w:rPr>
        <w:t> </w:t>
      </w:r>
      <w:r>
        <w:rPr>
          <w:b/>
          <w:i/>
          <w:sz w:val="24"/>
        </w:rPr>
        <w:t>M.</w:t>
      </w:r>
      <w:r>
        <w:rPr>
          <w:b/>
          <w:i/>
          <w:spacing w:val="-2"/>
          <w:sz w:val="24"/>
        </w:rPr>
        <w:t> </w:t>
      </w:r>
      <w:r>
        <w:rPr>
          <w:b/>
          <w:i/>
          <w:sz w:val="24"/>
        </w:rPr>
        <w:t>pruriens</w:t>
      </w:r>
      <w:r>
        <w:rPr>
          <w:b/>
          <w:i/>
          <w:spacing w:val="-1"/>
          <w:sz w:val="24"/>
        </w:rPr>
        <w:t> </w:t>
      </w:r>
      <w:r>
        <w:rPr>
          <w:b/>
          <w:spacing w:val="-2"/>
          <w:sz w:val="24"/>
        </w:rPr>
        <w:t>granules</w:t>
      </w:r>
    </w:p>
    <w:p>
      <w:pPr>
        <w:pStyle w:val="BodyText"/>
        <w:spacing w:before="1"/>
        <w:rPr>
          <w:b/>
        </w:rPr>
      </w:pPr>
    </w:p>
    <w:p>
      <w:pPr>
        <w:pStyle w:val="Heading2"/>
        <w:numPr>
          <w:ilvl w:val="2"/>
          <w:numId w:val="44"/>
        </w:numPr>
        <w:tabs>
          <w:tab w:pos="1218" w:val="left" w:leader="none"/>
        </w:tabs>
        <w:spacing w:line="240" w:lineRule="auto" w:before="0" w:after="0"/>
        <w:ind w:left="1218" w:right="0" w:hanging="540"/>
        <w:jc w:val="both"/>
      </w:pPr>
      <w:bookmarkStart w:name="_TOC_250011" w:id="122"/>
      <w:r>
        <w:rPr/>
        <w:t>Granule</w:t>
      </w:r>
      <w:r>
        <w:rPr>
          <w:spacing w:val="-3"/>
        </w:rPr>
        <w:t> </w:t>
      </w:r>
      <w:r>
        <w:rPr/>
        <w:t>size</w:t>
      </w:r>
      <w:bookmarkEnd w:id="122"/>
      <w:r>
        <w:rPr>
          <w:spacing w:val="-2"/>
        </w:rPr>
        <w:t> distribution</w:t>
      </w:r>
    </w:p>
    <w:p>
      <w:pPr>
        <w:pStyle w:val="BodyText"/>
        <w:spacing w:line="360" w:lineRule="auto" w:before="274"/>
        <w:ind w:left="678" w:right="991" w:firstLine="720"/>
        <w:jc w:val="both"/>
      </w:pPr>
      <w:r>
        <w:rPr/>
        <w:t>The size distributions of the granules of ethanol extract of </w:t>
      </w:r>
      <w:r>
        <w:rPr>
          <w:i/>
        </w:rPr>
        <w:t>M. pruriens </w:t>
      </w:r>
      <w:r>
        <w:rPr/>
        <w:t>containing PVP and Corn starch as binders obtained by sieve analysis are presented in Tables 4.3. Representative plots of cumulative weight percent oversize versus mean diameter for the </w:t>
      </w:r>
      <w:r>
        <w:rPr>
          <w:i/>
        </w:rPr>
        <w:t>Mucuna pruriens </w:t>
      </w:r>
      <w:r>
        <w:rPr/>
        <w:t>formulations containing PVP and corn starch as binders are shown in Fig. 4.1. Values of mean granule size for the formulations are shown in Table 4.4. The mean</w:t>
      </w:r>
      <w:r>
        <w:rPr>
          <w:spacing w:val="-1"/>
        </w:rPr>
        <w:t> </w:t>
      </w:r>
      <w:r>
        <w:rPr/>
        <w:t>granule</w:t>
      </w:r>
      <w:r>
        <w:rPr>
          <w:spacing w:val="-2"/>
        </w:rPr>
        <w:t> </w:t>
      </w:r>
      <w:r>
        <w:rPr/>
        <w:t>size</w:t>
      </w:r>
      <w:r>
        <w:rPr>
          <w:spacing w:val="-2"/>
        </w:rPr>
        <w:t> </w:t>
      </w:r>
      <w:r>
        <w:rPr/>
        <w:t>of</w:t>
      </w:r>
      <w:r>
        <w:rPr>
          <w:spacing w:val="-2"/>
        </w:rPr>
        <w:t> </w:t>
      </w:r>
      <w:r>
        <w:rPr/>
        <w:t>the</w:t>
      </w:r>
      <w:r>
        <w:rPr>
          <w:spacing w:val="-2"/>
        </w:rPr>
        <w:t> </w:t>
      </w:r>
      <w:r>
        <w:rPr/>
        <w:t>samples</w:t>
      </w:r>
      <w:r>
        <w:rPr>
          <w:spacing w:val="-1"/>
        </w:rPr>
        <w:t> </w:t>
      </w:r>
      <w:r>
        <w:rPr/>
        <w:t>increased</w:t>
      </w:r>
      <w:r>
        <w:rPr>
          <w:spacing w:val="-1"/>
        </w:rPr>
        <w:t> </w:t>
      </w:r>
      <w:r>
        <w:rPr/>
        <w:t>with</w:t>
      </w:r>
      <w:r>
        <w:rPr>
          <w:spacing w:val="-1"/>
        </w:rPr>
        <w:t> </w:t>
      </w:r>
      <w:r>
        <w:rPr/>
        <w:t>increase</w:t>
      </w:r>
      <w:r>
        <w:rPr>
          <w:spacing w:val="-2"/>
        </w:rPr>
        <w:t> </w:t>
      </w:r>
      <w:r>
        <w:rPr/>
        <w:t>in</w:t>
      </w:r>
      <w:r>
        <w:rPr>
          <w:spacing w:val="-1"/>
        </w:rPr>
        <w:t> </w:t>
      </w:r>
      <w:r>
        <w:rPr/>
        <w:t>binder</w:t>
      </w:r>
      <w:r>
        <w:rPr>
          <w:spacing w:val="-3"/>
        </w:rPr>
        <w:t> </w:t>
      </w:r>
      <w:r>
        <w:rPr/>
        <w:t>concentration.</w:t>
      </w:r>
      <w:r>
        <w:rPr>
          <w:spacing w:val="-1"/>
        </w:rPr>
        <w:t> </w:t>
      </w:r>
      <w:r>
        <w:rPr/>
        <w:t>This</w:t>
      </w:r>
      <w:r>
        <w:rPr>
          <w:spacing w:val="-1"/>
        </w:rPr>
        <w:t> </w:t>
      </w:r>
      <w:r>
        <w:rPr/>
        <w:t>can be attributed to the strengthening of bonds between particles as there would be more</w:t>
      </w:r>
      <w:r>
        <w:rPr>
          <w:spacing w:val="40"/>
        </w:rPr>
        <w:t> </w:t>
      </w:r>
      <w:r>
        <w:rPr/>
        <w:t>binder per bond as the concentration is increased (Luangtanan – Anan and Fell, 1990).</w:t>
      </w:r>
      <w:r>
        <w:rPr>
          <w:spacing w:val="80"/>
        </w:rPr>
        <w:t> </w:t>
      </w:r>
      <w:r>
        <w:rPr/>
        <w:t>The mean granule size of</w:t>
      </w:r>
      <w:r>
        <w:rPr>
          <w:spacing w:val="80"/>
          <w:w w:val="150"/>
        </w:rPr>
        <w:t> </w:t>
      </w:r>
      <w:r>
        <w:rPr/>
        <w:t>PVP was greater than that of corn starch.</w:t>
      </w:r>
      <w:r>
        <w:rPr>
          <w:spacing w:val="80"/>
          <w:w w:val="150"/>
        </w:rPr>
        <w:t>   </w:t>
      </w:r>
      <w:r>
        <w:rPr/>
        <w:t>.</w:t>
      </w:r>
    </w:p>
    <w:p>
      <w:pPr>
        <w:pStyle w:val="BodyText"/>
        <w:spacing w:before="143"/>
      </w:pPr>
    </w:p>
    <w:p>
      <w:pPr>
        <w:pStyle w:val="Heading2"/>
        <w:numPr>
          <w:ilvl w:val="1"/>
          <w:numId w:val="44"/>
        </w:numPr>
        <w:tabs>
          <w:tab w:pos="1218" w:val="left" w:leader="none"/>
        </w:tabs>
        <w:spacing w:line="240" w:lineRule="auto" w:before="0" w:after="0"/>
        <w:ind w:left="1218" w:right="0" w:hanging="540"/>
        <w:jc w:val="both"/>
      </w:pPr>
      <w:bookmarkStart w:name="_TOC_250010" w:id="123"/>
      <w:r>
        <w:rPr/>
        <w:t>Evaluation</w:t>
      </w:r>
      <w:r>
        <w:rPr>
          <w:spacing w:val="-2"/>
        </w:rPr>
        <w:t> </w:t>
      </w:r>
      <w:r>
        <w:rPr/>
        <w:t>of</w:t>
      </w:r>
      <w:r>
        <w:rPr>
          <w:spacing w:val="-1"/>
        </w:rPr>
        <w:t> </w:t>
      </w:r>
      <w:r>
        <w:rPr/>
        <w:t>tablet</w:t>
      </w:r>
      <w:bookmarkEnd w:id="123"/>
      <w:r>
        <w:rPr>
          <w:spacing w:val="-2"/>
        </w:rPr>
        <w:t> properties</w:t>
      </w:r>
    </w:p>
    <w:p>
      <w:pPr>
        <w:pStyle w:val="Heading2"/>
        <w:numPr>
          <w:ilvl w:val="2"/>
          <w:numId w:val="44"/>
        </w:numPr>
        <w:tabs>
          <w:tab w:pos="1218" w:val="left" w:leader="none"/>
        </w:tabs>
        <w:spacing w:line="240" w:lineRule="auto" w:before="135" w:after="0"/>
        <w:ind w:left="1218" w:right="0" w:hanging="540"/>
        <w:jc w:val="both"/>
      </w:pPr>
      <w:bookmarkStart w:name="_TOC_250009" w:id="124"/>
      <w:r>
        <w:rPr/>
        <w:t>Test</w:t>
      </w:r>
      <w:r>
        <w:rPr>
          <w:spacing w:val="-2"/>
        </w:rPr>
        <w:t> </w:t>
      </w:r>
      <w:r>
        <w:rPr/>
        <w:t>for</w:t>
      </w:r>
      <w:r>
        <w:rPr>
          <w:spacing w:val="-2"/>
        </w:rPr>
        <w:t> </w:t>
      </w:r>
      <w:r>
        <w:rPr/>
        <w:t>uniformity</w:t>
      </w:r>
      <w:r>
        <w:rPr>
          <w:spacing w:val="-1"/>
        </w:rPr>
        <w:t> </w:t>
      </w:r>
      <w:r>
        <w:rPr/>
        <w:t>of </w:t>
      </w:r>
      <w:bookmarkEnd w:id="124"/>
      <w:r>
        <w:rPr>
          <w:spacing w:val="-2"/>
        </w:rPr>
        <w:t>weight</w:t>
      </w:r>
    </w:p>
    <w:p>
      <w:pPr>
        <w:pStyle w:val="BodyText"/>
        <w:spacing w:line="360" w:lineRule="auto" w:before="273"/>
        <w:ind w:left="678" w:right="992" w:firstLine="720"/>
        <w:jc w:val="both"/>
      </w:pPr>
      <w:r>
        <w:rPr/>
        <w:t>The results of the average weight and their corresponding percentage deviation for tablets prepared by direct compression (DC) with or without diluents using Avicel</w:t>
      </w:r>
      <w:r>
        <w:rPr>
          <w:vertAlign w:val="superscript"/>
        </w:rPr>
        <w:t>®</w:t>
      </w:r>
      <w:r>
        <w:rPr>
          <w:vertAlign w:val="subscript"/>
        </w:rPr>
        <w:t>,</w:t>
      </w:r>
      <w:r>
        <w:rPr>
          <w:vertAlign w:val="baseline"/>
        </w:rPr>
        <w:t> Cellactose, lactose and</w:t>
      </w:r>
      <w:r>
        <w:rPr>
          <w:spacing w:val="40"/>
          <w:vertAlign w:val="baseline"/>
        </w:rPr>
        <w:t> </w:t>
      </w:r>
      <w:r>
        <w:rPr>
          <w:vertAlign w:val="baseline"/>
        </w:rPr>
        <w:t>by</w:t>
      </w:r>
      <w:r>
        <w:rPr>
          <w:spacing w:val="-1"/>
          <w:vertAlign w:val="baseline"/>
        </w:rPr>
        <w:t> </w:t>
      </w:r>
      <w:r>
        <w:rPr>
          <w:vertAlign w:val="baseline"/>
        </w:rPr>
        <w:t>wet granulation (WG) using</w:t>
      </w:r>
      <w:r>
        <w:rPr>
          <w:spacing w:val="-1"/>
          <w:vertAlign w:val="baseline"/>
        </w:rPr>
        <w:t> </w:t>
      </w:r>
      <w:r>
        <w:rPr>
          <w:vertAlign w:val="baseline"/>
        </w:rPr>
        <w:t>PVP and corn starch are</w:t>
      </w:r>
      <w:r>
        <w:rPr>
          <w:spacing w:val="-1"/>
          <w:vertAlign w:val="baseline"/>
        </w:rPr>
        <w:t> </w:t>
      </w:r>
      <w:r>
        <w:rPr>
          <w:vertAlign w:val="baseline"/>
        </w:rPr>
        <w:t>presented in Tables 4.5 and 4.6 respectively. Weight uniformity refers to the average weight of tablets in each sample. The tablets showed some slight variations in weight.</w:t>
      </w:r>
    </w:p>
    <w:p>
      <w:pPr>
        <w:spacing w:after="0" w:line="360" w:lineRule="auto"/>
        <w:jc w:val="both"/>
        <w:sectPr>
          <w:pgSz w:w="12240" w:h="15840"/>
          <w:pgMar w:header="0" w:footer="1056" w:top="1340" w:bottom="1240" w:left="1420" w:right="420"/>
        </w:sectPr>
      </w:pPr>
    </w:p>
    <w:p>
      <w:pPr>
        <w:spacing w:before="75"/>
        <w:ind w:left="678" w:right="0" w:firstLine="0"/>
        <w:jc w:val="left"/>
        <w:rPr>
          <w:b/>
          <w:sz w:val="24"/>
        </w:rPr>
      </w:pPr>
      <w:r>
        <w:rPr/>
        <mc:AlternateContent>
          <mc:Choice Requires="wps">
            <w:drawing>
              <wp:anchor distT="0" distB="0" distL="0" distR="0" allowOverlap="1" layoutInCell="1" locked="0" behindDoc="1" simplePos="0" relativeHeight="483009024">
                <wp:simplePos x="0" y="0"/>
                <wp:positionH relativeFrom="page">
                  <wp:posOffset>-1402226</wp:posOffset>
                </wp:positionH>
                <wp:positionV relativeFrom="page">
                  <wp:posOffset>4612234</wp:posOffset>
                </wp:positionV>
                <wp:extent cx="10685780" cy="9144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7456;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4"/>
          <w:sz w:val="24"/>
        </w:rPr>
        <w:t> </w:t>
      </w:r>
      <w:r>
        <w:rPr>
          <w:b/>
          <w:sz w:val="24"/>
        </w:rPr>
        <w:t>4.2:</w:t>
      </w:r>
      <w:r>
        <w:rPr>
          <w:b/>
          <w:spacing w:val="-3"/>
          <w:sz w:val="24"/>
        </w:rPr>
        <w:t> </w:t>
      </w:r>
      <w:r>
        <w:rPr>
          <w:b/>
          <w:sz w:val="24"/>
        </w:rPr>
        <w:t>Particle</w:t>
      </w:r>
      <w:r>
        <w:rPr>
          <w:b/>
          <w:spacing w:val="-1"/>
          <w:sz w:val="24"/>
        </w:rPr>
        <w:t> </w:t>
      </w:r>
      <w:r>
        <w:rPr>
          <w:b/>
          <w:sz w:val="24"/>
        </w:rPr>
        <w:t>size</w:t>
      </w:r>
      <w:r>
        <w:rPr>
          <w:b/>
          <w:spacing w:val="-1"/>
          <w:sz w:val="24"/>
        </w:rPr>
        <w:t> </w:t>
      </w:r>
      <w:r>
        <w:rPr>
          <w:b/>
          <w:sz w:val="24"/>
        </w:rPr>
        <w:t>distribution</w:t>
      </w:r>
      <w:r>
        <w:rPr>
          <w:b/>
          <w:spacing w:val="-1"/>
          <w:sz w:val="24"/>
        </w:rPr>
        <w:t> </w:t>
      </w:r>
      <w:r>
        <w:rPr>
          <w:b/>
          <w:sz w:val="24"/>
        </w:rPr>
        <w:t>of</w:t>
      </w:r>
      <w:r>
        <w:rPr>
          <w:b/>
          <w:spacing w:val="-3"/>
          <w:sz w:val="24"/>
        </w:rPr>
        <w:t> </w:t>
      </w:r>
      <w:r>
        <w:rPr>
          <w:b/>
          <w:sz w:val="24"/>
        </w:rPr>
        <w:t>formulations</w:t>
      </w:r>
      <w:r>
        <w:rPr>
          <w:b/>
          <w:spacing w:val="-1"/>
          <w:sz w:val="24"/>
        </w:rPr>
        <w:t> </w:t>
      </w:r>
      <w:r>
        <w:rPr>
          <w:b/>
          <w:sz w:val="24"/>
        </w:rPr>
        <w:t>by</w:t>
      </w:r>
      <w:r>
        <w:rPr>
          <w:b/>
          <w:spacing w:val="-2"/>
          <w:sz w:val="24"/>
        </w:rPr>
        <w:t> </w:t>
      </w:r>
      <w:r>
        <w:rPr>
          <w:b/>
          <w:sz w:val="24"/>
        </w:rPr>
        <w:t>direct</w:t>
      </w:r>
      <w:r>
        <w:rPr>
          <w:b/>
          <w:spacing w:val="-1"/>
          <w:sz w:val="24"/>
        </w:rPr>
        <w:t> </w:t>
      </w:r>
      <w:r>
        <w:rPr>
          <w:b/>
          <w:spacing w:val="-2"/>
          <w:sz w:val="24"/>
        </w:rPr>
        <w:t>compression</w:t>
      </w:r>
    </w:p>
    <w:p>
      <w:pPr>
        <w:pStyle w:val="BodyText"/>
        <w:spacing w:before="172"/>
        <w:rPr>
          <w:b/>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0"/>
        <w:gridCol w:w="2655"/>
        <w:gridCol w:w="2789"/>
        <w:gridCol w:w="2190"/>
      </w:tblGrid>
      <w:tr>
        <w:trPr>
          <w:trHeight w:val="554" w:hRule="atLeast"/>
        </w:trPr>
        <w:tc>
          <w:tcPr>
            <w:tcW w:w="1480"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Diluent</w:t>
            </w:r>
          </w:p>
        </w:tc>
        <w:tc>
          <w:tcPr>
            <w:tcW w:w="2655" w:type="dxa"/>
            <w:tcBorders>
              <w:top w:val="single" w:sz="4" w:space="0" w:color="000000"/>
              <w:bottom w:val="single" w:sz="4" w:space="0" w:color="000000"/>
            </w:tcBorders>
          </w:tcPr>
          <w:p>
            <w:pPr>
              <w:pStyle w:val="TableParagraph"/>
              <w:spacing w:line="275" w:lineRule="exact"/>
              <w:ind w:left="105" w:right="60"/>
              <w:jc w:val="center"/>
              <w:rPr>
                <w:b/>
                <w:sz w:val="24"/>
              </w:rPr>
            </w:pPr>
            <w:r>
              <w:rPr>
                <w:b/>
                <w:sz w:val="24"/>
              </w:rPr>
              <w:t>Particle</w:t>
            </w:r>
            <w:r>
              <w:rPr>
                <w:b/>
                <w:spacing w:val="-6"/>
                <w:sz w:val="24"/>
              </w:rPr>
              <w:t> </w:t>
            </w:r>
            <w:r>
              <w:rPr>
                <w:b/>
                <w:sz w:val="24"/>
              </w:rPr>
              <w:t>diameter</w:t>
            </w:r>
            <w:r>
              <w:rPr>
                <w:b/>
                <w:spacing w:val="-2"/>
                <w:sz w:val="24"/>
              </w:rPr>
              <w:t> </w:t>
            </w:r>
            <w:r>
              <w:rPr>
                <w:b/>
                <w:spacing w:val="-4"/>
                <w:sz w:val="24"/>
              </w:rPr>
              <w:t>(µm)</w:t>
            </w:r>
          </w:p>
        </w:tc>
        <w:tc>
          <w:tcPr>
            <w:tcW w:w="2789" w:type="dxa"/>
            <w:tcBorders>
              <w:top w:val="single" w:sz="4" w:space="0" w:color="000000"/>
              <w:bottom w:val="single" w:sz="4" w:space="0" w:color="000000"/>
            </w:tcBorders>
          </w:tcPr>
          <w:p>
            <w:pPr>
              <w:pStyle w:val="TableParagraph"/>
              <w:spacing w:line="275" w:lineRule="exact"/>
              <w:ind w:left="64" w:right="61"/>
              <w:jc w:val="center"/>
              <w:rPr>
                <w:b/>
                <w:sz w:val="24"/>
              </w:rPr>
            </w:pPr>
            <w:r>
              <w:rPr>
                <w:b/>
                <w:sz w:val="24"/>
              </w:rPr>
              <w:t>Number</w:t>
            </w:r>
            <w:r>
              <w:rPr>
                <w:b/>
                <w:spacing w:val="-3"/>
                <w:sz w:val="24"/>
              </w:rPr>
              <w:t> </w:t>
            </w:r>
            <w:r>
              <w:rPr>
                <w:b/>
                <w:sz w:val="24"/>
              </w:rPr>
              <w:t>of</w:t>
            </w:r>
            <w:r>
              <w:rPr>
                <w:b/>
                <w:spacing w:val="-1"/>
                <w:sz w:val="24"/>
              </w:rPr>
              <w:t> </w:t>
            </w:r>
            <w:r>
              <w:rPr>
                <w:b/>
                <w:sz w:val="24"/>
              </w:rPr>
              <w:t>particles</w:t>
            </w:r>
            <w:r>
              <w:rPr>
                <w:b/>
                <w:spacing w:val="-1"/>
                <w:sz w:val="24"/>
              </w:rPr>
              <w:t> </w:t>
            </w:r>
            <w:r>
              <w:rPr>
                <w:b/>
                <w:spacing w:val="-5"/>
                <w:sz w:val="24"/>
              </w:rPr>
              <w:t>(%)</w:t>
            </w:r>
          </w:p>
        </w:tc>
        <w:tc>
          <w:tcPr>
            <w:tcW w:w="2190" w:type="dxa"/>
            <w:tcBorders>
              <w:top w:val="single" w:sz="4" w:space="0" w:color="000000"/>
              <w:bottom w:val="single" w:sz="4" w:space="0" w:color="000000"/>
            </w:tcBorders>
          </w:tcPr>
          <w:p>
            <w:pPr>
              <w:pStyle w:val="TableParagraph"/>
              <w:spacing w:line="275" w:lineRule="exact"/>
              <w:ind w:left="35" w:right="13"/>
              <w:jc w:val="center"/>
              <w:rPr>
                <w:b/>
                <w:sz w:val="24"/>
              </w:rPr>
            </w:pPr>
            <w:r>
              <w:rPr>
                <w:b/>
                <w:sz w:val="24"/>
              </w:rPr>
              <w:t>Cumulative</w:t>
            </w:r>
            <w:r>
              <w:rPr>
                <w:b/>
                <w:spacing w:val="-3"/>
                <w:sz w:val="24"/>
              </w:rPr>
              <w:t> </w:t>
            </w:r>
            <w:r>
              <w:rPr>
                <w:b/>
                <w:sz w:val="24"/>
              </w:rPr>
              <w:t>%</w:t>
            </w:r>
            <w:r>
              <w:rPr>
                <w:b/>
                <w:spacing w:val="1"/>
                <w:sz w:val="24"/>
              </w:rPr>
              <w:t> </w:t>
            </w:r>
            <w:r>
              <w:rPr>
                <w:b/>
                <w:spacing w:val="-4"/>
                <w:sz w:val="24"/>
              </w:rPr>
              <w:t>size</w:t>
            </w:r>
          </w:p>
        </w:tc>
      </w:tr>
      <w:tr>
        <w:trPr>
          <w:trHeight w:val="410" w:hRule="atLeast"/>
        </w:trPr>
        <w:tc>
          <w:tcPr>
            <w:tcW w:w="1480" w:type="dxa"/>
            <w:tcBorders>
              <w:top w:val="single" w:sz="4" w:space="0" w:color="000000"/>
            </w:tcBorders>
          </w:tcPr>
          <w:p>
            <w:pPr>
              <w:pStyle w:val="TableParagraph"/>
              <w:spacing w:line="268" w:lineRule="exact"/>
              <w:ind w:left="115"/>
              <w:rPr>
                <w:sz w:val="24"/>
              </w:rPr>
            </w:pPr>
            <w:r>
              <w:rPr>
                <w:sz w:val="24"/>
              </w:rPr>
              <w:t>Extract</w:t>
            </w:r>
            <w:r>
              <w:rPr>
                <w:spacing w:val="-2"/>
                <w:sz w:val="24"/>
              </w:rPr>
              <w:t> </w:t>
            </w:r>
            <w:r>
              <w:rPr>
                <w:spacing w:val="-4"/>
                <w:sz w:val="24"/>
              </w:rPr>
              <w:t>only</w:t>
            </w:r>
          </w:p>
        </w:tc>
        <w:tc>
          <w:tcPr>
            <w:tcW w:w="2655" w:type="dxa"/>
            <w:tcBorders>
              <w:top w:val="single" w:sz="4" w:space="0" w:color="000000"/>
            </w:tcBorders>
          </w:tcPr>
          <w:p>
            <w:pPr>
              <w:pStyle w:val="TableParagraph"/>
              <w:spacing w:line="268" w:lineRule="exact"/>
              <w:ind w:left="105"/>
              <w:jc w:val="center"/>
              <w:rPr>
                <w:sz w:val="24"/>
              </w:rPr>
            </w:pPr>
            <w:r>
              <w:rPr>
                <w:spacing w:val="-5"/>
                <w:sz w:val="24"/>
              </w:rPr>
              <w:t>0.9</w:t>
            </w:r>
          </w:p>
        </w:tc>
        <w:tc>
          <w:tcPr>
            <w:tcW w:w="2789" w:type="dxa"/>
            <w:tcBorders>
              <w:top w:val="single" w:sz="4" w:space="0" w:color="000000"/>
            </w:tcBorders>
          </w:tcPr>
          <w:p>
            <w:pPr>
              <w:pStyle w:val="TableParagraph"/>
              <w:spacing w:line="268" w:lineRule="exact"/>
              <w:ind w:left="64"/>
              <w:jc w:val="center"/>
              <w:rPr>
                <w:sz w:val="24"/>
              </w:rPr>
            </w:pPr>
            <w:r>
              <w:rPr>
                <w:spacing w:val="-10"/>
                <w:sz w:val="24"/>
              </w:rPr>
              <w:t>7</w:t>
            </w:r>
          </w:p>
        </w:tc>
        <w:tc>
          <w:tcPr>
            <w:tcW w:w="2190" w:type="dxa"/>
            <w:tcBorders>
              <w:top w:val="single" w:sz="4" w:space="0" w:color="000000"/>
            </w:tcBorders>
          </w:tcPr>
          <w:p>
            <w:pPr>
              <w:pStyle w:val="TableParagraph"/>
              <w:spacing w:line="268" w:lineRule="exact"/>
              <w:ind w:left="35"/>
              <w:jc w:val="center"/>
              <w:rPr>
                <w:sz w:val="24"/>
              </w:rPr>
            </w:pPr>
            <w:r>
              <w:rPr>
                <w:spacing w:val="-5"/>
                <w:sz w:val="24"/>
              </w:rPr>
              <w:t>100</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1.3</w:t>
            </w:r>
          </w:p>
        </w:tc>
        <w:tc>
          <w:tcPr>
            <w:tcW w:w="2789" w:type="dxa"/>
          </w:tcPr>
          <w:p>
            <w:pPr>
              <w:pStyle w:val="TableParagraph"/>
              <w:spacing w:before="133"/>
              <w:ind w:left="64"/>
              <w:jc w:val="center"/>
              <w:rPr>
                <w:sz w:val="24"/>
              </w:rPr>
            </w:pPr>
            <w:r>
              <w:rPr>
                <w:spacing w:val="-5"/>
                <w:sz w:val="24"/>
              </w:rPr>
              <w:t>25</w:t>
            </w:r>
          </w:p>
        </w:tc>
        <w:tc>
          <w:tcPr>
            <w:tcW w:w="2190" w:type="dxa"/>
          </w:tcPr>
          <w:p>
            <w:pPr>
              <w:pStyle w:val="TableParagraph"/>
              <w:spacing w:before="133"/>
              <w:ind w:left="35"/>
              <w:jc w:val="center"/>
              <w:rPr>
                <w:sz w:val="24"/>
              </w:rPr>
            </w:pPr>
            <w:r>
              <w:rPr>
                <w:spacing w:val="-5"/>
                <w:sz w:val="24"/>
              </w:rPr>
              <w:t>93</w:t>
            </w:r>
          </w:p>
        </w:tc>
      </w:tr>
      <w:tr>
        <w:trPr>
          <w:trHeight w:val="552"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3.2</w:t>
            </w:r>
          </w:p>
        </w:tc>
        <w:tc>
          <w:tcPr>
            <w:tcW w:w="2789" w:type="dxa"/>
          </w:tcPr>
          <w:p>
            <w:pPr>
              <w:pStyle w:val="TableParagraph"/>
              <w:spacing w:before="133"/>
              <w:ind w:left="64"/>
              <w:jc w:val="center"/>
              <w:rPr>
                <w:sz w:val="24"/>
              </w:rPr>
            </w:pPr>
            <w:r>
              <w:rPr>
                <w:spacing w:val="-5"/>
                <w:sz w:val="24"/>
              </w:rPr>
              <w:t>21</w:t>
            </w:r>
          </w:p>
        </w:tc>
        <w:tc>
          <w:tcPr>
            <w:tcW w:w="2190" w:type="dxa"/>
          </w:tcPr>
          <w:p>
            <w:pPr>
              <w:pStyle w:val="TableParagraph"/>
              <w:spacing w:before="133"/>
              <w:ind w:left="35"/>
              <w:jc w:val="center"/>
              <w:rPr>
                <w:sz w:val="24"/>
              </w:rPr>
            </w:pPr>
            <w:r>
              <w:rPr>
                <w:spacing w:val="-5"/>
                <w:sz w:val="24"/>
              </w:rPr>
              <w:t>48</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3.7</w:t>
            </w:r>
          </w:p>
        </w:tc>
        <w:tc>
          <w:tcPr>
            <w:tcW w:w="2789" w:type="dxa"/>
          </w:tcPr>
          <w:p>
            <w:pPr>
              <w:pStyle w:val="TableParagraph"/>
              <w:spacing w:before="133"/>
              <w:ind w:left="64"/>
              <w:jc w:val="center"/>
              <w:rPr>
                <w:sz w:val="24"/>
              </w:rPr>
            </w:pPr>
            <w:r>
              <w:rPr>
                <w:spacing w:val="-5"/>
                <w:sz w:val="24"/>
              </w:rPr>
              <w:t>42</w:t>
            </w:r>
          </w:p>
        </w:tc>
        <w:tc>
          <w:tcPr>
            <w:tcW w:w="2190" w:type="dxa"/>
          </w:tcPr>
          <w:p>
            <w:pPr>
              <w:pStyle w:val="TableParagraph"/>
              <w:spacing w:before="133"/>
              <w:ind w:left="35"/>
              <w:jc w:val="center"/>
              <w:rPr>
                <w:sz w:val="24"/>
              </w:rPr>
            </w:pPr>
            <w:r>
              <w:rPr>
                <w:spacing w:val="-5"/>
                <w:sz w:val="24"/>
              </w:rPr>
              <w:t>43</w:t>
            </w:r>
          </w:p>
        </w:tc>
      </w:tr>
      <w:tr>
        <w:trPr>
          <w:trHeight w:val="552"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4.5</w:t>
            </w:r>
          </w:p>
        </w:tc>
        <w:tc>
          <w:tcPr>
            <w:tcW w:w="2789" w:type="dxa"/>
          </w:tcPr>
          <w:p>
            <w:pPr>
              <w:pStyle w:val="TableParagraph"/>
              <w:spacing w:before="133"/>
              <w:ind w:left="64"/>
              <w:jc w:val="center"/>
              <w:rPr>
                <w:sz w:val="24"/>
              </w:rPr>
            </w:pPr>
            <w:r>
              <w:rPr>
                <w:spacing w:val="-10"/>
                <w:sz w:val="24"/>
              </w:rPr>
              <w:t>5</w:t>
            </w:r>
          </w:p>
        </w:tc>
        <w:tc>
          <w:tcPr>
            <w:tcW w:w="2190" w:type="dxa"/>
          </w:tcPr>
          <w:p>
            <w:pPr>
              <w:pStyle w:val="TableParagraph"/>
              <w:spacing w:before="133"/>
              <w:ind w:left="35"/>
              <w:jc w:val="center"/>
              <w:rPr>
                <w:sz w:val="24"/>
              </w:rPr>
            </w:pPr>
            <w:r>
              <w:rPr>
                <w:spacing w:val="-10"/>
                <w:sz w:val="24"/>
              </w:rPr>
              <w:t>5</w:t>
            </w:r>
          </w:p>
        </w:tc>
      </w:tr>
      <w:tr>
        <w:trPr>
          <w:trHeight w:val="552" w:hRule="atLeast"/>
        </w:trPr>
        <w:tc>
          <w:tcPr>
            <w:tcW w:w="1480" w:type="dxa"/>
          </w:tcPr>
          <w:p>
            <w:pPr>
              <w:pStyle w:val="TableParagraph"/>
              <w:spacing w:before="133"/>
              <w:ind w:left="115"/>
              <w:rPr>
                <w:sz w:val="24"/>
              </w:rPr>
            </w:pPr>
            <w:r>
              <w:rPr>
                <w:spacing w:val="-2"/>
                <w:sz w:val="24"/>
              </w:rPr>
              <w:t>Avicel</w:t>
            </w:r>
          </w:p>
        </w:tc>
        <w:tc>
          <w:tcPr>
            <w:tcW w:w="2655" w:type="dxa"/>
          </w:tcPr>
          <w:p>
            <w:pPr>
              <w:pStyle w:val="TableParagraph"/>
              <w:spacing w:before="133"/>
              <w:ind w:left="105"/>
              <w:jc w:val="center"/>
              <w:rPr>
                <w:sz w:val="24"/>
              </w:rPr>
            </w:pPr>
            <w:r>
              <w:rPr>
                <w:spacing w:val="-5"/>
                <w:sz w:val="24"/>
              </w:rPr>
              <w:t>1.9</w:t>
            </w:r>
          </w:p>
        </w:tc>
        <w:tc>
          <w:tcPr>
            <w:tcW w:w="2789" w:type="dxa"/>
          </w:tcPr>
          <w:p>
            <w:pPr>
              <w:pStyle w:val="TableParagraph"/>
              <w:spacing w:before="133"/>
              <w:ind w:left="64"/>
              <w:jc w:val="center"/>
              <w:rPr>
                <w:sz w:val="24"/>
              </w:rPr>
            </w:pPr>
            <w:r>
              <w:rPr>
                <w:spacing w:val="-10"/>
                <w:sz w:val="24"/>
              </w:rPr>
              <w:t>4</w:t>
            </w:r>
          </w:p>
        </w:tc>
        <w:tc>
          <w:tcPr>
            <w:tcW w:w="2190" w:type="dxa"/>
          </w:tcPr>
          <w:p>
            <w:pPr>
              <w:pStyle w:val="TableParagraph"/>
              <w:spacing w:before="133"/>
              <w:ind w:left="35"/>
              <w:jc w:val="center"/>
              <w:rPr>
                <w:sz w:val="24"/>
              </w:rPr>
            </w:pPr>
            <w:r>
              <w:rPr>
                <w:spacing w:val="-5"/>
                <w:sz w:val="24"/>
              </w:rPr>
              <w:t>100</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4.5</w:t>
            </w:r>
          </w:p>
        </w:tc>
        <w:tc>
          <w:tcPr>
            <w:tcW w:w="2789" w:type="dxa"/>
          </w:tcPr>
          <w:p>
            <w:pPr>
              <w:pStyle w:val="TableParagraph"/>
              <w:spacing w:before="133"/>
              <w:ind w:left="64"/>
              <w:jc w:val="center"/>
              <w:rPr>
                <w:sz w:val="24"/>
              </w:rPr>
            </w:pPr>
            <w:r>
              <w:rPr>
                <w:spacing w:val="-5"/>
                <w:sz w:val="24"/>
              </w:rPr>
              <w:t>30</w:t>
            </w:r>
          </w:p>
        </w:tc>
        <w:tc>
          <w:tcPr>
            <w:tcW w:w="2190" w:type="dxa"/>
          </w:tcPr>
          <w:p>
            <w:pPr>
              <w:pStyle w:val="TableParagraph"/>
              <w:spacing w:before="133"/>
              <w:ind w:left="35"/>
              <w:jc w:val="center"/>
              <w:rPr>
                <w:sz w:val="24"/>
              </w:rPr>
            </w:pPr>
            <w:r>
              <w:rPr>
                <w:spacing w:val="-5"/>
                <w:sz w:val="24"/>
              </w:rPr>
              <w:t>95</w:t>
            </w:r>
          </w:p>
        </w:tc>
      </w:tr>
      <w:tr>
        <w:trPr>
          <w:trHeight w:val="552"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6.0</w:t>
            </w:r>
          </w:p>
        </w:tc>
        <w:tc>
          <w:tcPr>
            <w:tcW w:w="2789" w:type="dxa"/>
          </w:tcPr>
          <w:p>
            <w:pPr>
              <w:pStyle w:val="TableParagraph"/>
              <w:spacing w:before="133"/>
              <w:ind w:left="64"/>
              <w:jc w:val="center"/>
              <w:rPr>
                <w:sz w:val="24"/>
              </w:rPr>
            </w:pPr>
            <w:r>
              <w:rPr>
                <w:spacing w:val="-10"/>
                <w:sz w:val="24"/>
              </w:rPr>
              <w:t>4</w:t>
            </w:r>
          </w:p>
        </w:tc>
        <w:tc>
          <w:tcPr>
            <w:tcW w:w="2190" w:type="dxa"/>
          </w:tcPr>
          <w:p>
            <w:pPr>
              <w:pStyle w:val="TableParagraph"/>
              <w:spacing w:before="133"/>
              <w:ind w:left="35"/>
              <w:jc w:val="center"/>
              <w:rPr>
                <w:sz w:val="24"/>
              </w:rPr>
            </w:pPr>
            <w:r>
              <w:rPr>
                <w:spacing w:val="-5"/>
                <w:sz w:val="24"/>
              </w:rPr>
              <w:t>70</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7.4</w:t>
            </w:r>
          </w:p>
        </w:tc>
        <w:tc>
          <w:tcPr>
            <w:tcW w:w="2789" w:type="dxa"/>
          </w:tcPr>
          <w:p>
            <w:pPr>
              <w:pStyle w:val="TableParagraph"/>
              <w:spacing w:before="133"/>
              <w:ind w:left="64"/>
              <w:jc w:val="center"/>
              <w:rPr>
                <w:sz w:val="24"/>
              </w:rPr>
            </w:pPr>
            <w:r>
              <w:rPr>
                <w:spacing w:val="-5"/>
                <w:sz w:val="24"/>
              </w:rPr>
              <w:t>56</w:t>
            </w:r>
          </w:p>
        </w:tc>
        <w:tc>
          <w:tcPr>
            <w:tcW w:w="2190" w:type="dxa"/>
          </w:tcPr>
          <w:p>
            <w:pPr>
              <w:pStyle w:val="TableParagraph"/>
              <w:spacing w:before="133"/>
              <w:ind w:left="35"/>
              <w:jc w:val="center"/>
              <w:rPr>
                <w:sz w:val="24"/>
              </w:rPr>
            </w:pPr>
            <w:r>
              <w:rPr>
                <w:spacing w:val="-5"/>
                <w:sz w:val="24"/>
              </w:rPr>
              <w:t>64</w:t>
            </w:r>
          </w:p>
        </w:tc>
      </w:tr>
      <w:tr>
        <w:trPr>
          <w:trHeight w:val="552" w:hRule="atLeast"/>
        </w:trPr>
        <w:tc>
          <w:tcPr>
            <w:tcW w:w="1480" w:type="dxa"/>
          </w:tcPr>
          <w:p>
            <w:pPr>
              <w:pStyle w:val="TableParagraph"/>
              <w:rPr>
                <w:sz w:val="24"/>
              </w:rPr>
            </w:pPr>
          </w:p>
        </w:tc>
        <w:tc>
          <w:tcPr>
            <w:tcW w:w="2655" w:type="dxa"/>
          </w:tcPr>
          <w:p>
            <w:pPr>
              <w:pStyle w:val="TableParagraph"/>
              <w:spacing w:before="133"/>
              <w:ind w:left="105" w:right="3"/>
              <w:jc w:val="center"/>
              <w:rPr>
                <w:sz w:val="24"/>
              </w:rPr>
            </w:pPr>
            <w:r>
              <w:rPr>
                <w:spacing w:val="-10"/>
                <w:sz w:val="24"/>
              </w:rPr>
              <w:t>8</w:t>
            </w:r>
          </w:p>
        </w:tc>
        <w:tc>
          <w:tcPr>
            <w:tcW w:w="2789" w:type="dxa"/>
          </w:tcPr>
          <w:p>
            <w:pPr>
              <w:pStyle w:val="TableParagraph"/>
              <w:spacing w:before="133"/>
              <w:ind w:left="64"/>
              <w:jc w:val="center"/>
              <w:rPr>
                <w:sz w:val="24"/>
              </w:rPr>
            </w:pPr>
            <w:r>
              <w:rPr>
                <w:spacing w:val="-10"/>
                <w:sz w:val="24"/>
              </w:rPr>
              <w:t>6</w:t>
            </w:r>
          </w:p>
        </w:tc>
        <w:tc>
          <w:tcPr>
            <w:tcW w:w="2190" w:type="dxa"/>
          </w:tcPr>
          <w:p>
            <w:pPr>
              <w:pStyle w:val="TableParagraph"/>
              <w:spacing w:before="133"/>
              <w:ind w:left="35"/>
              <w:jc w:val="center"/>
              <w:rPr>
                <w:sz w:val="24"/>
              </w:rPr>
            </w:pPr>
            <w:r>
              <w:rPr>
                <w:spacing w:val="-10"/>
                <w:sz w:val="24"/>
              </w:rPr>
              <w:t>6</w:t>
            </w:r>
          </w:p>
        </w:tc>
      </w:tr>
      <w:tr>
        <w:trPr>
          <w:trHeight w:val="552" w:hRule="atLeast"/>
        </w:trPr>
        <w:tc>
          <w:tcPr>
            <w:tcW w:w="1480" w:type="dxa"/>
          </w:tcPr>
          <w:p>
            <w:pPr>
              <w:pStyle w:val="TableParagraph"/>
              <w:spacing w:before="133"/>
              <w:ind w:left="115"/>
              <w:rPr>
                <w:sz w:val="24"/>
              </w:rPr>
            </w:pPr>
            <w:r>
              <w:rPr>
                <w:spacing w:val="-2"/>
                <w:sz w:val="24"/>
              </w:rPr>
              <w:t>Cellactose</w:t>
            </w:r>
          </w:p>
        </w:tc>
        <w:tc>
          <w:tcPr>
            <w:tcW w:w="2655" w:type="dxa"/>
          </w:tcPr>
          <w:p>
            <w:pPr>
              <w:pStyle w:val="TableParagraph"/>
              <w:spacing w:before="133"/>
              <w:ind w:left="105"/>
              <w:jc w:val="center"/>
              <w:rPr>
                <w:sz w:val="24"/>
              </w:rPr>
            </w:pPr>
            <w:r>
              <w:rPr>
                <w:spacing w:val="-5"/>
                <w:sz w:val="24"/>
              </w:rPr>
              <w:t>1.5</w:t>
            </w:r>
          </w:p>
        </w:tc>
        <w:tc>
          <w:tcPr>
            <w:tcW w:w="2789" w:type="dxa"/>
          </w:tcPr>
          <w:p>
            <w:pPr>
              <w:pStyle w:val="TableParagraph"/>
              <w:spacing w:before="133"/>
              <w:ind w:left="64"/>
              <w:jc w:val="center"/>
              <w:rPr>
                <w:sz w:val="24"/>
              </w:rPr>
            </w:pPr>
            <w:r>
              <w:rPr>
                <w:spacing w:val="-5"/>
                <w:sz w:val="24"/>
              </w:rPr>
              <w:t>22</w:t>
            </w:r>
          </w:p>
        </w:tc>
        <w:tc>
          <w:tcPr>
            <w:tcW w:w="2190" w:type="dxa"/>
          </w:tcPr>
          <w:p>
            <w:pPr>
              <w:pStyle w:val="TableParagraph"/>
              <w:spacing w:before="133"/>
              <w:ind w:left="35"/>
              <w:jc w:val="center"/>
              <w:rPr>
                <w:sz w:val="24"/>
              </w:rPr>
            </w:pPr>
            <w:r>
              <w:rPr>
                <w:spacing w:val="-5"/>
                <w:sz w:val="24"/>
              </w:rPr>
              <w:t>100</w:t>
            </w:r>
          </w:p>
        </w:tc>
      </w:tr>
      <w:tr>
        <w:trPr>
          <w:trHeight w:val="552"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3.3</w:t>
            </w:r>
          </w:p>
        </w:tc>
        <w:tc>
          <w:tcPr>
            <w:tcW w:w="2789" w:type="dxa"/>
          </w:tcPr>
          <w:p>
            <w:pPr>
              <w:pStyle w:val="TableParagraph"/>
              <w:spacing w:before="133"/>
              <w:ind w:left="64"/>
              <w:jc w:val="center"/>
              <w:rPr>
                <w:sz w:val="24"/>
              </w:rPr>
            </w:pPr>
            <w:r>
              <w:rPr>
                <w:spacing w:val="-10"/>
                <w:sz w:val="24"/>
              </w:rPr>
              <w:t>8</w:t>
            </w:r>
          </w:p>
        </w:tc>
        <w:tc>
          <w:tcPr>
            <w:tcW w:w="2190" w:type="dxa"/>
          </w:tcPr>
          <w:p>
            <w:pPr>
              <w:pStyle w:val="TableParagraph"/>
              <w:spacing w:before="133"/>
              <w:ind w:left="35"/>
              <w:jc w:val="center"/>
              <w:rPr>
                <w:sz w:val="24"/>
              </w:rPr>
            </w:pPr>
            <w:r>
              <w:rPr>
                <w:spacing w:val="-5"/>
                <w:sz w:val="24"/>
              </w:rPr>
              <w:t>90</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4.8</w:t>
            </w:r>
          </w:p>
        </w:tc>
        <w:tc>
          <w:tcPr>
            <w:tcW w:w="2789" w:type="dxa"/>
          </w:tcPr>
          <w:p>
            <w:pPr>
              <w:pStyle w:val="TableParagraph"/>
              <w:spacing w:before="133"/>
              <w:ind w:left="64"/>
              <w:jc w:val="center"/>
              <w:rPr>
                <w:sz w:val="24"/>
              </w:rPr>
            </w:pPr>
            <w:r>
              <w:rPr>
                <w:spacing w:val="-5"/>
                <w:sz w:val="24"/>
              </w:rPr>
              <w:t>53</w:t>
            </w:r>
          </w:p>
        </w:tc>
        <w:tc>
          <w:tcPr>
            <w:tcW w:w="2190" w:type="dxa"/>
          </w:tcPr>
          <w:p>
            <w:pPr>
              <w:pStyle w:val="TableParagraph"/>
              <w:spacing w:before="133"/>
              <w:ind w:left="35"/>
              <w:jc w:val="center"/>
              <w:rPr>
                <w:sz w:val="24"/>
              </w:rPr>
            </w:pPr>
            <w:r>
              <w:rPr>
                <w:spacing w:val="-5"/>
                <w:sz w:val="24"/>
              </w:rPr>
              <w:t>76</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5.2</w:t>
            </w:r>
          </w:p>
        </w:tc>
        <w:tc>
          <w:tcPr>
            <w:tcW w:w="2789" w:type="dxa"/>
          </w:tcPr>
          <w:p>
            <w:pPr>
              <w:pStyle w:val="TableParagraph"/>
              <w:spacing w:before="133"/>
              <w:ind w:left="64"/>
              <w:jc w:val="center"/>
              <w:rPr>
                <w:sz w:val="24"/>
              </w:rPr>
            </w:pPr>
            <w:r>
              <w:rPr>
                <w:spacing w:val="-10"/>
                <w:sz w:val="24"/>
              </w:rPr>
              <w:t>8</w:t>
            </w:r>
          </w:p>
        </w:tc>
        <w:tc>
          <w:tcPr>
            <w:tcW w:w="2190" w:type="dxa"/>
          </w:tcPr>
          <w:p>
            <w:pPr>
              <w:pStyle w:val="TableParagraph"/>
              <w:spacing w:before="133"/>
              <w:ind w:left="35"/>
              <w:jc w:val="center"/>
              <w:rPr>
                <w:sz w:val="24"/>
              </w:rPr>
            </w:pPr>
            <w:r>
              <w:rPr>
                <w:spacing w:val="-5"/>
                <w:sz w:val="24"/>
              </w:rPr>
              <w:t>70</w:t>
            </w:r>
          </w:p>
        </w:tc>
      </w:tr>
      <w:tr>
        <w:trPr>
          <w:trHeight w:val="552"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5.9</w:t>
            </w:r>
          </w:p>
        </w:tc>
        <w:tc>
          <w:tcPr>
            <w:tcW w:w="2789" w:type="dxa"/>
          </w:tcPr>
          <w:p>
            <w:pPr>
              <w:pStyle w:val="TableParagraph"/>
              <w:spacing w:before="133"/>
              <w:ind w:left="64"/>
              <w:jc w:val="center"/>
              <w:rPr>
                <w:sz w:val="24"/>
              </w:rPr>
            </w:pPr>
            <w:r>
              <w:rPr>
                <w:spacing w:val="-10"/>
                <w:sz w:val="24"/>
              </w:rPr>
              <w:t>9</w:t>
            </w:r>
          </w:p>
        </w:tc>
        <w:tc>
          <w:tcPr>
            <w:tcW w:w="2190" w:type="dxa"/>
          </w:tcPr>
          <w:p>
            <w:pPr>
              <w:pStyle w:val="TableParagraph"/>
              <w:spacing w:before="133"/>
              <w:ind w:left="35"/>
              <w:jc w:val="center"/>
              <w:rPr>
                <w:sz w:val="24"/>
              </w:rPr>
            </w:pPr>
            <w:r>
              <w:rPr>
                <w:spacing w:val="-10"/>
                <w:sz w:val="24"/>
              </w:rPr>
              <w:t>9</w:t>
            </w:r>
          </w:p>
        </w:tc>
      </w:tr>
      <w:tr>
        <w:trPr>
          <w:trHeight w:val="550" w:hRule="atLeast"/>
        </w:trPr>
        <w:tc>
          <w:tcPr>
            <w:tcW w:w="1480" w:type="dxa"/>
          </w:tcPr>
          <w:p>
            <w:pPr>
              <w:pStyle w:val="TableParagraph"/>
              <w:spacing w:before="133"/>
              <w:ind w:left="115"/>
              <w:rPr>
                <w:sz w:val="24"/>
              </w:rPr>
            </w:pPr>
            <w:r>
              <w:rPr>
                <w:spacing w:val="-2"/>
                <w:sz w:val="24"/>
              </w:rPr>
              <w:t>Lactose</w:t>
            </w:r>
          </w:p>
        </w:tc>
        <w:tc>
          <w:tcPr>
            <w:tcW w:w="2655" w:type="dxa"/>
          </w:tcPr>
          <w:p>
            <w:pPr>
              <w:pStyle w:val="TableParagraph"/>
              <w:spacing w:before="133"/>
              <w:ind w:left="105"/>
              <w:jc w:val="center"/>
              <w:rPr>
                <w:sz w:val="24"/>
              </w:rPr>
            </w:pPr>
            <w:r>
              <w:rPr>
                <w:spacing w:val="-5"/>
                <w:sz w:val="24"/>
              </w:rPr>
              <w:t>0.7</w:t>
            </w:r>
          </w:p>
        </w:tc>
        <w:tc>
          <w:tcPr>
            <w:tcW w:w="2789" w:type="dxa"/>
          </w:tcPr>
          <w:p>
            <w:pPr>
              <w:pStyle w:val="TableParagraph"/>
              <w:spacing w:before="133"/>
              <w:ind w:left="64"/>
              <w:jc w:val="center"/>
              <w:rPr>
                <w:sz w:val="24"/>
              </w:rPr>
            </w:pPr>
            <w:r>
              <w:rPr>
                <w:spacing w:val="-5"/>
                <w:sz w:val="24"/>
              </w:rPr>
              <w:t>25</w:t>
            </w:r>
          </w:p>
        </w:tc>
        <w:tc>
          <w:tcPr>
            <w:tcW w:w="2190" w:type="dxa"/>
          </w:tcPr>
          <w:p>
            <w:pPr>
              <w:pStyle w:val="TableParagraph"/>
              <w:spacing w:before="133"/>
              <w:ind w:left="35"/>
              <w:jc w:val="center"/>
              <w:rPr>
                <w:sz w:val="24"/>
              </w:rPr>
            </w:pPr>
            <w:r>
              <w:rPr>
                <w:spacing w:val="-5"/>
                <w:sz w:val="24"/>
              </w:rPr>
              <w:t>100</w:t>
            </w:r>
          </w:p>
        </w:tc>
      </w:tr>
      <w:tr>
        <w:trPr>
          <w:trHeight w:val="551" w:hRule="atLeast"/>
        </w:trPr>
        <w:tc>
          <w:tcPr>
            <w:tcW w:w="1480" w:type="dxa"/>
          </w:tcPr>
          <w:p>
            <w:pPr>
              <w:pStyle w:val="TableParagraph"/>
              <w:rPr>
                <w:sz w:val="24"/>
              </w:rPr>
            </w:pPr>
          </w:p>
        </w:tc>
        <w:tc>
          <w:tcPr>
            <w:tcW w:w="2655" w:type="dxa"/>
          </w:tcPr>
          <w:p>
            <w:pPr>
              <w:pStyle w:val="TableParagraph"/>
              <w:spacing w:before="131"/>
              <w:ind w:left="105"/>
              <w:jc w:val="center"/>
              <w:rPr>
                <w:sz w:val="24"/>
              </w:rPr>
            </w:pPr>
            <w:r>
              <w:rPr>
                <w:spacing w:val="-5"/>
                <w:sz w:val="24"/>
              </w:rPr>
              <w:t>1.5</w:t>
            </w:r>
          </w:p>
        </w:tc>
        <w:tc>
          <w:tcPr>
            <w:tcW w:w="2789" w:type="dxa"/>
          </w:tcPr>
          <w:p>
            <w:pPr>
              <w:pStyle w:val="TableParagraph"/>
              <w:spacing w:before="131"/>
              <w:ind w:left="64"/>
              <w:jc w:val="center"/>
              <w:rPr>
                <w:sz w:val="24"/>
              </w:rPr>
            </w:pPr>
            <w:r>
              <w:rPr>
                <w:spacing w:val="-10"/>
                <w:sz w:val="24"/>
              </w:rPr>
              <w:t>6</w:t>
            </w:r>
          </w:p>
        </w:tc>
        <w:tc>
          <w:tcPr>
            <w:tcW w:w="2190" w:type="dxa"/>
          </w:tcPr>
          <w:p>
            <w:pPr>
              <w:pStyle w:val="TableParagraph"/>
              <w:spacing w:before="131"/>
              <w:ind w:left="35"/>
              <w:jc w:val="center"/>
              <w:rPr>
                <w:sz w:val="24"/>
              </w:rPr>
            </w:pPr>
            <w:r>
              <w:rPr>
                <w:spacing w:val="-5"/>
                <w:sz w:val="24"/>
              </w:rPr>
              <w:t>80</w:t>
            </w:r>
          </w:p>
        </w:tc>
      </w:tr>
      <w:tr>
        <w:trPr>
          <w:trHeight w:val="552"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2.5</w:t>
            </w:r>
          </w:p>
        </w:tc>
        <w:tc>
          <w:tcPr>
            <w:tcW w:w="2789" w:type="dxa"/>
          </w:tcPr>
          <w:p>
            <w:pPr>
              <w:pStyle w:val="TableParagraph"/>
              <w:spacing w:before="133"/>
              <w:ind w:left="64"/>
              <w:jc w:val="center"/>
              <w:rPr>
                <w:sz w:val="24"/>
              </w:rPr>
            </w:pPr>
            <w:r>
              <w:rPr>
                <w:spacing w:val="-5"/>
                <w:sz w:val="24"/>
              </w:rPr>
              <w:t>38</w:t>
            </w:r>
          </w:p>
        </w:tc>
        <w:tc>
          <w:tcPr>
            <w:tcW w:w="2190" w:type="dxa"/>
          </w:tcPr>
          <w:p>
            <w:pPr>
              <w:pStyle w:val="TableParagraph"/>
              <w:spacing w:before="133"/>
              <w:ind w:left="35"/>
              <w:jc w:val="center"/>
              <w:rPr>
                <w:sz w:val="24"/>
              </w:rPr>
            </w:pPr>
            <w:r>
              <w:rPr>
                <w:spacing w:val="-5"/>
                <w:sz w:val="24"/>
              </w:rPr>
              <w:t>70</w:t>
            </w:r>
          </w:p>
        </w:tc>
      </w:tr>
      <w:tr>
        <w:trPr>
          <w:trHeight w:val="551" w:hRule="atLeast"/>
        </w:trPr>
        <w:tc>
          <w:tcPr>
            <w:tcW w:w="1480" w:type="dxa"/>
          </w:tcPr>
          <w:p>
            <w:pPr>
              <w:pStyle w:val="TableParagraph"/>
              <w:rPr>
                <w:sz w:val="24"/>
              </w:rPr>
            </w:pPr>
          </w:p>
        </w:tc>
        <w:tc>
          <w:tcPr>
            <w:tcW w:w="2655" w:type="dxa"/>
          </w:tcPr>
          <w:p>
            <w:pPr>
              <w:pStyle w:val="TableParagraph"/>
              <w:spacing w:before="133"/>
              <w:ind w:left="105"/>
              <w:jc w:val="center"/>
              <w:rPr>
                <w:sz w:val="24"/>
              </w:rPr>
            </w:pPr>
            <w:r>
              <w:rPr>
                <w:spacing w:val="-5"/>
                <w:sz w:val="24"/>
              </w:rPr>
              <w:t>4.0</w:t>
            </w:r>
          </w:p>
        </w:tc>
        <w:tc>
          <w:tcPr>
            <w:tcW w:w="2789" w:type="dxa"/>
          </w:tcPr>
          <w:p>
            <w:pPr>
              <w:pStyle w:val="TableParagraph"/>
              <w:spacing w:before="133"/>
              <w:ind w:left="64"/>
              <w:jc w:val="center"/>
              <w:rPr>
                <w:sz w:val="24"/>
              </w:rPr>
            </w:pPr>
            <w:r>
              <w:rPr>
                <w:spacing w:val="-5"/>
                <w:sz w:val="24"/>
              </w:rPr>
              <w:t>20</w:t>
            </w:r>
          </w:p>
        </w:tc>
        <w:tc>
          <w:tcPr>
            <w:tcW w:w="2190" w:type="dxa"/>
          </w:tcPr>
          <w:p>
            <w:pPr>
              <w:pStyle w:val="TableParagraph"/>
              <w:spacing w:before="133"/>
              <w:ind w:left="35"/>
              <w:jc w:val="center"/>
              <w:rPr>
                <w:sz w:val="24"/>
              </w:rPr>
            </w:pPr>
            <w:r>
              <w:rPr>
                <w:spacing w:val="-5"/>
                <w:sz w:val="24"/>
              </w:rPr>
              <w:t>30</w:t>
            </w:r>
          </w:p>
        </w:tc>
      </w:tr>
      <w:tr>
        <w:trPr>
          <w:trHeight w:val="695" w:hRule="atLeast"/>
        </w:trPr>
        <w:tc>
          <w:tcPr>
            <w:tcW w:w="1480" w:type="dxa"/>
            <w:tcBorders>
              <w:bottom w:val="single" w:sz="4" w:space="0" w:color="000000"/>
            </w:tcBorders>
          </w:tcPr>
          <w:p>
            <w:pPr>
              <w:pStyle w:val="TableParagraph"/>
              <w:rPr>
                <w:sz w:val="24"/>
              </w:rPr>
            </w:pPr>
          </w:p>
        </w:tc>
        <w:tc>
          <w:tcPr>
            <w:tcW w:w="2655" w:type="dxa"/>
            <w:tcBorders>
              <w:bottom w:val="single" w:sz="4" w:space="0" w:color="000000"/>
            </w:tcBorders>
          </w:tcPr>
          <w:p>
            <w:pPr>
              <w:pStyle w:val="TableParagraph"/>
              <w:spacing w:before="133"/>
              <w:ind w:left="105"/>
              <w:jc w:val="center"/>
              <w:rPr>
                <w:sz w:val="24"/>
              </w:rPr>
            </w:pPr>
            <w:r>
              <w:rPr>
                <w:spacing w:val="-5"/>
                <w:sz w:val="24"/>
              </w:rPr>
              <w:t>5.0</w:t>
            </w:r>
          </w:p>
        </w:tc>
        <w:tc>
          <w:tcPr>
            <w:tcW w:w="2789" w:type="dxa"/>
            <w:tcBorders>
              <w:bottom w:val="single" w:sz="4" w:space="0" w:color="000000"/>
            </w:tcBorders>
          </w:tcPr>
          <w:p>
            <w:pPr>
              <w:pStyle w:val="TableParagraph"/>
              <w:spacing w:before="133"/>
              <w:ind w:left="64"/>
              <w:jc w:val="center"/>
              <w:rPr>
                <w:sz w:val="24"/>
              </w:rPr>
            </w:pPr>
            <w:r>
              <w:rPr>
                <w:spacing w:val="-5"/>
                <w:sz w:val="24"/>
              </w:rPr>
              <w:t>11</w:t>
            </w:r>
          </w:p>
        </w:tc>
        <w:tc>
          <w:tcPr>
            <w:tcW w:w="2190" w:type="dxa"/>
            <w:tcBorders>
              <w:bottom w:val="single" w:sz="4" w:space="0" w:color="000000"/>
            </w:tcBorders>
          </w:tcPr>
          <w:p>
            <w:pPr>
              <w:pStyle w:val="TableParagraph"/>
              <w:spacing w:before="133"/>
              <w:ind w:left="35"/>
              <w:jc w:val="center"/>
              <w:rPr>
                <w:sz w:val="24"/>
              </w:rPr>
            </w:pPr>
            <w:r>
              <w:rPr>
                <w:spacing w:val="-5"/>
                <w:sz w:val="24"/>
              </w:rPr>
              <w:t>11</w:t>
            </w:r>
          </w:p>
        </w:tc>
      </w:tr>
    </w:tbl>
    <w:p>
      <w:pPr>
        <w:spacing w:after="0"/>
        <w:jc w:val="center"/>
        <w:rPr>
          <w:sz w:val="24"/>
        </w:rPr>
        <w:sectPr>
          <w:pgSz w:w="12240" w:h="15840"/>
          <w:pgMar w:header="0" w:footer="1056" w:top="1340" w:bottom="1240" w:left="1420" w:right="420"/>
        </w:sectPr>
      </w:pPr>
    </w:p>
    <w:p>
      <w:pPr>
        <w:spacing w:line="360" w:lineRule="auto" w:before="77"/>
        <w:ind w:left="678" w:right="997" w:firstLine="0"/>
        <w:jc w:val="left"/>
        <w:rPr>
          <w:b/>
          <w:sz w:val="24"/>
        </w:rPr>
      </w:pPr>
      <w:r>
        <w:rPr/>
        <mc:AlternateContent>
          <mc:Choice Requires="wps">
            <w:drawing>
              <wp:anchor distT="0" distB="0" distL="0" distR="0" allowOverlap="1" layoutInCell="1" locked="0" behindDoc="1" simplePos="0" relativeHeight="483009536">
                <wp:simplePos x="0" y="0"/>
                <wp:positionH relativeFrom="page">
                  <wp:posOffset>-1402226</wp:posOffset>
                </wp:positionH>
                <wp:positionV relativeFrom="page">
                  <wp:posOffset>4612234</wp:posOffset>
                </wp:positionV>
                <wp:extent cx="10685780" cy="9144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694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 4.3: Size distribution of </w:t>
      </w:r>
      <w:r>
        <w:rPr>
          <w:b/>
          <w:i/>
          <w:sz w:val="24"/>
        </w:rPr>
        <w:t>M. pruriens </w:t>
      </w:r>
      <w:r>
        <w:rPr>
          <w:b/>
          <w:sz w:val="24"/>
        </w:rPr>
        <w:t>seed ethanolic extract containing PVP</w:t>
      </w:r>
      <w:r>
        <w:rPr>
          <w:b/>
          <w:spacing w:val="-1"/>
          <w:sz w:val="24"/>
        </w:rPr>
        <w:t> </w:t>
      </w:r>
      <w:r>
        <w:rPr>
          <w:b/>
          <w:sz w:val="24"/>
        </w:rPr>
        <w:t>and corn starch as binders</w:t>
      </w:r>
    </w:p>
    <w:p>
      <w:pPr>
        <w:pStyle w:val="BodyText"/>
        <w:spacing w:before="184"/>
        <w:rPr>
          <w:b/>
          <w:sz w:val="2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2"/>
        <w:gridCol w:w="3027"/>
        <w:gridCol w:w="1972"/>
        <w:gridCol w:w="2235"/>
      </w:tblGrid>
      <w:tr>
        <w:trPr>
          <w:trHeight w:val="827" w:hRule="atLeast"/>
        </w:trPr>
        <w:tc>
          <w:tcPr>
            <w:tcW w:w="1722"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Binder</w:t>
            </w:r>
          </w:p>
        </w:tc>
        <w:tc>
          <w:tcPr>
            <w:tcW w:w="3027" w:type="dxa"/>
            <w:tcBorders>
              <w:top w:val="single" w:sz="4" w:space="0" w:color="000000"/>
              <w:bottom w:val="single" w:sz="4" w:space="0" w:color="000000"/>
            </w:tcBorders>
          </w:tcPr>
          <w:p>
            <w:pPr>
              <w:pStyle w:val="TableParagraph"/>
              <w:spacing w:line="275" w:lineRule="exact"/>
              <w:ind w:left="115" w:right="36"/>
              <w:jc w:val="center"/>
              <w:rPr>
                <w:b/>
                <w:sz w:val="24"/>
              </w:rPr>
            </w:pPr>
            <w:r>
              <w:rPr>
                <w:b/>
                <w:sz w:val="24"/>
              </w:rPr>
              <w:t>Mean</w:t>
            </w:r>
            <w:r>
              <w:rPr>
                <w:b/>
                <w:spacing w:val="-3"/>
                <w:sz w:val="24"/>
              </w:rPr>
              <w:t> </w:t>
            </w:r>
            <w:r>
              <w:rPr>
                <w:b/>
                <w:sz w:val="24"/>
              </w:rPr>
              <w:t>sieve</w:t>
            </w:r>
            <w:r>
              <w:rPr>
                <w:b/>
                <w:spacing w:val="-3"/>
                <w:sz w:val="24"/>
              </w:rPr>
              <w:t> </w:t>
            </w:r>
            <w:r>
              <w:rPr>
                <w:b/>
                <w:sz w:val="24"/>
              </w:rPr>
              <w:t>size </w:t>
            </w:r>
            <w:r>
              <w:rPr>
                <w:b/>
                <w:spacing w:val="-4"/>
                <w:sz w:val="24"/>
              </w:rPr>
              <w:t>(µm)</w:t>
            </w:r>
          </w:p>
        </w:tc>
        <w:tc>
          <w:tcPr>
            <w:tcW w:w="4207" w:type="dxa"/>
            <w:gridSpan w:val="2"/>
            <w:tcBorders>
              <w:top w:val="single" w:sz="4" w:space="0" w:color="000000"/>
              <w:bottom w:val="single" w:sz="4" w:space="0" w:color="000000"/>
            </w:tcBorders>
          </w:tcPr>
          <w:p>
            <w:pPr>
              <w:pStyle w:val="TableParagraph"/>
              <w:spacing w:line="275" w:lineRule="exact"/>
              <w:ind w:right="263"/>
              <w:jc w:val="center"/>
              <w:rPr>
                <w:b/>
                <w:sz w:val="24"/>
              </w:rPr>
            </w:pPr>
            <w:r>
              <w:rPr>
                <w:b/>
                <w:sz w:val="24"/>
              </w:rPr>
              <w:t>Cumulative</w:t>
            </w:r>
            <w:r>
              <w:rPr>
                <w:b/>
                <w:spacing w:val="-2"/>
                <w:sz w:val="24"/>
              </w:rPr>
              <w:t> </w:t>
            </w:r>
            <w:r>
              <w:rPr>
                <w:b/>
                <w:sz w:val="24"/>
              </w:rPr>
              <w:t>weight</w:t>
            </w:r>
            <w:r>
              <w:rPr>
                <w:b/>
                <w:spacing w:val="-1"/>
                <w:sz w:val="24"/>
              </w:rPr>
              <w:t> </w:t>
            </w:r>
            <w:r>
              <w:rPr>
                <w:b/>
                <w:sz w:val="24"/>
              </w:rPr>
              <w:t>%</w:t>
            </w:r>
            <w:r>
              <w:rPr>
                <w:b/>
                <w:spacing w:val="1"/>
                <w:sz w:val="24"/>
              </w:rPr>
              <w:t> </w:t>
            </w:r>
            <w:r>
              <w:rPr>
                <w:b/>
                <w:spacing w:val="-2"/>
                <w:sz w:val="24"/>
              </w:rPr>
              <w:t>oversize</w:t>
            </w:r>
          </w:p>
          <w:p>
            <w:pPr>
              <w:pStyle w:val="TableParagraph"/>
              <w:tabs>
                <w:tab w:pos="2042" w:val="left" w:leader="none"/>
              </w:tabs>
              <w:spacing w:before="139"/>
              <w:ind w:right="261"/>
              <w:jc w:val="center"/>
              <w:rPr>
                <w:b/>
                <w:sz w:val="24"/>
              </w:rPr>
            </w:pPr>
            <w:r>
              <w:rPr>
                <w:b/>
                <w:spacing w:val="-5"/>
                <w:sz w:val="24"/>
              </w:rPr>
              <w:t>1%</w:t>
            </w:r>
            <w:r>
              <w:rPr>
                <w:b/>
                <w:sz w:val="24"/>
              </w:rPr>
              <w:tab/>
            </w:r>
            <w:r>
              <w:rPr>
                <w:b/>
                <w:spacing w:val="-5"/>
                <w:sz w:val="24"/>
              </w:rPr>
              <w:t>4%</w:t>
            </w:r>
          </w:p>
        </w:tc>
      </w:tr>
      <w:tr>
        <w:trPr>
          <w:trHeight w:val="346" w:hRule="atLeast"/>
        </w:trPr>
        <w:tc>
          <w:tcPr>
            <w:tcW w:w="1722" w:type="dxa"/>
            <w:tcBorders>
              <w:top w:val="single" w:sz="4" w:space="0" w:color="000000"/>
            </w:tcBorders>
          </w:tcPr>
          <w:p>
            <w:pPr>
              <w:pStyle w:val="TableParagraph"/>
              <w:spacing w:line="273" w:lineRule="exact"/>
              <w:ind w:left="122"/>
              <w:rPr>
                <w:sz w:val="24"/>
              </w:rPr>
            </w:pPr>
            <w:r>
              <w:rPr>
                <w:spacing w:val="-5"/>
                <w:sz w:val="24"/>
              </w:rPr>
              <w:t>PVP</w:t>
            </w:r>
          </w:p>
        </w:tc>
        <w:tc>
          <w:tcPr>
            <w:tcW w:w="3027" w:type="dxa"/>
            <w:tcBorders>
              <w:top w:val="single" w:sz="4" w:space="0" w:color="000000"/>
            </w:tcBorders>
          </w:tcPr>
          <w:p>
            <w:pPr>
              <w:pStyle w:val="TableParagraph"/>
              <w:spacing w:line="273" w:lineRule="exact"/>
              <w:ind w:left="115"/>
              <w:jc w:val="center"/>
              <w:rPr>
                <w:sz w:val="24"/>
              </w:rPr>
            </w:pPr>
            <w:r>
              <w:rPr>
                <w:spacing w:val="-4"/>
                <w:sz w:val="24"/>
              </w:rPr>
              <w:t>1100</w:t>
            </w:r>
          </w:p>
        </w:tc>
        <w:tc>
          <w:tcPr>
            <w:tcW w:w="1972" w:type="dxa"/>
            <w:tcBorders>
              <w:top w:val="single" w:sz="4" w:space="0" w:color="000000"/>
            </w:tcBorders>
          </w:tcPr>
          <w:p>
            <w:pPr>
              <w:pStyle w:val="TableParagraph"/>
              <w:spacing w:line="273" w:lineRule="exact"/>
              <w:ind w:left="644"/>
              <w:rPr>
                <w:sz w:val="24"/>
              </w:rPr>
            </w:pPr>
            <w:r>
              <w:rPr>
                <w:spacing w:val="-4"/>
                <w:sz w:val="24"/>
              </w:rPr>
              <w:t>0.04</w:t>
            </w:r>
          </w:p>
        </w:tc>
        <w:tc>
          <w:tcPr>
            <w:tcW w:w="2235" w:type="dxa"/>
            <w:tcBorders>
              <w:top w:val="single" w:sz="4" w:space="0" w:color="000000"/>
            </w:tcBorders>
          </w:tcPr>
          <w:p>
            <w:pPr>
              <w:pStyle w:val="TableParagraph"/>
              <w:spacing w:line="273" w:lineRule="exact"/>
              <w:jc w:val="center"/>
              <w:rPr>
                <w:sz w:val="24"/>
              </w:rPr>
            </w:pPr>
            <w:r>
              <w:rPr>
                <w:spacing w:val="-4"/>
                <w:sz w:val="24"/>
              </w:rPr>
              <w:t>0.08</w:t>
            </w:r>
          </w:p>
        </w:tc>
      </w:tr>
      <w:tr>
        <w:trPr>
          <w:trHeight w:val="413" w:hRule="atLeast"/>
        </w:trPr>
        <w:tc>
          <w:tcPr>
            <w:tcW w:w="1722" w:type="dxa"/>
          </w:tcPr>
          <w:p>
            <w:pPr>
              <w:pStyle w:val="TableParagraph"/>
              <w:rPr>
                <w:sz w:val="24"/>
              </w:rPr>
            </w:pPr>
          </w:p>
        </w:tc>
        <w:tc>
          <w:tcPr>
            <w:tcW w:w="3027" w:type="dxa"/>
          </w:tcPr>
          <w:p>
            <w:pPr>
              <w:pStyle w:val="TableParagraph"/>
              <w:spacing w:before="63"/>
              <w:ind w:left="115"/>
              <w:jc w:val="center"/>
              <w:rPr>
                <w:sz w:val="24"/>
              </w:rPr>
            </w:pPr>
            <w:r>
              <w:rPr>
                <w:spacing w:val="-5"/>
                <w:sz w:val="24"/>
              </w:rPr>
              <w:t>855</w:t>
            </w:r>
          </w:p>
        </w:tc>
        <w:tc>
          <w:tcPr>
            <w:tcW w:w="1972" w:type="dxa"/>
          </w:tcPr>
          <w:p>
            <w:pPr>
              <w:pStyle w:val="TableParagraph"/>
              <w:spacing w:before="63"/>
              <w:ind w:left="644"/>
              <w:rPr>
                <w:sz w:val="24"/>
              </w:rPr>
            </w:pPr>
            <w:r>
              <w:rPr>
                <w:spacing w:val="-4"/>
                <w:sz w:val="24"/>
              </w:rPr>
              <w:t>5.67</w:t>
            </w:r>
          </w:p>
        </w:tc>
        <w:tc>
          <w:tcPr>
            <w:tcW w:w="2235" w:type="dxa"/>
          </w:tcPr>
          <w:p>
            <w:pPr>
              <w:pStyle w:val="TableParagraph"/>
              <w:spacing w:before="63"/>
              <w:jc w:val="center"/>
              <w:rPr>
                <w:sz w:val="24"/>
              </w:rPr>
            </w:pPr>
            <w:r>
              <w:rPr>
                <w:spacing w:val="-4"/>
                <w:sz w:val="24"/>
              </w:rPr>
              <w:t>4.86</w:t>
            </w:r>
          </w:p>
        </w:tc>
      </w:tr>
      <w:tr>
        <w:trPr>
          <w:trHeight w:val="413" w:hRule="atLeast"/>
        </w:trPr>
        <w:tc>
          <w:tcPr>
            <w:tcW w:w="1722" w:type="dxa"/>
          </w:tcPr>
          <w:p>
            <w:pPr>
              <w:pStyle w:val="TableParagraph"/>
              <w:rPr>
                <w:sz w:val="24"/>
              </w:rPr>
            </w:pPr>
          </w:p>
        </w:tc>
        <w:tc>
          <w:tcPr>
            <w:tcW w:w="3027" w:type="dxa"/>
          </w:tcPr>
          <w:p>
            <w:pPr>
              <w:pStyle w:val="TableParagraph"/>
              <w:spacing w:before="64"/>
              <w:ind w:left="115"/>
              <w:jc w:val="center"/>
              <w:rPr>
                <w:sz w:val="24"/>
              </w:rPr>
            </w:pPr>
            <w:r>
              <w:rPr>
                <w:spacing w:val="-5"/>
                <w:sz w:val="24"/>
              </w:rPr>
              <w:t>605</w:t>
            </w:r>
          </w:p>
        </w:tc>
        <w:tc>
          <w:tcPr>
            <w:tcW w:w="1972" w:type="dxa"/>
          </w:tcPr>
          <w:p>
            <w:pPr>
              <w:pStyle w:val="TableParagraph"/>
              <w:spacing w:before="64"/>
              <w:ind w:left="584"/>
              <w:rPr>
                <w:sz w:val="24"/>
              </w:rPr>
            </w:pPr>
            <w:r>
              <w:rPr>
                <w:spacing w:val="-2"/>
                <w:sz w:val="24"/>
              </w:rPr>
              <w:t>30.41</w:t>
            </w:r>
          </w:p>
        </w:tc>
        <w:tc>
          <w:tcPr>
            <w:tcW w:w="2235" w:type="dxa"/>
          </w:tcPr>
          <w:p>
            <w:pPr>
              <w:pStyle w:val="TableParagraph"/>
              <w:spacing w:before="64"/>
              <w:jc w:val="center"/>
              <w:rPr>
                <w:sz w:val="24"/>
              </w:rPr>
            </w:pPr>
            <w:r>
              <w:rPr>
                <w:spacing w:val="-2"/>
                <w:sz w:val="24"/>
              </w:rPr>
              <w:t>40.52</w:t>
            </w:r>
          </w:p>
        </w:tc>
      </w:tr>
      <w:tr>
        <w:trPr>
          <w:trHeight w:val="414" w:hRule="atLeast"/>
        </w:trPr>
        <w:tc>
          <w:tcPr>
            <w:tcW w:w="1722" w:type="dxa"/>
          </w:tcPr>
          <w:p>
            <w:pPr>
              <w:pStyle w:val="TableParagraph"/>
              <w:rPr>
                <w:sz w:val="24"/>
              </w:rPr>
            </w:pPr>
          </w:p>
        </w:tc>
        <w:tc>
          <w:tcPr>
            <w:tcW w:w="3027" w:type="dxa"/>
          </w:tcPr>
          <w:p>
            <w:pPr>
              <w:pStyle w:val="TableParagraph"/>
              <w:spacing w:before="63"/>
              <w:ind w:left="115"/>
              <w:jc w:val="center"/>
              <w:rPr>
                <w:sz w:val="24"/>
              </w:rPr>
            </w:pPr>
            <w:r>
              <w:rPr>
                <w:spacing w:val="-5"/>
                <w:sz w:val="24"/>
              </w:rPr>
              <w:t>428</w:t>
            </w:r>
          </w:p>
        </w:tc>
        <w:tc>
          <w:tcPr>
            <w:tcW w:w="1972" w:type="dxa"/>
          </w:tcPr>
          <w:p>
            <w:pPr>
              <w:pStyle w:val="TableParagraph"/>
              <w:spacing w:before="63"/>
              <w:ind w:left="584"/>
              <w:rPr>
                <w:sz w:val="24"/>
              </w:rPr>
            </w:pPr>
            <w:r>
              <w:rPr>
                <w:spacing w:val="-2"/>
                <w:sz w:val="24"/>
              </w:rPr>
              <w:t>37.86</w:t>
            </w:r>
          </w:p>
        </w:tc>
        <w:tc>
          <w:tcPr>
            <w:tcW w:w="2235" w:type="dxa"/>
          </w:tcPr>
          <w:p>
            <w:pPr>
              <w:pStyle w:val="TableParagraph"/>
              <w:spacing w:before="63"/>
              <w:jc w:val="center"/>
              <w:rPr>
                <w:sz w:val="24"/>
              </w:rPr>
            </w:pPr>
            <w:r>
              <w:rPr>
                <w:spacing w:val="-2"/>
                <w:sz w:val="24"/>
              </w:rPr>
              <w:t>48.21</w:t>
            </w:r>
          </w:p>
        </w:tc>
      </w:tr>
      <w:tr>
        <w:trPr>
          <w:trHeight w:val="414" w:hRule="atLeast"/>
        </w:trPr>
        <w:tc>
          <w:tcPr>
            <w:tcW w:w="1722" w:type="dxa"/>
          </w:tcPr>
          <w:p>
            <w:pPr>
              <w:pStyle w:val="TableParagraph"/>
              <w:rPr>
                <w:sz w:val="24"/>
              </w:rPr>
            </w:pPr>
          </w:p>
        </w:tc>
        <w:tc>
          <w:tcPr>
            <w:tcW w:w="3027" w:type="dxa"/>
          </w:tcPr>
          <w:p>
            <w:pPr>
              <w:pStyle w:val="TableParagraph"/>
              <w:spacing w:before="65"/>
              <w:ind w:left="115"/>
              <w:jc w:val="center"/>
              <w:rPr>
                <w:sz w:val="24"/>
              </w:rPr>
            </w:pPr>
            <w:r>
              <w:rPr>
                <w:spacing w:val="-5"/>
                <w:sz w:val="24"/>
              </w:rPr>
              <w:t>303</w:t>
            </w:r>
          </w:p>
        </w:tc>
        <w:tc>
          <w:tcPr>
            <w:tcW w:w="1972" w:type="dxa"/>
          </w:tcPr>
          <w:p>
            <w:pPr>
              <w:pStyle w:val="TableParagraph"/>
              <w:spacing w:before="65"/>
              <w:ind w:left="584"/>
              <w:rPr>
                <w:sz w:val="24"/>
              </w:rPr>
            </w:pPr>
            <w:r>
              <w:rPr>
                <w:spacing w:val="-2"/>
                <w:sz w:val="24"/>
              </w:rPr>
              <w:t>74.42</w:t>
            </w:r>
          </w:p>
        </w:tc>
        <w:tc>
          <w:tcPr>
            <w:tcW w:w="2235" w:type="dxa"/>
          </w:tcPr>
          <w:p>
            <w:pPr>
              <w:pStyle w:val="TableParagraph"/>
              <w:spacing w:before="65"/>
              <w:jc w:val="center"/>
              <w:rPr>
                <w:sz w:val="24"/>
              </w:rPr>
            </w:pPr>
            <w:r>
              <w:rPr>
                <w:spacing w:val="-2"/>
                <w:sz w:val="24"/>
              </w:rPr>
              <w:t>77.51</w:t>
            </w:r>
          </w:p>
        </w:tc>
      </w:tr>
      <w:tr>
        <w:trPr>
          <w:trHeight w:val="620" w:hRule="atLeast"/>
        </w:trPr>
        <w:tc>
          <w:tcPr>
            <w:tcW w:w="1722" w:type="dxa"/>
          </w:tcPr>
          <w:p>
            <w:pPr>
              <w:pStyle w:val="TableParagraph"/>
              <w:rPr>
                <w:sz w:val="24"/>
              </w:rPr>
            </w:pPr>
          </w:p>
        </w:tc>
        <w:tc>
          <w:tcPr>
            <w:tcW w:w="3027" w:type="dxa"/>
          </w:tcPr>
          <w:p>
            <w:pPr>
              <w:pStyle w:val="TableParagraph"/>
              <w:spacing w:before="63"/>
              <w:ind w:left="115"/>
              <w:jc w:val="center"/>
              <w:rPr>
                <w:sz w:val="24"/>
              </w:rPr>
            </w:pPr>
            <w:r>
              <w:rPr>
                <w:spacing w:val="-5"/>
                <w:sz w:val="24"/>
              </w:rPr>
              <w:t>125</w:t>
            </w:r>
          </w:p>
        </w:tc>
        <w:tc>
          <w:tcPr>
            <w:tcW w:w="1972" w:type="dxa"/>
          </w:tcPr>
          <w:p>
            <w:pPr>
              <w:pStyle w:val="TableParagraph"/>
              <w:spacing w:before="63"/>
              <w:ind w:left="524"/>
              <w:rPr>
                <w:sz w:val="24"/>
              </w:rPr>
            </w:pPr>
            <w:r>
              <w:rPr>
                <w:spacing w:val="-2"/>
                <w:sz w:val="24"/>
              </w:rPr>
              <w:t>100.00</w:t>
            </w:r>
          </w:p>
        </w:tc>
        <w:tc>
          <w:tcPr>
            <w:tcW w:w="2235" w:type="dxa"/>
          </w:tcPr>
          <w:p>
            <w:pPr>
              <w:pStyle w:val="TableParagraph"/>
              <w:spacing w:before="63"/>
              <w:jc w:val="center"/>
              <w:rPr>
                <w:sz w:val="24"/>
              </w:rPr>
            </w:pPr>
            <w:r>
              <w:rPr>
                <w:spacing w:val="-2"/>
                <w:sz w:val="24"/>
              </w:rPr>
              <w:t>100.00</w:t>
            </w:r>
          </w:p>
        </w:tc>
      </w:tr>
      <w:tr>
        <w:trPr>
          <w:trHeight w:val="620" w:hRule="atLeast"/>
        </w:trPr>
        <w:tc>
          <w:tcPr>
            <w:tcW w:w="1722" w:type="dxa"/>
          </w:tcPr>
          <w:p>
            <w:pPr>
              <w:pStyle w:val="TableParagraph"/>
              <w:spacing w:before="271"/>
              <w:ind w:left="122"/>
              <w:rPr>
                <w:sz w:val="24"/>
              </w:rPr>
            </w:pPr>
            <w:r>
              <w:rPr>
                <w:sz w:val="24"/>
              </w:rPr>
              <w:t>Corn</w:t>
            </w:r>
            <w:r>
              <w:rPr>
                <w:spacing w:val="-1"/>
                <w:sz w:val="24"/>
              </w:rPr>
              <w:t> </w:t>
            </w:r>
            <w:r>
              <w:rPr>
                <w:spacing w:val="-2"/>
                <w:sz w:val="24"/>
              </w:rPr>
              <w:t>starch</w:t>
            </w:r>
          </w:p>
        </w:tc>
        <w:tc>
          <w:tcPr>
            <w:tcW w:w="3027" w:type="dxa"/>
          </w:tcPr>
          <w:p>
            <w:pPr>
              <w:pStyle w:val="TableParagraph"/>
              <w:spacing w:before="271"/>
              <w:ind w:left="115"/>
              <w:jc w:val="center"/>
              <w:rPr>
                <w:sz w:val="24"/>
              </w:rPr>
            </w:pPr>
            <w:r>
              <w:rPr>
                <w:spacing w:val="-4"/>
                <w:sz w:val="24"/>
              </w:rPr>
              <w:t>1100</w:t>
            </w:r>
          </w:p>
        </w:tc>
        <w:tc>
          <w:tcPr>
            <w:tcW w:w="1972" w:type="dxa"/>
          </w:tcPr>
          <w:p>
            <w:pPr>
              <w:pStyle w:val="TableParagraph"/>
              <w:spacing w:before="271"/>
              <w:ind w:left="644"/>
              <w:rPr>
                <w:sz w:val="24"/>
              </w:rPr>
            </w:pPr>
            <w:r>
              <w:rPr>
                <w:spacing w:val="-4"/>
                <w:sz w:val="24"/>
              </w:rPr>
              <w:t>0.10</w:t>
            </w:r>
          </w:p>
        </w:tc>
        <w:tc>
          <w:tcPr>
            <w:tcW w:w="2235" w:type="dxa"/>
          </w:tcPr>
          <w:p>
            <w:pPr>
              <w:pStyle w:val="TableParagraph"/>
              <w:spacing w:before="271"/>
              <w:jc w:val="center"/>
              <w:rPr>
                <w:sz w:val="24"/>
              </w:rPr>
            </w:pPr>
            <w:r>
              <w:rPr>
                <w:spacing w:val="-4"/>
                <w:sz w:val="24"/>
              </w:rPr>
              <w:t>0.87</w:t>
            </w:r>
          </w:p>
        </w:tc>
      </w:tr>
      <w:tr>
        <w:trPr>
          <w:trHeight w:val="413" w:hRule="atLeast"/>
        </w:trPr>
        <w:tc>
          <w:tcPr>
            <w:tcW w:w="1722" w:type="dxa"/>
          </w:tcPr>
          <w:p>
            <w:pPr>
              <w:pStyle w:val="TableParagraph"/>
              <w:rPr>
                <w:sz w:val="24"/>
              </w:rPr>
            </w:pPr>
          </w:p>
        </w:tc>
        <w:tc>
          <w:tcPr>
            <w:tcW w:w="3027" w:type="dxa"/>
          </w:tcPr>
          <w:p>
            <w:pPr>
              <w:pStyle w:val="TableParagraph"/>
              <w:spacing w:before="63"/>
              <w:ind w:left="115"/>
              <w:jc w:val="center"/>
              <w:rPr>
                <w:sz w:val="24"/>
              </w:rPr>
            </w:pPr>
            <w:r>
              <w:rPr>
                <w:spacing w:val="-5"/>
                <w:sz w:val="24"/>
              </w:rPr>
              <w:t>855</w:t>
            </w:r>
          </w:p>
        </w:tc>
        <w:tc>
          <w:tcPr>
            <w:tcW w:w="1972" w:type="dxa"/>
          </w:tcPr>
          <w:p>
            <w:pPr>
              <w:pStyle w:val="TableParagraph"/>
              <w:spacing w:before="63"/>
              <w:ind w:left="644"/>
              <w:rPr>
                <w:sz w:val="24"/>
              </w:rPr>
            </w:pPr>
            <w:r>
              <w:rPr>
                <w:spacing w:val="-4"/>
                <w:sz w:val="24"/>
              </w:rPr>
              <w:t>4.34</w:t>
            </w:r>
          </w:p>
        </w:tc>
        <w:tc>
          <w:tcPr>
            <w:tcW w:w="2235" w:type="dxa"/>
          </w:tcPr>
          <w:p>
            <w:pPr>
              <w:pStyle w:val="TableParagraph"/>
              <w:spacing w:before="63"/>
              <w:jc w:val="center"/>
              <w:rPr>
                <w:sz w:val="24"/>
              </w:rPr>
            </w:pPr>
            <w:r>
              <w:rPr>
                <w:spacing w:val="-4"/>
                <w:sz w:val="24"/>
              </w:rPr>
              <w:t>5.41</w:t>
            </w:r>
          </w:p>
        </w:tc>
      </w:tr>
      <w:tr>
        <w:trPr>
          <w:trHeight w:val="414" w:hRule="atLeast"/>
        </w:trPr>
        <w:tc>
          <w:tcPr>
            <w:tcW w:w="1722" w:type="dxa"/>
          </w:tcPr>
          <w:p>
            <w:pPr>
              <w:pStyle w:val="TableParagraph"/>
              <w:rPr>
                <w:sz w:val="24"/>
              </w:rPr>
            </w:pPr>
          </w:p>
        </w:tc>
        <w:tc>
          <w:tcPr>
            <w:tcW w:w="3027" w:type="dxa"/>
          </w:tcPr>
          <w:p>
            <w:pPr>
              <w:pStyle w:val="TableParagraph"/>
              <w:spacing w:before="64"/>
              <w:ind w:left="115"/>
              <w:jc w:val="center"/>
              <w:rPr>
                <w:sz w:val="24"/>
              </w:rPr>
            </w:pPr>
            <w:r>
              <w:rPr>
                <w:spacing w:val="-5"/>
                <w:sz w:val="24"/>
              </w:rPr>
              <w:t>605</w:t>
            </w:r>
          </w:p>
        </w:tc>
        <w:tc>
          <w:tcPr>
            <w:tcW w:w="1972" w:type="dxa"/>
          </w:tcPr>
          <w:p>
            <w:pPr>
              <w:pStyle w:val="TableParagraph"/>
              <w:spacing w:before="64"/>
              <w:ind w:left="584"/>
              <w:rPr>
                <w:sz w:val="24"/>
              </w:rPr>
            </w:pPr>
            <w:r>
              <w:rPr>
                <w:spacing w:val="-2"/>
                <w:sz w:val="24"/>
              </w:rPr>
              <w:t>25.72</w:t>
            </w:r>
          </w:p>
        </w:tc>
        <w:tc>
          <w:tcPr>
            <w:tcW w:w="2235" w:type="dxa"/>
          </w:tcPr>
          <w:p>
            <w:pPr>
              <w:pStyle w:val="TableParagraph"/>
              <w:spacing w:before="64"/>
              <w:jc w:val="center"/>
              <w:rPr>
                <w:sz w:val="24"/>
              </w:rPr>
            </w:pPr>
            <w:r>
              <w:rPr>
                <w:spacing w:val="-2"/>
                <w:sz w:val="24"/>
              </w:rPr>
              <w:t>37.51</w:t>
            </w:r>
          </w:p>
        </w:tc>
      </w:tr>
      <w:tr>
        <w:trPr>
          <w:trHeight w:val="413" w:hRule="atLeast"/>
        </w:trPr>
        <w:tc>
          <w:tcPr>
            <w:tcW w:w="1722" w:type="dxa"/>
          </w:tcPr>
          <w:p>
            <w:pPr>
              <w:pStyle w:val="TableParagraph"/>
              <w:rPr>
                <w:sz w:val="24"/>
              </w:rPr>
            </w:pPr>
          </w:p>
        </w:tc>
        <w:tc>
          <w:tcPr>
            <w:tcW w:w="3027" w:type="dxa"/>
          </w:tcPr>
          <w:p>
            <w:pPr>
              <w:pStyle w:val="TableParagraph"/>
              <w:spacing w:before="63"/>
              <w:ind w:left="115"/>
              <w:jc w:val="center"/>
              <w:rPr>
                <w:sz w:val="24"/>
              </w:rPr>
            </w:pPr>
            <w:r>
              <w:rPr>
                <w:spacing w:val="-5"/>
                <w:sz w:val="24"/>
              </w:rPr>
              <w:t>428</w:t>
            </w:r>
          </w:p>
        </w:tc>
        <w:tc>
          <w:tcPr>
            <w:tcW w:w="1972" w:type="dxa"/>
          </w:tcPr>
          <w:p>
            <w:pPr>
              <w:pStyle w:val="TableParagraph"/>
              <w:spacing w:before="63"/>
              <w:ind w:left="584"/>
              <w:rPr>
                <w:sz w:val="24"/>
              </w:rPr>
            </w:pPr>
            <w:r>
              <w:rPr>
                <w:spacing w:val="-2"/>
                <w:sz w:val="24"/>
              </w:rPr>
              <w:t>34.68</w:t>
            </w:r>
          </w:p>
        </w:tc>
        <w:tc>
          <w:tcPr>
            <w:tcW w:w="2235" w:type="dxa"/>
          </w:tcPr>
          <w:p>
            <w:pPr>
              <w:pStyle w:val="TableParagraph"/>
              <w:spacing w:before="63"/>
              <w:jc w:val="center"/>
              <w:rPr>
                <w:sz w:val="24"/>
              </w:rPr>
            </w:pPr>
            <w:r>
              <w:rPr>
                <w:spacing w:val="-2"/>
                <w:sz w:val="24"/>
              </w:rPr>
              <w:t>49.72</w:t>
            </w:r>
          </w:p>
        </w:tc>
      </w:tr>
      <w:tr>
        <w:trPr>
          <w:trHeight w:val="414" w:hRule="atLeast"/>
        </w:trPr>
        <w:tc>
          <w:tcPr>
            <w:tcW w:w="1722" w:type="dxa"/>
          </w:tcPr>
          <w:p>
            <w:pPr>
              <w:pStyle w:val="TableParagraph"/>
              <w:rPr>
                <w:sz w:val="24"/>
              </w:rPr>
            </w:pPr>
          </w:p>
        </w:tc>
        <w:tc>
          <w:tcPr>
            <w:tcW w:w="3027" w:type="dxa"/>
          </w:tcPr>
          <w:p>
            <w:pPr>
              <w:pStyle w:val="TableParagraph"/>
              <w:spacing w:before="64"/>
              <w:ind w:left="115"/>
              <w:jc w:val="center"/>
              <w:rPr>
                <w:sz w:val="24"/>
              </w:rPr>
            </w:pPr>
            <w:r>
              <w:rPr>
                <w:spacing w:val="-5"/>
                <w:sz w:val="24"/>
              </w:rPr>
              <w:t>303</w:t>
            </w:r>
          </w:p>
        </w:tc>
        <w:tc>
          <w:tcPr>
            <w:tcW w:w="1972" w:type="dxa"/>
          </w:tcPr>
          <w:p>
            <w:pPr>
              <w:pStyle w:val="TableParagraph"/>
              <w:spacing w:before="64"/>
              <w:ind w:left="584"/>
              <w:rPr>
                <w:sz w:val="24"/>
              </w:rPr>
            </w:pPr>
            <w:r>
              <w:rPr>
                <w:spacing w:val="-2"/>
                <w:sz w:val="24"/>
              </w:rPr>
              <w:t>69.94</w:t>
            </w:r>
          </w:p>
        </w:tc>
        <w:tc>
          <w:tcPr>
            <w:tcW w:w="2235" w:type="dxa"/>
          </w:tcPr>
          <w:p>
            <w:pPr>
              <w:pStyle w:val="TableParagraph"/>
              <w:spacing w:before="64"/>
              <w:jc w:val="center"/>
              <w:rPr>
                <w:sz w:val="24"/>
              </w:rPr>
            </w:pPr>
            <w:r>
              <w:rPr>
                <w:spacing w:val="-2"/>
                <w:sz w:val="24"/>
              </w:rPr>
              <w:t>74.51</w:t>
            </w:r>
          </w:p>
        </w:tc>
      </w:tr>
      <w:tr>
        <w:trPr>
          <w:trHeight w:val="484" w:hRule="atLeast"/>
        </w:trPr>
        <w:tc>
          <w:tcPr>
            <w:tcW w:w="1722" w:type="dxa"/>
            <w:tcBorders>
              <w:bottom w:val="single" w:sz="4" w:space="0" w:color="000000"/>
            </w:tcBorders>
          </w:tcPr>
          <w:p>
            <w:pPr>
              <w:pStyle w:val="TableParagraph"/>
              <w:rPr>
                <w:sz w:val="24"/>
              </w:rPr>
            </w:pPr>
          </w:p>
        </w:tc>
        <w:tc>
          <w:tcPr>
            <w:tcW w:w="3027" w:type="dxa"/>
            <w:tcBorders>
              <w:bottom w:val="single" w:sz="4" w:space="0" w:color="000000"/>
            </w:tcBorders>
          </w:tcPr>
          <w:p>
            <w:pPr>
              <w:pStyle w:val="TableParagraph"/>
              <w:spacing w:before="63"/>
              <w:ind w:left="115"/>
              <w:jc w:val="center"/>
              <w:rPr>
                <w:sz w:val="24"/>
              </w:rPr>
            </w:pPr>
            <w:r>
              <w:rPr>
                <w:spacing w:val="-5"/>
                <w:sz w:val="24"/>
              </w:rPr>
              <w:t>125</w:t>
            </w:r>
          </w:p>
        </w:tc>
        <w:tc>
          <w:tcPr>
            <w:tcW w:w="1972" w:type="dxa"/>
            <w:tcBorders>
              <w:bottom w:val="single" w:sz="4" w:space="0" w:color="000000"/>
            </w:tcBorders>
          </w:tcPr>
          <w:p>
            <w:pPr>
              <w:pStyle w:val="TableParagraph"/>
              <w:spacing w:before="63"/>
              <w:ind w:left="524"/>
              <w:rPr>
                <w:sz w:val="24"/>
              </w:rPr>
            </w:pPr>
            <w:r>
              <w:rPr>
                <w:spacing w:val="-2"/>
                <w:sz w:val="24"/>
              </w:rPr>
              <w:t>100.00</w:t>
            </w:r>
          </w:p>
        </w:tc>
        <w:tc>
          <w:tcPr>
            <w:tcW w:w="2235" w:type="dxa"/>
            <w:tcBorders>
              <w:bottom w:val="single" w:sz="4" w:space="0" w:color="000000"/>
            </w:tcBorders>
          </w:tcPr>
          <w:p>
            <w:pPr>
              <w:pStyle w:val="TableParagraph"/>
              <w:spacing w:before="63"/>
              <w:jc w:val="center"/>
              <w:rPr>
                <w:sz w:val="24"/>
              </w:rPr>
            </w:pPr>
            <w:r>
              <w:rPr>
                <w:spacing w:val="-2"/>
                <w:sz w:val="24"/>
              </w:rPr>
              <w:t>100.00</w:t>
            </w:r>
          </w:p>
        </w:tc>
      </w:tr>
    </w:tbl>
    <w:p>
      <w:pPr>
        <w:spacing w:after="0"/>
        <w:jc w:val="center"/>
        <w:rPr>
          <w:sz w:val="24"/>
        </w:rPr>
        <w:sectPr>
          <w:pgSz w:w="12240" w:h="15840"/>
          <w:pgMar w:header="0" w:footer="1056" w:top="1340" w:bottom="1240" w:left="1420" w:right="420"/>
        </w:sectPr>
      </w:pPr>
    </w:p>
    <w:p>
      <w:pPr>
        <w:pStyle w:val="BodyText"/>
        <w:rPr>
          <w:b/>
          <w:sz w:val="20"/>
        </w:rPr>
      </w:pPr>
      <w:r>
        <w:rPr/>
        <mc:AlternateContent>
          <mc:Choice Requires="wps">
            <w:drawing>
              <wp:anchor distT="0" distB="0" distL="0" distR="0" allowOverlap="1" layoutInCell="1" locked="0" behindDoc="1" simplePos="0" relativeHeight="483010048">
                <wp:simplePos x="0" y="0"/>
                <wp:positionH relativeFrom="page">
                  <wp:posOffset>-1402226</wp:posOffset>
                </wp:positionH>
                <wp:positionV relativeFrom="page">
                  <wp:posOffset>4612234</wp:posOffset>
                </wp:positionV>
                <wp:extent cx="10685780" cy="9144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6432;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spacing w:before="43"/>
        <w:rPr>
          <w:b/>
          <w:sz w:val="20"/>
        </w:rPr>
      </w:pPr>
    </w:p>
    <w:p>
      <w:pPr>
        <w:pStyle w:val="BodyText"/>
        <w:ind w:left="745"/>
        <w:rPr>
          <w:sz w:val="20"/>
        </w:rPr>
      </w:pPr>
      <w:r>
        <w:rPr>
          <w:sz w:val="20"/>
        </w:rPr>
        <w:drawing>
          <wp:inline distT="0" distB="0" distL="0" distR="0">
            <wp:extent cx="6056108" cy="6394704"/>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53" cstate="print"/>
                    <a:stretch>
                      <a:fillRect/>
                    </a:stretch>
                  </pic:blipFill>
                  <pic:spPr>
                    <a:xfrm>
                      <a:off x="0" y="0"/>
                      <a:ext cx="6056108" cy="6394704"/>
                    </a:xfrm>
                    <a:prstGeom prst="rect">
                      <a:avLst/>
                    </a:prstGeom>
                  </pic:spPr>
                </pic:pic>
              </a:graphicData>
            </a:graphic>
          </wp:inline>
        </w:drawing>
      </w:r>
      <w:r>
        <w:rPr>
          <w:sz w:val="20"/>
        </w:rPr>
      </w:r>
    </w:p>
    <w:p>
      <w:pPr>
        <w:pStyle w:val="BodyText"/>
        <w:rPr>
          <w:b/>
        </w:rPr>
      </w:pPr>
    </w:p>
    <w:p>
      <w:pPr>
        <w:pStyle w:val="BodyText"/>
        <w:spacing w:before="245"/>
        <w:rPr>
          <w:b/>
        </w:rPr>
      </w:pPr>
    </w:p>
    <w:p>
      <w:pPr>
        <w:spacing w:line="360" w:lineRule="auto" w:before="0"/>
        <w:ind w:left="1849" w:right="0" w:hanging="1172"/>
        <w:jc w:val="left"/>
        <w:rPr>
          <w:b/>
          <w:sz w:val="24"/>
        </w:rPr>
      </w:pPr>
      <w:r>
        <w:rPr>
          <w:b/>
          <w:sz w:val="24"/>
        </w:rPr>
        <w:t>Fig.</w:t>
      </w:r>
      <w:r>
        <w:rPr>
          <w:b/>
          <w:spacing w:val="80"/>
          <w:sz w:val="24"/>
        </w:rPr>
        <w:t> </w:t>
      </w:r>
      <w:r>
        <w:rPr>
          <w:b/>
          <w:sz w:val="24"/>
        </w:rPr>
        <w:t>4.1:</w:t>
      </w:r>
      <w:r>
        <w:rPr>
          <w:b/>
          <w:spacing w:val="80"/>
          <w:sz w:val="24"/>
        </w:rPr>
        <w:t> </w:t>
      </w:r>
      <w:r>
        <w:rPr>
          <w:b/>
          <w:sz w:val="24"/>
        </w:rPr>
        <w:t>Particle</w:t>
      </w:r>
      <w:r>
        <w:rPr>
          <w:b/>
          <w:spacing w:val="80"/>
          <w:sz w:val="24"/>
        </w:rPr>
        <w:t> </w:t>
      </w:r>
      <w:r>
        <w:rPr>
          <w:b/>
          <w:sz w:val="24"/>
        </w:rPr>
        <w:t>size</w:t>
      </w:r>
      <w:r>
        <w:rPr>
          <w:b/>
          <w:spacing w:val="80"/>
          <w:sz w:val="24"/>
        </w:rPr>
        <w:t> </w:t>
      </w:r>
      <w:r>
        <w:rPr>
          <w:b/>
          <w:sz w:val="24"/>
        </w:rPr>
        <w:t>distribution</w:t>
      </w:r>
      <w:r>
        <w:rPr>
          <w:b/>
          <w:spacing w:val="80"/>
          <w:sz w:val="24"/>
        </w:rPr>
        <w:t> </w:t>
      </w:r>
      <w:r>
        <w:rPr>
          <w:b/>
          <w:sz w:val="24"/>
        </w:rPr>
        <w:t>of</w:t>
      </w:r>
      <w:r>
        <w:rPr>
          <w:b/>
          <w:spacing w:val="80"/>
          <w:sz w:val="24"/>
        </w:rPr>
        <w:t> </w:t>
      </w:r>
      <w:r>
        <w:rPr>
          <w:b/>
          <w:i/>
          <w:sz w:val="24"/>
        </w:rPr>
        <w:t>Mucuna</w:t>
      </w:r>
      <w:r>
        <w:rPr>
          <w:b/>
          <w:i/>
          <w:spacing w:val="80"/>
          <w:sz w:val="24"/>
        </w:rPr>
        <w:t> </w:t>
      </w:r>
      <w:r>
        <w:rPr>
          <w:b/>
          <w:i/>
          <w:sz w:val="24"/>
        </w:rPr>
        <w:t>pruriens</w:t>
      </w:r>
      <w:r>
        <w:rPr>
          <w:b/>
          <w:i/>
          <w:spacing w:val="80"/>
          <w:sz w:val="24"/>
        </w:rPr>
        <w:t> </w:t>
      </w:r>
      <w:r>
        <w:rPr>
          <w:b/>
          <w:sz w:val="24"/>
        </w:rPr>
        <w:t>formulations</w:t>
      </w:r>
      <w:r>
        <w:rPr>
          <w:b/>
          <w:spacing w:val="80"/>
          <w:sz w:val="24"/>
        </w:rPr>
        <w:t> </w:t>
      </w:r>
      <w:r>
        <w:rPr>
          <w:b/>
          <w:sz w:val="24"/>
        </w:rPr>
        <w:t>by</w:t>
      </w:r>
      <w:r>
        <w:rPr>
          <w:b/>
          <w:spacing w:val="80"/>
          <w:sz w:val="24"/>
        </w:rPr>
        <w:t> </w:t>
      </w:r>
      <w:r>
        <w:rPr>
          <w:b/>
          <w:sz w:val="24"/>
        </w:rPr>
        <w:t>direct </w:t>
      </w:r>
      <w:r>
        <w:rPr>
          <w:b/>
          <w:spacing w:val="-2"/>
          <w:sz w:val="24"/>
        </w:rPr>
        <w:t>compression</w:t>
      </w:r>
    </w:p>
    <w:p>
      <w:pPr>
        <w:spacing w:after="0" w:line="360" w:lineRule="auto"/>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10560">
                <wp:simplePos x="0" y="0"/>
                <wp:positionH relativeFrom="page">
                  <wp:posOffset>3861220</wp:posOffset>
                </wp:positionH>
                <wp:positionV relativeFrom="page">
                  <wp:posOffset>3734575</wp:posOffset>
                </wp:positionV>
                <wp:extent cx="1287780" cy="9144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305920;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11072">
                <wp:simplePos x="0" y="0"/>
                <wp:positionH relativeFrom="page">
                  <wp:posOffset>4288097</wp:posOffset>
                </wp:positionH>
                <wp:positionV relativeFrom="page">
                  <wp:posOffset>1617859</wp:posOffset>
                </wp:positionV>
                <wp:extent cx="3421379" cy="91440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305408;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11584">
                <wp:simplePos x="0" y="0"/>
                <wp:positionH relativeFrom="page">
                  <wp:posOffset>-316181</wp:posOffset>
                </wp:positionH>
                <wp:positionV relativeFrom="page">
                  <wp:posOffset>6721518</wp:posOffset>
                </wp:positionV>
                <wp:extent cx="5504815" cy="91440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304896;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spacing w:before="120"/>
        <w:rPr>
          <w:b/>
          <w:sz w:val="20"/>
        </w:rPr>
      </w:pPr>
    </w:p>
    <w:p>
      <w:pPr>
        <w:pStyle w:val="BodyText"/>
        <w:ind w:left="966"/>
        <w:rPr>
          <w:sz w:val="20"/>
        </w:rPr>
      </w:pPr>
      <w:r>
        <w:rPr>
          <w:sz w:val="20"/>
        </w:rPr>
        <w:drawing>
          <wp:inline distT="0" distB="0" distL="0" distR="0">
            <wp:extent cx="5378268" cy="6900672"/>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54" cstate="print"/>
                    <a:stretch>
                      <a:fillRect/>
                    </a:stretch>
                  </pic:blipFill>
                  <pic:spPr>
                    <a:xfrm>
                      <a:off x="0" y="0"/>
                      <a:ext cx="5378268" cy="6900672"/>
                    </a:xfrm>
                    <a:prstGeom prst="rect">
                      <a:avLst/>
                    </a:prstGeom>
                  </pic:spPr>
                </pic:pic>
              </a:graphicData>
            </a:graphic>
          </wp:inline>
        </w:drawing>
      </w:r>
      <w:r>
        <w:rPr>
          <w:sz w:val="20"/>
        </w:rPr>
      </w:r>
    </w:p>
    <w:p>
      <w:pPr>
        <w:pStyle w:val="BodyText"/>
        <w:spacing w:before="89"/>
        <w:rPr>
          <w:b/>
        </w:rPr>
      </w:pPr>
    </w:p>
    <w:p>
      <w:pPr>
        <w:spacing w:line="360" w:lineRule="auto" w:before="0"/>
        <w:ind w:left="1669" w:right="1041" w:hanging="992"/>
        <w:jc w:val="left"/>
        <w:rPr>
          <w:b/>
          <w:sz w:val="24"/>
        </w:rPr>
      </w:pPr>
      <w:r>
        <w:rPr>
          <w:b/>
          <w:sz w:val="24"/>
        </w:rPr>
        <w:t>Fig. 4.2: Granule size distribution of </w:t>
      </w:r>
      <w:r>
        <w:rPr>
          <w:b/>
          <w:i/>
          <w:sz w:val="24"/>
        </w:rPr>
        <w:t>Mucuna pruriens </w:t>
      </w:r>
      <w:r>
        <w:rPr>
          <w:b/>
          <w:sz w:val="24"/>
        </w:rPr>
        <w:t>formulations containing 0%, 1% and 4% of binder</w:t>
      </w:r>
    </w:p>
    <w:p>
      <w:pPr>
        <w:spacing w:after="0" w:line="360" w:lineRule="auto"/>
        <w:jc w:val="left"/>
        <w:rPr>
          <w:sz w:val="24"/>
        </w:rPr>
        <w:sectPr>
          <w:pgSz w:w="12240" w:h="15840"/>
          <w:pgMar w:header="0" w:footer="1056" w:top="1820" w:bottom="1240" w:left="1420" w:right="420"/>
        </w:sectPr>
      </w:pPr>
    </w:p>
    <w:p>
      <w:pPr>
        <w:spacing w:line="360" w:lineRule="auto" w:before="77"/>
        <w:ind w:left="678" w:right="1041" w:firstLine="0"/>
        <w:jc w:val="left"/>
        <w:rPr>
          <w:b/>
          <w:sz w:val="24"/>
        </w:rPr>
      </w:pPr>
      <w:r>
        <w:rPr/>
        <mc:AlternateContent>
          <mc:Choice Requires="wps">
            <w:drawing>
              <wp:anchor distT="0" distB="0" distL="0" distR="0" allowOverlap="1" layoutInCell="1" locked="0" behindDoc="1" simplePos="0" relativeHeight="483012096">
                <wp:simplePos x="0" y="0"/>
                <wp:positionH relativeFrom="page">
                  <wp:posOffset>-1402226</wp:posOffset>
                </wp:positionH>
                <wp:positionV relativeFrom="page">
                  <wp:posOffset>4612234</wp:posOffset>
                </wp:positionV>
                <wp:extent cx="10685780" cy="91440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438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 4.4: Values of mean granule size (G) of </w:t>
      </w:r>
      <w:r>
        <w:rPr>
          <w:b/>
          <w:i/>
          <w:sz w:val="24"/>
        </w:rPr>
        <w:t>Mucuna pruriens </w:t>
      </w:r>
      <w:r>
        <w:rPr>
          <w:b/>
          <w:sz w:val="24"/>
        </w:rPr>
        <w:t>granules containing</w:t>
      </w:r>
      <w:r>
        <w:rPr>
          <w:b/>
          <w:spacing w:val="40"/>
          <w:sz w:val="24"/>
        </w:rPr>
        <w:t> </w:t>
      </w:r>
      <w:r>
        <w:rPr>
          <w:b/>
          <w:sz w:val="24"/>
        </w:rPr>
        <w:t>no binder, PVP, corn starch as binders.</w:t>
      </w:r>
    </w:p>
    <w:p>
      <w:pPr>
        <w:pStyle w:val="BodyText"/>
        <w:rPr>
          <w:b/>
          <w:sz w:val="20"/>
        </w:rPr>
      </w:pPr>
    </w:p>
    <w:p>
      <w:pPr>
        <w:pStyle w:val="BodyText"/>
        <w:spacing w:before="93" w:after="1"/>
        <w:rPr>
          <w:b/>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3"/>
        <w:gridCol w:w="3630"/>
        <w:gridCol w:w="3025"/>
      </w:tblGrid>
      <w:tr>
        <w:trPr>
          <w:trHeight w:val="551" w:hRule="atLeast"/>
        </w:trPr>
        <w:tc>
          <w:tcPr>
            <w:tcW w:w="2293"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Binder</w:t>
            </w:r>
          </w:p>
        </w:tc>
        <w:tc>
          <w:tcPr>
            <w:tcW w:w="3630" w:type="dxa"/>
            <w:tcBorders>
              <w:top w:val="single" w:sz="4" w:space="0" w:color="000000"/>
              <w:bottom w:val="single" w:sz="4" w:space="0" w:color="000000"/>
            </w:tcBorders>
          </w:tcPr>
          <w:p>
            <w:pPr>
              <w:pStyle w:val="TableParagraph"/>
              <w:spacing w:line="273" w:lineRule="exact"/>
              <w:ind w:left="745"/>
              <w:jc w:val="center"/>
              <w:rPr>
                <w:b/>
                <w:sz w:val="24"/>
              </w:rPr>
            </w:pPr>
            <w:r>
              <w:rPr>
                <w:b/>
                <w:sz w:val="24"/>
              </w:rPr>
              <w:t>Concentration</w:t>
            </w:r>
            <w:r>
              <w:rPr>
                <w:b/>
                <w:spacing w:val="-4"/>
                <w:sz w:val="24"/>
              </w:rPr>
              <w:t> </w:t>
            </w:r>
            <w:r>
              <w:rPr>
                <w:b/>
                <w:spacing w:val="-2"/>
                <w:sz w:val="24"/>
              </w:rPr>
              <w:t>(%</w:t>
            </w:r>
            <w:r>
              <w:rPr>
                <w:b/>
                <w:spacing w:val="-2"/>
                <w:sz w:val="24"/>
                <w:vertAlign w:val="superscript"/>
              </w:rPr>
              <w:t>w</w:t>
            </w:r>
            <w:r>
              <w:rPr>
                <w:b/>
                <w:spacing w:val="-2"/>
                <w:sz w:val="24"/>
                <w:vertAlign w:val="baseline"/>
              </w:rPr>
              <w:t>/</w:t>
            </w:r>
            <w:r>
              <w:rPr>
                <w:b/>
                <w:spacing w:val="-2"/>
                <w:sz w:val="24"/>
                <w:vertAlign w:val="subscript"/>
              </w:rPr>
              <w:t>w</w:t>
            </w:r>
            <w:r>
              <w:rPr>
                <w:b/>
                <w:spacing w:val="-2"/>
                <w:sz w:val="24"/>
                <w:vertAlign w:val="baseline"/>
              </w:rPr>
              <w:t>)</w:t>
            </w:r>
          </w:p>
        </w:tc>
        <w:tc>
          <w:tcPr>
            <w:tcW w:w="3025" w:type="dxa"/>
            <w:tcBorders>
              <w:top w:val="single" w:sz="4" w:space="0" w:color="000000"/>
              <w:bottom w:val="single" w:sz="4" w:space="0" w:color="000000"/>
            </w:tcBorders>
          </w:tcPr>
          <w:p>
            <w:pPr>
              <w:pStyle w:val="TableParagraph"/>
              <w:spacing w:line="273" w:lineRule="exact"/>
              <w:ind w:left="44" w:right="3"/>
              <w:jc w:val="center"/>
              <w:rPr>
                <w:b/>
                <w:sz w:val="24"/>
              </w:rPr>
            </w:pPr>
            <w:r>
              <w:rPr>
                <w:b/>
                <w:sz w:val="24"/>
              </w:rPr>
              <w:t>Mean</w:t>
            </w:r>
            <w:r>
              <w:rPr>
                <w:b/>
                <w:spacing w:val="-4"/>
                <w:sz w:val="24"/>
              </w:rPr>
              <w:t> </w:t>
            </w:r>
            <w:r>
              <w:rPr>
                <w:b/>
                <w:sz w:val="24"/>
              </w:rPr>
              <w:t>granule</w:t>
            </w:r>
            <w:r>
              <w:rPr>
                <w:b/>
                <w:spacing w:val="-1"/>
                <w:sz w:val="24"/>
              </w:rPr>
              <w:t> </w:t>
            </w:r>
            <w:r>
              <w:rPr>
                <w:b/>
                <w:sz w:val="24"/>
              </w:rPr>
              <w:t>size</w:t>
            </w:r>
            <w:r>
              <w:rPr>
                <w:b/>
                <w:spacing w:val="-2"/>
                <w:sz w:val="24"/>
              </w:rPr>
              <w:t> </w:t>
            </w:r>
            <w:r>
              <w:rPr>
                <w:b/>
                <w:spacing w:val="-4"/>
                <w:sz w:val="24"/>
              </w:rPr>
              <w:t>(µm)</w:t>
            </w:r>
          </w:p>
        </w:tc>
      </w:tr>
      <w:tr>
        <w:trPr>
          <w:trHeight w:val="686" w:hRule="atLeast"/>
        </w:trPr>
        <w:tc>
          <w:tcPr>
            <w:tcW w:w="2293" w:type="dxa"/>
            <w:tcBorders>
              <w:top w:val="single" w:sz="4" w:space="0" w:color="000000"/>
            </w:tcBorders>
          </w:tcPr>
          <w:p>
            <w:pPr>
              <w:pStyle w:val="TableParagraph"/>
              <w:spacing w:line="268" w:lineRule="exact"/>
              <w:ind w:left="115"/>
              <w:rPr>
                <w:sz w:val="24"/>
              </w:rPr>
            </w:pPr>
            <w:r>
              <w:rPr>
                <w:spacing w:val="-10"/>
                <w:sz w:val="24"/>
              </w:rPr>
              <w:t>-</w:t>
            </w:r>
          </w:p>
        </w:tc>
        <w:tc>
          <w:tcPr>
            <w:tcW w:w="3630" w:type="dxa"/>
            <w:tcBorders>
              <w:top w:val="single" w:sz="4" w:space="0" w:color="000000"/>
            </w:tcBorders>
          </w:tcPr>
          <w:p>
            <w:pPr>
              <w:pStyle w:val="TableParagraph"/>
              <w:spacing w:line="268" w:lineRule="exact"/>
              <w:ind w:left="745" w:right="6"/>
              <w:jc w:val="center"/>
              <w:rPr>
                <w:sz w:val="24"/>
              </w:rPr>
            </w:pPr>
            <w:r>
              <w:rPr>
                <w:spacing w:val="-4"/>
                <w:sz w:val="24"/>
              </w:rPr>
              <w:t>0.00</w:t>
            </w:r>
          </w:p>
        </w:tc>
        <w:tc>
          <w:tcPr>
            <w:tcW w:w="3025" w:type="dxa"/>
            <w:tcBorders>
              <w:top w:val="single" w:sz="4" w:space="0" w:color="000000"/>
            </w:tcBorders>
          </w:tcPr>
          <w:p>
            <w:pPr>
              <w:pStyle w:val="TableParagraph"/>
              <w:spacing w:line="268" w:lineRule="exact"/>
              <w:ind w:left="44"/>
              <w:jc w:val="center"/>
              <w:rPr>
                <w:sz w:val="24"/>
              </w:rPr>
            </w:pPr>
            <w:r>
              <w:rPr>
                <w:spacing w:val="-5"/>
                <w:sz w:val="24"/>
              </w:rPr>
              <w:t>390</w:t>
            </w:r>
          </w:p>
        </w:tc>
      </w:tr>
      <w:tr>
        <w:trPr>
          <w:trHeight w:val="828" w:hRule="atLeast"/>
        </w:trPr>
        <w:tc>
          <w:tcPr>
            <w:tcW w:w="2293" w:type="dxa"/>
          </w:tcPr>
          <w:p>
            <w:pPr>
              <w:pStyle w:val="TableParagraph"/>
              <w:spacing w:before="132"/>
              <w:rPr>
                <w:b/>
                <w:sz w:val="24"/>
              </w:rPr>
            </w:pPr>
          </w:p>
          <w:p>
            <w:pPr>
              <w:pStyle w:val="TableParagraph"/>
              <w:spacing w:before="1"/>
              <w:ind w:left="115"/>
              <w:rPr>
                <w:sz w:val="24"/>
              </w:rPr>
            </w:pPr>
            <w:r>
              <w:rPr>
                <w:spacing w:val="-5"/>
                <w:sz w:val="24"/>
              </w:rPr>
              <w:t>PVP</w:t>
            </w:r>
          </w:p>
        </w:tc>
        <w:tc>
          <w:tcPr>
            <w:tcW w:w="3630" w:type="dxa"/>
          </w:tcPr>
          <w:p>
            <w:pPr>
              <w:pStyle w:val="TableParagraph"/>
              <w:spacing w:before="132"/>
              <w:rPr>
                <w:b/>
                <w:sz w:val="24"/>
              </w:rPr>
            </w:pPr>
          </w:p>
          <w:p>
            <w:pPr>
              <w:pStyle w:val="TableParagraph"/>
              <w:spacing w:before="1"/>
              <w:ind w:left="745" w:right="4"/>
              <w:jc w:val="center"/>
              <w:rPr>
                <w:sz w:val="24"/>
              </w:rPr>
            </w:pPr>
            <w:r>
              <w:rPr>
                <w:spacing w:val="-10"/>
                <w:sz w:val="24"/>
              </w:rPr>
              <w:t>1</w:t>
            </w:r>
          </w:p>
        </w:tc>
        <w:tc>
          <w:tcPr>
            <w:tcW w:w="3025" w:type="dxa"/>
          </w:tcPr>
          <w:p>
            <w:pPr>
              <w:pStyle w:val="TableParagraph"/>
              <w:spacing w:before="132"/>
              <w:rPr>
                <w:b/>
                <w:sz w:val="24"/>
              </w:rPr>
            </w:pPr>
          </w:p>
          <w:p>
            <w:pPr>
              <w:pStyle w:val="TableParagraph"/>
              <w:spacing w:before="1"/>
              <w:ind w:left="44"/>
              <w:jc w:val="center"/>
              <w:rPr>
                <w:sz w:val="24"/>
              </w:rPr>
            </w:pPr>
            <w:r>
              <w:rPr>
                <w:spacing w:val="-5"/>
                <w:sz w:val="24"/>
              </w:rPr>
              <w:t>410</w:t>
            </w:r>
          </w:p>
        </w:tc>
      </w:tr>
      <w:tr>
        <w:trPr>
          <w:trHeight w:val="828" w:hRule="atLeast"/>
        </w:trPr>
        <w:tc>
          <w:tcPr>
            <w:tcW w:w="2293" w:type="dxa"/>
          </w:tcPr>
          <w:p>
            <w:pPr>
              <w:pStyle w:val="TableParagraph"/>
              <w:rPr>
                <w:sz w:val="22"/>
              </w:rPr>
            </w:pPr>
          </w:p>
        </w:tc>
        <w:tc>
          <w:tcPr>
            <w:tcW w:w="3630" w:type="dxa"/>
          </w:tcPr>
          <w:p>
            <w:pPr>
              <w:pStyle w:val="TableParagraph"/>
              <w:spacing w:before="133"/>
              <w:ind w:left="745" w:right="4"/>
              <w:jc w:val="center"/>
              <w:rPr>
                <w:sz w:val="24"/>
              </w:rPr>
            </w:pPr>
            <w:r>
              <w:rPr>
                <w:spacing w:val="-10"/>
                <w:sz w:val="24"/>
              </w:rPr>
              <w:t>4</w:t>
            </w:r>
          </w:p>
        </w:tc>
        <w:tc>
          <w:tcPr>
            <w:tcW w:w="3025" w:type="dxa"/>
          </w:tcPr>
          <w:p>
            <w:pPr>
              <w:pStyle w:val="TableParagraph"/>
              <w:spacing w:before="133"/>
              <w:ind w:left="44"/>
              <w:jc w:val="center"/>
              <w:rPr>
                <w:sz w:val="24"/>
              </w:rPr>
            </w:pPr>
            <w:r>
              <w:rPr>
                <w:spacing w:val="-5"/>
                <w:sz w:val="24"/>
              </w:rPr>
              <w:t>520</w:t>
            </w:r>
          </w:p>
        </w:tc>
      </w:tr>
      <w:tr>
        <w:trPr>
          <w:trHeight w:val="827" w:hRule="atLeast"/>
        </w:trPr>
        <w:tc>
          <w:tcPr>
            <w:tcW w:w="2293" w:type="dxa"/>
          </w:tcPr>
          <w:p>
            <w:pPr>
              <w:pStyle w:val="TableParagraph"/>
              <w:spacing w:before="132"/>
              <w:rPr>
                <w:b/>
                <w:sz w:val="24"/>
              </w:rPr>
            </w:pPr>
          </w:p>
          <w:p>
            <w:pPr>
              <w:pStyle w:val="TableParagraph"/>
              <w:spacing w:before="1"/>
              <w:ind w:left="115"/>
              <w:rPr>
                <w:sz w:val="24"/>
              </w:rPr>
            </w:pPr>
            <w:r>
              <w:rPr>
                <w:sz w:val="24"/>
              </w:rPr>
              <w:t>Corn</w:t>
            </w:r>
            <w:r>
              <w:rPr>
                <w:spacing w:val="-1"/>
                <w:sz w:val="24"/>
              </w:rPr>
              <w:t> </w:t>
            </w:r>
            <w:r>
              <w:rPr>
                <w:spacing w:val="-2"/>
                <w:sz w:val="24"/>
              </w:rPr>
              <w:t>starch</w:t>
            </w:r>
          </w:p>
        </w:tc>
        <w:tc>
          <w:tcPr>
            <w:tcW w:w="3630" w:type="dxa"/>
          </w:tcPr>
          <w:p>
            <w:pPr>
              <w:pStyle w:val="TableParagraph"/>
              <w:spacing w:before="132"/>
              <w:rPr>
                <w:b/>
                <w:sz w:val="24"/>
              </w:rPr>
            </w:pPr>
          </w:p>
          <w:p>
            <w:pPr>
              <w:pStyle w:val="TableParagraph"/>
              <w:spacing w:before="1"/>
              <w:ind w:left="745" w:right="4"/>
              <w:jc w:val="center"/>
              <w:rPr>
                <w:sz w:val="24"/>
              </w:rPr>
            </w:pPr>
            <w:r>
              <w:rPr>
                <w:spacing w:val="-10"/>
                <w:sz w:val="24"/>
              </w:rPr>
              <w:t>1</w:t>
            </w:r>
          </w:p>
        </w:tc>
        <w:tc>
          <w:tcPr>
            <w:tcW w:w="3025" w:type="dxa"/>
          </w:tcPr>
          <w:p>
            <w:pPr>
              <w:pStyle w:val="TableParagraph"/>
              <w:spacing w:before="132"/>
              <w:rPr>
                <w:b/>
                <w:sz w:val="24"/>
              </w:rPr>
            </w:pPr>
          </w:p>
          <w:p>
            <w:pPr>
              <w:pStyle w:val="TableParagraph"/>
              <w:spacing w:before="1"/>
              <w:ind w:left="44"/>
              <w:jc w:val="center"/>
              <w:rPr>
                <w:sz w:val="24"/>
              </w:rPr>
            </w:pPr>
            <w:r>
              <w:rPr>
                <w:spacing w:val="-5"/>
                <w:sz w:val="24"/>
              </w:rPr>
              <w:t>400</w:t>
            </w:r>
          </w:p>
        </w:tc>
      </w:tr>
      <w:tr>
        <w:trPr>
          <w:trHeight w:val="692" w:hRule="atLeast"/>
        </w:trPr>
        <w:tc>
          <w:tcPr>
            <w:tcW w:w="2293" w:type="dxa"/>
            <w:tcBorders>
              <w:bottom w:val="single" w:sz="4" w:space="0" w:color="000000"/>
            </w:tcBorders>
          </w:tcPr>
          <w:p>
            <w:pPr>
              <w:pStyle w:val="TableParagraph"/>
              <w:rPr>
                <w:sz w:val="22"/>
              </w:rPr>
            </w:pPr>
          </w:p>
        </w:tc>
        <w:tc>
          <w:tcPr>
            <w:tcW w:w="3630" w:type="dxa"/>
            <w:tcBorders>
              <w:bottom w:val="single" w:sz="4" w:space="0" w:color="000000"/>
            </w:tcBorders>
          </w:tcPr>
          <w:p>
            <w:pPr>
              <w:pStyle w:val="TableParagraph"/>
              <w:spacing w:before="133"/>
              <w:ind w:left="745" w:right="4"/>
              <w:jc w:val="center"/>
              <w:rPr>
                <w:sz w:val="24"/>
              </w:rPr>
            </w:pPr>
            <w:r>
              <w:rPr>
                <w:spacing w:val="-10"/>
                <w:sz w:val="24"/>
              </w:rPr>
              <w:t>4</w:t>
            </w:r>
          </w:p>
        </w:tc>
        <w:tc>
          <w:tcPr>
            <w:tcW w:w="3025" w:type="dxa"/>
            <w:tcBorders>
              <w:bottom w:val="single" w:sz="4" w:space="0" w:color="000000"/>
            </w:tcBorders>
          </w:tcPr>
          <w:p>
            <w:pPr>
              <w:pStyle w:val="TableParagraph"/>
              <w:spacing w:before="133"/>
              <w:ind w:left="44"/>
              <w:jc w:val="center"/>
              <w:rPr>
                <w:sz w:val="24"/>
              </w:rPr>
            </w:pPr>
            <w:r>
              <w:rPr>
                <w:spacing w:val="-5"/>
                <w:sz w:val="24"/>
              </w:rPr>
              <w:t>510</w:t>
            </w:r>
          </w:p>
        </w:tc>
      </w:tr>
    </w:tbl>
    <w:p>
      <w:pPr>
        <w:spacing w:after="0"/>
        <w:jc w:val="center"/>
        <w:rPr>
          <w:sz w:val="24"/>
        </w:rPr>
        <w:sectPr>
          <w:pgSz w:w="12240" w:h="15840"/>
          <w:pgMar w:header="0" w:footer="1056" w:top="1340" w:bottom="1240" w:left="1420" w:right="420"/>
        </w:sectPr>
      </w:pPr>
    </w:p>
    <w:p>
      <w:pPr>
        <w:spacing w:before="77"/>
        <w:ind w:left="678" w:right="0" w:firstLine="0"/>
        <w:jc w:val="left"/>
        <w:rPr>
          <w:b/>
          <w:sz w:val="24"/>
        </w:rPr>
      </w:pPr>
      <w:r>
        <w:rPr/>
        <mc:AlternateContent>
          <mc:Choice Requires="wps">
            <w:drawing>
              <wp:anchor distT="0" distB="0" distL="0" distR="0" allowOverlap="1" layoutInCell="1" locked="0" behindDoc="1" simplePos="0" relativeHeight="483012608">
                <wp:simplePos x="0" y="0"/>
                <wp:positionH relativeFrom="page">
                  <wp:posOffset>-1402226</wp:posOffset>
                </wp:positionH>
                <wp:positionV relativeFrom="page">
                  <wp:posOffset>4612234</wp:posOffset>
                </wp:positionV>
                <wp:extent cx="10685780" cy="9144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387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2"/>
          <w:sz w:val="24"/>
        </w:rPr>
        <w:t> </w:t>
      </w:r>
      <w:r>
        <w:rPr>
          <w:b/>
          <w:sz w:val="24"/>
        </w:rPr>
        <w:t>4.5:</w:t>
      </w:r>
      <w:r>
        <w:rPr>
          <w:b/>
          <w:spacing w:val="-3"/>
          <w:sz w:val="24"/>
        </w:rPr>
        <w:t> </w:t>
      </w:r>
      <w:r>
        <w:rPr>
          <w:b/>
          <w:sz w:val="24"/>
        </w:rPr>
        <w:t>Uniformity</w:t>
      </w:r>
      <w:r>
        <w:rPr>
          <w:b/>
          <w:spacing w:val="-2"/>
          <w:sz w:val="24"/>
        </w:rPr>
        <w:t> </w:t>
      </w:r>
      <w:r>
        <w:rPr>
          <w:b/>
          <w:sz w:val="24"/>
        </w:rPr>
        <w:t>of weight</w:t>
      </w:r>
      <w:r>
        <w:rPr>
          <w:b/>
          <w:spacing w:val="-2"/>
          <w:sz w:val="24"/>
        </w:rPr>
        <w:t> </w:t>
      </w:r>
      <w:r>
        <w:rPr>
          <w:b/>
          <w:sz w:val="24"/>
        </w:rPr>
        <w:t>of</w:t>
      </w:r>
      <w:r>
        <w:rPr>
          <w:b/>
          <w:spacing w:val="-1"/>
          <w:sz w:val="24"/>
        </w:rPr>
        <w:t> </w:t>
      </w:r>
      <w:r>
        <w:rPr>
          <w:b/>
          <w:sz w:val="24"/>
        </w:rPr>
        <w:t>the tablets</w:t>
      </w:r>
      <w:r>
        <w:rPr>
          <w:b/>
          <w:spacing w:val="-1"/>
          <w:sz w:val="24"/>
        </w:rPr>
        <w:t> </w:t>
      </w:r>
      <w:r>
        <w:rPr>
          <w:b/>
          <w:sz w:val="24"/>
        </w:rPr>
        <w:t>prepared</w:t>
      </w:r>
      <w:r>
        <w:rPr>
          <w:b/>
          <w:spacing w:val="-2"/>
          <w:sz w:val="24"/>
        </w:rPr>
        <w:t> </w:t>
      </w:r>
      <w:r>
        <w:rPr>
          <w:b/>
          <w:sz w:val="24"/>
        </w:rPr>
        <w:t>by</w:t>
      </w:r>
      <w:r>
        <w:rPr>
          <w:b/>
          <w:spacing w:val="-1"/>
          <w:sz w:val="24"/>
        </w:rPr>
        <w:t> </w:t>
      </w:r>
      <w:r>
        <w:rPr>
          <w:b/>
          <w:sz w:val="24"/>
        </w:rPr>
        <w:t>direct</w:t>
      </w:r>
      <w:r>
        <w:rPr>
          <w:b/>
          <w:spacing w:val="-1"/>
          <w:sz w:val="24"/>
        </w:rPr>
        <w:t> </w:t>
      </w:r>
      <w:r>
        <w:rPr>
          <w:b/>
          <w:sz w:val="24"/>
        </w:rPr>
        <w:t>compression</w:t>
      </w:r>
      <w:r>
        <w:rPr>
          <w:b/>
          <w:spacing w:val="-1"/>
          <w:sz w:val="24"/>
        </w:rPr>
        <w:t> </w:t>
      </w:r>
      <w:r>
        <w:rPr>
          <w:b/>
          <w:spacing w:val="-4"/>
          <w:sz w:val="24"/>
        </w:rPr>
        <w:t>(DC)</w:t>
      </w:r>
    </w:p>
    <w:p>
      <w:pPr>
        <w:pStyle w:val="BodyText"/>
        <w:rPr>
          <w:b/>
          <w:sz w:val="20"/>
        </w:rPr>
      </w:pPr>
    </w:p>
    <w:p>
      <w:pPr>
        <w:pStyle w:val="BodyText"/>
        <w:spacing w:before="218"/>
        <w:rPr>
          <w:b/>
          <w:sz w:val="20"/>
        </w:rPr>
      </w:pPr>
    </w:p>
    <w:tbl>
      <w:tblPr>
        <w:tblW w:w="0" w:type="auto"/>
        <w:jc w:val="left"/>
        <w:tblInd w:w="1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2"/>
        <w:gridCol w:w="1752"/>
        <w:gridCol w:w="1565"/>
        <w:gridCol w:w="1446"/>
        <w:gridCol w:w="1480"/>
      </w:tblGrid>
      <w:tr>
        <w:trPr>
          <w:trHeight w:val="1240" w:hRule="atLeast"/>
        </w:trPr>
        <w:tc>
          <w:tcPr>
            <w:tcW w:w="1532" w:type="dxa"/>
            <w:tcBorders>
              <w:top w:val="single" w:sz="4" w:space="0" w:color="000000"/>
              <w:bottom w:val="single" w:sz="4" w:space="0" w:color="000000"/>
            </w:tcBorders>
          </w:tcPr>
          <w:p>
            <w:pPr>
              <w:pStyle w:val="TableParagraph"/>
              <w:spacing w:line="360" w:lineRule="auto"/>
              <w:ind w:left="170" w:firstLine="81"/>
              <w:rPr>
                <w:b/>
                <w:sz w:val="24"/>
              </w:rPr>
            </w:pPr>
            <w:r>
              <w:rPr>
                <w:b/>
                <w:sz w:val="24"/>
              </w:rPr>
              <w:t>Method of </w:t>
            </w:r>
            <w:r>
              <w:rPr>
                <w:b/>
                <w:spacing w:val="-2"/>
                <w:sz w:val="24"/>
              </w:rPr>
              <w:t>preparation</w:t>
            </w:r>
          </w:p>
        </w:tc>
        <w:tc>
          <w:tcPr>
            <w:tcW w:w="1752" w:type="dxa"/>
            <w:tcBorders>
              <w:top w:val="single" w:sz="4" w:space="0" w:color="000000"/>
              <w:bottom w:val="single" w:sz="4" w:space="0" w:color="000000"/>
            </w:tcBorders>
          </w:tcPr>
          <w:p>
            <w:pPr>
              <w:pStyle w:val="TableParagraph"/>
              <w:spacing w:line="275" w:lineRule="exact"/>
              <w:ind w:left="136"/>
              <w:rPr>
                <w:b/>
                <w:sz w:val="24"/>
              </w:rPr>
            </w:pPr>
            <w:r>
              <w:rPr>
                <w:b/>
                <w:spacing w:val="-2"/>
                <w:sz w:val="24"/>
              </w:rPr>
              <w:t>Diluent/binder</w:t>
            </w:r>
          </w:p>
        </w:tc>
        <w:tc>
          <w:tcPr>
            <w:tcW w:w="1565" w:type="dxa"/>
            <w:tcBorders>
              <w:top w:val="single" w:sz="4" w:space="0" w:color="000000"/>
              <w:bottom w:val="single" w:sz="4" w:space="0" w:color="000000"/>
            </w:tcBorders>
          </w:tcPr>
          <w:p>
            <w:pPr>
              <w:pStyle w:val="TableParagraph"/>
              <w:spacing w:line="360" w:lineRule="auto"/>
              <w:ind w:left="79" w:right="82"/>
              <w:jc w:val="center"/>
              <w:rPr>
                <w:b/>
                <w:sz w:val="24"/>
              </w:rPr>
            </w:pPr>
            <w:r>
              <w:rPr>
                <w:b/>
                <w:spacing w:val="-2"/>
                <w:sz w:val="24"/>
              </w:rPr>
              <w:t>Compression pressure</w:t>
            </w:r>
          </w:p>
          <w:p>
            <w:pPr>
              <w:pStyle w:val="TableParagraph"/>
              <w:ind w:right="82"/>
              <w:jc w:val="center"/>
              <w:rPr>
                <w:b/>
                <w:sz w:val="24"/>
              </w:rPr>
            </w:pPr>
            <w:r>
              <w:rPr>
                <w:b/>
                <w:sz w:val="24"/>
              </w:rPr>
              <w:t>(CP)</w:t>
            </w:r>
            <w:r>
              <w:rPr>
                <w:b/>
                <w:spacing w:val="57"/>
                <w:sz w:val="24"/>
              </w:rPr>
              <w:t> </w:t>
            </w:r>
            <w:r>
              <w:rPr>
                <w:b/>
                <w:spacing w:val="-5"/>
                <w:sz w:val="24"/>
              </w:rPr>
              <w:t>kN</w:t>
            </w:r>
          </w:p>
        </w:tc>
        <w:tc>
          <w:tcPr>
            <w:tcW w:w="1446" w:type="dxa"/>
            <w:tcBorders>
              <w:top w:val="single" w:sz="4" w:space="0" w:color="000000"/>
              <w:bottom w:val="single" w:sz="4" w:space="0" w:color="000000"/>
            </w:tcBorders>
          </w:tcPr>
          <w:p>
            <w:pPr>
              <w:pStyle w:val="TableParagraph"/>
              <w:spacing w:line="360" w:lineRule="auto"/>
              <w:ind w:left="112" w:right="109" w:firstLine="184"/>
              <w:rPr>
                <w:b/>
                <w:sz w:val="24"/>
              </w:rPr>
            </w:pPr>
            <w:r>
              <w:rPr>
                <w:b/>
                <w:spacing w:val="-2"/>
                <w:sz w:val="24"/>
              </w:rPr>
              <w:t>Average </w:t>
            </w:r>
            <w:r>
              <w:rPr>
                <w:b/>
                <w:sz w:val="24"/>
              </w:rPr>
              <w:t>weight</w:t>
            </w:r>
            <w:r>
              <w:rPr>
                <w:b/>
                <w:spacing w:val="-15"/>
                <w:sz w:val="24"/>
              </w:rPr>
              <w:t> </w:t>
            </w:r>
            <w:r>
              <w:rPr>
                <w:b/>
                <w:sz w:val="24"/>
              </w:rPr>
              <w:t>(mg)</w:t>
            </w:r>
          </w:p>
        </w:tc>
        <w:tc>
          <w:tcPr>
            <w:tcW w:w="1480" w:type="dxa"/>
            <w:tcBorders>
              <w:top w:val="single" w:sz="4" w:space="0" w:color="000000"/>
              <w:bottom w:val="single" w:sz="4" w:space="0" w:color="000000"/>
            </w:tcBorders>
          </w:tcPr>
          <w:p>
            <w:pPr>
              <w:pStyle w:val="TableParagraph"/>
              <w:spacing w:line="275" w:lineRule="exact"/>
              <w:ind w:left="116"/>
              <w:rPr>
                <w:b/>
                <w:sz w:val="24"/>
              </w:rPr>
            </w:pPr>
            <w:r>
              <w:rPr>
                <w:b/>
                <w:sz w:val="24"/>
              </w:rPr>
              <w:t>%</w:t>
            </w:r>
            <w:r>
              <w:rPr>
                <w:b/>
                <w:spacing w:val="2"/>
                <w:sz w:val="24"/>
              </w:rPr>
              <w:t> </w:t>
            </w:r>
            <w:r>
              <w:rPr>
                <w:b/>
                <w:spacing w:val="-2"/>
                <w:sz w:val="24"/>
              </w:rPr>
              <w:t>deviation</w:t>
            </w:r>
          </w:p>
        </w:tc>
      </w:tr>
      <w:tr>
        <w:trPr>
          <w:trHeight w:val="758" w:hRule="atLeast"/>
        </w:trPr>
        <w:tc>
          <w:tcPr>
            <w:tcW w:w="1532" w:type="dxa"/>
            <w:tcBorders>
              <w:top w:val="single" w:sz="4" w:space="0" w:color="000000"/>
            </w:tcBorders>
          </w:tcPr>
          <w:p>
            <w:pPr>
              <w:pStyle w:val="TableParagraph"/>
              <w:spacing w:line="270" w:lineRule="exact"/>
              <w:ind w:left="34"/>
              <w:jc w:val="center"/>
              <w:rPr>
                <w:sz w:val="24"/>
              </w:rPr>
            </w:pPr>
            <w:r>
              <w:rPr>
                <w:spacing w:val="-5"/>
                <w:sz w:val="24"/>
              </w:rPr>
              <w:t>DC</w:t>
            </w:r>
          </w:p>
        </w:tc>
        <w:tc>
          <w:tcPr>
            <w:tcW w:w="1752" w:type="dxa"/>
            <w:tcBorders>
              <w:top w:val="single" w:sz="4" w:space="0" w:color="000000"/>
            </w:tcBorders>
          </w:tcPr>
          <w:p>
            <w:pPr>
              <w:pStyle w:val="TableParagraph"/>
              <w:spacing w:line="270" w:lineRule="exact"/>
              <w:ind w:left="136"/>
              <w:rPr>
                <w:sz w:val="24"/>
              </w:rPr>
            </w:pPr>
            <w:r>
              <w:rPr>
                <w:sz w:val="24"/>
              </w:rPr>
              <w:t>Extract</w:t>
            </w:r>
            <w:r>
              <w:rPr>
                <w:spacing w:val="-2"/>
                <w:sz w:val="24"/>
              </w:rPr>
              <w:t> without</w:t>
            </w:r>
          </w:p>
          <w:p>
            <w:pPr>
              <w:pStyle w:val="TableParagraph"/>
              <w:spacing w:before="139"/>
              <w:ind w:left="136"/>
              <w:rPr>
                <w:sz w:val="24"/>
              </w:rPr>
            </w:pPr>
            <w:r>
              <w:rPr>
                <w:spacing w:val="-2"/>
                <w:sz w:val="24"/>
              </w:rPr>
              <w:t>diluents</w:t>
            </w:r>
          </w:p>
        </w:tc>
        <w:tc>
          <w:tcPr>
            <w:tcW w:w="1565" w:type="dxa"/>
            <w:tcBorders>
              <w:top w:val="single" w:sz="4" w:space="0" w:color="000000"/>
            </w:tcBorders>
          </w:tcPr>
          <w:p>
            <w:pPr>
              <w:pStyle w:val="TableParagraph"/>
              <w:spacing w:line="270" w:lineRule="exact"/>
              <w:ind w:left="79" w:right="82"/>
              <w:jc w:val="center"/>
              <w:rPr>
                <w:sz w:val="24"/>
              </w:rPr>
            </w:pPr>
            <w:r>
              <w:rPr>
                <w:spacing w:val="-10"/>
                <w:sz w:val="24"/>
              </w:rPr>
              <w:t>5</w:t>
            </w:r>
          </w:p>
          <w:p>
            <w:pPr>
              <w:pStyle w:val="TableParagraph"/>
              <w:spacing w:before="139"/>
              <w:ind w:left="79" w:right="82"/>
              <w:jc w:val="center"/>
              <w:rPr>
                <w:sz w:val="24"/>
              </w:rPr>
            </w:pPr>
            <w:r>
              <w:rPr>
                <w:spacing w:val="-5"/>
                <w:sz w:val="24"/>
              </w:rPr>
              <w:t>10</w:t>
            </w:r>
          </w:p>
        </w:tc>
        <w:tc>
          <w:tcPr>
            <w:tcW w:w="1446" w:type="dxa"/>
            <w:tcBorders>
              <w:top w:val="single" w:sz="4" w:space="0" w:color="000000"/>
            </w:tcBorders>
          </w:tcPr>
          <w:p>
            <w:pPr>
              <w:pStyle w:val="TableParagraph"/>
              <w:spacing w:line="270" w:lineRule="exact"/>
              <w:ind w:left="453"/>
              <w:rPr>
                <w:sz w:val="24"/>
              </w:rPr>
            </w:pPr>
            <w:r>
              <w:rPr>
                <w:spacing w:val="-2"/>
                <w:sz w:val="24"/>
              </w:rPr>
              <w:t>498.0</w:t>
            </w:r>
          </w:p>
          <w:p>
            <w:pPr>
              <w:pStyle w:val="TableParagraph"/>
              <w:spacing w:before="139"/>
              <w:ind w:left="453"/>
              <w:rPr>
                <w:sz w:val="24"/>
              </w:rPr>
            </w:pPr>
            <w:r>
              <w:rPr>
                <w:spacing w:val="-2"/>
                <w:sz w:val="24"/>
              </w:rPr>
              <w:t>499.0</w:t>
            </w:r>
          </w:p>
        </w:tc>
        <w:tc>
          <w:tcPr>
            <w:tcW w:w="1480" w:type="dxa"/>
            <w:tcBorders>
              <w:top w:val="single" w:sz="4" w:space="0" w:color="000000"/>
            </w:tcBorders>
          </w:tcPr>
          <w:p>
            <w:pPr>
              <w:pStyle w:val="TableParagraph"/>
              <w:spacing w:line="270" w:lineRule="exact"/>
              <w:ind w:left="4"/>
              <w:jc w:val="center"/>
              <w:rPr>
                <w:sz w:val="24"/>
              </w:rPr>
            </w:pPr>
            <w:r>
              <w:rPr>
                <w:spacing w:val="-5"/>
                <w:sz w:val="24"/>
              </w:rPr>
              <w:t>0.1</w:t>
            </w:r>
          </w:p>
          <w:p>
            <w:pPr>
              <w:pStyle w:val="TableParagraph"/>
              <w:spacing w:before="139"/>
              <w:ind w:left="4"/>
              <w:jc w:val="center"/>
              <w:rPr>
                <w:sz w:val="24"/>
              </w:rPr>
            </w:pPr>
            <w:r>
              <w:rPr>
                <w:spacing w:val="-5"/>
                <w:sz w:val="24"/>
              </w:rPr>
              <w:t>0.1</w:t>
            </w:r>
          </w:p>
        </w:tc>
      </w:tr>
      <w:tr>
        <w:trPr>
          <w:trHeight w:val="828" w:hRule="atLeast"/>
        </w:trPr>
        <w:tc>
          <w:tcPr>
            <w:tcW w:w="1532" w:type="dxa"/>
          </w:tcPr>
          <w:p>
            <w:pPr>
              <w:pStyle w:val="TableParagraph"/>
              <w:spacing w:before="63"/>
              <w:ind w:left="34"/>
              <w:jc w:val="center"/>
              <w:rPr>
                <w:sz w:val="24"/>
              </w:rPr>
            </w:pPr>
            <w:r>
              <w:rPr>
                <w:spacing w:val="-5"/>
                <w:sz w:val="24"/>
              </w:rPr>
              <w:t>DC</w:t>
            </w:r>
          </w:p>
        </w:tc>
        <w:tc>
          <w:tcPr>
            <w:tcW w:w="1752" w:type="dxa"/>
          </w:tcPr>
          <w:p>
            <w:pPr>
              <w:pStyle w:val="TableParagraph"/>
              <w:spacing w:before="63"/>
              <w:ind w:left="136"/>
              <w:rPr>
                <w:sz w:val="24"/>
              </w:rPr>
            </w:pPr>
            <w:r>
              <w:rPr>
                <w:spacing w:val="-2"/>
                <w:sz w:val="24"/>
              </w:rPr>
              <w:t>Avicel</w:t>
            </w:r>
          </w:p>
        </w:tc>
        <w:tc>
          <w:tcPr>
            <w:tcW w:w="1565" w:type="dxa"/>
          </w:tcPr>
          <w:p>
            <w:pPr>
              <w:pStyle w:val="TableParagraph"/>
              <w:spacing w:before="63"/>
              <w:ind w:left="79" w:right="82"/>
              <w:jc w:val="center"/>
              <w:rPr>
                <w:sz w:val="24"/>
              </w:rPr>
            </w:pPr>
            <w:r>
              <w:rPr>
                <w:spacing w:val="-10"/>
                <w:sz w:val="24"/>
              </w:rPr>
              <w:t>5</w:t>
            </w:r>
          </w:p>
          <w:p>
            <w:pPr>
              <w:pStyle w:val="TableParagraph"/>
              <w:spacing w:before="139"/>
              <w:ind w:left="79" w:right="82"/>
              <w:jc w:val="center"/>
              <w:rPr>
                <w:sz w:val="24"/>
              </w:rPr>
            </w:pPr>
            <w:r>
              <w:rPr>
                <w:spacing w:val="-5"/>
                <w:sz w:val="24"/>
              </w:rPr>
              <w:t>10</w:t>
            </w:r>
          </w:p>
        </w:tc>
        <w:tc>
          <w:tcPr>
            <w:tcW w:w="1446" w:type="dxa"/>
          </w:tcPr>
          <w:p>
            <w:pPr>
              <w:pStyle w:val="TableParagraph"/>
              <w:spacing w:before="63"/>
              <w:ind w:left="453"/>
              <w:rPr>
                <w:sz w:val="24"/>
              </w:rPr>
            </w:pPr>
            <w:r>
              <w:rPr>
                <w:spacing w:val="-2"/>
                <w:sz w:val="24"/>
              </w:rPr>
              <w:t>498.0</w:t>
            </w:r>
          </w:p>
          <w:p>
            <w:pPr>
              <w:pStyle w:val="TableParagraph"/>
              <w:spacing w:before="139"/>
              <w:ind w:left="453"/>
              <w:rPr>
                <w:sz w:val="24"/>
              </w:rPr>
            </w:pPr>
            <w:r>
              <w:rPr>
                <w:spacing w:val="-2"/>
                <w:sz w:val="24"/>
              </w:rPr>
              <w:t>497.0</w:t>
            </w:r>
          </w:p>
        </w:tc>
        <w:tc>
          <w:tcPr>
            <w:tcW w:w="1480" w:type="dxa"/>
          </w:tcPr>
          <w:p>
            <w:pPr>
              <w:pStyle w:val="TableParagraph"/>
              <w:spacing w:before="63"/>
              <w:ind w:left="4"/>
              <w:jc w:val="center"/>
              <w:rPr>
                <w:sz w:val="24"/>
              </w:rPr>
            </w:pPr>
            <w:r>
              <w:rPr>
                <w:spacing w:val="-5"/>
                <w:sz w:val="24"/>
              </w:rPr>
              <w:t>0.2</w:t>
            </w:r>
          </w:p>
          <w:p>
            <w:pPr>
              <w:pStyle w:val="TableParagraph"/>
              <w:spacing w:before="139"/>
              <w:ind w:left="4"/>
              <w:jc w:val="center"/>
              <w:rPr>
                <w:sz w:val="24"/>
              </w:rPr>
            </w:pPr>
            <w:r>
              <w:rPr>
                <w:spacing w:val="-5"/>
                <w:sz w:val="24"/>
              </w:rPr>
              <w:t>0.1</w:t>
            </w:r>
          </w:p>
        </w:tc>
      </w:tr>
      <w:tr>
        <w:trPr>
          <w:trHeight w:val="828" w:hRule="atLeast"/>
        </w:trPr>
        <w:tc>
          <w:tcPr>
            <w:tcW w:w="1532" w:type="dxa"/>
          </w:tcPr>
          <w:p>
            <w:pPr>
              <w:pStyle w:val="TableParagraph"/>
              <w:spacing w:before="63"/>
              <w:ind w:left="34"/>
              <w:jc w:val="center"/>
              <w:rPr>
                <w:sz w:val="24"/>
              </w:rPr>
            </w:pPr>
            <w:r>
              <w:rPr>
                <w:spacing w:val="-5"/>
                <w:sz w:val="24"/>
              </w:rPr>
              <w:t>DC</w:t>
            </w:r>
          </w:p>
        </w:tc>
        <w:tc>
          <w:tcPr>
            <w:tcW w:w="1752" w:type="dxa"/>
          </w:tcPr>
          <w:p>
            <w:pPr>
              <w:pStyle w:val="TableParagraph"/>
              <w:spacing w:before="63"/>
              <w:ind w:left="136"/>
              <w:rPr>
                <w:sz w:val="24"/>
              </w:rPr>
            </w:pPr>
            <w:r>
              <w:rPr>
                <w:spacing w:val="-2"/>
                <w:sz w:val="24"/>
              </w:rPr>
              <w:t>Cellactose</w:t>
            </w:r>
          </w:p>
        </w:tc>
        <w:tc>
          <w:tcPr>
            <w:tcW w:w="1565" w:type="dxa"/>
          </w:tcPr>
          <w:p>
            <w:pPr>
              <w:pStyle w:val="TableParagraph"/>
              <w:spacing w:before="63"/>
              <w:ind w:left="79" w:right="82"/>
              <w:jc w:val="center"/>
              <w:rPr>
                <w:sz w:val="24"/>
              </w:rPr>
            </w:pPr>
            <w:r>
              <w:rPr>
                <w:spacing w:val="-10"/>
                <w:sz w:val="24"/>
              </w:rPr>
              <w:t>5</w:t>
            </w:r>
          </w:p>
          <w:p>
            <w:pPr>
              <w:pStyle w:val="TableParagraph"/>
              <w:spacing w:before="140"/>
              <w:ind w:left="79" w:right="82"/>
              <w:jc w:val="center"/>
              <w:rPr>
                <w:sz w:val="24"/>
              </w:rPr>
            </w:pPr>
            <w:r>
              <w:rPr>
                <w:spacing w:val="-5"/>
                <w:sz w:val="24"/>
              </w:rPr>
              <w:t>10</w:t>
            </w:r>
          </w:p>
        </w:tc>
        <w:tc>
          <w:tcPr>
            <w:tcW w:w="1446" w:type="dxa"/>
          </w:tcPr>
          <w:p>
            <w:pPr>
              <w:pStyle w:val="TableParagraph"/>
              <w:spacing w:before="63"/>
              <w:ind w:left="453"/>
              <w:rPr>
                <w:sz w:val="24"/>
              </w:rPr>
            </w:pPr>
            <w:r>
              <w:rPr>
                <w:spacing w:val="-2"/>
                <w:sz w:val="24"/>
              </w:rPr>
              <w:t>499.0</w:t>
            </w:r>
          </w:p>
          <w:p>
            <w:pPr>
              <w:pStyle w:val="TableParagraph"/>
              <w:spacing w:before="140"/>
              <w:ind w:left="453"/>
              <w:rPr>
                <w:sz w:val="24"/>
              </w:rPr>
            </w:pPr>
            <w:r>
              <w:rPr>
                <w:spacing w:val="-2"/>
                <w:sz w:val="24"/>
              </w:rPr>
              <w:t>499.0</w:t>
            </w:r>
          </w:p>
        </w:tc>
        <w:tc>
          <w:tcPr>
            <w:tcW w:w="1480" w:type="dxa"/>
          </w:tcPr>
          <w:p>
            <w:pPr>
              <w:pStyle w:val="TableParagraph"/>
              <w:spacing w:before="63"/>
              <w:ind w:left="4"/>
              <w:jc w:val="center"/>
              <w:rPr>
                <w:sz w:val="24"/>
              </w:rPr>
            </w:pPr>
            <w:r>
              <w:rPr>
                <w:spacing w:val="-5"/>
                <w:sz w:val="24"/>
              </w:rPr>
              <w:t>0.2</w:t>
            </w:r>
          </w:p>
          <w:p>
            <w:pPr>
              <w:pStyle w:val="TableParagraph"/>
              <w:spacing w:before="140"/>
              <w:ind w:left="4"/>
              <w:jc w:val="center"/>
              <w:rPr>
                <w:sz w:val="24"/>
              </w:rPr>
            </w:pPr>
            <w:r>
              <w:rPr>
                <w:spacing w:val="-5"/>
                <w:sz w:val="24"/>
              </w:rPr>
              <w:t>0.1</w:t>
            </w:r>
          </w:p>
        </w:tc>
      </w:tr>
      <w:tr>
        <w:trPr>
          <w:trHeight w:val="896" w:hRule="atLeast"/>
        </w:trPr>
        <w:tc>
          <w:tcPr>
            <w:tcW w:w="1532" w:type="dxa"/>
            <w:tcBorders>
              <w:bottom w:val="single" w:sz="4" w:space="0" w:color="000000"/>
            </w:tcBorders>
          </w:tcPr>
          <w:p>
            <w:pPr>
              <w:pStyle w:val="TableParagraph"/>
              <w:spacing w:before="63"/>
              <w:ind w:left="34"/>
              <w:jc w:val="center"/>
              <w:rPr>
                <w:sz w:val="24"/>
              </w:rPr>
            </w:pPr>
            <w:r>
              <w:rPr>
                <w:spacing w:val="-5"/>
                <w:sz w:val="24"/>
              </w:rPr>
              <w:t>DC</w:t>
            </w:r>
          </w:p>
        </w:tc>
        <w:tc>
          <w:tcPr>
            <w:tcW w:w="1752" w:type="dxa"/>
            <w:tcBorders>
              <w:bottom w:val="single" w:sz="4" w:space="0" w:color="000000"/>
            </w:tcBorders>
          </w:tcPr>
          <w:p>
            <w:pPr>
              <w:pStyle w:val="TableParagraph"/>
              <w:spacing w:before="63"/>
              <w:ind w:left="136"/>
              <w:rPr>
                <w:sz w:val="24"/>
              </w:rPr>
            </w:pPr>
            <w:r>
              <w:rPr>
                <w:spacing w:val="-2"/>
                <w:sz w:val="24"/>
              </w:rPr>
              <w:t>Lactose</w:t>
            </w:r>
          </w:p>
        </w:tc>
        <w:tc>
          <w:tcPr>
            <w:tcW w:w="1565" w:type="dxa"/>
            <w:tcBorders>
              <w:bottom w:val="single" w:sz="4" w:space="0" w:color="000000"/>
            </w:tcBorders>
          </w:tcPr>
          <w:p>
            <w:pPr>
              <w:pStyle w:val="TableParagraph"/>
              <w:spacing w:before="63"/>
              <w:ind w:left="79" w:right="82"/>
              <w:jc w:val="center"/>
              <w:rPr>
                <w:sz w:val="24"/>
              </w:rPr>
            </w:pPr>
            <w:r>
              <w:rPr>
                <w:spacing w:val="-10"/>
                <w:sz w:val="24"/>
              </w:rPr>
              <w:t>5</w:t>
            </w:r>
          </w:p>
          <w:p>
            <w:pPr>
              <w:pStyle w:val="TableParagraph"/>
              <w:spacing w:before="139"/>
              <w:ind w:left="79" w:right="82"/>
              <w:jc w:val="center"/>
              <w:rPr>
                <w:sz w:val="24"/>
              </w:rPr>
            </w:pPr>
            <w:r>
              <w:rPr>
                <w:spacing w:val="-5"/>
                <w:sz w:val="24"/>
              </w:rPr>
              <w:t>10</w:t>
            </w:r>
          </w:p>
        </w:tc>
        <w:tc>
          <w:tcPr>
            <w:tcW w:w="1446" w:type="dxa"/>
            <w:tcBorders>
              <w:bottom w:val="single" w:sz="4" w:space="0" w:color="000000"/>
            </w:tcBorders>
          </w:tcPr>
          <w:p>
            <w:pPr>
              <w:pStyle w:val="TableParagraph"/>
              <w:spacing w:before="63"/>
              <w:ind w:left="453"/>
              <w:rPr>
                <w:sz w:val="24"/>
              </w:rPr>
            </w:pPr>
            <w:r>
              <w:rPr>
                <w:spacing w:val="-2"/>
                <w:sz w:val="24"/>
              </w:rPr>
              <w:t>499.0</w:t>
            </w:r>
          </w:p>
          <w:p>
            <w:pPr>
              <w:pStyle w:val="TableParagraph"/>
              <w:spacing w:before="139"/>
              <w:ind w:left="453"/>
              <w:rPr>
                <w:sz w:val="24"/>
              </w:rPr>
            </w:pPr>
            <w:r>
              <w:rPr>
                <w:spacing w:val="-2"/>
                <w:sz w:val="24"/>
              </w:rPr>
              <w:t>499.0</w:t>
            </w:r>
          </w:p>
        </w:tc>
        <w:tc>
          <w:tcPr>
            <w:tcW w:w="1480" w:type="dxa"/>
            <w:tcBorders>
              <w:bottom w:val="single" w:sz="4" w:space="0" w:color="000000"/>
            </w:tcBorders>
          </w:tcPr>
          <w:p>
            <w:pPr>
              <w:pStyle w:val="TableParagraph"/>
              <w:spacing w:before="63"/>
              <w:ind w:left="4"/>
              <w:jc w:val="center"/>
              <w:rPr>
                <w:sz w:val="24"/>
              </w:rPr>
            </w:pPr>
            <w:r>
              <w:rPr>
                <w:spacing w:val="-5"/>
                <w:sz w:val="24"/>
              </w:rPr>
              <w:t>0.3</w:t>
            </w:r>
          </w:p>
          <w:p>
            <w:pPr>
              <w:pStyle w:val="TableParagraph"/>
              <w:spacing w:before="139"/>
              <w:ind w:left="4"/>
              <w:jc w:val="center"/>
              <w:rPr>
                <w:sz w:val="24"/>
              </w:rPr>
            </w:pPr>
            <w:r>
              <w:rPr>
                <w:spacing w:val="-5"/>
                <w:sz w:val="24"/>
              </w:rPr>
              <w:t>0.1</w:t>
            </w:r>
          </w:p>
        </w:tc>
      </w:tr>
    </w:tbl>
    <w:p>
      <w:pPr>
        <w:pStyle w:val="BodyText"/>
        <w:rPr>
          <w:b/>
        </w:rPr>
      </w:pPr>
    </w:p>
    <w:p>
      <w:pPr>
        <w:pStyle w:val="BodyText"/>
        <w:rPr>
          <w:b/>
        </w:rPr>
      </w:pPr>
    </w:p>
    <w:p>
      <w:pPr>
        <w:pStyle w:val="BodyText"/>
        <w:spacing w:before="1"/>
        <w:rPr>
          <w:b/>
        </w:rPr>
      </w:pPr>
    </w:p>
    <w:p>
      <w:pPr>
        <w:spacing w:before="0"/>
        <w:ind w:left="694" w:right="0" w:firstLine="0"/>
        <w:jc w:val="left"/>
        <w:rPr>
          <w:b/>
          <w:sz w:val="24"/>
        </w:rPr>
      </w:pPr>
      <w:r>
        <w:rPr>
          <w:b/>
          <w:sz w:val="24"/>
        </w:rPr>
        <w:t>(n – </w:t>
      </w:r>
      <w:r>
        <w:rPr>
          <w:b/>
          <w:spacing w:val="-5"/>
          <w:sz w:val="24"/>
        </w:rPr>
        <w:t>10)</w:t>
      </w:r>
    </w:p>
    <w:p>
      <w:pPr>
        <w:spacing w:after="0"/>
        <w:jc w:val="left"/>
        <w:rPr>
          <w:sz w:val="24"/>
        </w:rPr>
        <w:sectPr>
          <w:pgSz w:w="12240" w:h="15840"/>
          <w:pgMar w:header="0" w:footer="1056" w:top="1340" w:bottom="1240" w:left="1420" w:right="420"/>
        </w:sectPr>
      </w:pPr>
    </w:p>
    <w:p>
      <w:pPr>
        <w:spacing w:before="77"/>
        <w:ind w:left="678" w:right="0" w:firstLine="0"/>
        <w:jc w:val="left"/>
        <w:rPr>
          <w:b/>
          <w:sz w:val="24"/>
        </w:rPr>
      </w:pPr>
      <w:r>
        <w:rPr/>
        <mc:AlternateContent>
          <mc:Choice Requires="wps">
            <w:drawing>
              <wp:anchor distT="0" distB="0" distL="0" distR="0" allowOverlap="1" layoutInCell="1" locked="0" behindDoc="1" simplePos="0" relativeHeight="483013120">
                <wp:simplePos x="0" y="0"/>
                <wp:positionH relativeFrom="page">
                  <wp:posOffset>-1402226</wp:posOffset>
                </wp:positionH>
                <wp:positionV relativeFrom="page">
                  <wp:posOffset>4612234</wp:posOffset>
                </wp:positionV>
                <wp:extent cx="10685780" cy="91440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3360;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2"/>
          <w:sz w:val="24"/>
        </w:rPr>
        <w:t> </w:t>
      </w:r>
      <w:r>
        <w:rPr>
          <w:b/>
          <w:sz w:val="24"/>
        </w:rPr>
        <w:t>4.6:</w:t>
      </w:r>
      <w:r>
        <w:rPr>
          <w:b/>
          <w:spacing w:val="-3"/>
          <w:sz w:val="24"/>
        </w:rPr>
        <w:t> </w:t>
      </w:r>
      <w:r>
        <w:rPr>
          <w:b/>
          <w:sz w:val="24"/>
        </w:rPr>
        <w:t>Uniformity</w:t>
      </w:r>
      <w:r>
        <w:rPr>
          <w:b/>
          <w:spacing w:val="-2"/>
          <w:sz w:val="24"/>
        </w:rPr>
        <w:t> </w:t>
      </w:r>
      <w:r>
        <w:rPr>
          <w:b/>
          <w:sz w:val="24"/>
        </w:rPr>
        <w:t>of weight</w:t>
      </w:r>
      <w:r>
        <w:rPr>
          <w:b/>
          <w:spacing w:val="-1"/>
          <w:sz w:val="24"/>
        </w:rPr>
        <w:t> </w:t>
      </w:r>
      <w:r>
        <w:rPr>
          <w:b/>
          <w:sz w:val="24"/>
        </w:rPr>
        <w:t>of</w:t>
      </w:r>
      <w:r>
        <w:rPr>
          <w:b/>
          <w:spacing w:val="-2"/>
          <w:sz w:val="24"/>
        </w:rPr>
        <w:t> </w:t>
      </w:r>
      <w:r>
        <w:rPr>
          <w:b/>
          <w:sz w:val="24"/>
        </w:rPr>
        <w:t>the</w:t>
      </w:r>
      <w:r>
        <w:rPr>
          <w:b/>
          <w:spacing w:val="-2"/>
          <w:sz w:val="24"/>
        </w:rPr>
        <w:t> </w:t>
      </w:r>
      <w:r>
        <w:rPr>
          <w:b/>
          <w:sz w:val="24"/>
        </w:rPr>
        <w:t>tablets</w:t>
      </w:r>
      <w:r>
        <w:rPr>
          <w:b/>
          <w:spacing w:val="-1"/>
          <w:sz w:val="24"/>
        </w:rPr>
        <w:t> </w:t>
      </w:r>
      <w:r>
        <w:rPr>
          <w:b/>
          <w:sz w:val="24"/>
        </w:rPr>
        <w:t>prepared</w:t>
      </w:r>
      <w:r>
        <w:rPr>
          <w:b/>
          <w:spacing w:val="-2"/>
          <w:sz w:val="24"/>
        </w:rPr>
        <w:t> </w:t>
      </w:r>
      <w:r>
        <w:rPr>
          <w:b/>
          <w:sz w:val="24"/>
        </w:rPr>
        <w:t>by</w:t>
      </w:r>
      <w:r>
        <w:rPr>
          <w:b/>
          <w:spacing w:val="-1"/>
          <w:sz w:val="24"/>
        </w:rPr>
        <w:t> </w:t>
      </w:r>
      <w:r>
        <w:rPr>
          <w:b/>
          <w:sz w:val="24"/>
        </w:rPr>
        <w:t>wet</w:t>
      </w:r>
      <w:r>
        <w:rPr>
          <w:b/>
          <w:spacing w:val="-1"/>
          <w:sz w:val="24"/>
        </w:rPr>
        <w:t> </w:t>
      </w:r>
      <w:r>
        <w:rPr>
          <w:b/>
          <w:spacing w:val="-2"/>
          <w:sz w:val="24"/>
        </w:rPr>
        <w:t>granulation</w:t>
      </w:r>
    </w:p>
    <w:p>
      <w:pPr>
        <w:pStyle w:val="BodyText"/>
        <w:rPr>
          <w:b/>
          <w:sz w:val="20"/>
        </w:rPr>
      </w:pPr>
    </w:p>
    <w:p>
      <w:pPr>
        <w:pStyle w:val="BodyText"/>
        <w:spacing w:before="93" w:after="1"/>
        <w:rPr>
          <w:b/>
          <w:sz w:val="20"/>
        </w:rPr>
      </w:pPr>
    </w:p>
    <w:tbl>
      <w:tblPr>
        <w:tblW w:w="0" w:type="auto"/>
        <w:jc w:val="lef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1"/>
        <w:gridCol w:w="1419"/>
        <w:gridCol w:w="1579"/>
        <w:gridCol w:w="1272"/>
        <w:gridCol w:w="1613"/>
        <w:gridCol w:w="1416"/>
      </w:tblGrid>
      <w:tr>
        <w:trPr>
          <w:trHeight w:val="1240" w:hRule="atLeast"/>
        </w:trPr>
        <w:tc>
          <w:tcPr>
            <w:tcW w:w="1521" w:type="dxa"/>
            <w:tcBorders>
              <w:top w:val="single" w:sz="4" w:space="0" w:color="000000"/>
              <w:bottom w:val="single" w:sz="4" w:space="0" w:color="000000"/>
            </w:tcBorders>
          </w:tcPr>
          <w:p>
            <w:pPr>
              <w:pStyle w:val="TableParagraph"/>
              <w:spacing w:line="360" w:lineRule="auto"/>
              <w:ind w:left="144" w:firstLine="84"/>
              <w:rPr>
                <w:b/>
                <w:sz w:val="24"/>
              </w:rPr>
            </w:pPr>
            <w:r>
              <w:rPr>
                <w:b/>
                <w:sz w:val="24"/>
              </w:rPr>
              <w:t>Method of </w:t>
            </w:r>
            <w:r>
              <w:rPr>
                <w:b/>
                <w:spacing w:val="-2"/>
                <w:sz w:val="24"/>
              </w:rPr>
              <w:t>preparation</w:t>
            </w:r>
          </w:p>
        </w:tc>
        <w:tc>
          <w:tcPr>
            <w:tcW w:w="1419" w:type="dxa"/>
            <w:tcBorders>
              <w:top w:val="single" w:sz="4" w:space="0" w:color="000000"/>
              <w:bottom w:val="single" w:sz="4" w:space="0" w:color="000000"/>
            </w:tcBorders>
          </w:tcPr>
          <w:p>
            <w:pPr>
              <w:pStyle w:val="TableParagraph"/>
              <w:spacing w:line="275" w:lineRule="exact"/>
              <w:ind w:left="2" w:right="2"/>
              <w:jc w:val="center"/>
              <w:rPr>
                <w:b/>
                <w:sz w:val="24"/>
              </w:rPr>
            </w:pPr>
            <w:r>
              <w:rPr>
                <w:b/>
                <w:spacing w:val="-2"/>
                <w:sz w:val="24"/>
              </w:rPr>
              <w:t>Binder</w:t>
            </w:r>
          </w:p>
        </w:tc>
        <w:tc>
          <w:tcPr>
            <w:tcW w:w="1579" w:type="dxa"/>
            <w:tcBorders>
              <w:top w:val="single" w:sz="4" w:space="0" w:color="000000"/>
              <w:bottom w:val="single" w:sz="4" w:space="0" w:color="000000"/>
            </w:tcBorders>
          </w:tcPr>
          <w:p>
            <w:pPr>
              <w:pStyle w:val="TableParagraph"/>
              <w:spacing w:line="360" w:lineRule="auto"/>
              <w:ind w:left="3" w:right="63"/>
              <w:jc w:val="center"/>
              <w:rPr>
                <w:b/>
                <w:sz w:val="24"/>
              </w:rPr>
            </w:pPr>
            <w:r>
              <w:rPr>
                <w:b/>
                <w:sz w:val="24"/>
              </w:rPr>
              <w:t>Binder</w:t>
            </w:r>
            <w:r>
              <w:rPr>
                <w:b/>
                <w:spacing w:val="-15"/>
                <w:sz w:val="24"/>
              </w:rPr>
              <w:t> </w:t>
            </w:r>
            <w:r>
              <w:rPr>
                <w:b/>
                <w:sz w:val="24"/>
              </w:rPr>
              <w:t>con- </w:t>
            </w:r>
            <w:r>
              <w:rPr>
                <w:b/>
                <w:spacing w:val="-2"/>
                <w:sz w:val="24"/>
              </w:rPr>
              <w:t>centration</w:t>
            </w:r>
          </w:p>
          <w:p>
            <w:pPr>
              <w:pStyle w:val="TableParagraph"/>
              <w:ind w:left="3" w:right="63"/>
              <w:jc w:val="center"/>
              <w:rPr>
                <w:b/>
                <w:sz w:val="24"/>
              </w:rPr>
            </w:pPr>
            <w:r>
              <w:rPr>
                <w:b/>
                <w:spacing w:val="-5"/>
                <w:sz w:val="24"/>
              </w:rPr>
              <w:t>(%)</w:t>
            </w:r>
          </w:p>
        </w:tc>
        <w:tc>
          <w:tcPr>
            <w:tcW w:w="1272" w:type="dxa"/>
            <w:tcBorders>
              <w:top w:val="single" w:sz="4" w:space="0" w:color="000000"/>
              <w:bottom w:val="single" w:sz="4" w:space="0" w:color="000000"/>
            </w:tcBorders>
          </w:tcPr>
          <w:p>
            <w:pPr>
              <w:pStyle w:val="TableParagraph"/>
              <w:spacing w:line="275" w:lineRule="exact"/>
              <w:ind w:left="2" w:right="3"/>
              <w:jc w:val="center"/>
              <w:rPr>
                <w:b/>
                <w:sz w:val="24"/>
              </w:rPr>
            </w:pPr>
            <w:r>
              <w:rPr>
                <w:b/>
                <w:sz w:val="24"/>
              </w:rPr>
              <w:t>CP</w:t>
            </w:r>
            <w:r>
              <w:rPr>
                <w:b/>
                <w:spacing w:val="-1"/>
                <w:sz w:val="24"/>
              </w:rPr>
              <w:t> </w:t>
            </w:r>
            <w:r>
              <w:rPr>
                <w:b/>
                <w:spacing w:val="-4"/>
                <w:sz w:val="24"/>
              </w:rPr>
              <w:t>(kN)</w:t>
            </w:r>
          </w:p>
        </w:tc>
        <w:tc>
          <w:tcPr>
            <w:tcW w:w="1613" w:type="dxa"/>
            <w:tcBorders>
              <w:top w:val="single" w:sz="4" w:space="0" w:color="000000"/>
              <w:bottom w:val="single" w:sz="4" w:space="0" w:color="000000"/>
            </w:tcBorders>
          </w:tcPr>
          <w:p>
            <w:pPr>
              <w:pStyle w:val="TableParagraph"/>
              <w:spacing w:line="360" w:lineRule="auto"/>
              <w:ind w:left="207" w:right="181" w:firstLine="184"/>
              <w:rPr>
                <w:b/>
                <w:sz w:val="24"/>
              </w:rPr>
            </w:pPr>
            <w:r>
              <w:rPr>
                <w:b/>
                <w:spacing w:val="-2"/>
                <w:sz w:val="24"/>
              </w:rPr>
              <w:t>Average </w:t>
            </w:r>
            <w:r>
              <w:rPr>
                <w:b/>
                <w:sz w:val="24"/>
              </w:rPr>
              <w:t>weight</w:t>
            </w:r>
            <w:r>
              <w:rPr>
                <w:b/>
                <w:spacing w:val="-15"/>
                <w:sz w:val="24"/>
              </w:rPr>
              <w:t> </w:t>
            </w:r>
            <w:r>
              <w:rPr>
                <w:b/>
                <w:sz w:val="24"/>
              </w:rPr>
              <w:t>(mg)</w:t>
            </w:r>
          </w:p>
        </w:tc>
        <w:tc>
          <w:tcPr>
            <w:tcW w:w="1416" w:type="dxa"/>
            <w:tcBorders>
              <w:top w:val="single" w:sz="4" w:space="0" w:color="000000"/>
              <w:bottom w:val="single" w:sz="4" w:space="0" w:color="000000"/>
            </w:tcBorders>
          </w:tcPr>
          <w:p>
            <w:pPr>
              <w:pStyle w:val="TableParagraph"/>
              <w:spacing w:line="275" w:lineRule="exact"/>
              <w:ind w:right="71"/>
              <w:jc w:val="center"/>
              <w:rPr>
                <w:b/>
                <w:sz w:val="24"/>
              </w:rPr>
            </w:pPr>
            <w:r>
              <w:rPr>
                <w:b/>
                <w:spacing w:val="-10"/>
                <w:sz w:val="24"/>
              </w:rPr>
              <w:t>%</w:t>
            </w:r>
          </w:p>
          <w:p>
            <w:pPr>
              <w:pStyle w:val="TableParagraph"/>
              <w:spacing w:before="137"/>
              <w:ind w:left="1" w:right="71"/>
              <w:jc w:val="center"/>
              <w:rPr>
                <w:b/>
                <w:sz w:val="24"/>
              </w:rPr>
            </w:pPr>
            <w:r>
              <w:rPr>
                <w:b/>
                <w:spacing w:val="-2"/>
                <w:sz w:val="24"/>
              </w:rPr>
              <w:t>Deviation</w:t>
            </w:r>
          </w:p>
        </w:tc>
      </w:tr>
      <w:tr>
        <w:trPr>
          <w:trHeight w:val="346" w:hRule="atLeast"/>
        </w:trPr>
        <w:tc>
          <w:tcPr>
            <w:tcW w:w="1521" w:type="dxa"/>
            <w:tcBorders>
              <w:top w:val="single" w:sz="4" w:space="0" w:color="000000"/>
            </w:tcBorders>
          </w:tcPr>
          <w:p>
            <w:pPr>
              <w:pStyle w:val="TableParagraph"/>
              <w:spacing w:line="273" w:lineRule="exact"/>
              <w:ind w:right="2"/>
              <w:jc w:val="center"/>
              <w:rPr>
                <w:sz w:val="24"/>
              </w:rPr>
            </w:pPr>
            <w:r>
              <w:rPr>
                <w:spacing w:val="-5"/>
                <w:sz w:val="24"/>
              </w:rPr>
              <w:t>WG</w:t>
            </w:r>
          </w:p>
        </w:tc>
        <w:tc>
          <w:tcPr>
            <w:tcW w:w="1419" w:type="dxa"/>
            <w:tcBorders>
              <w:top w:val="single" w:sz="4" w:space="0" w:color="000000"/>
            </w:tcBorders>
          </w:tcPr>
          <w:p>
            <w:pPr>
              <w:pStyle w:val="TableParagraph"/>
              <w:spacing w:line="273" w:lineRule="exact"/>
              <w:ind w:left="1" w:right="2"/>
              <w:jc w:val="center"/>
              <w:rPr>
                <w:sz w:val="24"/>
              </w:rPr>
            </w:pPr>
            <w:r>
              <w:rPr>
                <w:spacing w:val="-5"/>
                <w:sz w:val="24"/>
              </w:rPr>
              <w:t>PVP</w:t>
            </w:r>
          </w:p>
        </w:tc>
        <w:tc>
          <w:tcPr>
            <w:tcW w:w="1579" w:type="dxa"/>
            <w:tcBorders>
              <w:top w:val="single" w:sz="4" w:space="0" w:color="000000"/>
            </w:tcBorders>
          </w:tcPr>
          <w:p>
            <w:pPr>
              <w:pStyle w:val="TableParagraph"/>
              <w:spacing w:line="273" w:lineRule="exact"/>
              <w:ind w:right="63"/>
              <w:jc w:val="center"/>
              <w:rPr>
                <w:sz w:val="24"/>
              </w:rPr>
            </w:pPr>
            <w:r>
              <w:rPr>
                <w:spacing w:val="-10"/>
                <w:sz w:val="24"/>
              </w:rPr>
              <w:t>1</w:t>
            </w:r>
          </w:p>
        </w:tc>
        <w:tc>
          <w:tcPr>
            <w:tcW w:w="1272" w:type="dxa"/>
            <w:tcBorders>
              <w:top w:val="single" w:sz="4" w:space="0" w:color="000000"/>
            </w:tcBorders>
          </w:tcPr>
          <w:p>
            <w:pPr>
              <w:pStyle w:val="TableParagraph"/>
              <w:spacing w:line="273" w:lineRule="exact"/>
              <w:ind w:left="3" w:right="1"/>
              <w:jc w:val="center"/>
              <w:rPr>
                <w:sz w:val="24"/>
              </w:rPr>
            </w:pPr>
            <w:r>
              <w:rPr>
                <w:spacing w:val="-10"/>
                <w:sz w:val="24"/>
              </w:rPr>
              <w:t>5</w:t>
            </w:r>
          </w:p>
        </w:tc>
        <w:tc>
          <w:tcPr>
            <w:tcW w:w="1613" w:type="dxa"/>
            <w:tcBorders>
              <w:top w:val="single" w:sz="4" w:space="0" w:color="000000"/>
            </w:tcBorders>
          </w:tcPr>
          <w:p>
            <w:pPr>
              <w:pStyle w:val="TableParagraph"/>
              <w:spacing w:line="273" w:lineRule="exact"/>
              <w:ind w:left="19"/>
              <w:jc w:val="center"/>
              <w:rPr>
                <w:sz w:val="24"/>
              </w:rPr>
            </w:pPr>
            <w:r>
              <w:rPr>
                <w:spacing w:val="-2"/>
                <w:sz w:val="24"/>
              </w:rPr>
              <w:t>499.0</w:t>
            </w:r>
          </w:p>
        </w:tc>
        <w:tc>
          <w:tcPr>
            <w:tcW w:w="1416" w:type="dxa"/>
            <w:tcBorders>
              <w:top w:val="single" w:sz="4" w:space="0" w:color="000000"/>
            </w:tcBorders>
          </w:tcPr>
          <w:p>
            <w:pPr>
              <w:pStyle w:val="TableParagraph"/>
              <w:spacing w:line="273" w:lineRule="exact"/>
              <w:ind w:left="2" w:right="71"/>
              <w:jc w:val="center"/>
              <w:rPr>
                <w:sz w:val="24"/>
              </w:rPr>
            </w:pPr>
            <w:r>
              <w:rPr>
                <w:spacing w:val="-5"/>
                <w:sz w:val="24"/>
              </w:rPr>
              <w:t>0.1</w:t>
            </w:r>
          </w:p>
        </w:tc>
      </w:tr>
      <w:tr>
        <w:trPr>
          <w:trHeight w:val="413" w:hRule="atLeast"/>
        </w:trPr>
        <w:tc>
          <w:tcPr>
            <w:tcW w:w="1521" w:type="dxa"/>
          </w:tcPr>
          <w:p>
            <w:pPr>
              <w:pStyle w:val="TableParagraph"/>
              <w:rPr>
                <w:sz w:val="24"/>
              </w:rPr>
            </w:pPr>
          </w:p>
        </w:tc>
        <w:tc>
          <w:tcPr>
            <w:tcW w:w="1419" w:type="dxa"/>
          </w:tcPr>
          <w:p>
            <w:pPr>
              <w:pStyle w:val="TableParagraph"/>
              <w:rPr>
                <w:sz w:val="24"/>
              </w:rPr>
            </w:pPr>
          </w:p>
        </w:tc>
        <w:tc>
          <w:tcPr>
            <w:tcW w:w="1579" w:type="dxa"/>
          </w:tcPr>
          <w:p>
            <w:pPr>
              <w:pStyle w:val="TableParagraph"/>
              <w:rPr>
                <w:sz w:val="24"/>
              </w:rPr>
            </w:pPr>
          </w:p>
        </w:tc>
        <w:tc>
          <w:tcPr>
            <w:tcW w:w="1272" w:type="dxa"/>
          </w:tcPr>
          <w:p>
            <w:pPr>
              <w:pStyle w:val="TableParagraph"/>
              <w:spacing w:before="63"/>
              <w:ind w:left="3" w:right="1"/>
              <w:jc w:val="center"/>
              <w:rPr>
                <w:sz w:val="24"/>
              </w:rPr>
            </w:pPr>
            <w:r>
              <w:rPr>
                <w:spacing w:val="-5"/>
                <w:sz w:val="24"/>
              </w:rPr>
              <w:t>10</w:t>
            </w:r>
          </w:p>
        </w:tc>
        <w:tc>
          <w:tcPr>
            <w:tcW w:w="1613" w:type="dxa"/>
          </w:tcPr>
          <w:p>
            <w:pPr>
              <w:pStyle w:val="TableParagraph"/>
              <w:spacing w:before="63"/>
              <w:ind w:left="19"/>
              <w:jc w:val="center"/>
              <w:rPr>
                <w:sz w:val="24"/>
              </w:rPr>
            </w:pPr>
            <w:r>
              <w:rPr>
                <w:spacing w:val="-2"/>
                <w:sz w:val="24"/>
              </w:rPr>
              <w:t>497.0</w:t>
            </w:r>
          </w:p>
        </w:tc>
        <w:tc>
          <w:tcPr>
            <w:tcW w:w="1416" w:type="dxa"/>
          </w:tcPr>
          <w:p>
            <w:pPr>
              <w:pStyle w:val="TableParagraph"/>
              <w:spacing w:before="63"/>
              <w:ind w:left="2" w:right="71"/>
              <w:jc w:val="center"/>
              <w:rPr>
                <w:sz w:val="24"/>
              </w:rPr>
            </w:pPr>
            <w:r>
              <w:rPr>
                <w:spacing w:val="-5"/>
                <w:sz w:val="24"/>
              </w:rPr>
              <w:t>0.2</w:t>
            </w:r>
          </w:p>
        </w:tc>
      </w:tr>
      <w:tr>
        <w:trPr>
          <w:trHeight w:val="413" w:hRule="atLeast"/>
        </w:trPr>
        <w:tc>
          <w:tcPr>
            <w:tcW w:w="1521" w:type="dxa"/>
          </w:tcPr>
          <w:p>
            <w:pPr>
              <w:pStyle w:val="TableParagraph"/>
              <w:spacing w:before="64"/>
              <w:ind w:right="2"/>
              <w:jc w:val="center"/>
              <w:rPr>
                <w:sz w:val="24"/>
              </w:rPr>
            </w:pPr>
            <w:r>
              <w:rPr>
                <w:spacing w:val="-5"/>
                <w:sz w:val="24"/>
              </w:rPr>
              <w:t>WG</w:t>
            </w:r>
          </w:p>
        </w:tc>
        <w:tc>
          <w:tcPr>
            <w:tcW w:w="1419" w:type="dxa"/>
          </w:tcPr>
          <w:p>
            <w:pPr>
              <w:pStyle w:val="TableParagraph"/>
              <w:spacing w:before="64"/>
              <w:ind w:left="1" w:right="2"/>
              <w:jc w:val="center"/>
              <w:rPr>
                <w:sz w:val="24"/>
              </w:rPr>
            </w:pPr>
            <w:r>
              <w:rPr>
                <w:spacing w:val="-5"/>
                <w:sz w:val="24"/>
              </w:rPr>
              <w:t>PVP</w:t>
            </w:r>
          </w:p>
        </w:tc>
        <w:tc>
          <w:tcPr>
            <w:tcW w:w="1579" w:type="dxa"/>
          </w:tcPr>
          <w:p>
            <w:pPr>
              <w:pStyle w:val="TableParagraph"/>
              <w:spacing w:before="64"/>
              <w:ind w:right="63"/>
              <w:jc w:val="center"/>
              <w:rPr>
                <w:sz w:val="24"/>
              </w:rPr>
            </w:pPr>
            <w:r>
              <w:rPr>
                <w:spacing w:val="-10"/>
                <w:sz w:val="24"/>
              </w:rPr>
              <w:t>4</w:t>
            </w:r>
          </w:p>
        </w:tc>
        <w:tc>
          <w:tcPr>
            <w:tcW w:w="1272" w:type="dxa"/>
          </w:tcPr>
          <w:p>
            <w:pPr>
              <w:pStyle w:val="TableParagraph"/>
              <w:spacing w:before="64"/>
              <w:ind w:left="3" w:right="1"/>
              <w:jc w:val="center"/>
              <w:rPr>
                <w:sz w:val="24"/>
              </w:rPr>
            </w:pPr>
            <w:r>
              <w:rPr>
                <w:spacing w:val="-10"/>
                <w:sz w:val="24"/>
              </w:rPr>
              <w:t>5</w:t>
            </w:r>
          </w:p>
        </w:tc>
        <w:tc>
          <w:tcPr>
            <w:tcW w:w="1613" w:type="dxa"/>
          </w:tcPr>
          <w:p>
            <w:pPr>
              <w:pStyle w:val="TableParagraph"/>
              <w:spacing w:before="64"/>
              <w:ind w:left="19"/>
              <w:jc w:val="center"/>
              <w:rPr>
                <w:sz w:val="24"/>
              </w:rPr>
            </w:pPr>
            <w:r>
              <w:rPr>
                <w:spacing w:val="-2"/>
                <w:sz w:val="24"/>
              </w:rPr>
              <w:t>498.0</w:t>
            </w:r>
          </w:p>
        </w:tc>
        <w:tc>
          <w:tcPr>
            <w:tcW w:w="1416" w:type="dxa"/>
          </w:tcPr>
          <w:p>
            <w:pPr>
              <w:pStyle w:val="TableParagraph"/>
              <w:spacing w:before="64"/>
              <w:ind w:left="2" w:right="71"/>
              <w:jc w:val="center"/>
              <w:rPr>
                <w:sz w:val="24"/>
              </w:rPr>
            </w:pPr>
            <w:r>
              <w:rPr>
                <w:spacing w:val="-5"/>
                <w:sz w:val="24"/>
              </w:rPr>
              <w:t>0.3</w:t>
            </w:r>
          </w:p>
        </w:tc>
      </w:tr>
      <w:tr>
        <w:trPr>
          <w:trHeight w:val="414" w:hRule="atLeast"/>
        </w:trPr>
        <w:tc>
          <w:tcPr>
            <w:tcW w:w="1521" w:type="dxa"/>
          </w:tcPr>
          <w:p>
            <w:pPr>
              <w:pStyle w:val="TableParagraph"/>
              <w:rPr>
                <w:sz w:val="24"/>
              </w:rPr>
            </w:pPr>
          </w:p>
        </w:tc>
        <w:tc>
          <w:tcPr>
            <w:tcW w:w="1419" w:type="dxa"/>
          </w:tcPr>
          <w:p>
            <w:pPr>
              <w:pStyle w:val="TableParagraph"/>
              <w:rPr>
                <w:sz w:val="24"/>
              </w:rPr>
            </w:pPr>
          </w:p>
        </w:tc>
        <w:tc>
          <w:tcPr>
            <w:tcW w:w="1579" w:type="dxa"/>
          </w:tcPr>
          <w:p>
            <w:pPr>
              <w:pStyle w:val="TableParagraph"/>
              <w:rPr>
                <w:sz w:val="24"/>
              </w:rPr>
            </w:pPr>
          </w:p>
        </w:tc>
        <w:tc>
          <w:tcPr>
            <w:tcW w:w="1272" w:type="dxa"/>
          </w:tcPr>
          <w:p>
            <w:pPr>
              <w:pStyle w:val="TableParagraph"/>
              <w:spacing w:before="63"/>
              <w:ind w:left="3" w:right="1"/>
              <w:jc w:val="center"/>
              <w:rPr>
                <w:sz w:val="24"/>
              </w:rPr>
            </w:pPr>
            <w:r>
              <w:rPr>
                <w:spacing w:val="-5"/>
                <w:sz w:val="24"/>
              </w:rPr>
              <w:t>10</w:t>
            </w:r>
          </w:p>
        </w:tc>
        <w:tc>
          <w:tcPr>
            <w:tcW w:w="1613" w:type="dxa"/>
          </w:tcPr>
          <w:p>
            <w:pPr>
              <w:pStyle w:val="TableParagraph"/>
              <w:spacing w:before="63"/>
              <w:ind w:left="19"/>
              <w:jc w:val="center"/>
              <w:rPr>
                <w:sz w:val="24"/>
              </w:rPr>
            </w:pPr>
            <w:r>
              <w:rPr>
                <w:spacing w:val="-2"/>
                <w:sz w:val="24"/>
              </w:rPr>
              <w:t>498.0</w:t>
            </w:r>
          </w:p>
        </w:tc>
        <w:tc>
          <w:tcPr>
            <w:tcW w:w="1416" w:type="dxa"/>
          </w:tcPr>
          <w:p>
            <w:pPr>
              <w:pStyle w:val="TableParagraph"/>
              <w:spacing w:before="63"/>
              <w:ind w:left="2" w:right="71"/>
              <w:jc w:val="center"/>
              <w:rPr>
                <w:sz w:val="24"/>
              </w:rPr>
            </w:pPr>
            <w:r>
              <w:rPr>
                <w:spacing w:val="-5"/>
                <w:sz w:val="24"/>
              </w:rPr>
              <w:t>0.2</w:t>
            </w:r>
          </w:p>
        </w:tc>
      </w:tr>
      <w:tr>
        <w:trPr>
          <w:trHeight w:val="414" w:hRule="atLeast"/>
        </w:trPr>
        <w:tc>
          <w:tcPr>
            <w:tcW w:w="1521" w:type="dxa"/>
          </w:tcPr>
          <w:p>
            <w:pPr>
              <w:pStyle w:val="TableParagraph"/>
              <w:spacing w:before="65"/>
              <w:ind w:right="2"/>
              <w:jc w:val="center"/>
              <w:rPr>
                <w:sz w:val="24"/>
              </w:rPr>
            </w:pPr>
            <w:r>
              <w:rPr>
                <w:spacing w:val="-5"/>
                <w:sz w:val="24"/>
              </w:rPr>
              <w:t>WG</w:t>
            </w:r>
          </w:p>
        </w:tc>
        <w:tc>
          <w:tcPr>
            <w:tcW w:w="1419" w:type="dxa"/>
          </w:tcPr>
          <w:p>
            <w:pPr>
              <w:pStyle w:val="TableParagraph"/>
              <w:spacing w:before="65"/>
              <w:ind w:right="2"/>
              <w:jc w:val="center"/>
              <w:rPr>
                <w:sz w:val="24"/>
              </w:rPr>
            </w:pPr>
            <w:r>
              <w:rPr>
                <w:sz w:val="24"/>
              </w:rPr>
              <w:t>Corn</w:t>
            </w:r>
            <w:r>
              <w:rPr>
                <w:spacing w:val="-1"/>
                <w:sz w:val="24"/>
              </w:rPr>
              <w:t> </w:t>
            </w:r>
            <w:r>
              <w:rPr>
                <w:spacing w:val="-2"/>
                <w:sz w:val="24"/>
              </w:rPr>
              <w:t>starch</w:t>
            </w:r>
          </w:p>
        </w:tc>
        <w:tc>
          <w:tcPr>
            <w:tcW w:w="1579" w:type="dxa"/>
          </w:tcPr>
          <w:p>
            <w:pPr>
              <w:pStyle w:val="TableParagraph"/>
              <w:spacing w:before="65"/>
              <w:ind w:right="63"/>
              <w:jc w:val="center"/>
              <w:rPr>
                <w:sz w:val="24"/>
              </w:rPr>
            </w:pPr>
            <w:r>
              <w:rPr>
                <w:spacing w:val="-10"/>
                <w:sz w:val="24"/>
              </w:rPr>
              <w:t>1</w:t>
            </w:r>
          </w:p>
        </w:tc>
        <w:tc>
          <w:tcPr>
            <w:tcW w:w="1272" w:type="dxa"/>
          </w:tcPr>
          <w:p>
            <w:pPr>
              <w:pStyle w:val="TableParagraph"/>
              <w:spacing w:before="65"/>
              <w:ind w:left="3" w:right="1"/>
              <w:jc w:val="center"/>
              <w:rPr>
                <w:sz w:val="24"/>
              </w:rPr>
            </w:pPr>
            <w:r>
              <w:rPr>
                <w:spacing w:val="-10"/>
                <w:sz w:val="24"/>
              </w:rPr>
              <w:t>5</w:t>
            </w:r>
          </w:p>
        </w:tc>
        <w:tc>
          <w:tcPr>
            <w:tcW w:w="1613" w:type="dxa"/>
          </w:tcPr>
          <w:p>
            <w:pPr>
              <w:pStyle w:val="TableParagraph"/>
              <w:spacing w:before="65"/>
              <w:ind w:left="19"/>
              <w:jc w:val="center"/>
              <w:rPr>
                <w:sz w:val="24"/>
              </w:rPr>
            </w:pPr>
            <w:r>
              <w:rPr>
                <w:spacing w:val="-2"/>
                <w:sz w:val="24"/>
              </w:rPr>
              <w:t>498.0</w:t>
            </w:r>
          </w:p>
        </w:tc>
        <w:tc>
          <w:tcPr>
            <w:tcW w:w="1416" w:type="dxa"/>
          </w:tcPr>
          <w:p>
            <w:pPr>
              <w:pStyle w:val="TableParagraph"/>
              <w:spacing w:before="65"/>
              <w:ind w:left="2" w:right="71"/>
              <w:jc w:val="center"/>
              <w:rPr>
                <w:sz w:val="24"/>
              </w:rPr>
            </w:pPr>
            <w:r>
              <w:rPr>
                <w:spacing w:val="-5"/>
                <w:sz w:val="24"/>
              </w:rPr>
              <w:t>0.1</w:t>
            </w:r>
          </w:p>
        </w:tc>
      </w:tr>
      <w:tr>
        <w:trPr>
          <w:trHeight w:val="414" w:hRule="atLeast"/>
        </w:trPr>
        <w:tc>
          <w:tcPr>
            <w:tcW w:w="1521" w:type="dxa"/>
          </w:tcPr>
          <w:p>
            <w:pPr>
              <w:pStyle w:val="TableParagraph"/>
              <w:rPr>
                <w:sz w:val="24"/>
              </w:rPr>
            </w:pPr>
          </w:p>
        </w:tc>
        <w:tc>
          <w:tcPr>
            <w:tcW w:w="1419" w:type="dxa"/>
          </w:tcPr>
          <w:p>
            <w:pPr>
              <w:pStyle w:val="TableParagraph"/>
              <w:rPr>
                <w:sz w:val="24"/>
              </w:rPr>
            </w:pPr>
          </w:p>
        </w:tc>
        <w:tc>
          <w:tcPr>
            <w:tcW w:w="1579" w:type="dxa"/>
          </w:tcPr>
          <w:p>
            <w:pPr>
              <w:pStyle w:val="TableParagraph"/>
              <w:rPr>
                <w:sz w:val="24"/>
              </w:rPr>
            </w:pPr>
          </w:p>
        </w:tc>
        <w:tc>
          <w:tcPr>
            <w:tcW w:w="1272" w:type="dxa"/>
          </w:tcPr>
          <w:p>
            <w:pPr>
              <w:pStyle w:val="TableParagraph"/>
              <w:spacing w:before="63"/>
              <w:ind w:left="3" w:right="1"/>
              <w:jc w:val="center"/>
              <w:rPr>
                <w:sz w:val="24"/>
              </w:rPr>
            </w:pPr>
            <w:r>
              <w:rPr>
                <w:spacing w:val="-5"/>
                <w:sz w:val="24"/>
              </w:rPr>
              <w:t>10</w:t>
            </w:r>
          </w:p>
        </w:tc>
        <w:tc>
          <w:tcPr>
            <w:tcW w:w="1613" w:type="dxa"/>
          </w:tcPr>
          <w:p>
            <w:pPr>
              <w:pStyle w:val="TableParagraph"/>
              <w:spacing w:before="63"/>
              <w:ind w:left="19"/>
              <w:jc w:val="center"/>
              <w:rPr>
                <w:sz w:val="24"/>
              </w:rPr>
            </w:pPr>
            <w:r>
              <w:rPr>
                <w:spacing w:val="-2"/>
                <w:sz w:val="24"/>
              </w:rPr>
              <w:t>497.0</w:t>
            </w:r>
          </w:p>
        </w:tc>
        <w:tc>
          <w:tcPr>
            <w:tcW w:w="1416" w:type="dxa"/>
          </w:tcPr>
          <w:p>
            <w:pPr>
              <w:pStyle w:val="TableParagraph"/>
              <w:spacing w:before="63"/>
              <w:ind w:left="2" w:right="71"/>
              <w:jc w:val="center"/>
              <w:rPr>
                <w:sz w:val="24"/>
              </w:rPr>
            </w:pPr>
            <w:r>
              <w:rPr>
                <w:spacing w:val="-5"/>
                <w:sz w:val="24"/>
              </w:rPr>
              <w:t>0.1</w:t>
            </w:r>
          </w:p>
        </w:tc>
      </w:tr>
      <w:tr>
        <w:trPr>
          <w:trHeight w:val="413" w:hRule="atLeast"/>
        </w:trPr>
        <w:tc>
          <w:tcPr>
            <w:tcW w:w="1521" w:type="dxa"/>
          </w:tcPr>
          <w:p>
            <w:pPr>
              <w:pStyle w:val="TableParagraph"/>
              <w:spacing w:before="64"/>
              <w:ind w:right="2"/>
              <w:jc w:val="center"/>
              <w:rPr>
                <w:sz w:val="24"/>
              </w:rPr>
            </w:pPr>
            <w:r>
              <w:rPr>
                <w:spacing w:val="-5"/>
                <w:sz w:val="24"/>
              </w:rPr>
              <w:t>WG</w:t>
            </w:r>
          </w:p>
        </w:tc>
        <w:tc>
          <w:tcPr>
            <w:tcW w:w="1419" w:type="dxa"/>
          </w:tcPr>
          <w:p>
            <w:pPr>
              <w:pStyle w:val="TableParagraph"/>
              <w:spacing w:before="64"/>
              <w:ind w:right="2"/>
              <w:jc w:val="center"/>
              <w:rPr>
                <w:sz w:val="24"/>
              </w:rPr>
            </w:pPr>
            <w:r>
              <w:rPr>
                <w:sz w:val="24"/>
              </w:rPr>
              <w:t>Corn</w:t>
            </w:r>
            <w:r>
              <w:rPr>
                <w:spacing w:val="-1"/>
                <w:sz w:val="24"/>
              </w:rPr>
              <w:t> </w:t>
            </w:r>
            <w:r>
              <w:rPr>
                <w:spacing w:val="-2"/>
                <w:sz w:val="24"/>
              </w:rPr>
              <w:t>starch</w:t>
            </w:r>
          </w:p>
        </w:tc>
        <w:tc>
          <w:tcPr>
            <w:tcW w:w="1579" w:type="dxa"/>
          </w:tcPr>
          <w:p>
            <w:pPr>
              <w:pStyle w:val="TableParagraph"/>
              <w:spacing w:before="64"/>
              <w:ind w:right="63"/>
              <w:jc w:val="center"/>
              <w:rPr>
                <w:sz w:val="24"/>
              </w:rPr>
            </w:pPr>
            <w:r>
              <w:rPr>
                <w:spacing w:val="-10"/>
                <w:sz w:val="24"/>
              </w:rPr>
              <w:t>4</w:t>
            </w:r>
          </w:p>
        </w:tc>
        <w:tc>
          <w:tcPr>
            <w:tcW w:w="1272" w:type="dxa"/>
          </w:tcPr>
          <w:p>
            <w:pPr>
              <w:pStyle w:val="TableParagraph"/>
              <w:spacing w:before="64"/>
              <w:ind w:left="3" w:right="1"/>
              <w:jc w:val="center"/>
              <w:rPr>
                <w:sz w:val="24"/>
              </w:rPr>
            </w:pPr>
            <w:r>
              <w:rPr>
                <w:spacing w:val="-10"/>
                <w:sz w:val="24"/>
              </w:rPr>
              <w:t>5</w:t>
            </w:r>
          </w:p>
        </w:tc>
        <w:tc>
          <w:tcPr>
            <w:tcW w:w="1613" w:type="dxa"/>
          </w:tcPr>
          <w:p>
            <w:pPr>
              <w:pStyle w:val="TableParagraph"/>
              <w:spacing w:before="64"/>
              <w:ind w:left="19"/>
              <w:jc w:val="center"/>
              <w:rPr>
                <w:sz w:val="24"/>
              </w:rPr>
            </w:pPr>
            <w:r>
              <w:rPr>
                <w:spacing w:val="-2"/>
                <w:sz w:val="24"/>
              </w:rPr>
              <w:t>498.0</w:t>
            </w:r>
          </w:p>
        </w:tc>
        <w:tc>
          <w:tcPr>
            <w:tcW w:w="1416" w:type="dxa"/>
          </w:tcPr>
          <w:p>
            <w:pPr>
              <w:pStyle w:val="TableParagraph"/>
              <w:spacing w:before="64"/>
              <w:ind w:left="2" w:right="71"/>
              <w:jc w:val="center"/>
              <w:rPr>
                <w:sz w:val="24"/>
              </w:rPr>
            </w:pPr>
            <w:r>
              <w:rPr>
                <w:spacing w:val="-5"/>
                <w:sz w:val="24"/>
              </w:rPr>
              <w:t>0.1</w:t>
            </w:r>
          </w:p>
        </w:tc>
      </w:tr>
      <w:tr>
        <w:trPr>
          <w:trHeight w:val="483" w:hRule="atLeast"/>
        </w:trPr>
        <w:tc>
          <w:tcPr>
            <w:tcW w:w="1521" w:type="dxa"/>
            <w:tcBorders>
              <w:bottom w:val="single" w:sz="4" w:space="0" w:color="000000"/>
            </w:tcBorders>
          </w:tcPr>
          <w:p>
            <w:pPr>
              <w:pStyle w:val="TableParagraph"/>
              <w:rPr>
                <w:sz w:val="24"/>
              </w:rPr>
            </w:pPr>
          </w:p>
        </w:tc>
        <w:tc>
          <w:tcPr>
            <w:tcW w:w="1419" w:type="dxa"/>
            <w:tcBorders>
              <w:bottom w:val="single" w:sz="4" w:space="0" w:color="000000"/>
            </w:tcBorders>
          </w:tcPr>
          <w:p>
            <w:pPr>
              <w:pStyle w:val="TableParagraph"/>
              <w:rPr>
                <w:sz w:val="24"/>
              </w:rPr>
            </w:pPr>
          </w:p>
        </w:tc>
        <w:tc>
          <w:tcPr>
            <w:tcW w:w="1579" w:type="dxa"/>
            <w:tcBorders>
              <w:bottom w:val="single" w:sz="4" w:space="0" w:color="000000"/>
            </w:tcBorders>
          </w:tcPr>
          <w:p>
            <w:pPr>
              <w:pStyle w:val="TableParagraph"/>
              <w:rPr>
                <w:sz w:val="24"/>
              </w:rPr>
            </w:pPr>
          </w:p>
        </w:tc>
        <w:tc>
          <w:tcPr>
            <w:tcW w:w="1272" w:type="dxa"/>
            <w:tcBorders>
              <w:bottom w:val="single" w:sz="4" w:space="0" w:color="000000"/>
            </w:tcBorders>
          </w:tcPr>
          <w:p>
            <w:pPr>
              <w:pStyle w:val="TableParagraph"/>
              <w:spacing w:before="63"/>
              <w:ind w:left="3" w:right="1"/>
              <w:jc w:val="center"/>
              <w:rPr>
                <w:sz w:val="24"/>
              </w:rPr>
            </w:pPr>
            <w:r>
              <w:rPr>
                <w:spacing w:val="-5"/>
                <w:sz w:val="24"/>
              </w:rPr>
              <w:t>10</w:t>
            </w:r>
          </w:p>
        </w:tc>
        <w:tc>
          <w:tcPr>
            <w:tcW w:w="1613" w:type="dxa"/>
            <w:tcBorders>
              <w:bottom w:val="single" w:sz="4" w:space="0" w:color="000000"/>
            </w:tcBorders>
          </w:tcPr>
          <w:p>
            <w:pPr>
              <w:pStyle w:val="TableParagraph"/>
              <w:spacing w:before="63"/>
              <w:ind w:left="19"/>
              <w:jc w:val="center"/>
              <w:rPr>
                <w:sz w:val="24"/>
              </w:rPr>
            </w:pPr>
            <w:r>
              <w:rPr>
                <w:spacing w:val="-2"/>
                <w:sz w:val="24"/>
              </w:rPr>
              <w:t>497.0</w:t>
            </w:r>
          </w:p>
        </w:tc>
        <w:tc>
          <w:tcPr>
            <w:tcW w:w="1416" w:type="dxa"/>
            <w:tcBorders>
              <w:bottom w:val="single" w:sz="4" w:space="0" w:color="000000"/>
            </w:tcBorders>
          </w:tcPr>
          <w:p>
            <w:pPr>
              <w:pStyle w:val="TableParagraph"/>
              <w:spacing w:before="63"/>
              <w:ind w:left="2" w:right="71"/>
              <w:jc w:val="center"/>
              <w:rPr>
                <w:sz w:val="24"/>
              </w:rPr>
            </w:pPr>
            <w:r>
              <w:rPr>
                <w:spacing w:val="-5"/>
                <w:sz w:val="24"/>
              </w:rPr>
              <w:t>0.2</w:t>
            </w:r>
          </w:p>
        </w:tc>
      </w:tr>
    </w:tbl>
    <w:p>
      <w:pPr>
        <w:pStyle w:val="BodyText"/>
        <w:spacing w:before="140"/>
        <w:rPr>
          <w:b/>
        </w:rPr>
      </w:pPr>
    </w:p>
    <w:p>
      <w:pPr>
        <w:spacing w:before="0"/>
        <w:ind w:left="678" w:right="0" w:firstLine="0"/>
        <w:jc w:val="left"/>
        <w:rPr>
          <w:b/>
          <w:sz w:val="24"/>
        </w:rPr>
      </w:pPr>
      <w:r>
        <w:rPr>
          <w:b/>
          <w:sz w:val="24"/>
        </w:rPr>
        <w:t>CP</w:t>
      </w:r>
      <w:r>
        <w:rPr>
          <w:b/>
          <w:spacing w:val="-6"/>
          <w:sz w:val="24"/>
        </w:rPr>
        <w:t> </w:t>
      </w:r>
      <w:r>
        <w:rPr>
          <w:b/>
          <w:sz w:val="24"/>
        </w:rPr>
        <w:t>= compression</w:t>
      </w:r>
      <w:r>
        <w:rPr>
          <w:b/>
          <w:spacing w:val="-1"/>
          <w:sz w:val="24"/>
        </w:rPr>
        <w:t> </w:t>
      </w:r>
      <w:r>
        <w:rPr>
          <w:b/>
          <w:spacing w:val="-2"/>
          <w:sz w:val="24"/>
        </w:rPr>
        <w:t>pressure</w:t>
      </w:r>
    </w:p>
    <w:p>
      <w:pPr>
        <w:spacing w:after="0"/>
        <w:jc w:val="left"/>
        <w:rPr>
          <w:sz w:val="24"/>
        </w:rPr>
        <w:sectPr>
          <w:pgSz w:w="12240" w:h="15840"/>
          <w:pgMar w:header="0" w:footer="1056" w:top="1340" w:bottom="1240" w:left="1420" w:right="420"/>
        </w:sectPr>
      </w:pPr>
    </w:p>
    <w:p>
      <w:pPr>
        <w:pStyle w:val="BodyText"/>
        <w:spacing w:before="72"/>
        <w:ind w:left="1398"/>
        <w:jc w:val="both"/>
      </w:pPr>
      <w:r>
        <w:rPr/>
        <mc:AlternateContent>
          <mc:Choice Requires="wps">
            <w:drawing>
              <wp:anchor distT="0" distB="0" distL="0" distR="0" allowOverlap="1" layoutInCell="1" locked="0" behindDoc="1" simplePos="0" relativeHeight="483013632">
                <wp:simplePos x="0" y="0"/>
                <wp:positionH relativeFrom="page">
                  <wp:posOffset>-1402226</wp:posOffset>
                </wp:positionH>
                <wp:positionV relativeFrom="page">
                  <wp:posOffset>4612234</wp:posOffset>
                </wp:positionV>
                <wp:extent cx="10685780" cy="9144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2848;rotation:306" type="#_x0000_t136" fillcolor="#ff5400" stroked="f">
                <o:extrusion v:ext="view" autorotationcenter="t"/>
                <v:textpath style="font-family:&quot;Arial MT&quot;;font-size:72pt;v-text-kern:t;mso-text-shadow:auto" string="UNIVERSITY OF IBADAN"/>
                <w10:wrap type="none"/>
              </v:shape>
            </w:pict>
          </mc:Fallback>
        </mc:AlternateContent>
      </w:r>
      <w:r>
        <w:rPr/>
        <w:t>This</w:t>
      </w:r>
      <w:r>
        <w:rPr>
          <w:spacing w:val="42"/>
        </w:rPr>
        <w:t> </w:t>
      </w:r>
      <w:r>
        <w:rPr/>
        <w:t>shows</w:t>
      </w:r>
      <w:r>
        <w:rPr>
          <w:spacing w:val="44"/>
        </w:rPr>
        <w:t> </w:t>
      </w:r>
      <w:r>
        <w:rPr/>
        <w:t>conformity</w:t>
      </w:r>
      <w:r>
        <w:rPr>
          <w:spacing w:val="41"/>
        </w:rPr>
        <w:t> </w:t>
      </w:r>
      <w:r>
        <w:rPr/>
        <w:t>with</w:t>
      </w:r>
      <w:r>
        <w:rPr>
          <w:spacing w:val="44"/>
        </w:rPr>
        <w:t> </w:t>
      </w:r>
      <w:r>
        <w:rPr/>
        <w:t>the</w:t>
      </w:r>
      <w:r>
        <w:rPr>
          <w:spacing w:val="43"/>
        </w:rPr>
        <w:t> </w:t>
      </w:r>
      <w:r>
        <w:rPr/>
        <w:t>British</w:t>
      </w:r>
      <w:r>
        <w:rPr>
          <w:spacing w:val="44"/>
        </w:rPr>
        <w:t> </w:t>
      </w:r>
      <w:r>
        <w:rPr/>
        <w:t>Pharmacopoeia</w:t>
      </w:r>
      <w:r>
        <w:rPr>
          <w:spacing w:val="43"/>
        </w:rPr>
        <w:t> </w:t>
      </w:r>
      <w:r>
        <w:rPr/>
        <w:t>(B.P)</w:t>
      </w:r>
      <w:r>
        <w:rPr>
          <w:spacing w:val="43"/>
        </w:rPr>
        <w:t> </w:t>
      </w:r>
      <w:r>
        <w:rPr/>
        <w:t>requirement.</w:t>
      </w:r>
      <w:r>
        <w:rPr>
          <w:spacing w:val="45"/>
        </w:rPr>
        <w:t> </w:t>
      </w:r>
      <w:r>
        <w:rPr>
          <w:spacing w:val="-5"/>
        </w:rPr>
        <w:t>The</w:t>
      </w:r>
    </w:p>
    <w:p>
      <w:pPr>
        <w:pStyle w:val="BodyText"/>
        <w:spacing w:line="360" w:lineRule="auto" w:before="138"/>
        <w:ind w:left="678" w:right="995"/>
        <w:jc w:val="both"/>
      </w:pPr>
      <w:r>
        <w:rPr/>
        <w:t>B.P (1998) standard for uniformity of weight for tablets states that the preparation complies with the test if not more than two of</w:t>
      </w:r>
      <w:r>
        <w:rPr>
          <w:spacing w:val="40"/>
        </w:rPr>
        <w:t> </w:t>
      </w:r>
      <w:r>
        <w:rPr/>
        <w:t>the individual weights deviate from the average weight by more than 5% deviation if the average weight is or greater than 250mg (in this study, the weight of each tablet was 500mg). All the </w:t>
      </w:r>
      <w:r>
        <w:rPr>
          <w:i/>
        </w:rPr>
        <w:t>M. pruriens </w:t>
      </w:r>
      <w:r>
        <w:rPr/>
        <w:t>tablets prepared by both direct compression and wet granulation passed the weight uniformity test.</w:t>
      </w:r>
    </w:p>
    <w:p>
      <w:pPr>
        <w:pStyle w:val="BodyText"/>
        <w:spacing w:before="142"/>
      </w:pPr>
    </w:p>
    <w:p>
      <w:pPr>
        <w:pStyle w:val="ListParagraph"/>
        <w:numPr>
          <w:ilvl w:val="2"/>
          <w:numId w:val="44"/>
        </w:numPr>
        <w:tabs>
          <w:tab w:pos="1113" w:val="left" w:leader="none"/>
        </w:tabs>
        <w:spacing w:line="240" w:lineRule="auto" w:before="1" w:after="0"/>
        <w:ind w:left="1113" w:right="0" w:hanging="539"/>
        <w:jc w:val="both"/>
        <w:rPr>
          <w:b/>
          <w:sz w:val="24"/>
        </w:rPr>
      </w:pPr>
      <w:r>
        <w:rPr>
          <w:b/>
          <w:sz w:val="24"/>
        </w:rPr>
        <w:t>Mechanical</w:t>
      </w:r>
      <w:r>
        <w:rPr>
          <w:b/>
          <w:spacing w:val="-2"/>
          <w:sz w:val="24"/>
        </w:rPr>
        <w:t> </w:t>
      </w:r>
      <w:r>
        <w:rPr>
          <w:b/>
          <w:sz w:val="24"/>
        </w:rPr>
        <w:t>properties</w:t>
      </w:r>
      <w:r>
        <w:rPr>
          <w:b/>
          <w:spacing w:val="-1"/>
          <w:sz w:val="24"/>
        </w:rPr>
        <w:t> </w:t>
      </w:r>
      <w:r>
        <w:rPr>
          <w:b/>
          <w:sz w:val="24"/>
        </w:rPr>
        <w:t>of</w:t>
      </w:r>
      <w:r>
        <w:rPr>
          <w:b/>
          <w:spacing w:val="1"/>
          <w:sz w:val="24"/>
        </w:rPr>
        <w:t> </w:t>
      </w:r>
      <w:r>
        <w:rPr>
          <w:b/>
          <w:i/>
          <w:sz w:val="24"/>
        </w:rPr>
        <w:t>M.</w:t>
      </w:r>
      <w:r>
        <w:rPr>
          <w:b/>
          <w:i/>
          <w:spacing w:val="-1"/>
          <w:sz w:val="24"/>
        </w:rPr>
        <w:t> </w:t>
      </w:r>
      <w:r>
        <w:rPr>
          <w:b/>
          <w:i/>
          <w:sz w:val="24"/>
        </w:rPr>
        <w:t>pruriens </w:t>
      </w:r>
      <w:r>
        <w:rPr>
          <w:b/>
          <w:spacing w:val="-2"/>
          <w:sz w:val="24"/>
        </w:rPr>
        <w:t>tablets</w:t>
      </w:r>
    </w:p>
    <w:p>
      <w:pPr>
        <w:pStyle w:val="Heading2"/>
        <w:numPr>
          <w:ilvl w:val="3"/>
          <w:numId w:val="44"/>
        </w:numPr>
        <w:tabs>
          <w:tab w:pos="1293" w:val="left" w:leader="none"/>
        </w:tabs>
        <w:spacing w:line="240" w:lineRule="auto" w:before="139" w:after="0"/>
        <w:ind w:left="1293" w:right="0" w:hanging="719"/>
        <w:jc w:val="both"/>
      </w:pPr>
      <w:bookmarkStart w:name="_TOC_250008" w:id="125"/>
      <w:r>
        <w:rPr/>
        <w:t>Crushing</w:t>
      </w:r>
      <w:r>
        <w:rPr>
          <w:spacing w:val="-1"/>
        </w:rPr>
        <w:t> </w:t>
      </w:r>
      <w:bookmarkEnd w:id="125"/>
      <w:r>
        <w:rPr>
          <w:spacing w:val="-2"/>
        </w:rPr>
        <w:t>strength</w:t>
      </w:r>
    </w:p>
    <w:p>
      <w:pPr>
        <w:pStyle w:val="BodyText"/>
        <w:spacing w:line="360" w:lineRule="auto" w:before="133"/>
        <w:ind w:left="678" w:right="995" w:firstLine="720"/>
        <w:jc w:val="both"/>
      </w:pPr>
      <w:r>
        <w:rPr/>
        <w:t>The values of the crushing strength, friability and crushing strength-friability ratio for </w:t>
      </w:r>
      <w:r>
        <w:rPr>
          <w:i/>
        </w:rPr>
        <w:t>M. pruriens </w:t>
      </w:r>
      <w:r>
        <w:rPr/>
        <w:t>tablets prepared by direct compression are presented in Tables 4.7.</w:t>
      </w:r>
      <w:r>
        <w:rPr>
          <w:spacing w:val="40"/>
        </w:rPr>
        <w:t> </w:t>
      </w:r>
      <w:r>
        <w:rPr/>
        <w:t>The crushing strength and friability are important tests for pharmaceutical tablets that often form part of a manufacturer‘s own specification. Friability</w:t>
      </w:r>
      <w:r>
        <w:rPr>
          <w:spacing w:val="-3"/>
        </w:rPr>
        <w:t> </w:t>
      </w:r>
      <w:r>
        <w:rPr/>
        <w:t>is especially</w:t>
      </w:r>
      <w:r>
        <w:rPr>
          <w:spacing w:val="-3"/>
        </w:rPr>
        <w:t> </w:t>
      </w:r>
      <w:r>
        <w:rPr/>
        <w:t>important because the tablet is likely to be subjected to various abrasive motions during production and subsequent use (Odeku and Itiola, 2003).</w:t>
      </w:r>
      <w:r>
        <w:rPr>
          <w:spacing w:val="40"/>
        </w:rPr>
        <w:t> </w:t>
      </w:r>
      <w:r>
        <w:rPr/>
        <w:t>The values of crushing strength and friability provide measures of tablet strength and weakness, respectively. Thus, the crushing strength-friability</w:t>
      </w:r>
      <w:r>
        <w:rPr>
          <w:spacing w:val="-4"/>
        </w:rPr>
        <w:t> </w:t>
      </w:r>
      <w:r>
        <w:rPr/>
        <w:t>ratio</w:t>
      </w:r>
      <w:r>
        <w:rPr>
          <w:spacing w:val="1"/>
        </w:rPr>
        <w:t> </w:t>
      </w:r>
      <w:r>
        <w:rPr/>
        <w:t>(CSFR) can</w:t>
      </w:r>
      <w:r>
        <w:rPr>
          <w:spacing w:val="3"/>
        </w:rPr>
        <w:t> </w:t>
      </w:r>
      <w:r>
        <w:rPr/>
        <w:t>be</w:t>
      </w:r>
      <w:r>
        <w:rPr>
          <w:spacing w:val="1"/>
        </w:rPr>
        <w:t> </w:t>
      </w:r>
      <w:r>
        <w:rPr/>
        <w:t>used</w:t>
      </w:r>
      <w:r>
        <w:rPr>
          <w:spacing w:val="1"/>
        </w:rPr>
        <w:t> </w:t>
      </w:r>
      <w:r>
        <w:rPr/>
        <w:t>as</w:t>
      </w:r>
      <w:r>
        <w:rPr>
          <w:spacing w:val="3"/>
        </w:rPr>
        <w:t> </w:t>
      </w:r>
      <w:r>
        <w:rPr/>
        <w:t>a</w:t>
      </w:r>
      <w:r>
        <w:rPr>
          <w:spacing w:val="2"/>
        </w:rPr>
        <w:t> </w:t>
      </w:r>
      <w:r>
        <w:rPr/>
        <w:t>measure</w:t>
      </w:r>
      <w:r>
        <w:rPr>
          <w:spacing w:val="1"/>
        </w:rPr>
        <w:t> </w:t>
      </w:r>
      <w:r>
        <w:rPr/>
        <w:t>of</w:t>
      </w:r>
      <w:r>
        <w:rPr>
          <w:spacing w:val="1"/>
        </w:rPr>
        <w:t> </w:t>
      </w:r>
      <w:r>
        <w:rPr/>
        <w:t>the</w:t>
      </w:r>
      <w:r>
        <w:rPr>
          <w:spacing w:val="2"/>
        </w:rPr>
        <w:t> </w:t>
      </w:r>
      <w:r>
        <w:rPr/>
        <w:t>mechanical</w:t>
      </w:r>
      <w:r>
        <w:rPr>
          <w:spacing w:val="1"/>
        </w:rPr>
        <w:t> </w:t>
      </w:r>
      <w:r>
        <w:rPr/>
        <w:t>strength</w:t>
      </w:r>
      <w:r>
        <w:rPr>
          <w:spacing w:val="1"/>
        </w:rPr>
        <w:t> </w:t>
      </w:r>
      <w:r>
        <w:rPr/>
        <w:t>of</w:t>
      </w:r>
      <w:r>
        <w:rPr>
          <w:spacing w:val="3"/>
        </w:rPr>
        <w:t> </w:t>
      </w:r>
      <w:r>
        <w:rPr>
          <w:spacing w:val="-5"/>
        </w:rPr>
        <w:t>the</w:t>
      </w:r>
    </w:p>
    <w:p>
      <w:pPr>
        <w:pStyle w:val="BodyText"/>
        <w:ind w:left="678"/>
        <w:jc w:val="both"/>
      </w:pPr>
      <w:r>
        <w:rPr>
          <w:i/>
        </w:rPr>
        <w:t>M.</w:t>
      </w:r>
      <w:r>
        <w:rPr>
          <w:i/>
          <w:spacing w:val="-1"/>
        </w:rPr>
        <w:t> </w:t>
      </w:r>
      <w:r>
        <w:rPr>
          <w:i/>
        </w:rPr>
        <w:t>pruriens</w:t>
      </w:r>
      <w:r>
        <w:rPr>
          <w:i/>
          <w:spacing w:val="-1"/>
        </w:rPr>
        <w:t> </w:t>
      </w:r>
      <w:r>
        <w:rPr/>
        <w:t>tablets.</w:t>
      </w:r>
      <w:r>
        <w:rPr>
          <w:spacing w:val="-1"/>
        </w:rPr>
        <w:t> </w:t>
      </w:r>
      <w:r>
        <w:rPr/>
        <w:t>The higher</w:t>
      </w:r>
      <w:r>
        <w:rPr>
          <w:spacing w:val="-1"/>
        </w:rPr>
        <w:t> </w:t>
      </w:r>
      <w:r>
        <w:rPr/>
        <w:t>the</w:t>
      </w:r>
      <w:r>
        <w:rPr>
          <w:spacing w:val="-1"/>
        </w:rPr>
        <w:t> </w:t>
      </w:r>
      <w:r>
        <w:rPr/>
        <w:t>(CSFR),</w:t>
      </w:r>
      <w:r>
        <w:rPr>
          <w:spacing w:val="-1"/>
        </w:rPr>
        <w:t> </w:t>
      </w:r>
      <w:r>
        <w:rPr/>
        <w:t>the</w:t>
      </w:r>
      <w:r>
        <w:rPr>
          <w:spacing w:val="-3"/>
        </w:rPr>
        <w:t> </w:t>
      </w:r>
      <w:r>
        <w:rPr/>
        <w:t>stronger</w:t>
      </w:r>
      <w:r>
        <w:rPr>
          <w:spacing w:val="-1"/>
        </w:rPr>
        <w:t> </w:t>
      </w:r>
      <w:r>
        <w:rPr/>
        <w:t>the</w:t>
      </w:r>
      <w:r>
        <w:rPr>
          <w:spacing w:val="-2"/>
        </w:rPr>
        <w:t> tablet.</w:t>
      </w:r>
    </w:p>
    <w:p>
      <w:pPr>
        <w:pStyle w:val="BodyText"/>
        <w:spacing w:line="360" w:lineRule="auto" w:before="139"/>
        <w:ind w:left="678" w:right="998" w:firstLine="720"/>
        <w:jc w:val="both"/>
      </w:pPr>
      <w:r>
        <w:rPr/>
        <w:t>The nature of diluent and compression pressure were shown to affect the tablet crushing strength (CS) considerably. Generally, increased compression pressure resulted</w:t>
      </w:r>
      <w:r>
        <w:rPr>
          <w:spacing w:val="40"/>
        </w:rPr>
        <w:t> </w:t>
      </w:r>
      <w:r>
        <w:rPr/>
        <w:t>in harder tablets. This might be as a result of the provision of greater compressibility to</w:t>
      </w:r>
      <w:r>
        <w:rPr>
          <w:spacing w:val="40"/>
        </w:rPr>
        <w:t> </w:t>
      </w:r>
      <w:r>
        <w:rPr/>
        <w:t>the powder mass under high compression pressure resulting in more plastic deformation (Itiola and Pilpel, 1986, 1996). Tablets containing lactose showed the least CS values while those containing Cellactose had the highest CS values. Avicel and Cellactose are directly compressible diluents thus possessing high compressibility. The ranking of crushing strength values for tablets prepared by direct compression was Cellactose &gt; Avicel</w:t>
      </w:r>
      <w:r>
        <w:rPr>
          <w:position w:val="9"/>
          <w:sz w:val="13"/>
        </w:rPr>
        <w:t>®</w:t>
      </w:r>
      <w:r>
        <w:rPr>
          <w:spacing w:val="40"/>
          <w:position w:val="9"/>
          <w:sz w:val="13"/>
        </w:rPr>
        <w:t> </w:t>
      </w:r>
      <w:r>
        <w:rPr/>
        <w:t>&gt;</w:t>
      </w:r>
      <w:r>
        <w:rPr>
          <w:spacing w:val="80"/>
        </w:rPr>
        <w:t> </w:t>
      </w:r>
      <w:r>
        <w:rPr/>
        <w:t>lactose.</w:t>
      </w:r>
    </w:p>
    <w:p>
      <w:pPr>
        <w:spacing w:after="0" w:line="360" w:lineRule="auto"/>
        <w:jc w:val="both"/>
        <w:sectPr>
          <w:pgSz w:w="12240" w:h="15840"/>
          <w:pgMar w:header="0" w:footer="1056" w:top="1340" w:bottom="1240" w:left="1420" w:right="420"/>
        </w:sectPr>
      </w:pPr>
    </w:p>
    <w:p>
      <w:pPr>
        <w:pStyle w:val="Heading2"/>
        <w:spacing w:line="360" w:lineRule="auto" w:before="77"/>
        <w:ind w:left="1810" w:right="1433" w:hanging="1133"/>
        <w:jc w:val="left"/>
      </w:pPr>
      <w:r>
        <w:rPr/>
        <mc:AlternateContent>
          <mc:Choice Requires="wps">
            <w:drawing>
              <wp:anchor distT="0" distB="0" distL="0" distR="0" allowOverlap="1" layoutInCell="1" locked="0" behindDoc="1" simplePos="0" relativeHeight="483014144">
                <wp:simplePos x="0" y="0"/>
                <wp:positionH relativeFrom="page">
                  <wp:posOffset>-1402226</wp:posOffset>
                </wp:positionH>
                <wp:positionV relativeFrom="page">
                  <wp:posOffset>4612234</wp:posOffset>
                </wp:positionV>
                <wp:extent cx="10685780" cy="9144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2336;rotation:306" type="#_x0000_t136" fillcolor="#ff5400" stroked="f">
                <o:extrusion v:ext="view" autorotationcenter="t"/>
                <v:textpath style="font-family:&quot;Arial MT&quot;;font-size:72pt;v-text-kern:t;mso-text-shadow:auto" string="UNIVERSITY OF IBADAN"/>
                <w10:wrap type="none"/>
              </v:shape>
            </w:pict>
          </mc:Fallback>
        </mc:AlternateContent>
      </w:r>
      <w:r>
        <w:rPr/>
        <w:t>Table</w:t>
      </w:r>
      <w:r>
        <w:rPr>
          <w:spacing w:val="-5"/>
        </w:rPr>
        <w:t> </w:t>
      </w:r>
      <w:r>
        <w:rPr/>
        <w:t>4.7:</w:t>
      </w:r>
      <w:r>
        <w:rPr>
          <w:spacing w:val="-6"/>
        </w:rPr>
        <w:t> </w:t>
      </w:r>
      <w:r>
        <w:rPr/>
        <w:t>Mechanical</w:t>
      </w:r>
      <w:r>
        <w:rPr>
          <w:spacing w:val="-5"/>
        </w:rPr>
        <w:t> </w:t>
      </w:r>
      <w:r>
        <w:rPr/>
        <w:t>properties</w:t>
      </w:r>
      <w:r>
        <w:rPr>
          <w:spacing w:val="-5"/>
        </w:rPr>
        <w:t> </w:t>
      </w:r>
      <w:r>
        <w:rPr/>
        <w:t>of</w:t>
      </w:r>
      <w:r>
        <w:rPr>
          <w:spacing w:val="-1"/>
        </w:rPr>
        <w:t> </w:t>
      </w:r>
      <w:r>
        <w:rPr>
          <w:i/>
        </w:rPr>
        <w:t>Mucuna</w:t>
      </w:r>
      <w:r>
        <w:rPr>
          <w:i/>
          <w:spacing w:val="-5"/>
        </w:rPr>
        <w:t> </w:t>
      </w:r>
      <w:r>
        <w:rPr>
          <w:i/>
        </w:rPr>
        <w:t>pruriens</w:t>
      </w:r>
      <w:r>
        <w:rPr>
          <w:i/>
          <w:spacing w:val="-3"/>
        </w:rPr>
        <w:t> </w:t>
      </w:r>
      <w:r>
        <w:rPr/>
        <w:t>tablets</w:t>
      </w:r>
      <w:r>
        <w:rPr>
          <w:spacing w:val="-5"/>
        </w:rPr>
        <w:t> </w:t>
      </w:r>
      <w:r>
        <w:rPr/>
        <w:t>prepared</w:t>
      </w:r>
      <w:r>
        <w:rPr>
          <w:spacing w:val="-5"/>
        </w:rPr>
        <w:t> </w:t>
      </w:r>
      <w:r>
        <w:rPr/>
        <w:t>by</w:t>
      </w:r>
      <w:r>
        <w:rPr>
          <w:spacing w:val="-5"/>
        </w:rPr>
        <w:t> </w:t>
      </w:r>
      <w:r>
        <w:rPr/>
        <w:t>direct </w:t>
      </w:r>
      <w:r>
        <w:rPr>
          <w:spacing w:val="-2"/>
        </w:rPr>
        <w:t>compression</w:t>
      </w:r>
    </w:p>
    <w:p>
      <w:pPr>
        <w:pStyle w:val="BodyText"/>
        <w:rPr>
          <w:b/>
          <w:sz w:val="20"/>
        </w:rPr>
      </w:pPr>
    </w:p>
    <w:p>
      <w:pPr>
        <w:pStyle w:val="BodyText"/>
        <w:spacing w:before="86"/>
        <w:rPr>
          <w:b/>
          <w:sz w:val="2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108"/>
        <w:gridCol w:w="1008"/>
        <w:gridCol w:w="1294"/>
        <w:gridCol w:w="1336"/>
        <w:gridCol w:w="1527"/>
      </w:tblGrid>
      <w:tr>
        <w:trPr>
          <w:trHeight w:val="827" w:hRule="atLeast"/>
        </w:trPr>
        <w:tc>
          <w:tcPr>
            <w:tcW w:w="1561"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Diluent</w:t>
            </w:r>
          </w:p>
        </w:tc>
        <w:tc>
          <w:tcPr>
            <w:tcW w:w="2108" w:type="dxa"/>
            <w:tcBorders>
              <w:top w:val="single" w:sz="4" w:space="0" w:color="000000"/>
              <w:bottom w:val="single" w:sz="4" w:space="0" w:color="000000"/>
            </w:tcBorders>
          </w:tcPr>
          <w:p>
            <w:pPr>
              <w:pStyle w:val="TableParagraph"/>
              <w:spacing w:line="275" w:lineRule="exact"/>
              <w:ind w:left="325"/>
              <w:rPr>
                <w:b/>
                <w:sz w:val="24"/>
              </w:rPr>
            </w:pPr>
            <w:r>
              <w:rPr>
                <w:b/>
                <w:spacing w:val="-2"/>
                <w:sz w:val="24"/>
              </w:rPr>
              <w:t>Concentration</w:t>
            </w:r>
          </w:p>
          <w:p>
            <w:pPr>
              <w:pStyle w:val="TableParagraph"/>
              <w:spacing w:before="137"/>
              <w:ind w:left="325"/>
              <w:rPr>
                <w:b/>
                <w:sz w:val="24"/>
              </w:rPr>
            </w:pPr>
            <w:r>
              <w:rPr>
                <w:b/>
                <w:sz w:val="24"/>
              </w:rPr>
              <w:t>of</w:t>
            </w:r>
            <w:r>
              <w:rPr>
                <w:b/>
                <w:spacing w:val="-1"/>
                <w:sz w:val="24"/>
              </w:rPr>
              <w:t> </w:t>
            </w:r>
            <w:r>
              <w:rPr>
                <w:b/>
                <w:spacing w:val="-2"/>
                <w:sz w:val="24"/>
              </w:rPr>
              <w:t>binder</w:t>
            </w:r>
          </w:p>
        </w:tc>
        <w:tc>
          <w:tcPr>
            <w:tcW w:w="1008" w:type="dxa"/>
            <w:tcBorders>
              <w:top w:val="single" w:sz="4" w:space="0" w:color="000000"/>
              <w:bottom w:val="single" w:sz="4" w:space="0" w:color="000000"/>
            </w:tcBorders>
          </w:tcPr>
          <w:p>
            <w:pPr>
              <w:pStyle w:val="TableParagraph"/>
              <w:spacing w:line="275" w:lineRule="exact"/>
              <w:ind w:left="452"/>
              <w:rPr>
                <w:b/>
                <w:sz w:val="24"/>
              </w:rPr>
            </w:pPr>
            <w:r>
              <w:rPr>
                <w:b/>
                <w:spacing w:val="-5"/>
                <w:sz w:val="24"/>
              </w:rPr>
              <w:t>CP</w:t>
            </w:r>
          </w:p>
          <w:p>
            <w:pPr>
              <w:pStyle w:val="TableParagraph"/>
              <w:spacing w:before="137"/>
              <w:ind w:left="392"/>
              <w:rPr>
                <w:b/>
                <w:sz w:val="24"/>
              </w:rPr>
            </w:pPr>
            <w:r>
              <w:rPr>
                <w:b/>
                <w:spacing w:val="-4"/>
                <w:sz w:val="24"/>
              </w:rPr>
              <w:t>(kN)</w:t>
            </w:r>
          </w:p>
        </w:tc>
        <w:tc>
          <w:tcPr>
            <w:tcW w:w="1294" w:type="dxa"/>
            <w:tcBorders>
              <w:top w:val="single" w:sz="4" w:space="0" w:color="000000"/>
              <w:bottom w:val="single" w:sz="4" w:space="0" w:color="000000"/>
            </w:tcBorders>
          </w:tcPr>
          <w:p>
            <w:pPr>
              <w:pStyle w:val="TableParagraph"/>
              <w:spacing w:line="275" w:lineRule="exact"/>
              <w:ind w:right="327"/>
              <w:jc w:val="right"/>
              <w:rPr>
                <w:b/>
                <w:sz w:val="24"/>
              </w:rPr>
            </w:pPr>
            <w:r>
              <w:rPr>
                <w:b/>
                <w:sz w:val="24"/>
              </w:rPr>
              <w:t>CS</w:t>
            </w:r>
            <w:r>
              <w:rPr>
                <w:b/>
                <w:spacing w:val="60"/>
                <w:sz w:val="24"/>
              </w:rPr>
              <w:t> </w:t>
            </w:r>
            <w:r>
              <w:rPr>
                <w:b/>
                <w:spacing w:val="-5"/>
                <w:sz w:val="24"/>
              </w:rPr>
              <w:t>(N)</w:t>
            </w:r>
          </w:p>
        </w:tc>
        <w:tc>
          <w:tcPr>
            <w:tcW w:w="1336" w:type="dxa"/>
            <w:tcBorders>
              <w:top w:val="single" w:sz="4" w:space="0" w:color="000000"/>
              <w:bottom w:val="single" w:sz="4" w:space="0" w:color="000000"/>
            </w:tcBorders>
          </w:tcPr>
          <w:p>
            <w:pPr>
              <w:pStyle w:val="TableParagraph"/>
              <w:spacing w:line="275" w:lineRule="exact"/>
              <w:ind w:left="291"/>
              <w:rPr>
                <w:b/>
                <w:sz w:val="24"/>
              </w:rPr>
            </w:pPr>
            <w:r>
              <w:rPr>
                <w:b/>
                <w:sz w:val="24"/>
              </w:rPr>
              <w:t>F</w:t>
            </w:r>
            <w:r>
              <w:rPr>
                <w:b/>
                <w:spacing w:val="-3"/>
                <w:sz w:val="24"/>
              </w:rPr>
              <w:t> </w:t>
            </w:r>
            <w:r>
              <w:rPr>
                <w:b/>
                <w:spacing w:val="-5"/>
                <w:sz w:val="24"/>
              </w:rPr>
              <w:t>(%)</w:t>
            </w:r>
          </w:p>
        </w:tc>
        <w:tc>
          <w:tcPr>
            <w:tcW w:w="1527" w:type="dxa"/>
            <w:tcBorders>
              <w:top w:val="single" w:sz="4" w:space="0" w:color="000000"/>
              <w:bottom w:val="single" w:sz="4" w:space="0" w:color="000000"/>
            </w:tcBorders>
          </w:tcPr>
          <w:p>
            <w:pPr>
              <w:pStyle w:val="TableParagraph"/>
              <w:spacing w:line="275" w:lineRule="exact"/>
              <w:ind w:left="364"/>
              <w:rPr>
                <w:b/>
                <w:sz w:val="24"/>
              </w:rPr>
            </w:pPr>
            <w:r>
              <w:rPr>
                <w:b/>
                <w:spacing w:val="-4"/>
                <w:sz w:val="24"/>
              </w:rPr>
              <w:t>CSFR</w:t>
            </w:r>
          </w:p>
        </w:tc>
      </w:tr>
      <w:tr>
        <w:trPr>
          <w:trHeight w:val="757" w:hRule="atLeast"/>
        </w:trPr>
        <w:tc>
          <w:tcPr>
            <w:tcW w:w="1561" w:type="dxa"/>
            <w:tcBorders>
              <w:top w:val="single" w:sz="4" w:space="0" w:color="000000"/>
            </w:tcBorders>
          </w:tcPr>
          <w:p>
            <w:pPr>
              <w:pStyle w:val="TableParagraph"/>
              <w:spacing w:line="270" w:lineRule="exact"/>
              <w:ind w:left="122"/>
              <w:rPr>
                <w:sz w:val="24"/>
              </w:rPr>
            </w:pPr>
            <w:r>
              <w:rPr>
                <w:sz w:val="24"/>
              </w:rPr>
              <w:t>No</w:t>
            </w:r>
            <w:r>
              <w:rPr>
                <w:spacing w:val="-1"/>
                <w:sz w:val="24"/>
              </w:rPr>
              <w:t> </w:t>
            </w:r>
            <w:r>
              <w:rPr>
                <w:spacing w:val="-2"/>
                <w:sz w:val="24"/>
              </w:rPr>
              <w:t>diluents</w:t>
            </w:r>
          </w:p>
        </w:tc>
        <w:tc>
          <w:tcPr>
            <w:tcW w:w="2108" w:type="dxa"/>
            <w:tcBorders>
              <w:top w:val="single" w:sz="4" w:space="0" w:color="000000"/>
            </w:tcBorders>
          </w:tcPr>
          <w:p>
            <w:pPr>
              <w:pStyle w:val="TableParagraph"/>
              <w:spacing w:line="270" w:lineRule="exact"/>
              <w:ind w:left="25"/>
              <w:jc w:val="center"/>
              <w:rPr>
                <w:sz w:val="24"/>
              </w:rPr>
            </w:pPr>
            <w:r>
              <w:rPr>
                <w:spacing w:val="-10"/>
                <w:sz w:val="24"/>
              </w:rPr>
              <w:t>-</w:t>
            </w:r>
          </w:p>
          <w:p>
            <w:pPr>
              <w:pStyle w:val="TableParagraph"/>
              <w:spacing w:before="137"/>
              <w:ind w:left="25"/>
              <w:jc w:val="center"/>
              <w:rPr>
                <w:sz w:val="24"/>
              </w:rPr>
            </w:pPr>
            <w:r>
              <w:rPr>
                <w:spacing w:val="-10"/>
                <w:sz w:val="24"/>
              </w:rPr>
              <w:t>-</w:t>
            </w:r>
          </w:p>
        </w:tc>
        <w:tc>
          <w:tcPr>
            <w:tcW w:w="1008" w:type="dxa"/>
            <w:tcBorders>
              <w:top w:val="single" w:sz="4" w:space="0" w:color="000000"/>
            </w:tcBorders>
          </w:tcPr>
          <w:p>
            <w:pPr>
              <w:pStyle w:val="TableParagraph"/>
              <w:spacing w:line="270" w:lineRule="exact"/>
              <w:ind w:right="158"/>
              <w:jc w:val="center"/>
              <w:rPr>
                <w:sz w:val="24"/>
              </w:rPr>
            </w:pPr>
            <w:r>
              <w:rPr>
                <w:spacing w:val="-10"/>
                <w:sz w:val="24"/>
              </w:rPr>
              <w:t>5</w:t>
            </w:r>
          </w:p>
          <w:p>
            <w:pPr>
              <w:pStyle w:val="TableParagraph"/>
              <w:spacing w:before="137"/>
              <w:ind w:right="158"/>
              <w:jc w:val="center"/>
              <w:rPr>
                <w:sz w:val="24"/>
              </w:rPr>
            </w:pPr>
            <w:r>
              <w:rPr>
                <w:spacing w:val="-5"/>
                <w:sz w:val="24"/>
              </w:rPr>
              <w:t>10</w:t>
            </w:r>
          </w:p>
        </w:tc>
        <w:tc>
          <w:tcPr>
            <w:tcW w:w="1294" w:type="dxa"/>
            <w:tcBorders>
              <w:top w:val="single" w:sz="4" w:space="0" w:color="000000"/>
            </w:tcBorders>
          </w:tcPr>
          <w:p>
            <w:pPr>
              <w:pStyle w:val="TableParagraph"/>
              <w:spacing w:line="270" w:lineRule="exact"/>
              <w:ind w:left="145"/>
              <w:rPr>
                <w:sz w:val="24"/>
              </w:rPr>
            </w:pPr>
            <w:r>
              <w:rPr>
                <w:spacing w:val="-2"/>
                <w:sz w:val="24"/>
              </w:rPr>
              <w:t>33.4±0.0</w:t>
            </w:r>
          </w:p>
          <w:p>
            <w:pPr>
              <w:pStyle w:val="TableParagraph"/>
              <w:spacing w:before="137"/>
              <w:ind w:left="145"/>
              <w:rPr>
                <w:sz w:val="24"/>
              </w:rPr>
            </w:pPr>
            <w:r>
              <w:rPr>
                <w:spacing w:val="-2"/>
                <w:sz w:val="24"/>
              </w:rPr>
              <w:t>36.5±0.0</w:t>
            </w:r>
          </w:p>
        </w:tc>
        <w:tc>
          <w:tcPr>
            <w:tcW w:w="1336" w:type="dxa"/>
            <w:tcBorders>
              <w:top w:val="single" w:sz="4" w:space="0" w:color="000000"/>
            </w:tcBorders>
          </w:tcPr>
          <w:p>
            <w:pPr>
              <w:pStyle w:val="TableParagraph"/>
              <w:spacing w:line="270" w:lineRule="exact"/>
              <w:ind w:left="291"/>
              <w:rPr>
                <w:sz w:val="24"/>
              </w:rPr>
            </w:pPr>
            <w:r>
              <w:rPr>
                <w:spacing w:val="-2"/>
                <w:sz w:val="24"/>
              </w:rPr>
              <w:t>0.6±0.0</w:t>
            </w:r>
          </w:p>
          <w:p>
            <w:pPr>
              <w:pStyle w:val="TableParagraph"/>
              <w:spacing w:before="137"/>
              <w:ind w:left="291"/>
              <w:rPr>
                <w:sz w:val="24"/>
              </w:rPr>
            </w:pPr>
            <w:r>
              <w:rPr>
                <w:spacing w:val="-2"/>
                <w:sz w:val="24"/>
              </w:rPr>
              <w:t>0.5±0.0</w:t>
            </w:r>
          </w:p>
        </w:tc>
        <w:tc>
          <w:tcPr>
            <w:tcW w:w="1527" w:type="dxa"/>
            <w:tcBorders>
              <w:top w:val="single" w:sz="4" w:space="0" w:color="000000"/>
            </w:tcBorders>
          </w:tcPr>
          <w:p>
            <w:pPr>
              <w:pStyle w:val="TableParagraph"/>
              <w:spacing w:line="270" w:lineRule="exact"/>
              <w:ind w:left="304"/>
              <w:rPr>
                <w:sz w:val="24"/>
              </w:rPr>
            </w:pPr>
            <w:r>
              <w:rPr>
                <w:spacing w:val="-2"/>
                <w:sz w:val="24"/>
              </w:rPr>
              <w:t>52.2±0.0</w:t>
            </w:r>
          </w:p>
          <w:p>
            <w:pPr>
              <w:pStyle w:val="TableParagraph"/>
              <w:spacing w:before="137"/>
              <w:ind w:left="304"/>
              <w:rPr>
                <w:sz w:val="24"/>
              </w:rPr>
            </w:pPr>
            <w:r>
              <w:rPr>
                <w:spacing w:val="-2"/>
                <w:sz w:val="24"/>
              </w:rPr>
              <w:t>71.4±0.0</w:t>
            </w:r>
          </w:p>
        </w:tc>
      </w:tr>
      <w:tr>
        <w:trPr>
          <w:trHeight w:val="448" w:hRule="atLeast"/>
        </w:trPr>
        <w:tc>
          <w:tcPr>
            <w:tcW w:w="1561" w:type="dxa"/>
          </w:tcPr>
          <w:p>
            <w:pPr>
              <w:pStyle w:val="TableParagraph"/>
              <w:spacing w:before="64"/>
              <w:ind w:left="122"/>
              <w:rPr>
                <w:sz w:val="24"/>
              </w:rPr>
            </w:pPr>
            <w:r>
              <w:rPr>
                <w:spacing w:val="-2"/>
                <w:sz w:val="24"/>
              </w:rPr>
              <w:t>Avicel</w:t>
            </w:r>
          </w:p>
        </w:tc>
        <w:tc>
          <w:tcPr>
            <w:tcW w:w="2108" w:type="dxa"/>
          </w:tcPr>
          <w:p>
            <w:pPr>
              <w:pStyle w:val="TableParagraph"/>
              <w:spacing w:before="64"/>
              <w:ind w:left="25"/>
              <w:jc w:val="center"/>
              <w:rPr>
                <w:sz w:val="24"/>
              </w:rPr>
            </w:pPr>
            <w:r>
              <w:rPr>
                <w:spacing w:val="-10"/>
                <w:sz w:val="24"/>
              </w:rPr>
              <w:t>-</w:t>
            </w:r>
          </w:p>
        </w:tc>
        <w:tc>
          <w:tcPr>
            <w:tcW w:w="1008" w:type="dxa"/>
          </w:tcPr>
          <w:p>
            <w:pPr>
              <w:pStyle w:val="TableParagraph"/>
              <w:spacing w:before="64"/>
              <w:ind w:right="522"/>
              <w:jc w:val="right"/>
              <w:rPr>
                <w:sz w:val="24"/>
              </w:rPr>
            </w:pPr>
            <w:r>
              <w:rPr>
                <w:spacing w:val="-10"/>
                <w:sz w:val="24"/>
              </w:rPr>
              <w:t>5</w:t>
            </w:r>
          </w:p>
        </w:tc>
        <w:tc>
          <w:tcPr>
            <w:tcW w:w="1294" w:type="dxa"/>
          </w:tcPr>
          <w:p>
            <w:pPr>
              <w:pStyle w:val="TableParagraph"/>
              <w:spacing w:before="64"/>
              <w:ind w:right="294"/>
              <w:jc w:val="right"/>
              <w:rPr>
                <w:sz w:val="24"/>
              </w:rPr>
            </w:pPr>
            <w:r>
              <w:rPr>
                <w:spacing w:val="-2"/>
                <w:sz w:val="24"/>
              </w:rPr>
              <w:t>33.7±0.1</w:t>
            </w:r>
          </w:p>
        </w:tc>
        <w:tc>
          <w:tcPr>
            <w:tcW w:w="1336" w:type="dxa"/>
          </w:tcPr>
          <w:p>
            <w:pPr>
              <w:pStyle w:val="TableParagraph"/>
              <w:spacing w:before="64"/>
              <w:ind w:left="291"/>
              <w:rPr>
                <w:sz w:val="24"/>
              </w:rPr>
            </w:pPr>
            <w:r>
              <w:rPr>
                <w:spacing w:val="-2"/>
                <w:sz w:val="24"/>
              </w:rPr>
              <w:t>0.5±0.1</w:t>
            </w:r>
          </w:p>
        </w:tc>
        <w:tc>
          <w:tcPr>
            <w:tcW w:w="1527" w:type="dxa"/>
          </w:tcPr>
          <w:p>
            <w:pPr>
              <w:pStyle w:val="TableParagraph"/>
              <w:spacing w:before="64"/>
              <w:ind w:left="304"/>
              <w:rPr>
                <w:sz w:val="24"/>
              </w:rPr>
            </w:pPr>
            <w:r>
              <w:rPr>
                <w:spacing w:val="-2"/>
                <w:sz w:val="24"/>
              </w:rPr>
              <w:t>67.4±0.0</w:t>
            </w:r>
          </w:p>
        </w:tc>
      </w:tr>
      <w:tr>
        <w:trPr>
          <w:trHeight w:val="449" w:hRule="atLeast"/>
        </w:trPr>
        <w:tc>
          <w:tcPr>
            <w:tcW w:w="1561" w:type="dxa"/>
          </w:tcPr>
          <w:p>
            <w:pPr>
              <w:pStyle w:val="TableParagraph"/>
              <w:rPr>
                <w:sz w:val="24"/>
              </w:rPr>
            </w:pPr>
          </w:p>
        </w:tc>
        <w:tc>
          <w:tcPr>
            <w:tcW w:w="2108" w:type="dxa"/>
          </w:tcPr>
          <w:p>
            <w:pPr>
              <w:pStyle w:val="TableParagraph"/>
              <w:spacing w:before="98"/>
              <w:ind w:left="25"/>
              <w:jc w:val="center"/>
              <w:rPr>
                <w:sz w:val="24"/>
              </w:rPr>
            </w:pPr>
            <w:r>
              <w:rPr>
                <w:spacing w:val="-10"/>
                <w:sz w:val="24"/>
              </w:rPr>
              <w:t>-</w:t>
            </w:r>
          </w:p>
        </w:tc>
        <w:tc>
          <w:tcPr>
            <w:tcW w:w="1008" w:type="dxa"/>
          </w:tcPr>
          <w:p>
            <w:pPr>
              <w:pStyle w:val="TableParagraph"/>
              <w:spacing w:before="98"/>
              <w:ind w:right="462"/>
              <w:jc w:val="right"/>
              <w:rPr>
                <w:sz w:val="24"/>
              </w:rPr>
            </w:pPr>
            <w:r>
              <w:rPr>
                <w:spacing w:val="-5"/>
                <w:sz w:val="24"/>
              </w:rPr>
              <w:t>10</w:t>
            </w:r>
          </w:p>
        </w:tc>
        <w:tc>
          <w:tcPr>
            <w:tcW w:w="1294" w:type="dxa"/>
          </w:tcPr>
          <w:p>
            <w:pPr>
              <w:pStyle w:val="TableParagraph"/>
              <w:spacing w:before="98"/>
              <w:ind w:right="294"/>
              <w:jc w:val="right"/>
              <w:rPr>
                <w:sz w:val="24"/>
              </w:rPr>
            </w:pPr>
            <w:r>
              <w:rPr>
                <w:spacing w:val="-2"/>
                <w:sz w:val="24"/>
              </w:rPr>
              <w:t>36.2±0.0</w:t>
            </w:r>
          </w:p>
        </w:tc>
        <w:tc>
          <w:tcPr>
            <w:tcW w:w="1336" w:type="dxa"/>
          </w:tcPr>
          <w:p>
            <w:pPr>
              <w:pStyle w:val="TableParagraph"/>
              <w:spacing w:before="98"/>
              <w:ind w:left="291"/>
              <w:rPr>
                <w:sz w:val="24"/>
              </w:rPr>
            </w:pPr>
            <w:r>
              <w:rPr>
                <w:spacing w:val="-2"/>
                <w:sz w:val="24"/>
              </w:rPr>
              <w:t>0.4±0.0</w:t>
            </w:r>
          </w:p>
        </w:tc>
        <w:tc>
          <w:tcPr>
            <w:tcW w:w="1527" w:type="dxa"/>
          </w:tcPr>
          <w:p>
            <w:pPr>
              <w:pStyle w:val="TableParagraph"/>
              <w:spacing w:before="98"/>
              <w:ind w:left="304"/>
              <w:rPr>
                <w:sz w:val="24"/>
              </w:rPr>
            </w:pPr>
            <w:r>
              <w:rPr>
                <w:spacing w:val="-2"/>
                <w:sz w:val="24"/>
              </w:rPr>
              <w:t>90.5±0.1</w:t>
            </w:r>
          </w:p>
        </w:tc>
      </w:tr>
      <w:tr>
        <w:trPr>
          <w:trHeight w:val="414" w:hRule="atLeast"/>
        </w:trPr>
        <w:tc>
          <w:tcPr>
            <w:tcW w:w="1561" w:type="dxa"/>
          </w:tcPr>
          <w:p>
            <w:pPr>
              <w:pStyle w:val="TableParagraph"/>
              <w:rPr>
                <w:sz w:val="24"/>
              </w:rPr>
            </w:pPr>
          </w:p>
        </w:tc>
        <w:tc>
          <w:tcPr>
            <w:tcW w:w="2108" w:type="dxa"/>
          </w:tcPr>
          <w:p>
            <w:pPr>
              <w:pStyle w:val="TableParagraph"/>
              <w:spacing w:before="65"/>
              <w:ind w:left="25"/>
              <w:jc w:val="center"/>
              <w:rPr>
                <w:sz w:val="24"/>
              </w:rPr>
            </w:pPr>
            <w:r>
              <w:rPr>
                <w:spacing w:val="-10"/>
                <w:sz w:val="24"/>
              </w:rPr>
              <w:t>-</w:t>
            </w:r>
          </w:p>
        </w:tc>
        <w:tc>
          <w:tcPr>
            <w:tcW w:w="1008" w:type="dxa"/>
          </w:tcPr>
          <w:p>
            <w:pPr>
              <w:pStyle w:val="TableParagraph"/>
              <w:spacing w:before="65"/>
              <w:ind w:right="462"/>
              <w:jc w:val="right"/>
              <w:rPr>
                <w:sz w:val="24"/>
              </w:rPr>
            </w:pPr>
            <w:r>
              <w:rPr>
                <w:spacing w:val="-5"/>
                <w:sz w:val="24"/>
              </w:rPr>
              <w:t>10</w:t>
            </w:r>
          </w:p>
        </w:tc>
        <w:tc>
          <w:tcPr>
            <w:tcW w:w="1294" w:type="dxa"/>
          </w:tcPr>
          <w:p>
            <w:pPr>
              <w:pStyle w:val="TableParagraph"/>
              <w:spacing w:before="65"/>
              <w:ind w:right="294"/>
              <w:jc w:val="right"/>
              <w:rPr>
                <w:sz w:val="24"/>
              </w:rPr>
            </w:pPr>
            <w:r>
              <w:rPr>
                <w:spacing w:val="-2"/>
                <w:sz w:val="24"/>
              </w:rPr>
              <w:t>36.6±0.0</w:t>
            </w:r>
          </w:p>
        </w:tc>
        <w:tc>
          <w:tcPr>
            <w:tcW w:w="1336" w:type="dxa"/>
          </w:tcPr>
          <w:p>
            <w:pPr>
              <w:pStyle w:val="TableParagraph"/>
              <w:spacing w:before="65"/>
              <w:ind w:left="291"/>
              <w:rPr>
                <w:sz w:val="24"/>
              </w:rPr>
            </w:pPr>
            <w:r>
              <w:rPr>
                <w:spacing w:val="-2"/>
                <w:sz w:val="24"/>
              </w:rPr>
              <w:t>0.4±0.1</w:t>
            </w:r>
          </w:p>
        </w:tc>
        <w:tc>
          <w:tcPr>
            <w:tcW w:w="1527" w:type="dxa"/>
          </w:tcPr>
          <w:p>
            <w:pPr>
              <w:pStyle w:val="TableParagraph"/>
              <w:spacing w:before="65"/>
              <w:ind w:left="304"/>
              <w:rPr>
                <w:sz w:val="24"/>
              </w:rPr>
            </w:pPr>
            <w:r>
              <w:rPr>
                <w:spacing w:val="-2"/>
                <w:sz w:val="24"/>
              </w:rPr>
              <w:t>89.0±0.2</w:t>
            </w:r>
          </w:p>
        </w:tc>
      </w:tr>
      <w:tr>
        <w:trPr>
          <w:trHeight w:val="412" w:hRule="atLeast"/>
        </w:trPr>
        <w:tc>
          <w:tcPr>
            <w:tcW w:w="1561" w:type="dxa"/>
          </w:tcPr>
          <w:p>
            <w:pPr>
              <w:pStyle w:val="TableParagraph"/>
              <w:spacing w:before="63"/>
              <w:ind w:left="122"/>
              <w:rPr>
                <w:sz w:val="24"/>
              </w:rPr>
            </w:pPr>
            <w:r>
              <w:rPr>
                <w:spacing w:val="-2"/>
                <w:sz w:val="24"/>
              </w:rPr>
              <w:t>Cellactose</w:t>
            </w:r>
          </w:p>
        </w:tc>
        <w:tc>
          <w:tcPr>
            <w:tcW w:w="2108" w:type="dxa"/>
          </w:tcPr>
          <w:p>
            <w:pPr>
              <w:pStyle w:val="TableParagraph"/>
              <w:spacing w:before="63"/>
              <w:ind w:left="25"/>
              <w:jc w:val="center"/>
              <w:rPr>
                <w:sz w:val="24"/>
              </w:rPr>
            </w:pPr>
            <w:r>
              <w:rPr>
                <w:spacing w:val="-10"/>
                <w:sz w:val="24"/>
              </w:rPr>
              <w:t>-</w:t>
            </w:r>
          </w:p>
        </w:tc>
        <w:tc>
          <w:tcPr>
            <w:tcW w:w="1008" w:type="dxa"/>
          </w:tcPr>
          <w:p>
            <w:pPr>
              <w:pStyle w:val="TableParagraph"/>
              <w:spacing w:before="63"/>
              <w:ind w:right="522"/>
              <w:jc w:val="right"/>
              <w:rPr>
                <w:sz w:val="24"/>
              </w:rPr>
            </w:pPr>
            <w:r>
              <w:rPr>
                <w:spacing w:val="-10"/>
                <w:sz w:val="24"/>
              </w:rPr>
              <w:t>5</w:t>
            </w:r>
          </w:p>
        </w:tc>
        <w:tc>
          <w:tcPr>
            <w:tcW w:w="1294" w:type="dxa"/>
          </w:tcPr>
          <w:p>
            <w:pPr>
              <w:pStyle w:val="TableParagraph"/>
              <w:spacing w:before="63"/>
              <w:ind w:right="294"/>
              <w:jc w:val="right"/>
              <w:rPr>
                <w:sz w:val="24"/>
              </w:rPr>
            </w:pPr>
            <w:r>
              <w:rPr>
                <w:spacing w:val="-2"/>
                <w:sz w:val="24"/>
              </w:rPr>
              <w:t>35.1±0.0</w:t>
            </w:r>
          </w:p>
        </w:tc>
        <w:tc>
          <w:tcPr>
            <w:tcW w:w="1336" w:type="dxa"/>
          </w:tcPr>
          <w:p>
            <w:pPr>
              <w:pStyle w:val="TableParagraph"/>
              <w:spacing w:before="63"/>
              <w:ind w:left="291"/>
              <w:rPr>
                <w:sz w:val="24"/>
              </w:rPr>
            </w:pPr>
            <w:r>
              <w:rPr>
                <w:spacing w:val="-2"/>
                <w:sz w:val="24"/>
              </w:rPr>
              <w:t>0.7±0.0</w:t>
            </w:r>
          </w:p>
        </w:tc>
        <w:tc>
          <w:tcPr>
            <w:tcW w:w="1527" w:type="dxa"/>
          </w:tcPr>
          <w:p>
            <w:pPr>
              <w:pStyle w:val="TableParagraph"/>
              <w:spacing w:before="63"/>
              <w:ind w:left="304"/>
              <w:rPr>
                <w:sz w:val="24"/>
              </w:rPr>
            </w:pPr>
            <w:r>
              <w:rPr>
                <w:spacing w:val="-2"/>
                <w:sz w:val="24"/>
              </w:rPr>
              <w:t>47.5±0.0</w:t>
            </w:r>
          </w:p>
        </w:tc>
      </w:tr>
      <w:tr>
        <w:trPr>
          <w:trHeight w:val="413" w:hRule="atLeast"/>
        </w:trPr>
        <w:tc>
          <w:tcPr>
            <w:tcW w:w="1561" w:type="dxa"/>
          </w:tcPr>
          <w:p>
            <w:pPr>
              <w:pStyle w:val="TableParagraph"/>
              <w:rPr>
                <w:sz w:val="24"/>
              </w:rPr>
            </w:pPr>
          </w:p>
        </w:tc>
        <w:tc>
          <w:tcPr>
            <w:tcW w:w="2108" w:type="dxa"/>
          </w:tcPr>
          <w:p>
            <w:pPr>
              <w:pStyle w:val="TableParagraph"/>
              <w:spacing w:before="63"/>
              <w:ind w:left="25"/>
              <w:jc w:val="center"/>
              <w:rPr>
                <w:sz w:val="24"/>
              </w:rPr>
            </w:pPr>
            <w:r>
              <w:rPr>
                <w:spacing w:val="-10"/>
                <w:sz w:val="24"/>
              </w:rPr>
              <w:t>-</w:t>
            </w:r>
          </w:p>
        </w:tc>
        <w:tc>
          <w:tcPr>
            <w:tcW w:w="1008" w:type="dxa"/>
          </w:tcPr>
          <w:p>
            <w:pPr>
              <w:pStyle w:val="TableParagraph"/>
              <w:spacing w:before="63"/>
              <w:ind w:right="462"/>
              <w:jc w:val="right"/>
              <w:rPr>
                <w:sz w:val="24"/>
              </w:rPr>
            </w:pPr>
            <w:r>
              <w:rPr>
                <w:spacing w:val="-5"/>
                <w:sz w:val="24"/>
              </w:rPr>
              <w:t>10</w:t>
            </w:r>
          </w:p>
        </w:tc>
        <w:tc>
          <w:tcPr>
            <w:tcW w:w="1294" w:type="dxa"/>
          </w:tcPr>
          <w:p>
            <w:pPr>
              <w:pStyle w:val="TableParagraph"/>
              <w:spacing w:before="63"/>
              <w:ind w:right="294"/>
              <w:jc w:val="right"/>
              <w:rPr>
                <w:sz w:val="24"/>
              </w:rPr>
            </w:pPr>
            <w:r>
              <w:rPr>
                <w:spacing w:val="-2"/>
                <w:sz w:val="24"/>
              </w:rPr>
              <w:t>39.1±0.0</w:t>
            </w:r>
          </w:p>
        </w:tc>
        <w:tc>
          <w:tcPr>
            <w:tcW w:w="1336" w:type="dxa"/>
          </w:tcPr>
          <w:p>
            <w:pPr>
              <w:pStyle w:val="TableParagraph"/>
              <w:spacing w:before="63"/>
              <w:ind w:left="291"/>
              <w:rPr>
                <w:sz w:val="24"/>
              </w:rPr>
            </w:pPr>
            <w:r>
              <w:rPr>
                <w:spacing w:val="-2"/>
                <w:sz w:val="24"/>
              </w:rPr>
              <w:t>0.5±0.0</w:t>
            </w:r>
          </w:p>
        </w:tc>
        <w:tc>
          <w:tcPr>
            <w:tcW w:w="1527" w:type="dxa"/>
          </w:tcPr>
          <w:p>
            <w:pPr>
              <w:pStyle w:val="TableParagraph"/>
              <w:spacing w:before="63"/>
              <w:ind w:left="304"/>
              <w:rPr>
                <w:sz w:val="24"/>
              </w:rPr>
            </w:pPr>
            <w:r>
              <w:rPr>
                <w:spacing w:val="-2"/>
                <w:sz w:val="24"/>
              </w:rPr>
              <w:t>78.2±0.0</w:t>
            </w:r>
          </w:p>
        </w:tc>
      </w:tr>
      <w:tr>
        <w:trPr>
          <w:trHeight w:val="413" w:hRule="atLeast"/>
        </w:trPr>
        <w:tc>
          <w:tcPr>
            <w:tcW w:w="1561" w:type="dxa"/>
          </w:tcPr>
          <w:p>
            <w:pPr>
              <w:pStyle w:val="TableParagraph"/>
              <w:spacing w:before="64"/>
              <w:ind w:left="122"/>
              <w:rPr>
                <w:sz w:val="24"/>
              </w:rPr>
            </w:pPr>
            <w:r>
              <w:rPr>
                <w:spacing w:val="-2"/>
                <w:sz w:val="24"/>
              </w:rPr>
              <w:t>Lactose</w:t>
            </w:r>
          </w:p>
        </w:tc>
        <w:tc>
          <w:tcPr>
            <w:tcW w:w="2108" w:type="dxa"/>
          </w:tcPr>
          <w:p>
            <w:pPr>
              <w:pStyle w:val="TableParagraph"/>
              <w:spacing w:before="64"/>
              <w:ind w:left="25"/>
              <w:jc w:val="center"/>
              <w:rPr>
                <w:sz w:val="24"/>
              </w:rPr>
            </w:pPr>
            <w:r>
              <w:rPr>
                <w:spacing w:val="-10"/>
                <w:sz w:val="24"/>
              </w:rPr>
              <w:t>-</w:t>
            </w:r>
          </w:p>
        </w:tc>
        <w:tc>
          <w:tcPr>
            <w:tcW w:w="1008" w:type="dxa"/>
          </w:tcPr>
          <w:p>
            <w:pPr>
              <w:pStyle w:val="TableParagraph"/>
              <w:spacing w:before="64"/>
              <w:ind w:right="522"/>
              <w:jc w:val="right"/>
              <w:rPr>
                <w:sz w:val="24"/>
              </w:rPr>
            </w:pPr>
            <w:r>
              <w:rPr>
                <w:spacing w:val="-10"/>
                <w:sz w:val="24"/>
              </w:rPr>
              <w:t>5</w:t>
            </w:r>
          </w:p>
        </w:tc>
        <w:tc>
          <w:tcPr>
            <w:tcW w:w="1294" w:type="dxa"/>
          </w:tcPr>
          <w:p>
            <w:pPr>
              <w:pStyle w:val="TableParagraph"/>
              <w:spacing w:before="64"/>
              <w:ind w:right="294"/>
              <w:jc w:val="right"/>
              <w:rPr>
                <w:sz w:val="24"/>
              </w:rPr>
            </w:pPr>
            <w:r>
              <w:rPr>
                <w:spacing w:val="-2"/>
                <w:sz w:val="24"/>
              </w:rPr>
              <w:t>22.9±0.1</w:t>
            </w:r>
          </w:p>
        </w:tc>
        <w:tc>
          <w:tcPr>
            <w:tcW w:w="1336" w:type="dxa"/>
          </w:tcPr>
          <w:p>
            <w:pPr>
              <w:pStyle w:val="TableParagraph"/>
              <w:spacing w:before="64"/>
              <w:ind w:left="291"/>
              <w:rPr>
                <w:sz w:val="24"/>
              </w:rPr>
            </w:pPr>
            <w:r>
              <w:rPr>
                <w:spacing w:val="-2"/>
                <w:sz w:val="24"/>
              </w:rPr>
              <w:t>0.9±0.0</w:t>
            </w:r>
          </w:p>
        </w:tc>
        <w:tc>
          <w:tcPr>
            <w:tcW w:w="1527" w:type="dxa"/>
          </w:tcPr>
          <w:p>
            <w:pPr>
              <w:pStyle w:val="TableParagraph"/>
              <w:spacing w:before="64"/>
              <w:ind w:left="304"/>
              <w:rPr>
                <w:sz w:val="24"/>
              </w:rPr>
            </w:pPr>
            <w:r>
              <w:rPr>
                <w:spacing w:val="-2"/>
                <w:sz w:val="24"/>
              </w:rPr>
              <w:t>22.0±0.1</w:t>
            </w:r>
          </w:p>
        </w:tc>
      </w:tr>
      <w:tr>
        <w:trPr>
          <w:trHeight w:val="483" w:hRule="atLeast"/>
        </w:trPr>
        <w:tc>
          <w:tcPr>
            <w:tcW w:w="1561" w:type="dxa"/>
            <w:tcBorders>
              <w:bottom w:val="single" w:sz="4" w:space="0" w:color="000000"/>
            </w:tcBorders>
          </w:tcPr>
          <w:p>
            <w:pPr>
              <w:pStyle w:val="TableParagraph"/>
              <w:rPr>
                <w:sz w:val="24"/>
              </w:rPr>
            </w:pPr>
          </w:p>
        </w:tc>
        <w:tc>
          <w:tcPr>
            <w:tcW w:w="2108" w:type="dxa"/>
            <w:tcBorders>
              <w:bottom w:val="single" w:sz="4" w:space="0" w:color="000000"/>
            </w:tcBorders>
          </w:tcPr>
          <w:p>
            <w:pPr>
              <w:pStyle w:val="TableParagraph"/>
              <w:spacing w:before="63"/>
              <w:ind w:left="25"/>
              <w:jc w:val="center"/>
              <w:rPr>
                <w:sz w:val="24"/>
              </w:rPr>
            </w:pPr>
            <w:r>
              <w:rPr>
                <w:spacing w:val="-10"/>
                <w:sz w:val="24"/>
              </w:rPr>
              <w:t>-</w:t>
            </w:r>
          </w:p>
        </w:tc>
        <w:tc>
          <w:tcPr>
            <w:tcW w:w="1008" w:type="dxa"/>
            <w:tcBorders>
              <w:bottom w:val="single" w:sz="4" w:space="0" w:color="000000"/>
            </w:tcBorders>
          </w:tcPr>
          <w:p>
            <w:pPr>
              <w:pStyle w:val="TableParagraph"/>
              <w:spacing w:before="63"/>
              <w:ind w:right="462"/>
              <w:jc w:val="right"/>
              <w:rPr>
                <w:sz w:val="24"/>
              </w:rPr>
            </w:pPr>
            <w:r>
              <w:rPr>
                <w:spacing w:val="-5"/>
                <w:sz w:val="24"/>
              </w:rPr>
              <w:t>10</w:t>
            </w:r>
          </w:p>
        </w:tc>
        <w:tc>
          <w:tcPr>
            <w:tcW w:w="1294" w:type="dxa"/>
            <w:tcBorders>
              <w:bottom w:val="single" w:sz="4" w:space="0" w:color="000000"/>
            </w:tcBorders>
          </w:tcPr>
          <w:p>
            <w:pPr>
              <w:pStyle w:val="TableParagraph"/>
              <w:spacing w:before="63"/>
              <w:ind w:right="294"/>
              <w:jc w:val="right"/>
              <w:rPr>
                <w:sz w:val="24"/>
              </w:rPr>
            </w:pPr>
            <w:r>
              <w:rPr>
                <w:spacing w:val="-2"/>
                <w:sz w:val="24"/>
              </w:rPr>
              <w:t>24.6±0.0</w:t>
            </w:r>
          </w:p>
        </w:tc>
        <w:tc>
          <w:tcPr>
            <w:tcW w:w="1336" w:type="dxa"/>
            <w:tcBorders>
              <w:bottom w:val="single" w:sz="4" w:space="0" w:color="000000"/>
            </w:tcBorders>
          </w:tcPr>
          <w:p>
            <w:pPr>
              <w:pStyle w:val="TableParagraph"/>
              <w:spacing w:before="63"/>
              <w:ind w:left="291"/>
              <w:rPr>
                <w:sz w:val="24"/>
              </w:rPr>
            </w:pPr>
            <w:r>
              <w:rPr>
                <w:spacing w:val="-2"/>
                <w:sz w:val="24"/>
              </w:rPr>
              <w:t>0.8±0.0</w:t>
            </w:r>
          </w:p>
        </w:tc>
        <w:tc>
          <w:tcPr>
            <w:tcW w:w="1527" w:type="dxa"/>
            <w:tcBorders>
              <w:bottom w:val="single" w:sz="4" w:space="0" w:color="000000"/>
            </w:tcBorders>
          </w:tcPr>
          <w:p>
            <w:pPr>
              <w:pStyle w:val="TableParagraph"/>
              <w:spacing w:before="63"/>
              <w:ind w:left="304"/>
              <w:rPr>
                <w:sz w:val="24"/>
              </w:rPr>
            </w:pPr>
            <w:r>
              <w:rPr>
                <w:spacing w:val="-2"/>
                <w:sz w:val="24"/>
              </w:rPr>
              <w:t>29.3±0.1</w:t>
            </w:r>
          </w:p>
        </w:tc>
      </w:tr>
    </w:tbl>
    <w:p>
      <w:pPr>
        <w:pStyle w:val="BodyText"/>
        <w:rPr>
          <w:b/>
        </w:rPr>
      </w:pPr>
    </w:p>
    <w:p>
      <w:pPr>
        <w:pStyle w:val="BodyText"/>
        <w:rPr>
          <w:b/>
        </w:rPr>
      </w:pPr>
    </w:p>
    <w:p>
      <w:pPr>
        <w:pStyle w:val="BodyText"/>
        <w:spacing w:before="5"/>
        <w:rPr>
          <w:b/>
        </w:rPr>
      </w:pPr>
    </w:p>
    <w:p>
      <w:pPr>
        <w:spacing w:line="362" w:lineRule="auto" w:before="0"/>
        <w:ind w:left="819" w:right="1041" w:hanging="51"/>
        <w:jc w:val="left"/>
        <w:rPr>
          <w:b/>
          <w:sz w:val="24"/>
        </w:rPr>
      </w:pPr>
      <w:r>
        <w:rPr>
          <w:b/>
          <w:sz w:val="24"/>
        </w:rPr>
        <w:t>CP</w:t>
      </w:r>
      <w:r>
        <w:rPr>
          <w:b/>
          <w:spacing w:val="40"/>
          <w:sz w:val="24"/>
        </w:rPr>
        <w:t> </w:t>
      </w:r>
      <w:r>
        <w:rPr>
          <w:b/>
          <w:sz w:val="24"/>
        </w:rPr>
        <w:t>=</w:t>
      </w:r>
      <w:r>
        <w:rPr>
          <w:b/>
          <w:spacing w:val="68"/>
          <w:sz w:val="24"/>
        </w:rPr>
        <w:t> </w:t>
      </w:r>
      <w:r>
        <w:rPr>
          <w:b/>
          <w:sz w:val="24"/>
        </w:rPr>
        <w:t>compression</w:t>
      </w:r>
      <w:r>
        <w:rPr>
          <w:b/>
          <w:spacing w:val="67"/>
          <w:sz w:val="24"/>
        </w:rPr>
        <w:t> </w:t>
      </w:r>
      <w:r>
        <w:rPr>
          <w:b/>
          <w:sz w:val="24"/>
        </w:rPr>
        <w:t>pressure,</w:t>
      </w:r>
      <w:r>
        <w:rPr>
          <w:b/>
          <w:spacing w:val="66"/>
          <w:sz w:val="24"/>
        </w:rPr>
        <w:t> </w:t>
      </w:r>
      <w:r>
        <w:rPr>
          <w:b/>
          <w:sz w:val="24"/>
        </w:rPr>
        <w:t>CS</w:t>
      </w:r>
      <w:r>
        <w:rPr>
          <w:b/>
          <w:spacing w:val="66"/>
          <w:sz w:val="24"/>
        </w:rPr>
        <w:t> </w:t>
      </w:r>
      <w:r>
        <w:rPr>
          <w:b/>
          <w:sz w:val="24"/>
        </w:rPr>
        <w:t>=</w:t>
      </w:r>
      <w:r>
        <w:rPr>
          <w:b/>
          <w:spacing w:val="66"/>
          <w:sz w:val="24"/>
        </w:rPr>
        <w:t> </w:t>
      </w:r>
      <w:r>
        <w:rPr>
          <w:b/>
          <w:sz w:val="24"/>
        </w:rPr>
        <w:t>Crushing</w:t>
      </w:r>
      <w:r>
        <w:rPr>
          <w:b/>
          <w:spacing w:val="66"/>
          <w:sz w:val="24"/>
        </w:rPr>
        <w:t> </w:t>
      </w:r>
      <w:r>
        <w:rPr>
          <w:b/>
          <w:sz w:val="24"/>
        </w:rPr>
        <w:t>strength,</w:t>
      </w:r>
      <w:r>
        <w:rPr>
          <w:b/>
          <w:spacing w:val="68"/>
          <w:sz w:val="24"/>
        </w:rPr>
        <w:t> </w:t>
      </w:r>
      <w:r>
        <w:rPr>
          <w:b/>
          <w:sz w:val="24"/>
        </w:rPr>
        <w:t>F</w:t>
      </w:r>
      <w:r>
        <w:rPr>
          <w:b/>
          <w:spacing w:val="40"/>
          <w:sz w:val="24"/>
        </w:rPr>
        <w:t> </w:t>
      </w:r>
      <w:r>
        <w:rPr>
          <w:b/>
          <w:sz w:val="24"/>
        </w:rPr>
        <w:t>=</w:t>
      </w:r>
      <w:r>
        <w:rPr>
          <w:b/>
          <w:spacing w:val="68"/>
          <w:sz w:val="24"/>
        </w:rPr>
        <w:t> </w:t>
      </w:r>
      <w:r>
        <w:rPr>
          <w:b/>
          <w:sz w:val="24"/>
        </w:rPr>
        <w:t>Friability,</w:t>
      </w:r>
      <w:r>
        <w:rPr>
          <w:b/>
          <w:spacing w:val="66"/>
          <w:sz w:val="24"/>
        </w:rPr>
        <w:t> </w:t>
      </w:r>
      <w:r>
        <w:rPr>
          <w:b/>
          <w:sz w:val="24"/>
        </w:rPr>
        <w:t>CSFR</w:t>
      </w:r>
      <w:r>
        <w:rPr>
          <w:b/>
          <w:spacing w:val="65"/>
          <w:sz w:val="24"/>
        </w:rPr>
        <w:t> </w:t>
      </w:r>
      <w:r>
        <w:rPr>
          <w:b/>
          <w:sz w:val="24"/>
        </w:rPr>
        <w:t>= Crushing strength – friability ratio</w:t>
      </w:r>
    </w:p>
    <w:p>
      <w:pPr>
        <w:spacing w:after="0" w:line="362" w:lineRule="auto"/>
        <w:jc w:val="left"/>
        <w:rPr>
          <w:sz w:val="24"/>
        </w:rPr>
        <w:sectPr>
          <w:pgSz w:w="12240" w:h="15840"/>
          <w:pgMar w:header="0" w:footer="1056" w:top="1340" w:bottom="1240" w:left="1420" w:right="420"/>
        </w:sectPr>
      </w:pPr>
    </w:p>
    <w:p>
      <w:pPr>
        <w:pStyle w:val="BodyText"/>
        <w:spacing w:line="360" w:lineRule="auto" w:before="72"/>
        <w:ind w:left="678" w:right="996" w:firstLine="720"/>
        <w:jc w:val="both"/>
      </w:pPr>
      <w:r>
        <w:rPr/>
        <mc:AlternateContent>
          <mc:Choice Requires="wps">
            <w:drawing>
              <wp:anchor distT="0" distB="0" distL="0" distR="0" allowOverlap="1" layoutInCell="1" locked="0" behindDoc="1" simplePos="0" relativeHeight="483014656">
                <wp:simplePos x="0" y="0"/>
                <wp:positionH relativeFrom="page">
                  <wp:posOffset>-1402226</wp:posOffset>
                </wp:positionH>
                <wp:positionV relativeFrom="page">
                  <wp:posOffset>4612234</wp:posOffset>
                </wp:positionV>
                <wp:extent cx="10685780" cy="9144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1824;rotation:306" type="#_x0000_t136" fillcolor="#ff5400" stroked="f">
                <o:extrusion v:ext="view" autorotationcenter="t"/>
                <v:textpath style="font-family:&quot;Arial MT&quot;;font-size:72pt;v-text-kern:t;mso-text-shadow:auto" string="UNIVERSITY OF IBADAN"/>
                <w10:wrap type="none"/>
              </v:shape>
            </w:pict>
          </mc:Fallback>
        </mc:AlternateContent>
      </w:r>
      <w:r>
        <w:rPr/>
        <w:t>The values of the crushing strength, friability and crushing strength-friability ratio for</w:t>
      </w:r>
      <w:r>
        <w:rPr>
          <w:spacing w:val="-2"/>
        </w:rPr>
        <w:t> </w:t>
      </w:r>
      <w:r>
        <w:rPr>
          <w:i/>
        </w:rPr>
        <w:t>M. pruriens </w:t>
      </w:r>
      <w:r>
        <w:rPr/>
        <w:t>tablets prepared by</w:t>
      </w:r>
      <w:r>
        <w:rPr>
          <w:spacing w:val="-5"/>
        </w:rPr>
        <w:t> </w:t>
      </w:r>
      <w:r>
        <w:rPr/>
        <w:t>wet granulation are presented</w:t>
      </w:r>
      <w:r>
        <w:rPr>
          <w:spacing w:val="-1"/>
        </w:rPr>
        <w:t> </w:t>
      </w:r>
      <w:r>
        <w:rPr/>
        <w:t>in Tables 4.8. Generally, binder type, concentration and compression pressure in wet granulation affected the crushing strength of the tablets produced. The values of crushing strength increased with increasing</w:t>
      </w:r>
      <w:r>
        <w:rPr>
          <w:spacing w:val="-5"/>
        </w:rPr>
        <w:t> </w:t>
      </w:r>
      <w:r>
        <w:rPr/>
        <w:t>binder</w:t>
      </w:r>
      <w:r>
        <w:rPr>
          <w:spacing w:val="-4"/>
        </w:rPr>
        <w:t> </w:t>
      </w:r>
      <w:r>
        <w:rPr/>
        <w:t>concentration</w:t>
      </w:r>
      <w:r>
        <w:rPr>
          <w:spacing w:val="-2"/>
        </w:rPr>
        <w:t> </w:t>
      </w:r>
      <w:r>
        <w:rPr/>
        <w:t>and</w:t>
      </w:r>
      <w:r>
        <w:rPr>
          <w:spacing w:val="-2"/>
        </w:rPr>
        <w:t> </w:t>
      </w:r>
      <w:r>
        <w:rPr/>
        <w:t>compression</w:t>
      </w:r>
      <w:r>
        <w:rPr>
          <w:spacing w:val="-2"/>
        </w:rPr>
        <w:t> </w:t>
      </w:r>
      <w:r>
        <w:rPr/>
        <w:t>pressure. It</w:t>
      </w:r>
      <w:r>
        <w:rPr>
          <w:spacing w:val="-2"/>
        </w:rPr>
        <w:t> </w:t>
      </w:r>
      <w:r>
        <w:rPr/>
        <w:t>is</w:t>
      </w:r>
      <w:r>
        <w:rPr>
          <w:spacing w:val="-2"/>
        </w:rPr>
        <w:t> </w:t>
      </w:r>
      <w:r>
        <w:rPr/>
        <w:t>well</w:t>
      </w:r>
      <w:r>
        <w:rPr>
          <w:spacing w:val="-2"/>
        </w:rPr>
        <w:t> </w:t>
      </w:r>
      <w:r>
        <w:rPr/>
        <w:t>known</w:t>
      </w:r>
      <w:r>
        <w:rPr>
          <w:spacing w:val="-3"/>
        </w:rPr>
        <w:t> </w:t>
      </w:r>
      <w:r>
        <w:rPr/>
        <w:t>that</w:t>
      </w:r>
      <w:r>
        <w:rPr>
          <w:spacing w:val="-2"/>
        </w:rPr>
        <w:t> </w:t>
      </w:r>
      <w:r>
        <w:rPr/>
        <w:t>increasing the concentration of a plastoelastic binding agent leads to an increase in plastic deformation</w:t>
      </w:r>
      <w:r>
        <w:rPr>
          <w:spacing w:val="-1"/>
        </w:rPr>
        <w:t> </w:t>
      </w:r>
      <w:r>
        <w:rPr/>
        <w:t>during</w:t>
      </w:r>
      <w:r>
        <w:rPr>
          <w:spacing w:val="-1"/>
        </w:rPr>
        <w:t> </w:t>
      </w:r>
      <w:r>
        <w:rPr/>
        <w:t>compression</w:t>
      </w:r>
      <w:r>
        <w:rPr>
          <w:spacing w:val="-1"/>
        </w:rPr>
        <w:t> </w:t>
      </w:r>
      <w:r>
        <w:rPr/>
        <w:t>and</w:t>
      </w:r>
      <w:r>
        <w:rPr>
          <w:spacing w:val="-1"/>
        </w:rPr>
        <w:t> </w:t>
      </w:r>
      <w:r>
        <w:rPr/>
        <w:t>consequently</w:t>
      </w:r>
      <w:r>
        <w:rPr>
          <w:spacing w:val="-4"/>
        </w:rPr>
        <w:t> </w:t>
      </w:r>
      <w:r>
        <w:rPr/>
        <w:t>to</w:t>
      </w:r>
      <w:r>
        <w:rPr>
          <w:spacing w:val="-1"/>
        </w:rPr>
        <w:t> </w:t>
      </w:r>
      <w:r>
        <w:rPr/>
        <w:t>the formation</w:t>
      </w:r>
      <w:r>
        <w:rPr>
          <w:spacing w:val="-1"/>
        </w:rPr>
        <w:t> </w:t>
      </w:r>
      <w:r>
        <w:rPr/>
        <w:t>of</w:t>
      </w:r>
      <w:r>
        <w:rPr>
          <w:spacing w:val="-2"/>
        </w:rPr>
        <w:t> </w:t>
      </w:r>
      <w:r>
        <w:rPr/>
        <w:t>more</w:t>
      </w:r>
      <w:r>
        <w:rPr>
          <w:spacing w:val="-2"/>
        </w:rPr>
        <w:t> </w:t>
      </w:r>
      <w:r>
        <w:rPr/>
        <w:t>solid</w:t>
      </w:r>
      <w:r>
        <w:rPr>
          <w:spacing w:val="-1"/>
        </w:rPr>
        <w:t> </w:t>
      </w:r>
      <w:r>
        <w:rPr/>
        <w:t>bonds</w:t>
      </w:r>
      <w:r>
        <w:rPr>
          <w:spacing w:val="-1"/>
        </w:rPr>
        <w:t> </w:t>
      </w:r>
      <w:r>
        <w:rPr/>
        <w:t>in the resulting tablets. Tablets containing PVP had the highest CS compared with corn starch. </w:t>
      </w:r>
      <w:r>
        <w:rPr>
          <w:i/>
        </w:rPr>
        <w:t>M. pruriens </w:t>
      </w:r>
      <w:r>
        <w:rPr/>
        <w:t>tablets containing PVP as binders were stronger than tablets prepared by corn starch.</w:t>
      </w:r>
    </w:p>
    <w:p>
      <w:pPr>
        <w:pStyle w:val="BodyText"/>
        <w:spacing w:line="360" w:lineRule="auto" w:before="2"/>
        <w:ind w:left="769" w:right="1005" w:firstLine="628"/>
        <w:jc w:val="both"/>
      </w:pPr>
      <w:r>
        <w:rPr/>
        <w:t>Generally, tablets prepared by direct compression were stronger than tablets prepared by wet granulation for possessing higher crushing strength.</w:t>
      </w:r>
    </w:p>
    <w:p>
      <w:pPr>
        <w:pStyle w:val="BodyText"/>
        <w:spacing w:before="141"/>
      </w:pPr>
    </w:p>
    <w:p>
      <w:pPr>
        <w:pStyle w:val="Heading2"/>
        <w:numPr>
          <w:ilvl w:val="3"/>
          <w:numId w:val="44"/>
        </w:numPr>
        <w:tabs>
          <w:tab w:pos="1398" w:val="left" w:leader="none"/>
        </w:tabs>
        <w:spacing w:line="240" w:lineRule="auto" w:before="0" w:after="0"/>
        <w:ind w:left="1398" w:right="0" w:hanging="720"/>
        <w:jc w:val="both"/>
      </w:pPr>
      <w:bookmarkStart w:name="_TOC_250007" w:id="126"/>
      <w:bookmarkEnd w:id="126"/>
      <w:r>
        <w:rPr>
          <w:spacing w:val="-2"/>
        </w:rPr>
        <w:t>Friability</w:t>
      </w:r>
    </w:p>
    <w:p>
      <w:pPr>
        <w:pStyle w:val="BodyText"/>
        <w:spacing w:line="360" w:lineRule="auto" w:before="135"/>
        <w:ind w:left="769" w:right="993" w:firstLine="628"/>
        <w:jc w:val="both"/>
      </w:pPr>
      <w:r>
        <w:rPr/>
        <w:t>There was a general decrease in friability</w:t>
      </w:r>
      <w:r>
        <w:rPr>
          <w:spacing w:val="-1"/>
        </w:rPr>
        <w:t> </w:t>
      </w:r>
      <w:r>
        <w:rPr/>
        <w:t>with increase in compression pressure as shown in Table 4.7. As the compression pressure was increased there was a general increase in CS and decrease in the friability. The result also indicated that </w:t>
      </w:r>
      <w:r>
        <w:rPr>
          <w:i/>
        </w:rPr>
        <w:t>Mucuna pruriens</w:t>
      </w:r>
      <w:r>
        <w:rPr>
          <w:i/>
          <w:spacing w:val="-1"/>
        </w:rPr>
        <w:t> </w:t>
      </w:r>
      <w:r>
        <w:rPr/>
        <w:t>tablets</w:t>
      </w:r>
      <w:r>
        <w:rPr>
          <w:spacing w:val="-1"/>
        </w:rPr>
        <w:t> </w:t>
      </w:r>
      <w:r>
        <w:rPr/>
        <w:t>containing</w:t>
      </w:r>
      <w:r>
        <w:rPr>
          <w:spacing w:val="-4"/>
        </w:rPr>
        <w:t> </w:t>
      </w:r>
      <w:r>
        <w:rPr/>
        <w:t>lactose</w:t>
      </w:r>
      <w:r>
        <w:rPr>
          <w:spacing w:val="-2"/>
        </w:rPr>
        <w:t> </w:t>
      </w:r>
      <w:r>
        <w:rPr/>
        <w:t>had</w:t>
      </w:r>
      <w:r>
        <w:rPr>
          <w:spacing w:val="-1"/>
        </w:rPr>
        <w:t> </w:t>
      </w:r>
      <w:r>
        <w:rPr/>
        <w:t>the</w:t>
      </w:r>
      <w:r>
        <w:rPr>
          <w:spacing w:val="-2"/>
        </w:rPr>
        <w:t> </w:t>
      </w:r>
      <w:r>
        <w:rPr/>
        <w:t>highest</w:t>
      </w:r>
      <w:r>
        <w:rPr>
          <w:spacing w:val="-1"/>
        </w:rPr>
        <w:t> </w:t>
      </w:r>
      <w:r>
        <w:rPr/>
        <w:t>F</w:t>
      </w:r>
      <w:r>
        <w:rPr>
          <w:spacing w:val="-3"/>
        </w:rPr>
        <w:t> </w:t>
      </w:r>
      <w:r>
        <w:rPr/>
        <w:t>value</w:t>
      </w:r>
      <w:r>
        <w:rPr>
          <w:spacing w:val="-1"/>
        </w:rPr>
        <w:t> </w:t>
      </w:r>
      <w:r>
        <w:rPr/>
        <w:t>while</w:t>
      </w:r>
      <w:r>
        <w:rPr>
          <w:spacing w:val="-2"/>
        </w:rPr>
        <w:t> </w:t>
      </w:r>
      <w:r>
        <w:rPr/>
        <w:t>those</w:t>
      </w:r>
      <w:r>
        <w:rPr>
          <w:spacing w:val="-2"/>
        </w:rPr>
        <w:t> </w:t>
      </w:r>
      <w:r>
        <w:rPr/>
        <w:t>containing</w:t>
      </w:r>
      <w:r>
        <w:rPr>
          <w:spacing w:val="-3"/>
        </w:rPr>
        <w:t> </w:t>
      </w:r>
      <w:r>
        <w:rPr/>
        <w:t>Avicel</w:t>
      </w:r>
      <w:r>
        <w:rPr>
          <w:position w:val="9"/>
          <w:sz w:val="13"/>
        </w:rPr>
        <w:t>®</w:t>
      </w:r>
      <w:r>
        <w:rPr>
          <w:spacing w:val="40"/>
          <w:position w:val="9"/>
          <w:sz w:val="13"/>
        </w:rPr>
        <w:t> </w:t>
      </w:r>
      <w:r>
        <w:rPr/>
        <w:t>had the least F value. All the tablets prepared by direct compression passed the friability test as they had F value &lt; 1%. This demonstrated the influence of compression pressure on the mechanical properties of tablets. The ranking of friability values for tablets prepared by direct compression was Avicel</w:t>
      </w:r>
      <w:r>
        <w:rPr>
          <w:position w:val="9"/>
          <w:sz w:val="13"/>
        </w:rPr>
        <w:t>® </w:t>
      </w:r>
      <w:r>
        <w:rPr/>
        <w:t>&lt; Cellactose &lt; lactose.</w:t>
      </w:r>
    </w:p>
    <w:p>
      <w:pPr>
        <w:pStyle w:val="BodyText"/>
        <w:spacing w:line="360" w:lineRule="auto" w:before="1"/>
        <w:ind w:left="678" w:right="994"/>
        <w:jc w:val="both"/>
      </w:pPr>
      <w:r>
        <w:rPr/>
        <w:t>The values of friability of MP tablets prepared by wet granulation decreased with increasing binder concentration and compression pressure. As compression pressure is elevated there is a general decrease in friability (Itiola and Pilpel, 1986, 1996). The decreased friability</w:t>
      </w:r>
      <w:r>
        <w:rPr>
          <w:spacing w:val="-5"/>
        </w:rPr>
        <w:t> </w:t>
      </w:r>
      <w:r>
        <w:rPr/>
        <w:t>due</w:t>
      </w:r>
      <w:r>
        <w:rPr>
          <w:spacing w:val="-2"/>
        </w:rPr>
        <w:t> </w:t>
      </w:r>
      <w:r>
        <w:rPr/>
        <w:t>to</w:t>
      </w:r>
      <w:r>
        <w:rPr>
          <w:spacing w:val="-1"/>
        </w:rPr>
        <w:t> </w:t>
      </w:r>
      <w:r>
        <w:rPr/>
        <w:t>increasing</w:t>
      </w:r>
      <w:r>
        <w:rPr>
          <w:spacing w:val="-3"/>
        </w:rPr>
        <w:t> </w:t>
      </w:r>
      <w:r>
        <w:rPr/>
        <w:t>binder</w:t>
      </w:r>
      <w:r>
        <w:rPr>
          <w:spacing w:val="-2"/>
        </w:rPr>
        <w:t> </w:t>
      </w:r>
      <w:r>
        <w:rPr/>
        <w:t>concentration</w:t>
      </w:r>
      <w:r>
        <w:rPr>
          <w:spacing w:val="-1"/>
        </w:rPr>
        <w:t> </w:t>
      </w:r>
      <w:r>
        <w:rPr/>
        <w:t>is</w:t>
      </w:r>
      <w:r>
        <w:rPr>
          <w:spacing w:val="-1"/>
        </w:rPr>
        <w:t> </w:t>
      </w:r>
      <w:r>
        <w:rPr/>
        <w:t>attributed</w:t>
      </w:r>
      <w:r>
        <w:rPr>
          <w:spacing w:val="-1"/>
        </w:rPr>
        <w:t> </w:t>
      </w:r>
      <w:r>
        <w:rPr/>
        <w:t>to</w:t>
      </w:r>
      <w:r>
        <w:rPr>
          <w:spacing w:val="-1"/>
        </w:rPr>
        <w:t> </w:t>
      </w:r>
      <w:r>
        <w:rPr/>
        <w:t>increased</w:t>
      </w:r>
      <w:r>
        <w:rPr>
          <w:spacing w:val="-1"/>
        </w:rPr>
        <w:t> </w:t>
      </w:r>
      <w:r>
        <w:rPr/>
        <w:t>degree and strength of inter-particular bonding (Esezobo and Ambujam, 1982; Iwuagwu </w:t>
      </w:r>
      <w:r>
        <w:rPr>
          <w:i/>
        </w:rPr>
        <w:t>et al</w:t>
      </w:r>
      <w:r>
        <w:rPr/>
        <w:t>., 1986). All the tablets prepared by wet granulation using PVP and corn starch as binding agents had F values &lt; 1%. Tablets containing</w:t>
      </w:r>
      <w:r>
        <w:rPr>
          <w:spacing w:val="-1"/>
        </w:rPr>
        <w:t> </w:t>
      </w:r>
      <w:r>
        <w:rPr/>
        <w:t>corn starch were generally</w:t>
      </w:r>
      <w:r>
        <w:rPr>
          <w:spacing w:val="-1"/>
        </w:rPr>
        <w:t> </w:t>
      </w:r>
      <w:r>
        <w:rPr/>
        <w:t>more friable than tablets containing PVP.</w:t>
      </w:r>
    </w:p>
    <w:p>
      <w:pPr>
        <w:spacing w:after="0" w:line="360" w:lineRule="auto"/>
        <w:jc w:val="both"/>
        <w:sectPr>
          <w:pgSz w:w="12240" w:h="15840"/>
          <w:pgMar w:header="0" w:footer="1056" w:top="1340" w:bottom="1240" w:left="1420" w:right="420"/>
        </w:sectPr>
      </w:pPr>
    </w:p>
    <w:p>
      <w:pPr>
        <w:pStyle w:val="Heading2"/>
        <w:spacing w:before="75"/>
        <w:ind w:left="978"/>
        <w:jc w:val="left"/>
      </w:pPr>
      <w:r>
        <w:rPr/>
        <mc:AlternateContent>
          <mc:Choice Requires="wps">
            <w:drawing>
              <wp:anchor distT="0" distB="0" distL="0" distR="0" allowOverlap="1" layoutInCell="1" locked="0" behindDoc="1" simplePos="0" relativeHeight="483015168">
                <wp:simplePos x="0" y="0"/>
                <wp:positionH relativeFrom="page">
                  <wp:posOffset>-1402226</wp:posOffset>
                </wp:positionH>
                <wp:positionV relativeFrom="page">
                  <wp:posOffset>4612234</wp:posOffset>
                </wp:positionV>
                <wp:extent cx="10685780" cy="9144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1312;rotation:306" type="#_x0000_t136" fillcolor="#ff5400" stroked="f">
                <o:extrusion v:ext="view" autorotationcenter="t"/>
                <v:textpath style="font-family:&quot;Arial MT&quot;;font-size:72pt;v-text-kern:t;mso-text-shadow:auto" string="UNIVERSITY OF IBADAN"/>
                <w10:wrap type="none"/>
              </v:shape>
            </w:pict>
          </mc:Fallback>
        </mc:AlternateContent>
      </w:r>
      <w:r>
        <w:rPr/>
        <w:t>Table</w:t>
      </w:r>
      <w:r>
        <w:rPr>
          <w:spacing w:val="-2"/>
        </w:rPr>
        <w:t> </w:t>
      </w:r>
      <w:r>
        <w:rPr/>
        <w:t>4.8:</w:t>
      </w:r>
      <w:r>
        <w:rPr>
          <w:spacing w:val="-4"/>
        </w:rPr>
        <w:t> </w:t>
      </w:r>
      <w:r>
        <w:rPr/>
        <w:t>Mechanical</w:t>
      </w:r>
      <w:r>
        <w:rPr>
          <w:spacing w:val="-1"/>
        </w:rPr>
        <w:t> </w:t>
      </w:r>
      <w:r>
        <w:rPr/>
        <w:t>properties</w:t>
      </w:r>
      <w:r>
        <w:rPr>
          <w:spacing w:val="-2"/>
        </w:rPr>
        <w:t> </w:t>
      </w:r>
      <w:r>
        <w:rPr/>
        <w:t>of tablets</w:t>
      </w:r>
      <w:r>
        <w:rPr>
          <w:spacing w:val="-2"/>
        </w:rPr>
        <w:t> </w:t>
      </w:r>
      <w:r>
        <w:rPr/>
        <w:t>produced</w:t>
      </w:r>
      <w:r>
        <w:rPr>
          <w:spacing w:val="-1"/>
        </w:rPr>
        <w:t> </w:t>
      </w:r>
      <w:r>
        <w:rPr/>
        <w:t>by</w:t>
      </w:r>
      <w:r>
        <w:rPr>
          <w:spacing w:val="-5"/>
        </w:rPr>
        <w:t> </w:t>
      </w:r>
      <w:r>
        <w:rPr/>
        <w:t>wet</w:t>
      </w:r>
      <w:r>
        <w:rPr>
          <w:spacing w:val="-1"/>
        </w:rPr>
        <w:t> </w:t>
      </w:r>
      <w:r>
        <w:rPr>
          <w:spacing w:val="-2"/>
        </w:rPr>
        <w:t>granulation</w:t>
      </w:r>
    </w:p>
    <w:p>
      <w:pPr>
        <w:pStyle w:val="BodyText"/>
        <w:spacing w:before="225"/>
        <w:rPr>
          <w:b/>
          <w:sz w:val="20"/>
        </w:rPr>
      </w:pPr>
    </w:p>
    <w:tbl>
      <w:tblPr>
        <w:tblW w:w="0" w:type="auto"/>
        <w:jc w:val="left"/>
        <w:tblInd w:w="1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6"/>
        <w:gridCol w:w="961"/>
        <w:gridCol w:w="1703"/>
        <w:gridCol w:w="1259"/>
        <w:gridCol w:w="1255"/>
        <w:gridCol w:w="1011"/>
      </w:tblGrid>
      <w:tr>
        <w:trPr>
          <w:trHeight w:val="1240" w:hRule="atLeast"/>
        </w:trPr>
        <w:tc>
          <w:tcPr>
            <w:tcW w:w="926" w:type="dxa"/>
            <w:tcBorders>
              <w:top w:val="single" w:sz="4" w:space="0" w:color="000000"/>
              <w:bottom w:val="single" w:sz="4" w:space="0" w:color="000000"/>
            </w:tcBorders>
          </w:tcPr>
          <w:p>
            <w:pPr>
              <w:pStyle w:val="TableParagraph"/>
              <w:spacing w:line="275" w:lineRule="exact"/>
              <w:ind w:left="4" w:right="5"/>
              <w:jc w:val="center"/>
              <w:rPr>
                <w:b/>
                <w:sz w:val="24"/>
              </w:rPr>
            </w:pPr>
            <w:r>
              <w:rPr>
                <w:b/>
                <w:spacing w:val="-2"/>
                <w:sz w:val="24"/>
              </w:rPr>
              <w:t>Binder</w:t>
            </w:r>
          </w:p>
        </w:tc>
        <w:tc>
          <w:tcPr>
            <w:tcW w:w="961" w:type="dxa"/>
            <w:tcBorders>
              <w:top w:val="single" w:sz="4" w:space="0" w:color="000000"/>
              <w:bottom w:val="single" w:sz="4" w:space="0" w:color="000000"/>
            </w:tcBorders>
          </w:tcPr>
          <w:p>
            <w:pPr>
              <w:pStyle w:val="TableParagraph"/>
              <w:spacing w:line="360" w:lineRule="auto"/>
              <w:ind w:left="110" w:right="136"/>
              <w:rPr>
                <w:b/>
                <w:sz w:val="24"/>
              </w:rPr>
            </w:pPr>
            <w:r>
              <w:rPr>
                <w:b/>
                <w:spacing w:val="-2"/>
                <w:sz w:val="24"/>
              </w:rPr>
              <w:t>Binder Conc.</w:t>
            </w:r>
          </w:p>
          <w:p>
            <w:pPr>
              <w:pStyle w:val="TableParagraph"/>
              <w:ind w:left="110"/>
              <w:rPr>
                <w:b/>
                <w:sz w:val="24"/>
              </w:rPr>
            </w:pPr>
            <w:r>
              <w:rPr>
                <w:b/>
                <w:spacing w:val="-4"/>
                <w:sz w:val="24"/>
              </w:rPr>
              <w:t>%</w:t>
            </w:r>
            <w:r>
              <w:rPr>
                <w:b/>
                <w:spacing w:val="-4"/>
                <w:sz w:val="24"/>
                <w:vertAlign w:val="superscript"/>
              </w:rPr>
              <w:t>w</w:t>
            </w:r>
            <w:r>
              <w:rPr>
                <w:b/>
                <w:spacing w:val="-4"/>
                <w:sz w:val="24"/>
                <w:vertAlign w:val="baseline"/>
              </w:rPr>
              <w:t>/</w:t>
            </w:r>
            <w:r>
              <w:rPr>
                <w:b/>
                <w:spacing w:val="-4"/>
                <w:sz w:val="24"/>
                <w:vertAlign w:val="subscript"/>
              </w:rPr>
              <w:t>v</w:t>
            </w:r>
          </w:p>
        </w:tc>
        <w:tc>
          <w:tcPr>
            <w:tcW w:w="1703" w:type="dxa"/>
            <w:tcBorders>
              <w:top w:val="single" w:sz="4" w:space="0" w:color="000000"/>
              <w:bottom w:val="single" w:sz="4" w:space="0" w:color="000000"/>
            </w:tcBorders>
          </w:tcPr>
          <w:p>
            <w:pPr>
              <w:pStyle w:val="TableParagraph"/>
              <w:spacing w:line="360" w:lineRule="auto"/>
              <w:ind w:left="144" w:right="134"/>
              <w:rPr>
                <w:b/>
                <w:sz w:val="24"/>
              </w:rPr>
            </w:pPr>
            <w:r>
              <w:rPr>
                <w:b/>
                <w:spacing w:val="-2"/>
                <w:sz w:val="24"/>
              </w:rPr>
              <w:t>Compression </w:t>
            </w:r>
            <w:r>
              <w:rPr>
                <w:b/>
                <w:sz w:val="24"/>
              </w:rPr>
              <w:t>Pressure</w:t>
            </w:r>
            <w:r>
              <w:rPr>
                <w:b/>
                <w:spacing w:val="-15"/>
                <w:sz w:val="24"/>
              </w:rPr>
              <w:t> </w:t>
            </w:r>
            <w:r>
              <w:rPr>
                <w:b/>
                <w:sz w:val="24"/>
              </w:rPr>
              <w:t>(kN)</w:t>
            </w:r>
          </w:p>
        </w:tc>
        <w:tc>
          <w:tcPr>
            <w:tcW w:w="1259" w:type="dxa"/>
            <w:tcBorders>
              <w:top w:val="single" w:sz="4" w:space="0" w:color="000000"/>
              <w:bottom w:val="single" w:sz="4" w:space="0" w:color="000000"/>
            </w:tcBorders>
          </w:tcPr>
          <w:p>
            <w:pPr>
              <w:pStyle w:val="TableParagraph"/>
              <w:spacing w:line="360" w:lineRule="auto"/>
              <w:ind w:left="85" w:right="94"/>
              <w:jc w:val="center"/>
              <w:rPr>
                <w:b/>
                <w:sz w:val="24"/>
              </w:rPr>
            </w:pPr>
            <w:r>
              <w:rPr>
                <w:b/>
                <w:spacing w:val="-2"/>
                <w:sz w:val="24"/>
              </w:rPr>
              <w:t>Crushing Strength</w:t>
            </w:r>
          </w:p>
          <w:p>
            <w:pPr>
              <w:pStyle w:val="TableParagraph"/>
              <w:ind w:left="85" w:right="124"/>
              <w:jc w:val="center"/>
              <w:rPr>
                <w:b/>
                <w:sz w:val="24"/>
              </w:rPr>
            </w:pPr>
            <w:r>
              <w:rPr>
                <w:b/>
                <w:spacing w:val="-5"/>
                <w:sz w:val="24"/>
              </w:rPr>
              <w:t>(N)</w:t>
            </w:r>
          </w:p>
        </w:tc>
        <w:tc>
          <w:tcPr>
            <w:tcW w:w="1255" w:type="dxa"/>
            <w:tcBorders>
              <w:top w:val="single" w:sz="4" w:space="0" w:color="000000"/>
              <w:bottom w:val="single" w:sz="4" w:space="0" w:color="000000"/>
            </w:tcBorders>
          </w:tcPr>
          <w:p>
            <w:pPr>
              <w:pStyle w:val="TableParagraph"/>
              <w:spacing w:line="275" w:lineRule="exact"/>
              <w:ind w:left="69" w:right="36"/>
              <w:jc w:val="center"/>
              <w:rPr>
                <w:b/>
                <w:sz w:val="24"/>
              </w:rPr>
            </w:pPr>
            <w:r>
              <w:rPr>
                <w:b/>
                <w:spacing w:val="-2"/>
                <w:sz w:val="24"/>
              </w:rPr>
              <w:t>Friability</w:t>
            </w:r>
          </w:p>
          <w:p>
            <w:pPr>
              <w:pStyle w:val="TableParagraph"/>
              <w:spacing w:before="137"/>
              <w:ind w:left="69"/>
              <w:jc w:val="center"/>
              <w:rPr>
                <w:b/>
                <w:sz w:val="24"/>
              </w:rPr>
            </w:pPr>
            <w:r>
              <w:rPr>
                <w:b/>
                <w:spacing w:val="-10"/>
                <w:sz w:val="24"/>
              </w:rPr>
              <w:t>%</w:t>
            </w:r>
          </w:p>
        </w:tc>
        <w:tc>
          <w:tcPr>
            <w:tcW w:w="1011" w:type="dxa"/>
            <w:tcBorders>
              <w:top w:val="single" w:sz="4" w:space="0" w:color="000000"/>
              <w:bottom w:val="single" w:sz="4" w:space="0" w:color="000000"/>
            </w:tcBorders>
          </w:tcPr>
          <w:p>
            <w:pPr>
              <w:pStyle w:val="TableParagraph"/>
              <w:spacing w:line="275" w:lineRule="exact"/>
              <w:ind w:left="129"/>
              <w:rPr>
                <w:b/>
                <w:sz w:val="24"/>
              </w:rPr>
            </w:pPr>
            <w:r>
              <w:rPr>
                <w:b/>
                <w:spacing w:val="-2"/>
                <w:sz w:val="24"/>
              </w:rPr>
              <w:t>CS-</w:t>
            </w:r>
            <w:r>
              <w:rPr>
                <w:b/>
                <w:spacing w:val="-5"/>
                <w:sz w:val="24"/>
              </w:rPr>
              <w:t>FR</w:t>
            </w:r>
          </w:p>
          <w:p>
            <w:pPr>
              <w:pStyle w:val="TableParagraph"/>
              <w:spacing w:before="137"/>
              <w:ind w:left="129"/>
              <w:rPr>
                <w:b/>
                <w:sz w:val="24"/>
              </w:rPr>
            </w:pPr>
            <w:r>
              <w:rPr>
                <w:b/>
                <w:spacing w:val="-2"/>
                <w:sz w:val="24"/>
              </w:rPr>
              <w:t>Ratio</w:t>
            </w:r>
          </w:p>
        </w:tc>
      </w:tr>
      <w:tr>
        <w:trPr>
          <w:trHeight w:val="346" w:hRule="atLeast"/>
        </w:trPr>
        <w:tc>
          <w:tcPr>
            <w:tcW w:w="926" w:type="dxa"/>
            <w:tcBorders>
              <w:top w:val="single" w:sz="4" w:space="0" w:color="000000"/>
            </w:tcBorders>
          </w:tcPr>
          <w:p>
            <w:pPr>
              <w:pStyle w:val="TableParagraph"/>
              <w:rPr>
                <w:sz w:val="22"/>
              </w:rPr>
            </w:pPr>
          </w:p>
        </w:tc>
        <w:tc>
          <w:tcPr>
            <w:tcW w:w="961" w:type="dxa"/>
            <w:tcBorders>
              <w:top w:val="single" w:sz="4" w:space="0" w:color="000000"/>
            </w:tcBorders>
          </w:tcPr>
          <w:p>
            <w:pPr>
              <w:pStyle w:val="TableParagraph"/>
              <w:spacing w:line="273" w:lineRule="exact"/>
              <w:ind w:right="211"/>
              <w:jc w:val="right"/>
              <w:rPr>
                <w:sz w:val="24"/>
              </w:rPr>
            </w:pPr>
            <w:r>
              <w:rPr>
                <w:spacing w:val="-10"/>
                <w:sz w:val="24"/>
              </w:rPr>
              <w:t>1</w:t>
            </w:r>
          </w:p>
        </w:tc>
        <w:tc>
          <w:tcPr>
            <w:tcW w:w="1703" w:type="dxa"/>
            <w:tcBorders>
              <w:top w:val="single" w:sz="4" w:space="0" w:color="000000"/>
            </w:tcBorders>
          </w:tcPr>
          <w:p>
            <w:pPr>
              <w:pStyle w:val="TableParagraph"/>
              <w:spacing w:line="273" w:lineRule="exact"/>
              <w:ind w:right="568"/>
              <w:jc w:val="right"/>
              <w:rPr>
                <w:sz w:val="24"/>
              </w:rPr>
            </w:pPr>
            <w:r>
              <w:rPr>
                <w:spacing w:val="-10"/>
                <w:sz w:val="24"/>
              </w:rPr>
              <w:t>5</w:t>
            </w:r>
          </w:p>
        </w:tc>
        <w:tc>
          <w:tcPr>
            <w:tcW w:w="1259" w:type="dxa"/>
            <w:tcBorders>
              <w:top w:val="single" w:sz="4" w:space="0" w:color="000000"/>
            </w:tcBorders>
          </w:tcPr>
          <w:p>
            <w:pPr>
              <w:pStyle w:val="TableParagraph"/>
              <w:spacing w:line="273" w:lineRule="exact"/>
              <w:ind w:left="124" w:right="39"/>
              <w:jc w:val="center"/>
              <w:rPr>
                <w:sz w:val="24"/>
              </w:rPr>
            </w:pPr>
            <w:r>
              <w:rPr>
                <w:spacing w:val="-4"/>
                <w:sz w:val="24"/>
              </w:rPr>
              <w:t>31.0</w:t>
            </w:r>
          </w:p>
        </w:tc>
        <w:tc>
          <w:tcPr>
            <w:tcW w:w="1255" w:type="dxa"/>
            <w:tcBorders>
              <w:top w:val="single" w:sz="4" w:space="0" w:color="000000"/>
            </w:tcBorders>
          </w:tcPr>
          <w:p>
            <w:pPr>
              <w:pStyle w:val="TableParagraph"/>
              <w:spacing w:line="273" w:lineRule="exact"/>
              <w:ind w:left="69" w:right="2"/>
              <w:jc w:val="center"/>
              <w:rPr>
                <w:sz w:val="24"/>
              </w:rPr>
            </w:pPr>
            <w:r>
              <w:rPr>
                <w:spacing w:val="-5"/>
                <w:sz w:val="24"/>
              </w:rPr>
              <w:t>0.7</w:t>
            </w:r>
          </w:p>
        </w:tc>
        <w:tc>
          <w:tcPr>
            <w:tcW w:w="1011" w:type="dxa"/>
            <w:tcBorders>
              <w:top w:val="single" w:sz="4" w:space="0" w:color="000000"/>
            </w:tcBorders>
          </w:tcPr>
          <w:p>
            <w:pPr>
              <w:pStyle w:val="TableParagraph"/>
              <w:spacing w:line="273" w:lineRule="exact"/>
              <w:ind w:left="129"/>
              <w:rPr>
                <w:sz w:val="24"/>
              </w:rPr>
            </w:pPr>
            <w:r>
              <w:rPr>
                <w:spacing w:val="-4"/>
                <w:sz w:val="24"/>
              </w:rPr>
              <w:t>43.7</w:t>
            </w:r>
          </w:p>
        </w:tc>
      </w:tr>
      <w:tr>
        <w:trPr>
          <w:trHeight w:val="428" w:hRule="atLeast"/>
        </w:trPr>
        <w:tc>
          <w:tcPr>
            <w:tcW w:w="926" w:type="dxa"/>
          </w:tcPr>
          <w:p>
            <w:pPr>
              <w:pStyle w:val="TableParagraph"/>
              <w:spacing w:before="63"/>
              <w:ind w:left="5" w:right="1"/>
              <w:jc w:val="center"/>
              <w:rPr>
                <w:sz w:val="24"/>
              </w:rPr>
            </w:pPr>
            <w:r>
              <w:rPr>
                <w:spacing w:val="-5"/>
                <w:sz w:val="24"/>
              </w:rPr>
              <w:t>PVP</w:t>
            </w:r>
          </w:p>
        </w:tc>
        <w:tc>
          <w:tcPr>
            <w:tcW w:w="961" w:type="dxa"/>
          </w:tcPr>
          <w:p>
            <w:pPr>
              <w:pStyle w:val="TableParagraph"/>
              <w:rPr>
                <w:sz w:val="22"/>
              </w:rPr>
            </w:pPr>
          </w:p>
        </w:tc>
        <w:tc>
          <w:tcPr>
            <w:tcW w:w="1703" w:type="dxa"/>
          </w:tcPr>
          <w:p>
            <w:pPr>
              <w:pStyle w:val="TableParagraph"/>
              <w:spacing w:before="73"/>
              <w:ind w:right="508"/>
              <w:jc w:val="right"/>
              <w:rPr>
                <w:sz w:val="24"/>
              </w:rPr>
            </w:pPr>
            <w:r>
              <w:rPr>
                <w:spacing w:val="-5"/>
                <w:sz w:val="24"/>
              </w:rPr>
              <w:t>10</w:t>
            </w:r>
          </w:p>
        </w:tc>
        <w:tc>
          <w:tcPr>
            <w:tcW w:w="1259" w:type="dxa"/>
          </w:tcPr>
          <w:p>
            <w:pPr>
              <w:pStyle w:val="TableParagraph"/>
              <w:spacing w:before="73"/>
              <w:ind w:left="124" w:right="39"/>
              <w:jc w:val="center"/>
              <w:rPr>
                <w:sz w:val="24"/>
              </w:rPr>
            </w:pPr>
            <w:r>
              <w:rPr>
                <w:spacing w:val="-4"/>
                <w:sz w:val="24"/>
              </w:rPr>
              <w:t>32.6</w:t>
            </w:r>
          </w:p>
        </w:tc>
        <w:tc>
          <w:tcPr>
            <w:tcW w:w="1255" w:type="dxa"/>
          </w:tcPr>
          <w:p>
            <w:pPr>
              <w:pStyle w:val="TableParagraph"/>
              <w:spacing w:before="73"/>
              <w:ind w:left="69" w:right="2"/>
              <w:jc w:val="center"/>
              <w:rPr>
                <w:sz w:val="24"/>
              </w:rPr>
            </w:pPr>
            <w:r>
              <w:rPr>
                <w:spacing w:val="-5"/>
                <w:sz w:val="24"/>
              </w:rPr>
              <w:t>0.7</w:t>
            </w:r>
          </w:p>
        </w:tc>
        <w:tc>
          <w:tcPr>
            <w:tcW w:w="1011" w:type="dxa"/>
          </w:tcPr>
          <w:p>
            <w:pPr>
              <w:pStyle w:val="TableParagraph"/>
              <w:spacing w:before="73"/>
              <w:ind w:left="129"/>
              <w:rPr>
                <w:sz w:val="24"/>
              </w:rPr>
            </w:pPr>
            <w:r>
              <w:rPr>
                <w:spacing w:val="-4"/>
                <w:sz w:val="24"/>
              </w:rPr>
              <w:t>49.4</w:t>
            </w:r>
          </w:p>
        </w:tc>
      </w:tr>
      <w:tr>
        <w:trPr>
          <w:trHeight w:val="423" w:hRule="atLeast"/>
        </w:trPr>
        <w:tc>
          <w:tcPr>
            <w:tcW w:w="926" w:type="dxa"/>
          </w:tcPr>
          <w:p>
            <w:pPr>
              <w:pStyle w:val="TableParagraph"/>
              <w:rPr>
                <w:sz w:val="22"/>
              </w:rPr>
            </w:pPr>
          </w:p>
        </w:tc>
        <w:tc>
          <w:tcPr>
            <w:tcW w:w="961" w:type="dxa"/>
          </w:tcPr>
          <w:p>
            <w:pPr>
              <w:pStyle w:val="TableParagraph"/>
              <w:spacing w:before="69"/>
              <w:ind w:right="211"/>
              <w:jc w:val="right"/>
              <w:rPr>
                <w:sz w:val="24"/>
              </w:rPr>
            </w:pPr>
            <w:r>
              <w:rPr>
                <w:spacing w:val="-10"/>
                <w:sz w:val="24"/>
              </w:rPr>
              <w:t>4</w:t>
            </w:r>
          </w:p>
        </w:tc>
        <w:tc>
          <w:tcPr>
            <w:tcW w:w="1703" w:type="dxa"/>
          </w:tcPr>
          <w:p>
            <w:pPr>
              <w:pStyle w:val="TableParagraph"/>
              <w:spacing w:before="69"/>
              <w:ind w:right="568"/>
              <w:jc w:val="right"/>
              <w:rPr>
                <w:sz w:val="24"/>
              </w:rPr>
            </w:pPr>
            <w:r>
              <w:rPr>
                <w:spacing w:val="-10"/>
                <w:sz w:val="24"/>
              </w:rPr>
              <w:t>5</w:t>
            </w:r>
          </w:p>
        </w:tc>
        <w:tc>
          <w:tcPr>
            <w:tcW w:w="1259" w:type="dxa"/>
          </w:tcPr>
          <w:p>
            <w:pPr>
              <w:pStyle w:val="TableParagraph"/>
              <w:spacing w:before="69"/>
              <w:ind w:left="124" w:right="39"/>
              <w:jc w:val="center"/>
              <w:rPr>
                <w:sz w:val="24"/>
              </w:rPr>
            </w:pPr>
            <w:r>
              <w:rPr>
                <w:spacing w:val="-4"/>
                <w:sz w:val="24"/>
              </w:rPr>
              <w:t>33.5</w:t>
            </w:r>
          </w:p>
        </w:tc>
        <w:tc>
          <w:tcPr>
            <w:tcW w:w="1255" w:type="dxa"/>
          </w:tcPr>
          <w:p>
            <w:pPr>
              <w:pStyle w:val="TableParagraph"/>
              <w:spacing w:before="69"/>
              <w:ind w:left="69" w:right="2"/>
              <w:jc w:val="center"/>
              <w:rPr>
                <w:sz w:val="24"/>
              </w:rPr>
            </w:pPr>
            <w:r>
              <w:rPr>
                <w:spacing w:val="-5"/>
                <w:sz w:val="24"/>
              </w:rPr>
              <w:t>0.5</w:t>
            </w:r>
          </w:p>
        </w:tc>
        <w:tc>
          <w:tcPr>
            <w:tcW w:w="1011" w:type="dxa"/>
          </w:tcPr>
          <w:p>
            <w:pPr>
              <w:pStyle w:val="TableParagraph"/>
              <w:spacing w:before="69"/>
              <w:ind w:left="129"/>
              <w:rPr>
                <w:sz w:val="24"/>
              </w:rPr>
            </w:pPr>
            <w:r>
              <w:rPr>
                <w:spacing w:val="-4"/>
                <w:sz w:val="24"/>
              </w:rPr>
              <w:t>64.4</w:t>
            </w:r>
          </w:p>
        </w:tc>
      </w:tr>
      <w:tr>
        <w:trPr>
          <w:trHeight w:val="419" w:hRule="atLeast"/>
        </w:trPr>
        <w:tc>
          <w:tcPr>
            <w:tcW w:w="926" w:type="dxa"/>
          </w:tcPr>
          <w:p>
            <w:pPr>
              <w:pStyle w:val="TableParagraph"/>
              <w:rPr>
                <w:sz w:val="22"/>
              </w:rPr>
            </w:pPr>
          </w:p>
        </w:tc>
        <w:tc>
          <w:tcPr>
            <w:tcW w:w="961" w:type="dxa"/>
          </w:tcPr>
          <w:p>
            <w:pPr>
              <w:pStyle w:val="TableParagraph"/>
              <w:rPr>
                <w:sz w:val="22"/>
              </w:rPr>
            </w:pPr>
          </w:p>
        </w:tc>
        <w:tc>
          <w:tcPr>
            <w:tcW w:w="1703" w:type="dxa"/>
          </w:tcPr>
          <w:p>
            <w:pPr>
              <w:pStyle w:val="TableParagraph"/>
              <w:spacing w:before="68"/>
              <w:ind w:right="508"/>
              <w:jc w:val="right"/>
              <w:rPr>
                <w:sz w:val="24"/>
              </w:rPr>
            </w:pPr>
            <w:r>
              <w:rPr>
                <w:spacing w:val="-5"/>
                <w:sz w:val="24"/>
              </w:rPr>
              <w:t>10</w:t>
            </w:r>
          </w:p>
        </w:tc>
        <w:tc>
          <w:tcPr>
            <w:tcW w:w="1259" w:type="dxa"/>
          </w:tcPr>
          <w:p>
            <w:pPr>
              <w:pStyle w:val="TableParagraph"/>
              <w:spacing w:before="68"/>
              <w:ind w:left="124" w:right="39"/>
              <w:jc w:val="center"/>
              <w:rPr>
                <w:sz w:val="24"/>
              </w:rPr>
            </w:pPr>
            <w:r>
              <w:rPr>
                <w:spacing w:val="-4"/>
                <w:sz w:val="24"/>
              </w:rPr>
              <w:t>34.5</w:t>
            </w:r>
          </w:p>
        </w:tc>
        <w:tc>
          <w:tcPr>
            <w:tcW w:w="1255" w:type="dxa"/>
          </w:tcPr>
          <w:p>
            <w:pPr>
              <w:pStyle w:val="TableParagraph"/>
              <w:spacing w:before="68"/>
              <w:ind w:left="69" w:right="2"/>
              <w:jc w:val="center"/>
              <w:rPr>
                <w:sz w:val="24"/>
              </w:rPr>
            </w:pPr>
            <w:r>
              <w:rPr>
                <w:spacing w:val="-5"/>
                <w:sz w:val="24"/>
              </w:rPr>
              <w:t>0.4</w:t>
            </w:r>
          </w:p>
        </w:tc>
        <w:tc>
          <w:tcPr>
            <w:tcW w:w="1011" w:type="dxa"/>
          </w:tcPr>
          <w:p>
            <w:pPr>
              <w:pStyle w:val="TableParagraph"/>
              <w:spacing w:before="68"/>
              <w:ind w:left="129"/>
              <w:rPr>
                <w:sz w:val="24"/>
              </w:rPr>
            </w:pPr>
            <w:r>
              <w:rPr>
                <w:spacing w:val="-4"/>
                <w:sz w:val="24"/>
              </w:rPr>
              <w:t>86.3</w:t>
            </w:r>
          </w:p>
        </w:tc>
      </w:tr>
      <w:tr>
        <w:trPr>
          <w:trHeight w:val="414" w:hRule="atLeast"/>
        </w:trPr>
        <w:tc>
          <w:tcPr>
            <w:tcW w:w="926" w:type="dxa"/>
          </w:tcPr>
          <w:p>
            <w:pPr>
              <w:pStyle w:val="TableParagraph"/>
              <w:rPr>
                <w:sz w:val="22"/>
              </w:rPr>
            </w:pPr>
          </w:p>
        </w:tc>
        <w:tc>
          <w:tcPr>
            <w:tcW w:w="961" w:type="dxa"/>
          </w:tcPr>
          <w:p>
            <w:pPr>
              <w:pStyle w:val="TableParagraph"/>
              <w:spacing w:before="65"/>
              <w:ind w:right="211"/>
              <w:jc w:val="right"/>
              <w:rPr>
                <w:sz w:val="24"/>
              </w:rPr>
            </w:pPr>
            <w:r>
              <w:rPr>
                <w:spacing w:val="-10"/>
                <w:sz w:val="24"/>
              </w:rPr>
              <w:t>1</w:t>
            </w:r>
          </w:p>
        </w:tc>
        <w:tc>
          <w:tcPr>
            <w:tcW w:w="1703" w:type="dxa"/>
          </w:tcPr>
          <w:p>
            <w:pPr>
              <w:pStyle w:val="TableParagraph"/>
              <w:spacing w:before="65"/>
              <w:ind w:right="568"/>
              <w:jc w:val="right"/>
              <w:rPr>
                <w:sz w:val="24"/>
              </w:rPr>
            </w:pPr>
            <w:r>
              <w:rPr>
                <w:spacing w:val="-10"/>
                <w:sz w:val="24"/>
              </w:rPr>
              <w:t>5</w:t>
            </w:r>
          </w:p>
        </w:tc>
        <w:tc>
          <w:tcPr>
            <w:tcW w:w="1259" w:type="dxa"/>
          </w:tcPr>
          <w:p>
            <w:pPr>
              <w:pStyle w:val="TableParagraph"/>
              <w:spacing w:before="65"/>
              <w:ind w:left="124" w:right="39"/>
              <w:jc w:val="center"/>
              <w:rPr>
                <w:sz w:val="24"/>
              </w:rPr>
            </w:pPr>
            <w:r>
              <w:rPr>
                <w:spacing w:val="-4"/>
                <w:sz w:val="24"/>
              </w:rPr>
              <w:t>30.5</w:t>
            </w:r>
          </w:p>
        </w:tc>
        <w:tc>
          <w:tcPr>
            <w:tcW w:w="1255" w:type="dxa"/>
          </w:tcPr>
          <w:p>
            <w:pPr>
              <w:pStyle w:val="TableParagraph"/>
              <w:spacing w:before="65"/>
              <w:ind w:left="69" w:right="2"/>
              <w:jc w:val="center"/>
              <w:rPr>
                <w:sz w:val="24"/>
              </w:rPr>
            </w:pPr>
            <w:r>
              <w:rPr>
                <w:spacing w:val="-5"/>
                <w:sz w:val="24"/>
              </w:rPr>
              <w:t>0.9</w:t>
            </w:r>
          </w:p>
        </w:tc>
        <w:tc>
          <w:tcPr>
            <w:tcW w:w="1011" w:type="dxa"/>
          </w:tcPr>
          <w:p>
            <w:pPr>
              <w:pStyle w:val="TableParagraph"/>
              <w:spacing w:before="65"/>
              <w:ind w:left="129"/>
              <w:rPr>
                <w:sz w:val="24"/>
              </w:rPr>
            </w:pPr>
            <w:r>
              <w:rPr>
                <w:spacing w:val="-4"/>
                <w:sz w:val="24"/>
              </w:rPr>
              <w:t>33.9</w:t>
            </w:r>
          </w:p>
        </w:tc>
      </w:tr>
      <w:tr>
        <w:trPr>
          <w:trHeight w:val="418" w:hRule="atLeast"/>
        </w:trPr>
        <w:tc>
          <w:tcPr>
            <w:tcW w:w="926" w:type="dxa"/>
            <w:vMerge w:val="restart"/>
          </w:tcPr>
          <w:p>
            <w:pPr>
              <w:pStyle w:val="TableParagraph"/>
              <w:spacing w:before="63"/>
              <w:ind w:left="108"/>
              <w:rPr>
                <w:sz w:val="24"/>
              </w:rPr>
            </w:pPr>
            <w:r>
              <w:rPr>
                <w:spacing w:val="-4"/>
                <w:sz w:val="24"/>
              </w:rPr>
              <w:t>Corn</w:t>
            </w:r>
          </w:p>
          <w:p>
            <w:pPr>
              <w:pStyle w:val="TableParagraph"/>
              <w:spacing w:before="139"/>
              <w:ind w:left="108"/>
              <w:rPr>
                <w:sz w:val="24"/>
              </w:rPr>
            </w:pPr>
            <w:r>
              <w:rPr>
                <w:spacing w:val="-2"/>
                <w:sz w:val="24"/>
              </w:rPr>
              <w:t>starch</w:t>
            </w:r>
          </w:p>
        </w:tc>
        <w:tc>
          <w:tcPr>
            <w:tcW w:w="961" w:type="dxa"/>
          </w:tcPr>
          <w:p>
            <w:pPr>
              <w:pStyle w:val="TableParagraph"/>
              <w:rPr>
                <w:sz w:val="22"/>
              </w:rPr>
            </w:pPr>
          </w:p>
        </w:tc>
        <w:tc>
          <w:tcPr>
            <w:tcW w:w="1703" w:type="dxa"/>
          </w:tcPr>
          <w:p>
            <w:pPr>
              <w:pStyle w:val="TableParagraph"/>
              <w:spacing w:before="63"/>
              <w:ind w:right="508"/>
              <w:jc w:val="right"/>
              <w:rPr>
                <w:sz w:val="24"/>
              </w:rPr>
            </w:pPr>
            <w:r>
              <w:rPr>
                <w:spacing w:val="-5"/>
                <w:sz w:val="24"/>
              </w:rPr>
              <w:t>10</w:t>
            </w:r>
          </w:p>
        </w:tc>
        <w:tc>
          <w:tcPr>
            <w:tcW w:w="1259" w:type="dxa"/>
          </w:tcPr>
          <w:p>
            <w:pPr>
              <w:pStyle w:val="TableParagraph"/>
              <w:spacing w:before="63"/>
              <w:ind w:left="124" w:right="39"/>
              <w:jc w:val="center"/>
              <w:rPr>
                <w:sz w:val="24"/>
              </w:rPr>
            </w:pPr>
            <w:r>
              <w:rPr>
                <w:spacing w:val="-4"/>
                <w:sz w:val="24"/>
              </w:rPr>
              <w:t>32.0</w:t>
            </w:r>
          </w:p>
        </w:tc>
        <w:tc>
          <w:tcPr>
            <w:tcW w:w="1255" w:type="dxa"/>
          </w:tcPr>
          <w:p>
            <w:pPr>
              <w:pStyle w:val="TableParagraph"/>
              <w:spacing w:before="63"/>
              <w:ind w:left="69" w:right="2"/>
              <w:jc w:val="center"/>
              <w:rPr>
                <w:sz w:val="24"/>
              </w:rPr>
            </w:pPr>
            <w:r>
              <w:rPr>
                <w:spacing w:val="-5"/>
                <w:sz w:val="24"/>
              </w:rPr>
              <w:t>0.7</w:t>
            </w:r>
          </w:p>
        </w:tc>
        <w:tc>
          <w:tcPr>
            <w:tcW w:w="1011" w:type="dxa"/>
          </w:tcPr>
          <w:p>
            <w:pPr>
              <w:pStyle w:val="TableParagraph"/>
              <w:spacing w:before="63"/>
              <w:ind w:left="129"/>
              <w:rPr>
                <w:sz w:val="24"/>
              </w:rPr>
            </w:pPr>
            <w:r>
              <w:rPr>
                <w:spacing w:val="-4"/>
                <w:sz w:val="24"/>
              </w:rPr>
              <w:t>45.7</w:t>
            </w:r>
          </w:p>
        </w:tc>
      </w:tr>
      <w:tr>
        <w:trPr>
          <w:trHeight w:val="424" w:hRule="atLeast"/>
        </w:trPr>
        <w:tc>
          <w:tcPr>
            <w:tcW w:w="926" w:type="dxa"/>
            <w:vMerge/>
            <w:tcBorders>
              <w:top w:val="nil"/>
            </w:tcBorders>
          </w:tcPr>
          <w:p>
            <w:pPr>
              <w:rPr>
                <w:sz w:val="2"/>
                <w:szCs w:val="2"/>
              </w:rPr>
            </w:pPr>
          </w:p>
        </w:tc>
        <w:tc>
          <w:tcPr>
            <w:tcW w:w="961" w:type="dxa"/>
          </w:tcPr>
          <w:p>
            <w:pPr>
              <w:pStyle w:val="TableParagraph"/>
              <w:spacing w:before="69"/>
              <w:ind w:right="211"/>
              <w:jc w:val="right"/>
              <w:rPr>
                <w:sz w:val="24"/>
              </w:rPr>
            </w:pPr>
            <w:r>
              <w:rPr>
                <w:spacing w:val="-10"/>
                <w:sz w:val="24"/>
              </w:rPr>
              <w:t>4</w:t>
            </w:r>
          </w:p>
        </w:tc>
        <w:tc>
          <w:tcPr>
            <w:tcW w:w="1703" w:type="dxa"/>
          </w:tcPr>
          <w:p>
            <w:pPr>
              <w:pStyle w:val="TableParagraph"/>
              <w:spacing w:before="69"/>
              <w:ind w:right="568"/>
              <w:jc w:val="right"/>
              <w:rPr>
                <w:sz w:val="24"/>
              </w:rPr>
            </w:pPr>
            <w:r>
              <w:rPr>
                <w:spacing w:val="-10"/>
                <w:sz w:val="24"/>
              </w:rPr>
              <w:t>5</w:t>
            </w:r>
          </w:p>
        </w:tc>
        <w:tc>
          <w:tcPr>
            <w:tcW w:w="1259" w:type="dxa"/>
          </w:tcPr>
          <w:p>
            <w:pPr>
              <w:pStyle w:val="TableParagraph"/>
              <w:spacing w:before="69"/>
              <w:ind w:left="124" w:right="39"/>
              <w:jc w:val="center"/>
              <w:rPr>
                <w:sz w:val="24"/>
              </w:rPr>
            </w:pPr>
            <w:r>
              <w:rPr>
                <w:spacing w:val="-4"/>
                <w:sz w:val="24"/>
              </w:rPr>
              <w:t>32.9</w:t>
            </w:r>
          </w:p>
        </w:tc>
        <w:tc>
          <w:tcPr>
            <w:tcW w:w="1255" w:type="dxa"/>
          </w:tcPr>
          <w:p>
            <w:pPr>
              <w:pStyle w:val="TableParagraph"/>
              <w:spacing w:before="69"/>
              <w:ind w:left="69" w:right="2"/>
              <w:jc w:val="center"/>
              <w:rPr>
                <w:sz w:val="24"/>
              </w:rPr>
            </w:pPr>
            <w:r>
              <w:rPr>
                <w:spacing w:val="-5"/>
                <w:sz w:val="24"/>
              </w:rPr>
              <w:t>0.6</w:t>
            </w:r>
          </w:p>
        </w:tc>
        <w:tc>
          <w:tcPr>
            <w:tcW w:w="1011" w:type="dxa"/>
          </w:tcPr>
          <w:p>
            <w:pPr>
              <w:pStyle w:val="TableParagraph"/>
              <w:spacing w:before="69"/>
              <w:ind w:left="129"/>
              <w:rPr>
                <w:sz w:val="24"/>
              </w:rPr>
            </w:pPr>
            <w:r>
              <w:rPr>
                <w:spacing w:val="-4"/>
                <w:sz w:val="24"/>
              </w:rPr>
              <w:t>54.8</w:t>
            </w:r>
          </w:p>
        </w:tc>
      </w:tr>
      <w:tr>
        <w:trPr>
          <w:trHeight w:val="487" w:hRule="atLeast"/>
        </w:trPr>
        <w:tc>
          <w:tcPr>
            <w:tcW w:w="926" w:type="dxa"/>
            <w:tcBorders>
              <w:bottom w:val="single" w:sz="4" w:space="0" w:color="000000"/>
            </w:tcBorders>
          </w:tcPr>
          <w:p>
            <w:pPr>
              <w:pStyle w:val="TableParagraph"/>
              <w:rPr>
                <w:sz w:val="22"/>
              </w:rPr>
            </w:pPr>
          </w:p>
        </w:tc>
        <w:tc>
          <w:tcPr>
            <w:tcW w:w="961" w:type="dxa"/>
            <w:tcBorders>
              <w:bottom w:val="single" w:sz="4" w:space="0" w:color="000000"/>
            </w:tcBorders>
          </w:tcPr>
          <w:p>
            <w:pPr>
              <w:pStyle w:val="TableParagraph"/>
              <w:rPr>
                <w:sz w:val="22"/>
              </w:rPr>
            </w:pPr>
          </w:p>
        </w:tc>
        <w:tc>
          <w:tcPr>
            <w:tcW w:w="1703" w:type="dxa"/>
            <w:tcBorders>
              <w:bottom w:val="single" w:sz="4" w:space="0" w:color="000000"/>
            </w:tcBorders>
          </w:tcPr>
          <w:p>
            <w:pPr>
              <w:pStyle w:val="TableParagraph"/>
              <w:spacing w:before="69"/>
              <w:ind w:right="508"/>
              <w:jc w:val="right"/>
              <w:rPr>
                <w:sz w:val="24"/>
              </w:rPr>
            </w:pPr>
            <w:r>
              <w:rPr>
                <w:spacing w:val="-5"/>
                <w:sz w:val="24"/>
              </w:rPr>
              <w:t>10</w:t>
            </w:r>
          </w:p>
        </w:tc>
        <w:tc>
          <w:tcPr>
            <w:tcW w:w="1259" w:type="dxa"/>
            <w:tcBorders>
              <w:bottom w:val="single" w:sz="4" w:space="0" w:color="000000"/>
            </w:tcBorders>
          </w:tcPr>
          <w:p>
            <w:pPr>
              <w:pStyle w:val="TableParagraph"/>
              <w:spacing w:before="69"/>
              <w:ind w:left="124" w:right="39"/>
              <w:jc w:val="center"/>
              <w:rPr>
                <w:sz w:val="24"/>
              </w:rPr>
            </w:pPr>
            <w:r>
              <w:rPr>
                <w:spacing w:val="-4"/>
                <w:sz w:val="24"/>
              </w:rPr>
              <w:t>33.6</w:t>
            </w:r>
          </w:p>
        </w:tc>
        <w:tc>
          <w:tcPr>
            <w:tcW w:w="1255" w:type="dxa"/>
            <w:tcBorders>
              <w:bottom w:val="single" w:sz="4" w:space="0" w:color="000000"/>
            </w:tcBorders>
          </w:tcPr>
          <w:p>
            <w:pPr>
              <w:pStyle w:val="TableParagraph"/>
              <w:spacing w:before="69"/>
              <w:ind w:left="69" w:right="2"/>
              <w:jc w:val="center"/>
              <w:rPr>
                <w:sz w:val="24"/>
              </w:rPr>
            </w:pPr>
            <w:r>
              <w:rPr>
                <w:spacing w:val="-5"/>
                <w:sz w:val="24"/>
              </w:rPr>
              <w:t>0.5</w:t>
            </w:r>
          </w:p>
        </w:tc>
        <w:tc>
          <w:tcPr>
            <w:tcW w:w="1011" w:type="dxa"/>
            <w:tcBorders>
              <w:bottom w:val="single" w:sz="4" w:space="0" w:color="000000"/>
            </w:tcBorders>
          </w:tcPr>
          <w:p>
            <w:pPr>
              <w:pStyle w:val="TableParagraph"/>
              <w:spacing w:before="69"/>
              <w:ind w:left="129"/>
              <w:rPr>
                <w:sz w:val="24"/>
              </w:rPr>
            </w:pPr>
            <w:r>
              <w:rPr>
                <w:spacing w:val="-4"/>
                <w:sz w:val="24"/>
              </w:rPr>
              <w:t>67.2</w:t>
            </w:r>
          </w:p>
        </w:tc>
      </w:tr>
    </w:tbl>
    <w:p>
      <w:pPr>
        <w:pStyle w:val="BodyText"/>
        <w:rPr>
          <w:b/>
        </w:rPr>
      </w:pPr>
    </w:p>
    <w:p>
      <w:pPr>
        <w:pStyle w:val="BodyText"/>
        <w:rPr>
          <w:b/>
        </w:rPr>
      </w:pPr>
    </w:p>
    <w:p>
      <w:pPr>
        <w:pStyle w:val="BodyText"/>
        <w:spacing w:before="163"/>
        <w:rPr>
          <w:b/>
        </w:rPr>
      </w:pPr>
    </w:p>
    <w:p>
      <w:pPr>
        <w:spacing w:line="360" w:lineRule="auto" w:before="0"/>
        <w:ind w:left="2096" w:right="994" w:hanging="1419"/>
        <w:jc w:val="left"/>
        <w:rPr>
          <w:b/>
          <w:sz w:val="24"/>
        </w:rPr>
      </w:pPr>
      <w:r>
        <w:rPr>
          <w:b/>
          <w:sz w:val="24"/>
        </w:rPr>
        <w:t>CP</w:t>
      </w:r>
      <w:r>
        <w:rPr>
          <w:b/>
          <w:spacing w:val="65"/>
          <w:sz w:val="24"/>
        </w:rPr>
        <w:t> </w:t>
      </w:r>
      <w:r>
        <w:rPr>
          <w:b/>
          <w:sz w:val="24"/>
        </w:rPr>
        <w:t>=</w:t>
      </w:r>
      <w:r>
        <w:rPr>
          <w:b/>
          <w:spacing w:val="67"/>
          <w:sz w:val="24"/>
        </w:rPr>
        <w:t> </w:t>
      </w:r>
      <w:r>
        <w:rPr>
          <w:b/>
          <w:sz w:val="24"/>
        </w:rPr>
        <w:t>Compression</w:t>
      </w:r>
      <w:r>
        <w:rPr>
          <w:b/>
          <w:spacing w:val="68"/>
          <w:sz w:val="24"/>
        </w:rPr>
        <w:t> </w:t>
      </w:r>
      <w:r>
        <w:rPr>
          <w:b/>
          <w:sz w:val="24"/>
        </w:rPr>
        <w:t>pressure,</w:t>
      </w:r>
      <w:r>
        <w:rPr>
          <w:b/>
          <w:spacing w:val="67"/>
          <w:sz w:val="24"/>
        </w:rPr>
        <w:t> </w:t>
      </w:r>
      <w:r>
        <w:rPr>
          <w:b/>
          <w:sz w:val="24"/>
        </w:rPr>
        <w:t>CS</w:t>
      </w:r>
      <w:r>
        <w:rPr>
          <w:b/>
          <w:spacing w:val="68"/>
          <w:sz w:val="24"/>
        </w:rPr>
        <w:t> </w:t>
      </w:r>
      <w:r>
        <w:rPr>
          <w:b/>
          <w:sz w:val="24"/>
        </w:rPr>
        <w:t>=</w:t>
      </w:r>
      <w:r>
        <w:rPr>
          <w:b/>
          <w:spacing w:val="67"/>
          <w:sz w:val="24"/>
        </w:rPr>
        <w:t> </w:t>
      </w:r>
      <w:r>
        <w:rPr>
          <w:b/>
          <w:sz w:val="24"/>
        </w:rPr>
        <w:t>Crushing</w:t>
      </w:r>
      <w:r>
        <w:rPr>
          <w:b/>
          <w:spacing w:val="67"/>
          <w:sz w:val="24"/>
        </w:rPr>
        <w:t> </w:t>
      </w:r>
      <w:r>
        <w:rPr>
          <w:b/>
          <w:sz w:val="24"/>
        </w:rPr>
        <w:t>strength,</w:t>
      </w:r>
      <w:r>
        <w:rPr>
          <w:b/>
          <w:spacing w:val="70"/>
          <w:sz w:val="24"/>
        </w:rPr>
        <w:t> </w:t>
      </w:r>
      <w:r>
        <w:rPr>
          <w:b/>
          <w:sz w:val="24"/>
        </w:rPr>
        <w:t>F</w:t>
      </w:r>
      <w:r>
        <w:rPr>
          <w:b/>
          <w:spacing w:val="66"/>
          <w:sz w:val="24"/>
        </w:rPr>
        <w:t> </w:t>
      </w:r>
      <w:r>
        <w:rPr>
          <w:b/>
          <w:sz w:val="24"/>
        </w:rPr>
        <w:t>=</w:t>
      </w:r>
      <w:r>
        <w:rPr>
          <w:b/>
          <w:spacing w:val="70"/>
          <w:sz w:val="24"/>
        </w:rPr>
        <w:t> </w:t>
      </w:r>
      <w:r>
        <w:rPr>
          <w:b/>
          <w:sz w:val="24"/>
        </w:rPr>
        <w:t>Friability,</w:t>
      </w:r>
      <w:r>
        <w:rPr>
          <w:b/>
          <w:spacing w:val="67"/>
          <w:sz w:val="24"/>
        </w:rPr>
        <w:t> </w:t>
      </w:r>
      <w:r>
        <w:rPr>
          <w:b/>
          <w:sz w:val="24"/>
        </w:rPr>
        <w:t>CSFR</w:t>
      </w:r>
      <w:r>
        <w:rPr>
          <w:b/>
          <w:spacing w:val="67"/>
          <w:sz w:val="24"/>
        </w:rPr>
        <w:t> </w:t>
      </w:r>
      <w:r>
        <w:rPr>
          <w:b/>
          <w:sz w:val="24"/>
        </w:rPr>
        <w:t>= Crushing strength – friability ratio</w:t>
      </w:r>
    </w:p>
    <w:p>
      <w:pPr>
        <w:spacing w:after="0" w:line="360" w:lineRule="auto"/>
        <w:jc w:val="left"/>
        <w:rPr>
          <w:sz w:val="24"/>
        </w:rPr>
        <w:sectPr>
          <w:pgSz w:w="12240" w:h="15840"/>
          <w:pgMar w:header="0" w:footer="1056" w:top="1340" w:bottom="1240" w:left="1420" w:right="420"/>
        </w:sectPr>
      </w:pPr>
    </w:p>
    <w:p>
      <w:pPr>
        <w:pStyle w:val="BodyText"/>
        <w:spacing w:line="360" w:lineRule="auto" w:before="72"/>
        <w:ind w:left="769" w:right="998" w:firstLine="628"/>
        <w:jc w:val="both"/>
      </w:pPr>
      <w:r>
        <w:rPr/>
        <mc:AlternateContent>
          <mc:Choice Requires="wps">
            <w:drawing>
              <wp:anchor distT="0" distB="0" distL="0" distR="0" allowOverlap="1" layoutInCell="1" locked="0" behindDoc="1" simplePos="0" relativeHeight="483015680">
                <wp:simplePos x="0" y="0"/>
                <wp:positionH relativeFrom="page">
                  <wp:posOffset>-1402226</wp:posOffset>
                </wp:positionH>
                <wp:positionV relativeFrom="page">
                  <wp:posOffset>4612234</wp:posOffset>
                </wp:positionV>
                <wp:extent cx="10685780" cy="9144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0800;rotation:306" type="#_x0000_t136" fillcolor="#ff5400" stroked="f">
                <o:extrusion v:ext="view" autorotationcenter="t"/>
                <v:textpath style="font-family:&quot;Arial MT&quot;;font-size:72pt;v-text-kern:t;mso-text-shadow:auto" string="UNIVERSITY OF IBADAN"/>
                <w10:wrap type="none"/>
              </v:shape>
            </w:pict>
          </mc:Fallback>
        </mc:AlternateContent>
      </w:r>
      <w:r>
        <w:rPr/>
        <w:t>The relationship between crushing strength and friability is such of an inverse proportionality. Thus, tablets prepared by direct compression were less friable than</w:t>
      </w:r>
      <w:r>
        <w:rPr>
          <w:spacing w:val="40"/>
        </w:rPr>
        <w:t> </w:t>
      </w:r>
      <w:r>
        <w:rPr/>
        <w:t>tablets prepared by wet granulation.</w:t>
      </w:r>
    </w:p>
    <w:p>
      <w:pPr>
        <w:pStyle w:val="BodyText"/>
        <w:spacing w:before="144"/>
      </w:pPr>
    </w:p>
    <w:p>
      <w:pPr>
        <w:pStyle w:val="Heading2"/>
        <w:numPr>
          <w:ilvl w:val="3"/>
          <w:numId w:val="44"/>
        </w:numPr>
        <w:tabs>
          <w:tab w:pos="1398" w:val="left" w:leader="none"/>
        </w:tabs>
        <w:spacing w:line="240" w:lineRule="auto" w:before="0" w:after="0"/>
        <w:ind w:left="1398" w:right="0" w:hanging="720"/>
        <w:jc w:val="both"/>
      </w:pPr>
      <w:bookmarkStart w:name="_TOC_250006" w:id="127"/>
      <w:r>
        <w:rPr/>
        <w:t>Crushing</w:t>
      </w:r>
      <w:r>
        <w:rPr>
          <w:spacing w:val="-1"/>
        </w:rPr>
        <w:t> </w:t>
      </w:r>
      <w:r>
        <w:rPr/>
        <w:t>strength</w:t>
      </w:r>
      <w:r>
        <w:rPr>
          <w:spacing w:val="-1"/>
        </w:rPr>
        <w:t> </w:t>
      </w:r>
      <w:r>
        <w:rPr/>
        <w:t>–</w:t>
      </w:r>
      <w:r>
        <w:rPr>
          <w:spacing w:val="-1"/>
        </w:rPr>
        <w:t> </w:t>
      </w:r>
      <w:r>
        <w:rPr/>
        <w:t>friability</w:t>
      </w:r>
      <w:r>
        <w:rPr>
          <w:spacing w:val="-1"/>
        </w:rPr>
        <w:t> </w:t>
      </w:r>
      <w:bookmarkEnd w:id="127"/>
      <w:r>
        <w:rPr>
          <w:spacing w:val="-4"/>
        </w:rPr>
        <w:t>ratio</w:t>
      </w:r>
    </w:p>
    <w:p>
      <w:pPr>
        <w:pStyle w:val="BodyText"/>
        <w:spacing w:line="360" w:lineRule="auto" w:before="132"/>
        <w:ind w:left="678" w:right="994" w:firstLine="720"/>
        <w:jc w:val="both"/>
      </w:pPr>
      <w:r>
        <w:rPr/>
        <w:t>For a particular diluent, the CSFR values increased with increasing compression pressure in tablets prepared by direct compression. Tablets containing Avicel</w:t>
      </w:r>
      <w:r>
        <w:rPr>
          <w:position w:val="9"/>
          <w:sz w:val="13"/>
        </w:rPr>
        <w:t>®</w:t>
      </w:r>
      <w:r>
        <w:rPr>
          <w:spacing w:val="36"/>
          <w:position w:val="9"/>
          <w:sz w:val="13"/>
        </w:rPr>
        <w:t> </w:t>
      </w:r>
      <w:r>
        <w:rPr/>
        <w:t>had higher CSFR values than tablets containing Cellactose</w:t>
      </w:r>
      <w:r>
        <w:rPr>
          <w:position w:val="9"/>
          <w:sz w:val="13"/>
        </w:rPr>
        <w:t>®</w:t>
      </w:r>
      <w:r>
        <w:rPr>
          <w:spacing w:val="35"/>
          <w:position w:val="9"/>
          <w:sz w:val="13"/>
        </w:rPr>
        <w:t> </w:t>
      </w:r>
      <w:r>
        <w:rPr/>
        <w:t>or lactose. The ranking of CSFR values for tablets prepared by direct compression was Avicel</w:t>
      </w:r>
      <w:r>
        <w:rPr>
          <w:position w:val="9"/>
          <w:sz w:val="13"/>
        </w:rPr>
        <w:t>®</w:t>
      </w:r>
      <w:r>
        <w:rPr>
          <w:spacing w:val="40"/>
          <w:position w:val="9"/>
          <w:sz w:val="13"/>
        </w:rPr>
        <w:t> </w:t>
      </w:r>
      <w:r>
        <w:rPr/>
        <w:t>&gt; Cellactose</w:t>
      </w:r>
      <w:r>
        <w:rPr>
          <w:position w:val="9"/>
          <w:sz w:val="13"/>
        </w:rPr>
        <w:t>®</w:t>
      </w:r>
      <w:r>
        <w:rPr>
          <w:spacing w:val="40"/>
          <w:position w:val="9"/>
          <w:sz w:val="13"/>
        </w:rPr>
        <w:t> </w:t>
      </w:r>
      <w:r>
        <w:rPr/>
        <w:t>&gt; lactose.</w:t>
      </w:r>
    </w:p>
    <w:p>
      <w:pPr>
        <w:pStyle w:val="BodyText"/>
        <w:spacing w:line="360" w:lineRule="auto" w:before="1"/>
        <w:ind w:left="678" w:right="997" w:firstLine="720"/>
        <w:jc w:val="both"/>
      </w:pPr>
      <w:r>
        <w:rPr/>
        <w:t>For a particular binder the CSFR values increased with increasing concentration and compression pressure. Tablets containing PVP had the highest CSFR compared to tablets containing cornstarch.</w:t>
      </w:r>
    </w:p>
    <w:p>
      <w:pPr>
        <w:pStyle w:val="BodyText"/>
        <w:spacing w:line="360" w:lineRule="auto" w:before="1"/>
        <w:ind w:left="678" w:right="997" w:firstLine="720"/>
        <w:jc w:val="both"/>
      </w:pPr>
      <w:r>
        <w:rPr/>
        <w:t>CSFR, being a measure of the tablet hardness, was higher in the tablets prepared</w:t>
      </w:r>
      <w:r>
        <w:rPr>
          <w:spacing w:val="40"/>
        </w:rPr>
        <w:t> </w:t>
      </w:r>
      <w:r>
        <w:rPr/>
        <w:t>by direct compression than in tablets prepared by wet granulation.</w:t>
      </w:r>
    </w:p>
    <w:p>
      <w:pPr>
        <w:pStyle w:val="BodyText"/>
        <w:spacing w:before="141"/>
      </w:pPr>
    </w:p>
    <w:p>
      <w:pPr>
        <w:pStyle w:val="Heading2"/>
        <w:numPr>
          <w:ilvl w:val="2"/>
          <w:numId w:val="44"/>
        </w:numPr>
        <w:tabs>
          <w:tab w:pos="1218" w:val="left" w:leader="none"/>
        </w:tabs>
        <w:spacing w:line="240" w:lineRule="auto" w:before="1" w:after="0"/>
        <w:ind w:left="1218" w:right="0" w:hanging="540"/>
        <w:jc w:val="both"/>
      </w:pPr>
      <w:r>
        <w:rPr/>
        <w:t>Release</w:t>
      </w:r>
      <w:r>
        <w:rPr>
          <w:spacing w:val="-6"/>
        </w:rPr>
        <w:t> </w:t>
      </w:r>
      <w:r>
        <w:rPr/>
        <w:t>properties of</w:t>
      </w:r>
      <w:r>
        <w:rPr>
          <w:spacing w:val="1"/>
        </w:rPr>
        <w:t> </w:t>
      </w:r>
      <w:r>
        <w:rPr>
          <w:i/>
        </w:rPr>
        <w:t>M.</w:t>
      </w:r>
      <w:r>
        <w:rPr>
          <w:i/>
          <w:spacing w:val="-2"/>
        </w:rPr>
        <w:t> </w:t>
      </w:r>
      <w:r>
        <w:rPr>
          <w:i/>
        </w:rPr>
        <w:t>pruriens</w:t>
      </w:r>
      <w:r>
        <w:rPr>
          <w:i/>
          <w:spacing w:val="-2"/>
        </w:rPr>
        <w:t> </w:t>
      </w:r>
      <w:r>
        <w:rPr/>
        <w:t>tablets</w:t>
      </w:r>
      <w:r>
        <w:rPr>
          <w:spacing w:val="-2"/>
        </w:rPr>
        <w:t> </w:t>
      </w:r>
      <w:r>
        <w:rPr/>
        <w:t>prepared</w:t>
      </w:r>
      <w:r>
        <w:rPr>
          <w:spacing w:val="-2"/>
        </w:rPr>
        <w:t> </w:t>
      </w:r>
      <w:r>
        <w:rPr/>
        <w:t>by</w:t>
      </w:r>
      <w:r>
        <w:rPr>
          <w:spacing w:val="-2"/>
        </w:rPr>
        <w:t> </w:t>
      </w:r>
      <w:r>
        <w:rPr/>
        <w:t>direct</w:t>
      </w:r>
      <w:r>
        <w:rPr>
          <w:spacing w:val="2"/>
        </w:rPr>
        <w:t> </w:t>
      </w:r>
      <w:r>
        <w:rPr>
          <w:spacing w:val="-2"/>
        </w:rPr>
        <w:t>compression</w:t>
      </w:r>
    </w:p>
    <w:p>
      <w:pPr>
        <w:pStyle w:val="Heading2"/>
        <w:numPr>
          <w:ilvl w:val="3"/>
          <w:numId w:val="44"/>
        </w:numPr>
        <w:tabs>
          <w:tab w:pos="1398" w:val="left" w:leader="none"/>
        </w:tabs>
        <w:spacing w:line="240" w:lineRule="auto" w:before="139" w:after="0"/>
        <w:ind w:left="1398" w:right="0" w:hanging="720"/>
        <w:jc w:val="both"/>
      </w:pPr>
      <w:bookmarkStart w:name="_TOC_250005" w:id="128"/>
      <w:r>
        <w:rPr/>
        <w:t>Disintegration</w:t>
      </w:r>
      <w:r>
        <w:rPr>
          <w:spacing w:val="-3"/>
        </w:rPr>
        <w:t> </w:t>
      </w:r>
      <w:bookmarkEnd w:id="128"/>
      <w:r>
        <w:rPr>
          <w:spacing w:val="-4"/>
        </w:rPr>
        <w:t>time</w:t>
      </w:r>
    </w:p>
    <w:p>
      <w:pPr>
        <w:pStyle w:val="BodyText"/>
        <w:spacing w:line="360" w:lineRule="auto" w:before="132"/>
        <w:ind w:left="819" w:right="992" w:firstLine="578"/>
        <w:jc w:val="both"/>
      </w:pPr>
      <w:r>
        <w:rPr/>
        <w:t>Values of disintegration time and the dissolution characteristics (t</w:t>
      </w:r>
      <w:r>
        <w:rPr>
          <w:vertAlign w:val="subscript"/>
        </w:rPr>
        <w:t>50</w:t>
      </w:r>
      <w:r>
        <w:rPr>
          <w:vertAlign w:val="baseline"/>
        </w:rPr>
        <w:t>, t</w:t>
      </w:r>
      <w:r>
        <w:rPr>
          <w:vertAlign w:val="subscript"/>
        </w:rPr>
        <w:t>80</w:t>
      </w:r>
      <w:r>
        <w:rPr>
          <w:vertAlign w:val="baseline"/>
        </w:rPr>
        <w:t>, t</w:t>
      </w:r>
      <w:r>
        <w:rPr>
          <w:vertAlign w:val="subscript"/>
        </w:rPr>
        <w:t>1</w:t>
      </w:r>
      <w:r>
        <w:rPr>
          <w:vertAlign w:val="baseline"/>
        </w:rPr>
        <w:t>, k</w:t>
      </w:r>
      <w:r>
        <w:rPr>
          <w:vertAlign w:val="subscript"/>
        </w:rPr>
        <w:t>1</w:t>
      </w:r>
      <w:r>
        <w:rPr>
          <w:spacing w:val="40"/>
          <w:vertAlign w:val="baseline"/>
        </w:rPr>
        <w:t> </w:t>
      </w:r>
      <w:r>
        <w:rPr>
          <w:vertAlign w:val="baseline"/>
        </w:rPr>
        <w:t>and k</w:t>
      </w:r>
      <w:r>
        <w:rPr>
          <w:vertAlign w:val="subscript"/>
        </w:rPr>
        <w:t>2</w:t>
      </w:r>
      <w:r>
        <w:rPr>
          <w:vertAlign w:val="baseline"/>
        </w:rPr>
        <w:t>) of </w:t>
      </w:r>
      <w:r>
        <w:rPr>
          <w:i/>
          <w:vertAlign w:val="baseline"/>
        </w:rPr>
        <w:t>M. pruriens </w:t>
      </w:r>
      <w:r>
        <w:rPr>
          <w:vertAlign w:val="baseline"/>
        </w:rPr>
        <w:t>tablets prepared by direct compression and wet granulation are presented in Table 4.9.</w:t>
      </w:r>
    </w:p>
    <w:p>
      <w:pPr>
        <w:pStyle w:val="BodyText"/>
        <w:spacing w:line="360" w:lineRule="auto" w:before="1"/>
        <w:ind w:left="819" w:right="995" w:firstLine="578"/>
        <w:jc w:val="both"/>
      </w:pPr>
      <w:r>
        <w:rPr/>
        <w:t>The disintegration time of tablets prepared by direct compression increased with increase in compression pressure as shown in Table 4.9. Similar observations have been made by other investigators and have been explained in terms of the effect of compression pressure on the specific surface area of the particles and the rate of penetration of liquid into the</w:t>
      </w:r>
      <w:r>
        <w:rPr>
          <w:spacing w:val="-1"/>
        </w:rPr>
        <w:t> </w:t>
      </w:r>
      <w:r>
        <w:rPr/>
        <w:t>interior</w:t>
      </w:r>
      <w:r>
        <w:rPr>
          <w:spacing w:val="-1"/>
        </w:rPr>
        <w:t> </w:t>
      </w:r>
      <w:r>
        <w:rPr/>
        <w:t>of the</w:t>
      </w:r>
      <w:r>
        <w:rPr>
          <w:spacing w:val="-1"/>
        </w:rPr>
        <w:t> </w:t>
      </w:r>
      <w:r>
        <w:rPr/>
        <w:t>tablets (Itiola &amp;</w:t>
      </w:r>
      <w:r>
        <w:rPr>
          <w:spacing w:val="-2"/>
        </w:rPr>
        <w:t> </w:t>
      </w:r>
      <w:r>
        <w:rPr/>
        <w:t>Pilpel, 1986, 1996; Odeku &amp; Itiola, 2003). Khan and Rhodes (1976) stated that porosity and permeability of tablets reduced as compression pressure was increased leading to increase in disintegration</w:t>
      </w:r>
      <w:r>
        <w:rPr>
          <w:spacing w:val="80"/>
        </w:rPr>
        <w:t> </w:t>
      </w:r>
      <w:r>
        <w:rPr>
          <w:spacing w:val="-2"/>
        </w:rPr>
        <w:t>time.</w:t>
      </w:r>
    </w:p>
    <w:p>
      <w:pPr>
        <w:spacing w:after="0" w:line="360" w:lineRule="auto"/>
        <w:jc w:val="both"/>
        <w:sectPr>
          <w:pgSz w:w="12240" w:h="15840"/>
          <w:pgMar w:header="0" w:footer="1056" w:top="1340" w:bottom="1240" w:left="1420" w:right="420"/>
        </w:sectPr>
      </w:pPr>
    </w:p>
    <w:p>
      <w:pPr>
        <w:pStyle w:val="BodyText"/>
        <w:rPr>
          <w:sz w:val="28"/>
        </w:rPr>
      </w:pPr>
      <w:r>
        <w:rPr/>
        <mc:AlternateContent>
          <mc:Choice Requires="wps">
            <w:drawing>
              <wp:anchor distT="0" distB="0" distL="0" distR="0" allowOverlap="1" layoutInCell="1" locked="0" behindDoc="1" simplePos="0" relativeHeight="483016192">
                <wp:simplePos x="0" y="0"/>
                <wp:positionH relativeFrom="page">
                  <wp:posOffset>-1402226</wp:posOffset>
                </wp:positionH>
                <wp:positionV relativeFrom="page">
                  <wp:posOffset>4612234</wp:posOffset>
                </wp:positionV>
                <wp:extent cx="10685780" cy="91440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30028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4"/>
        <w:rPr>
          <w:sz w:val="28"/>
        </w:rPr>
      </w:pPr>
    </w:p>
    <w:p>
      <w:pPr>
        <w:pStyle w:val="Heading1"/>
        <w:ind w:right="112"/>
      </w:pPr>
      <w:r>
        <w:rPr/>
        <w:t>TABLE</w:t>
      </w:r>
      <w:r>
        <w:rPr>
          <w:spacing w:val="-2"/>
        </w:rPr>
        <w:t> </w:t>
      </w:r>
      <w:r>
        <w:rPr/>
        <w:t>4.9 </w:t>
      </w:r>
      <w:r>
        <w:rPr>
          <w:spacing w:val="-2"/>
        </w:rPr>
        <w:t>LANDSCAPE</w:t>
      </w:r>
    </w:p>
    <w:p>
      <w:pPr>
        <w:spacing w:after="0"/>
        <w:sectPr>
          <w:pgSz w:w="12240" w:h="15840"/>
          <w:pgMar w:header="0" w:footer="1056" w:top="1820" w:bottom="1240" w:left="1420" w:right="420"/>
        </w:sectPr>
      </w:pPr>
    </w:p>
    <w:p>
      <w:pPr>
        <w:pStyle w:val="BodyText"/>
        <w:spacing w:line="360" w:lineRule="auto" w:before="72"/>
        <w:ind w:left="819" w:right="991"/>
        <w:jc w:val="both"/>
      </w:pPr>
      <w:r>
        <w:rPr/>
        <mc:AlternateContent>
          <mc:Choice Requires="wps">
            <w:drawing>
              <wp:anchor distT="0" distB="0" distL="0" distR="0" allowOverlap="1" layoutInCell="1" locked="0" behindDoc="1" simplePos="0" relativeHeight="483016704">
                <wp:simplePos x="0" y="0"/>
                <wp:positionH relativeFrom="page">
                  <wp:posOffset>-1402226</wp:posOffset>
                </wp:positionH>
                <wp:positionV relativeFrom="page">
                  <wp:posOffset>4612234</wp:posOffset>
                </wp:positionV>
                <wp:extent cx="10685780" cy="9144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99776;rotation:306" type="#_x0000_t136" fillcolor="#ff5400" stroked="f">
                <o:extrusion v:ext="view" autorotationcenter="t"/>
                <v:textpath style="font-family:&quot;Arial MT&quot;;font-size:72pt;v-text-kern:t;mso-text-shadow:auto" string="UNIVERSITY OF IBADAN"/>
                <w10:wrap type="none"/>
              </v:shape>
            </w:pict>
          </mc:Fallback>
        </mc:AlternateContent>
      </w:r>
      <w:r>
        <w:rPr/>
        <w:t>This can be ascribed to the decrease in size of capillary spaces between the particles due to bond formation, which prevent the</w:t>
      </w:r>
      <w:r>
        <w:rPr>
          <w:spacing w:val="-1"/>
        </w:rPr>
        <w:t> </w:t>
      </w:r>
      <w:r>
        <w:rPr/>
        <w:t>easy</w:t>
      </w:r>
      <w:r>
        <w:rPr>
          <w:spacing w:val="-5"/>
        </w:rPr>
        <w:t> </w:t>
      </w:r>
      <w:r>
        <w:rPr/>
        <w:t>penetration of</w:t>
      </w:r>
      <w:r>
        <w:rPr>
          <w:spacing w:val="-1"/>
        </w:rPr>
        <w:t> </w:t>
      </w:r>
      <w:r>
        <w:rPr/>
        <w:t>water</w:t>
      </w:r>
      <w:r>
        <w:rPr>
          <w:spacing w:val="-2"/>
        </w:rPr>
        <w:t> </w:t>
      </w:r>
      <w:r>
        <w:rPr/>
        <w:t>into the</w:t>
      </w:r>
      <w:r>
        <w:rPr>
          <w:spacing w:val="-1"/>
        </w:rPr>
        <w:t> </w:t>
      </w:r>
      <w:r>
        <w:rPr/>
        <w:t>tablets.</w:t>
      </w:r>
      <w:r>
        <w:rPr>
          <w:spacing w:val="40"/>
        </w:rPr>
        <w:t>  </w:t>
      </w:r>
      <w:r>
        <w:rPr/>
        <w:t>All the tablets prepared by direct compression disintegrated within 15 minutes - the pharmacopoeial acceptable standard. Lactose had the least disintegration time while tablets prepared without diluents had the longest disintegration time. Avicel, though insoluble, allows fluid into a tablet by capillary action, swells on contact and acts as a disintegrant. For this reason, the relatively hard tablets containing Avicel still disintegrated within 15 minutes.</w:t>
      </w:r>
    </w:p>
    <w:p>
      <w:pPr>
        <w:pStyle w:val="BodyText"/>
        <w:spacing w:line="360" w:lineRule="auto" w:before="1"/>
        <w:ind w:left="819" w:right="994" w:firstLine="578"/>
        <w:jc w:val="both"/>
      </w:pPr>
      <w:r>
        <w:rPr/>
        <w:t>The disintegration time test of tablets is very</w:t>
      </w:r>
      <w:r>
        <w:rPr>
          <w:spacing w:val="-4"/>
        </w:rPr>
        <w:t> </w:t>
      </w:r>
      <w:r>
        <w:rPr/>
        <w:t>important because it plays a vital role in the dissolution process since it determines, to a large extent, the area of contact between solid and liquid (Pilpel </w:t>
      </w:r>
      <w:r>
        <w:rPr>
          <w:i/>
        </w:rPr>
        <w:t>et al</w:t>
      </w:r>
      <w:r>
        <w:rPr/>
        <w:t>., 1978; Itiola and Pilpel, 1986; Itiola and Pilpel, 1991). Disintegration of tablets had been described as the net outcome of adhesive and disintegrative forces (Wan and Prasad, 1989; Adebayo and Itiola, 1998). Depending on the solubility of the drug and excipients within the tablet and on the mechanism of disintegration, the disintegration of tablets may not precede the dissolution of drug.</w:t>
      </w:r>
    </w:p>
    <w:p>
      <w:pPr>
        <w:pStyle w:val="BodyText"/>
        <w:spacing w:line="360" w:lineRule="auto"/>
        <w:ind w:left="769" w:right="1002" w:hanging="32"/>
        <w:jc w:val="both"/>
      </w:pPr>
      <w:r>
        <w:rPr/>
        <w:t>The disintegration times of tablets prepared by</w:t>
      </w:r>
      <w:r>
        <w:rPr>
          <w:spacing w:val="-1"/>
        </w:rPr>
        <w:t> </w:t>
      </w:r>
      <w:r>
        <w:rPr/>
        <w:t>wet granulation increased with increase in binder concentration and compression pressure.</w:t>
      </w:r>
    </w:p>
    <w:p>
      <w:pPr>
        <w:pStyle w:val="BodyText"/>
        <w:spacing w:before="264"/>
      </w:pPr>
    </w:p>
    <w:p>
      <w:pPr>
        <w:pStyle w:val="ListParagraph"/>
        <w:numPr>
          <w:ilvl w:val="3"/>
          <w:numId w:val="44"/>
        </w:numPr>
        <w:tabs>
          <w:tab w:pos="1398" w:val="left" w:leader="none"/>
        </w:tabs>
        <w:spacing w:line="240" w:lineRule="auto" w:before="0" w:after="0"/>
        <w:ind w:left="1398" w:right="0" w:hanging="720"/>
        <w:jc w:val="left"/>
        <w:rPr>
          <w:b/>
          <w:sz w:val="24"/>
        </w:rPr>
      </w:pPr>
      <w:r>
        <w:rPr>
          <w:b/>
          <w:sz w:val="24"/>
        </w:rPr>
        <w:t>Dissolution</w:t>
      </w:r>
      <w:r>
        <w:rPr>
          <w:b/>
          <w:spacing w:val="-1"/>
          <w:sz w:val="24"/>
        </w:rPr>
        <w:t> </w:t>
      </w:r>
      <w:r>
        <w:rPr>
          <w:b/>
          <w:sz w:val="24"/>
        </w:rPr>
        <w:t>profile</w:t>
      </w:r>
      <w:r>
        <w:rPr>
          <w:b/>
          <w:spacing w:val="-1"/>
          <w:sz w:val="24"/>
        </w:rPr>
        <w:t> </w:t>
      </w:r>
      <w:r>
        <w:rPr>
          <w:b/>
          <w:sz w:val="24"/>
        </w:rPr>
        <w:t>of</w:t>
      </w:r>
      <w:r>
        <w:rPr>
          <w:b/>
          <w:spacing w:val="1"/>
          <w:sz w:val="24"/>
        </w:rPr>
        <w:t> </w:t>
      </w:r>
      <w:r>
        <w:rPr>
          <w:b/>
          <w:i/>
          <w:sz w:val="24"/>
        </w:rPr>
        <w:t>M</w:t>
      </w:r>
      <w:r>
        <w:rPr>
          <w:b/>
          <w:sz w:val="24"/>
        </w:rPr>
        <w:t>.</w:t>
      </w:r>
      <w:r>
        <w:rPr>
          <w:b/>
          <w:spacing w:val="-1"/>
          <w:sz w:val="24"/>
        </w:rPr>
        <w:t> </w:t>
      </w:r>
      <w:r>
        <w:rPr>
          <w:b/>
          <w:i/>
          <w:sz w:val="24"/>
        </w:rPr>
        <w:t>pruriens</w:t>
      </w:r>
      <w:r>
        <w:rPr>
          <w:b/>
          <w:i/>
          <w:spacing w:val="1"/>
          <w:sz w:val="24"/>
        </w:rPr>
        <w:t> </w:t>
      </w:r>
      <w:r>
        <w:rPr>
          <w:b/>
          <w:spacing w:val="-2"/>
          <w:sz w:val="24"/>
        </w:rPr>
        <w:t>tablets</w:t>
      </w:r>
    </w:p>
    <w:p>
      <w:pPr>
        <w:pStyle w:val="BodyText"/>
        <w:spacing w:line="360" w:lineRule="auto" w:before="252"/>
        <w:ind w:left="678" w:right="993" w:firstLine="720"/>
        <w:jc w:val="both"/>
      </w:pPr>
      <w:r>
        <w:rPr/>
        <w:t>The peak absorbance for the extract of </w:t>
      </w:r>
      <w:r>
        <w:rPr>
          <w:i/>
        </w:rPr>
        <w:t>M. pruriens </w:t>
      </w:r>
      <w:r>
        <w:rPr/>
        <w:t>when subjected to a UV scan with peak adsorbance occurring at 281 nm is shown in Appendix 1. The various dilutions (0.01- 0.1) mg/mL and their corresponding absorbance (used to construct the Beer Lambert plots in Appendix 2) is shown in Table 4.10. The values of the percentage (%) release obtained for each time interval for tablets prepared by direct compression</w:t>
      </w:r>
      <w:r>
        <w:rPr>
          <w:spacing w:val="40"/>
        </w:rPr>
        <w:t> </w:t>
      </w:r>
      <w:r>
        <w:rPr/>
        <w:t>using Avicel, Cellactose and lactose are presented in Appendices 3, 4, and 5 respectively while the plots of % released versus time (min) for extract without diluents, Avicel, Cellactose and lactose are presented in Figures 4.2, 4.3, 4.4 and 4.5</w:t>
      </w:r>
      <w:r>
        <w:rPr>
          <w:spacing w:val="40"/>
        </w:rPr>
        <w:t> </w:t>
      </w:r>
      <w:r>
        <w:rPr/>
        <w:t>respectively Plots of percentage (%) release versus time (min) of </w:t>
      </w:r>
      <w:r>
        <w:rPr>
          <w:i/>
        </w:rPr>
        <w:t>Mucuna pruriens </w:t>
      </w:r>
      <w:r>
        <w:rPr/>
        <w:t>tablets containing PVP and corn starch as binders are</w:t>
      </w:r>
      <w:r>
        <w:rPr>
          <w:spacing w:val="-2"/>
        </w:rPr>
        <w:t> </w:t>
      </w:r>
      <w:r>
        <w:rPr/>
        <w:t>presented in Figures 4.6 -</w:t>
      </w:r>
      <w:r>
        <w:rPr>
          <w:spacing w:val="-1"/>
        </w:rPr>
        <w:t> </w:t>
      </w:r>
      <w:r>
        <w:rPr/>
        <w:t>4.8. From Table</w:t>
      </w:r>
      <w:r>
        <w:rPr>
          <w:spacing w:val="-1"/>
        </w:rPr>
        <w:t> </w:t>
      </w:r>
      <w:r>
        <w:rPr/>
        <w:t>4.9 differences in binders used</w:t>
      </w:r>
      <w:r>
        <w:rPr>
          <w:spacing w:val="-1"/>
        </w:rPr>
        <w:t> </w:t>
      </w:r>
      <w:r>
        <w:rPr/>
        <w:t>in wet</w:t>
      </w:r>
      <w:r>
        <w:rPr>
          <w:spacing w:val="-3"/>
        </w:rPr>
        <w:t> </w:t>
      </w:r>
      <w:r>
        <w:rPr/>
        <w:t>granulation</w:t>
      </w:r>
      <w:r>
        <w:rPr>
          <w:spacing w:val="-1"/>
        </w:rPr>
        <w:t> </w:t>
      </w:r>
      <w:r>
        <w:rPr/>
        <w:t>resulted</w:t>
      </w:r>
      <w:r>
        <w:rPr>
          <w:spacing w:val="-1"/>
        </w:rPr>
        <w:t> </w:t>
      </w:r>
      <w:r>
        <w:rPr/>
        <w:t>in</w:t>
      </w:r>
      <w:r>
        <w:rPr>
          <w:spacing w:val="-1"/>
        </w:rPr>
        <w:t> </w:t>
      </w:r>
      <w:r>
        <w:rPr/>
        <w:t>different dissolution</w:t>
      </w:r>
      <w:r>
        <w:rPr>
          <w:spacing w:val="-1"/>
        </w:rPr>
        <w:t> </w:t>
      </w:r>
      <w:r>
        <w:rPr/>
        <w:t>profiles.</w:t>
      </w:r>
      <w:r>
        <w:rPr>
          <w:spacing w:val="-1"/>
        </w:rPr>
        <w:t> </w:t>
      </w:r>
      <w:r>
        <w:rPr/>
        <w:t>Generally</w:t>
      </w:r>
      <w:r>
        <w:rPr>
          <w:spacing w:val="-3"/>
        </w:rPr>
        <w:t> </w:t>
      </w:r>
      <w:r>
        <w:rPr/>
        <w:t>for</w:t>
      </w:r>
      <w:r>
        <w:rPr>
          <w:spacing w:val="-2"/>
        </w:rPr>
        <w:t> </w:t>
      </w:r>
      <w:r>
        <w:rPr/>
        <w:t>each</w:t>
      </w:r>
      <w:r>
        <w:rPr>
          <w:spacing w:val="1"/>
        </w:rPr>
        <w:t> </w:t>
      </w:r>
      <w:r>
        <w:rPr/>
        <w:t>binder</w:t>
      </w:r>
      <w:r>
        <w:rPr>
          <w:spacing w:val="-3"/>
        </w:rPr>
        <w:t> </w:t>
      </w:r>
      <w:r>
        <w:rPr/>
        <w:t>used</w:t>
      </w:r>
      <w:r>
        <w:rPr>
          <w:spacing w:val="-1"/>
        </w:rPr>
        <w:t> </w:t>
      </w:r>
      <w:r>
        <w:rPr>
          <w:spacing w:val="-5"/>
        </w:rPr>
        <w:t>an</w:t>
      </w:r>
    </w:p>
    <w:p>
      <w:pPr>
        <w:spacing w:after="0" w:line="360" w:lineRule="auto"/>
        <w:jc w:val="both"/>
        <w:sectPr>
          <w:pgSz w:w="12240" w:h="15840"/>
          <w:pgMar w:header="0" w:footer="1056" w:top="1340" w:bottom="1240" w:left="1420" w:right="420"/>
        </w:sectPr>
      </w:pPr>
    </w:p>
    <w:p>
      <w:pPr>
        <w:spacing w:before="77"/>
        <w:ind w:left="678" w:right="0" w:firstLine="0"/>
        <w:jc w:val="left"/>
        <w:rPr>
          <w:b/>
          <w:i/>
          <w:sz w:val="24"/>
        </w:rPr>
      </w:pPr>
      <w:r>
        <w:rPr/>
        <mc:AlternateContent>
          <mc:Choice Requires="wps">
            <w:drawing>
              <wp:anchor distT="0" distB="0" distL="0" distR="0" allowOverlap="1" layoutInCell="1" locked="0" behindDoc="1" simplePos="0" relativeHeight="483017216">
                <wp:simplePos x="0" y="0"/>
                <wp:positionH relativeFrom="page">
                  <wp:posOffset>-1402226</wp:posOffset>
                </wp:positionH>
                <wp:positionV relativeFrom="page">
                  <wp:posOffset>4612234</wp:posOffset>
                </wp:positionV>
                <wp:extent cx="10685780" cy="91440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9926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3"/>
          <w:sz w:val="24"/>
        </w:rPr>
        <w:t> </w:t>
      </w:r>
      <w:r>
        <w:rPr>
          <w:b/>
          <w:sz w:val="24"/>
        </w:rPr>
        <w:t>4.10:</w:t>
      </w:r>
      <w:r>
        <w:rPr>
          <w:b/>
          <w:spacing w:val="-1"/>
          <w:sz w:val="24"/>
        </w:rPr>
        <w:t> </w:t>
      </w:r>
      <w:r>
        <w:rPr>
          <w:b/>
          <w:sz w:val="24"/>
        </w:rPr>
        <w:t>Concentrations</w:t>
      </w:r>
      <w:r>
        <w:rPr>
          <w:b/>
          <w:spacing w:val="-1"/>
          <w:sz w:val="24"/>
        </w:rPr>
        <w:t> </w:t>
      </w:r>
      <w:r>
        <w:rPr>
          <w:b/>
          <w:sz w:val="24"/>
        </w:rPr>
        <w:t>and</w:t>
      </w:r>
      <w:r>
        <w:rPr>
          <w:b/>
          <w:spacing w:val="-1"/>
          <w:sz w:val="24"/>
        </w:rPr>
        <w:t> </w:t>
      </w:r>
      <w:r>
        <w:rPr>
          <w:b/>
          <w:sz w:val="24"/>
        </w:rPr>
        <w:t>corresponding</w:t>
      </w:r>
      <w:r>
        <w:rPr>
          <w:b/>
          <w:spacing w:val="-4"/>
          <w:sz w:val="24"/>
        </w:rPr>
        <w:t> </w:t>
      </w:r>
      <w:r>
        <w:rPr>
          <w:b/>
          <w:sz w:val="24"/>
        </w:rPr>
        <w:t>absorbance</w:t>
      </w:r>
      <w:r>
        <w:rPr>
          <w:b/>
          <w:spacing w:val="-2"/>
          <w:sz w:val="24"/>
        </w:rPr>
        <w:t> </w:t>
      </w:r>
      <w:r>
        <w:rPr>
          <w:b/>
          <w:sz w:val="24"/>
        </w:rPr>
        <w:t>for</w:t>
      </w:r>
      <w:r>
        <w:rPr>
          <w:b/>
          <w:spacing w:val="2"/>
          <w:sz w:val="24"/>
        </w:rPr>
        <w:t> </w:t>
      </w:r>
      <w:r>
        <w:rPr>
          <w:b/>
          <w:i/>
          <w:sz w:val="24"/>
        </w:rPr>
        <w:t>M.</w:t>
      </w:r>
      <w:r>
        <w:rPr>
          <w:b/>
          <w:i/>
          <w:spacing w:val="-1"/>
          <w:sz w:val="24"/>
        </w:rPr>
        <w:t> </w:t>
      </w:r>
      <w:r>
        <w:rPr>
          <w:b/>
          <w:i/>
          <w:spacing w:val="-2"/>
          <w:sz w:val="24"/>
        </w:rPr>
        <w:t>pruriens</w:t>
      </w:r>
    </w:p>
    <w:p>
      <w:pPr>
        <w:pStyle w:val="BodyText"/>
        <w:rPr>
          <w:b/>
          <w:i/>
          <w:sz w:val="20"/>
        </w:rPr>
      </w:pPr>
    </w:p>
    <w:p>
      <w:pPr>
        <w:pStyle w:val="BodyText"/>
        <w:rPr>
          <w:b/>
          <w:i/>
          <w:sz w:val="20"/>
        </w:rPr>
      </w:pPr>
    </w:p>
    <w:p>
      <w:pPr>
        <w:pStyle w:val="BodyText"/>
        <w:rPr>
          <w:b/>
          <w:i/>
          <w:sz w:val="20"/>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8"/>
        <w:gridCol w:w="4504"/>
      </w:tblGrid>
      <w:tr>
        <w:trPr>
          <w:trHeight w:val="501" w:hRule="atLeast"/>
        </w:trPr>
        <w:tc>
          <w:tcPr>
            <w:tcW w:w="4448" w:type="dxa"/>
            <w:tcBorders>
              <w:top w:val="single" w:sz="4" w:space="0" w:color="000000"/>
              <w:bottom w:val="single" w:sz="4" w:space="0" w:color="000000"/>
            </w:tcBorders>
          </w:tcPr>
          <w:p>
            <w:pPr>
              <w:pStyle w:val="TableParagraph"/>
              <w:spacing w:line="251" w:lineRule="exact"/>
              <w:ind w:left="42" w:right="2"/>
              <w:jc w:val="center"/>
              <w:rPr>
                <w:b/>
                <w:sz w:val="22"/>
              </w:rPr>
            </w:pPr>
            <w:r>
              <w:rPr>
                <w:b/>
                <w:sz w:val="22"/>
              </w:rPr>
              <w:t>Concentration</w:t>
            </w:r>
            <w:r>
              <w:rPr>
                <w:b/>
                <w:spacing w:val="-6"/>
                <w:sz w:val="22"/>
              </w:rPr>
              <w:t> </w:t>
            </w:r>
            <w:r>
              <w:rPr>
                <w:b/>
                <w:spacing w:val="-2"/>
                <w:sz w:val="22"/>
              </w:rPr>
              <w:t>(mg/mL)</w:t>
            </w:r>
          </w:p>
        </w:tc>
        <w:tc>
          <w:tcPr>
            <w:tcW w:w="4504" w:type="dxa"/>
            <w:tcBorders>
              <w:top w:val="single" w:sz="4" w:space="0" w:color="000000"/>
              <w:bottom w:val="single" w:sz="4" w:space="0" w:color="000000"/>
            </w:tcBorders>
          </w:tcPr>
          <w:p>
            <w:pPr>
              <w:pStyle w:val="TableParagraph"/>
              <w:spacing w:line="251" w:lineRule="exact"/>
              <w:ind w:left="27" w:right="2"/>
              <w:jc w:val="center"/>
              <w:rPr>
                <w:b/>
                <w:sz w:val="22"/>
              </w:rPr>
            </w:pPr>
            <w:r>
              <w:rPr>
                <w:b/>
                <w:sz w:val="22"/>
              </w:rPr>
              <w:t>Absorbance</w:t>
            </w:r>
            <w:r>
              <w:rPr>
                <w:b/>
                <w:spacing w:val="-5"/>
                <w:sz w:val="22"/>
              </w:rPr>
              <w:t> </w:t>
            </w:r>
            <w:r>
              <w:rPr>
                <w:b/>
                <w:sz w:val="22"/>
              </w:rPr>
              <w:t>(at</w:t>
            </w:r>
            <w:r>
              <w:rPr>
                <w:b/>
                <w:spacing w:val="-2"/>
                <w:sz w:val="22"/>
              </w:rPr>
              <w:t> 281.8nm)</w:t>
            </w:r>
          </w:p>
        </w:tc>
      </w:tr>
      <w:tr>
        <w:trPr>
          <w:trHeight w:val="374" w:hRule="atLeast"/>
        </w:trPr>
        <w:tc>
          <w:tcPr>
            <w:tcW w:w="4448" w:type="dxa"/>
            <w:tcBorders>
              <w:top w:val="single" w:sz="4" w:space="0" w:color="000000"/>
            </w:tcBorders>
          </w:tcPr>
          <w:p>
            <w:pPr>
              <w:pStyle w:val="TableParagraph"/>
              <w:spacing w:line="247" w:lineRule="exact"/>
              <w:ind w:left="42"/>
              <w:jc w:val="center"/>
              <w:rPr>
                <w:sz w:val="22"/>
              </w:rPr>
            </w:pPr>
            <w:r>
              <w:rPr>
                <w:spacing w:val="-4"/>
                <w:sz w:val="22"/>
              </w:rPr>
              <w:t>0.01</w:t>
            </w:r>
          </w:p>
        </w:tc>
        <w:tc>
          <w:tcPr>
            <w:tcW w:w="4504" w:type="dxa"/>
            <w:tcBorders>
              <w:top w:val="single" w:sz="4" w:space="0" w:color="000000"/>
            </w:tcBorders>
          </w:tcPr>
          <w:p>
            <w:pPr>
              <w:pStyle w:val="TableParagraph"/>
              <w:spacing w:line="247" w:lineRule="exact"/>
              <w:ind w:left="27"/>
              <w:jc w:val="center"/>
              <w:rPr>
                <w:sz w:val="22"/>
              </w:rPr>
            </w:pPr>
            <w:r>
              <w:rPr>
                <w:spacing w:val="-2"/>
                <w:sz w:val="22"/>
              </w:rPr>
              <w:t>0.07±0.00</w:t>
            </w:r>
          </w:p>
        </w:tc>
      </w:tr>
      <w:tr>
        <w:trPr>
          <w:trHeight w:val="499" w:hRule="atLeast"/>
        </w:trPr>
        <w:tc>
          <w:tcPr>
            <w:tcW w:w="4448" w:type="dxa"/>
          </w:tcPr>
          <w:p>
            <w:pPr>
              <w:pStyle w:val="TableParagraph"/>
              <w:spacing w:before="118"/>
              <w:ind w:left="42"/>
              <w:jc w:val="center"/>
              <w:rPr>
                <w:sz w:val="22"/>
              </w:rPr>
            </w:pPr>
            <w:r>
              <w:rPr>
                <w:spacing w:val="-4"/>
                <w:sz w:val="22"/>
              </w:rPr>
              <w:t>0.02</w:t>
            </w:r>
          </w:p>
        </w:tc>
        <w:tc>
          <w:tcPr>
            <w:tcW w:w="4504" w:type="dxa"/>
          </w:tcPr>
          <w:p>
            <w:pPr>
              <w:pStyle w:val="TableParagraph"/>
              <w:spacing w:before="118"/>
              <w:ind w:left="27"/>
              <w:jc w:val="center"/>
              <w:rPr>
                <w:sz w:val="22"/>
              </w:rPr>
            </w:pPr>
            <w:r>
              <w:rPr>
                <w:spacing w:val="-2"/>
                <w:sz w:val="22"/>
              </w:rPr>
              <w:t>0.17±0.01</w:t>
            </w:r>
          </w:p>
        </w:tc>
      </w:tr>
      <w:tr>
        <w:trPr>
          <w:trHeight w:val="499" w:hRule="atLeast"/>
        </w:trPr>
        <w:tc>
          <w:tcPr>
            <w:tcW w:w="4448" w:type="dxa"/>
          </w:tcPr>
          <w:p>
            <w:pPr>
              <w:pStyle w:val="TableParagraph"/>
              <w:spacing w:before="118"/>
              <w:ind w:left="42"/>
              <w:jc w:val="center"/>
              <w:rPr>
                <w:sz w:val="22"/>
              </w:rPr>
            </w:pPr>
            <w:r>
              <w:rPr>
                <w:spacing w:val="-4"/>
                <w:sz w:val="22"/>
              </w:rPr>
              <w:t>0.04</w:t>
            </w:r>
          </w:p>
        </w:tc>
        <w:tc>
          <w:tcPr>
            <w:tcW w:w="4504" w:type="dxa"/>
          </w:tcPr>
          <w:p>
            <w:pPr>
              <w:pStyle w:val="TableParagraph"/>
              <w:spacing w:before="118"/>
              <w:ind w:left="27"/>
              <w:jc w:val="center"/>
              <w:rPr>
                <w:sz w:val="22"/>
              </w:rPr>
            </w:pPr>
            <w:r>
              <w:rPr>
                <w:spacing w:val="-2"/>
                <w:sz w:val="22"/>
              </w:rPr>
              <w:t>0.33±0.00</w:t>
            </w:r>
          </w:p>
        </w:tc>
      </w:tr>
      <w:tr>
        <w:trPr>
          <w:trHeight w:val="499" w:hRule="atLeast"/>
        </w:trPr>
        <w:tc>
          <w:tcPr>
            <w:tcW w:w="4448" w:type="dxa"/>
          </w:tcPr>
          <w:p>
            <w:pPr>
              <w:pStyle w:val="TableParagraph"/>
              <w:spacing w:before="118"/>
              <w:ind w:left="42"/>
              <w:jc w:val="center"/>
              <w:rPr>
                <w:sz w:val="22"/>
              </w:rPr>
            </w:pPr>
            <w:r>
              <w:rPr>
                <w:spacing w:val="-4"/>
                <w:sz w:val="22"/>
              </w:rPr>
              <w:t>0.06</w:t>
            </w:r>
          </w:p>
        </w:tc>
        <w:tc>
          <w:tcPr>
            <w:tcW w:w="4504" w:type="dxa"/>
          </w:tcPr>
          <w:p>
            <w:pPr>
              <w:pStyle w:val="TableParagraph"/>
              <w:spacing w:before="118"/>
              <w:ind w:left="27"/>
              <w:jc w:val="center"/>
              <w:rPr>
                <w:sz w:val="22"/>
              </w:rPr>
            </w:pPr>
            <w:r>
              <w:rPr>
                <w:spacing w:val="-2"/>
                <w:sz w:val="22"/>
              </w:rPr>
              <w:t>0.53±0.00</w:t>
            </w:r>
          </w:p>
        </w:tc>
      </w:tr>
      <w:tr>
        <w:trPr>
          <w:trHeight w:val="499" w:hRule="atLeast"/>
        </w:trPr>
        <w:tc>
          <w:tcPr>
            <w:tcW w:w="4448" w:type="dxa"/>
          </w:tcPr>
          <w:p>
            <w:pPr>
              <w:pStyle w:val="TableParagraph"/>
              <w:spacing w:before="118"/>
              <w:ind w:left="42"/>
              <w:jc w:val="center"/>
              <w:rPr>
                <w:sz w:val="22"/>
              </w:rPr>
            </w:pPr>
            <w:r>
              <w:rPr>
                <w:spacing w:val="-4"/>
                <w:sz w:val="22"/>
              </w:rPr>
              <w:t>0.08</w:t>
            </w:r>
          </w:p>
        </w:tc>
        <w:tc>
          <w:tcPr>
            <w:tcW w:w="4504" w:type="dxa"/>
          </w:tcPr>
          <w:p>
            <w:pPr>
              <w:pStyle w:val="TableParagraph"/>
              <w:spacing w:before="118"/>
              <w:ind w:left="27"/>
              <w:jc w:val="center"/>
              <w:rPr>
                <w:sz w:val="22"/>
              </w:rPr>
            </w:pPr>
            <w:r>
              <w:rPr>
                <w:spacing w:val="-2"/>
                <w:sz w:val="22"/>
              </w:rPr>
              <w:t>0.73±0.04</w:t>
            </w:r>
          </w:p>
        </w:tc>
      </w:tr>
      <w:tr>
        <w:trPr>
          <w:trHeight w:val="626" w:hRule="atLeast"/>
        </w:trPr>
        <w:tc>
          <w:tcPr>
            <w:tcW w:w="4448" w:type="dxa"/>
            <w:tcBorders>
              <w:bottom w:val="single" w:sz="4" w:space="0" w:color="000000"/>
            </w:tcBorders>
          </w:tcPr>
          <w:p>
            <w:pPr>
              <w:pStyle w:val="TableParagraph"/>
              <w:spacing w:before="119"/>
              <w:ind w:left="42" w:right="5"/>
              <w:jc w:val="center"/>
              <w:rPr>
                <w:sz w:val="22"/>
              </w:rPr>
            </w:pPr>
            <w:r>
              <w:rPr>
                <w:spacing w:val="-5"/>
                <w:sz w:val="22"/>
              </w:rPr>
              <w:t>0.1</w:t>
            </w:r>
          </w:p>
        </w:tc>
        <w:tc>
          <w:tcPr>
            <w:tcW w:w="4504" w:type="dxa"/>
            <w:tcBorders>
              <w:bottom w:val="single" w:sz="4" w:space="0" w:color="000000"/>
            </w:tcBorders>
          </w:tcPr>
          <w:p>
            <w:pPr>
              <w:pStyle w:val="TableParagraph"/>
              <w:spacing w:before="119"/>
              <w:ind w:left="27"/>
              <w:jc w:val="center"/>
              <w:rPr>
                <w:sz w:val="22"/>
              </w:rPr>
            </w:pPr>
            <w:r>
              <w:rPr>
                <w:spacing w:val="-2"/>
                <w:sz w:val="22"/>
              </w:rPr>
              <w:t>0.90±0.02</w:t>
            </w:r>
          </w:p>
        </w:tc>
      </w:tr>
    </w:tbl>
    <w:p>
      <w:pPr>
        <w:spacing w:after="0"/>
        <w:jc w:val="center"/>
        <w:rPr>
          <w:sz w:val="22"/>
        </w:rPr>
        <w:sectPr>
          <w:pgSz w:w="12240" w:h="15840"/>
          <w:pgMar w:header="0" w:footer="1056" w:top="1340" w:bottom="1240" w:left="1420" w:right="420"/>
        </w:sectPr>
      </w:pPr>
    </w:p>
    <w:p>
      <w:pPr>
        <w:pStyle w:val="BodyText"/>
        <w:rPr>
          <w:b/>
          <w:i/>
          <w:sz w:val="20"/>
        </w:rPr>
      </w:pPr>
      <w:r>
        <w:rPr/>
        <mc:AlternateContent>
          <mc:Choice Requires="wps">
            <w:drawing>
              <wp:anchor distT="0" distB="0" distL="0" distR="0" allowOverlap="1" layoutInCell="1" locked="0" behindDoc="1" simplePos="0" relativeHeight="483017728">
                <wp:simplePos x="0" y="0"/>
                <wp:positionH relativeFrom="page">
                  <wp:posOffset>3861220</wp:posOffset>
                </wp:positionH>
                <wp:positionV relativeFrom="page">
                  <wp:posOffset>3734575</wp:posOffset>
                </wp:positionV>
                <wp:extent cx="1287780" cy="91440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98752;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18240">
                <wp:simplePos x="0" y="0"/>
                <wp:positionH relativeFrom="page">
                  <wp:posOffset>4288097</wp:posOffset>
                </wp:positionH>
                <wp:positionV relativeFrom="page">
                  <wp:posOffset>1617859</wp:posOffset>
                </wp:positionV>
                <wp:extent cx="3421379" cy="9144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29824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18752">
                <wp:simplePos x="0" y="0"/>
                <wp:positionH relativeFrom="page">
                  <wp:posOffset>-316181</wp:posOffset>
                </wp:positionH>
                <wp:positionV relativeFrom="page">
                  <wp:posOffset>6721518</wp:posOffset>
                </wp:positionV>
                <wp:extent cx="5504815" cy="91440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97728;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4"/>
        <w:rPr>
          <w:b/>
          <w:i/>
          <w:sz w:val="20"/>
        </w:rPr>
      </w:pPr>
    </w:p>
    <w:p>
      <w:pPr>
        <w:pStyle w:val="BodyText"/>
        <w:ind w:left="880"/>
        <w:rPr>
          <w:sz w:val="20"/>
        </w:rPr>
      </w:pPr>
      <w:r>
        <w:rPr>
          <w:sz w:val="20"/>
        </w:rPr>
        <w:drawing>
          <wp:inline distT="0" distB="0" distL="0" distR="0">
            <wp:extent cx="5468281" cy="3377184"/>
            <wp:effectExtent l="0" t="0" r="0" b="0"/>
            <wp:docPr id="328" name="Image 328"/>
            <wp:cNvGraphicFramePr>
              <a:graphicFrameLocks/>
            </wp:cNvGraphicFramePr>
            <a:graphic>
              <a:graphicData uri="http://schemas.openxmlformats.org/drawingml/2006/picture">
                <pic:pic>
                  <pic:nvPicPr>
                    <pic:cNvPr id="328" name="Image 328"/>
                    <pic:cNvPicPr/>
                  </pic:nvPicPr>
                  <pic:blipFill>
                    <a:blip r:embed="rId55" cstate="print"/>
                    <a:stretch>
                      <a:fillRect/>
                    </a:stretch>
                  </pic:blipFill>
                  <pic:spPr>
                    <a:xfrm>
                      <a:off x="0" y="0"/>
                      <a:ext cx="5468281" cy="3377184"/>
                    </a:xfrm>
                    <a:prstGeom prst="rect">
                      <a:avLst/>
                    </a:prstGeom>
                  </pic:spPr>
                </pic:pic>
              </a:graphicData>
            </a:graphic>
          </wp:inline>
        </w:drawing>
      </w:r>
      <w:r>
        <w:rPr>
          <w:sz w:val="20"/>
        </w:rPr>
      </w:r>
    </w:p>
    <w:p>
      <w:pPr>
        <w:pStyle w:val="BodyText"/>
        <w:rPr>
          <w:b/>
          <w:i/>
        </w:rPr>
      </w:pPr>
    </w:p>
    <w:p>
      <w:pPr>
        <w:pStyle w:val="BodyText"/>
        <w:spacing w:before="266"/>
        <w:rPr>
          <w:b/>
          <w:i/>
        </w:rPr>
      </w:pPr>
    </w:p>
    <w:p>
      <w:pPr>
        <w:spacing w:line="360" w:lineRule="auto" w:before="0"/>
        <w:ind w:left="1671" w:right="994" w:hanging="994"/>
        <w:jc w:val="left"/>
        <w:rPr>
          <w:b/>
          <w:sz w:val="24"/>
        </w:rPr>
      </w:pPr>
      <w:r>
        <w:rPr>
          <w:b/>
          <w:sz w:val="24"/>
        </w:rPr>
        <w:t>Fig</w:t>
      </w:r>
      <w:r>
        <w:rPr>
          <w:b/>
          <w:spacing w:val="80"/>
          <w:sz w:val="24"/>
        </w:rPr>
        <w:t> </w:t>
      </w:r>
      <w:r>
        <w:rPr>
          <w:b/>
          <w:sz w:val="24"/>
        </w:rPr>
        <w:t>4.3:</w:t>
      </w:r>
      <w:r>
        <w:rPr>
          <w:b/>
          <w:spacing w:val="80"/>
          <w:sz w:val="24"/>
        </w:rPr>
        <w:t> </w:t>
      </w:r>
      <w:r>
        <w:rPr>
          <w:b/>
          <w:sz w:val="24"/>
        </w:rPr>
        <w:t>Plots</w:t>
      </w:r>
      <w:r>
        <w:rPr>
          <w:b/>
          <w:spacing w:val="79"/>
          <w:sz w:val="24"/>
        </w:rPr>
        <w:t> </w:t>
      </w:r>
      <w:r>
        <w:rPr>
          <w:b/>
          <w:sz w:val="24"/>
        </w:rPr>
        <w:t>of</w:t>
      </w:r>
      <w:r>
        <w:rPr>
          <w:b/>
          <w:spacing w:val="80"/>
          <w:sz w:val="24"/>
        </w:rPr>
        <w:t> </w:t>
      </w:r>
      <w:r>
        <w:rPr>
          <w:b/>
          <w:sz w:val="24"/>
        </w:rPr>
        <w:t>dissolution</w:t>
      </w:r>
      <w:r>
        <w:rPr>
          <w:b/>
          <w:spacing w:val="80"/>
          <w:sz w:val="24"/>
        </w:rPr>
        <w:t> </w:t>
      </w:r>
      <w:r>
        <w:rPr>
          <w:b/>
          <w:sz w:val="24"/>
        </w:rPr>
        <w:t>profile</w:t>
      </w:r>
      <w:r>
        <w:rPr>
          <w:b/>
          <w:spacing w:val="78"/>
          <w:sz w:val="24"/>
        </w:rPr>
        <w:t> </w:t>
      </w:r>
      <w:r>
        <w:rPr>
          <w:b/>
          <w:sz w:val="24"/>
        </w:rPr>
        <w:t>of</w:t>
      </w:r>
      <w:r>
        <w:rPr>
          <w:b/>
          <w:spacing w:val="80"/>
          <w:sz w:val="24"/>
        </w:rPr>
        <w:t> </w:t>
      </w:r>
      <w:r>
        <w:rPr>
          <w:b/>
          <w:i/>
          <w:sz w:val="24"/>
        </w:rPr>
        <w:t>M.</w:t>
      </w:r>
      <w:r>
        <w:rPr>
          <w:b/>
          <w:i/>
          <w:spacing w:val="77"/>
          <w:sz w:val="24"/>
        </w:rPr>
        <w:t> </w:t>
      </w:r>
      <w:r>
        <w:rPr>
          <w:b/>
          <w:i/>
          <w:sz w:val="24"/>
        </w:rPr>
        <w:t>pruriens</w:t>
      </w:r>
      <w:r>
        <w:rPr>
          <w:b/>
          <w:i/>
          <w:spacing w:val="80"/>
          <w:sz w:val="24"/>
        </w:rPr>
        <w:t> </w:t>
      </w:r>
      <w:r>
        <w:rPr>
          <w:b/>
          <w:sz w:val="24"/>
        </w:rPr>
        <w:t>tablets</w:t>
      </w:r>
      <w:r>
        <w:rPr>
          <w:b/>
          <w:spacing w:val="79"/>
          <w:sz w:val="24"/>
        </w:rPr>
        <w:t> </w:t>
      </w:r>
      <w:r>
        <w:rPr>
          <w:b/>
          <w:sz w:val="24"/>
        </w:rPr>
        <w:t>prepared</w:t>
      </w:r>
      <w:r>
        <w:rPr>
          <w:b/>
          <w:spacing w:val="80"/>
          <w:sz w:val="24"/>
        </w:rPr>
        <w:t> </w:t>
      </w:r>
      <w:r>
        <w:rPr>
          <w:b/>
          <w:sz w:val="24"/>
        </w:rPr>
        <w:t>by</w:t>
      </w:r>
      <w:r>
        <w:rPr>
          <w:b/>
          <w:spacing w:val="79"/>
          <w:sz w:val="24"/>
        </w:rPr>
        <w:t> </w:t>
      </w:r>
      <w:r>
        <w:rPr>
          <w:b/>
          <w:sz w:val="24"/>
        </w:rPr>
        <w:t>direct compression (without diluents)</w:t>
      </w:r>
    </w:p>
    <w:p>
      <w:pPr>
        <w:spacing w:after="0" w:line="360" w:lineRule="auto"/>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19264">
                <wp:simplePos x="0" y="0"/>
                <wp:positionH relativeFrom="page">
                  <wp:posOffset>-1402226</wp:posOffset>
                </wp:positionH>
                <wp:positionV relativeFrom="page">
                  <wp:posOffset>4612234</wp:posOffset>
                </wp:positionV>
                <wp:extent cx="10685780" cy="9144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97216;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6"/>
        <w:rPr>
          <w:b/>
          <w:sz w:val="20"/>
        </w:rPr>
      </w:pPr>
    </w:p>
    <w:p>
      <w:pPr>
        <w:pStyle w:val="BodyText"/>
        <w:ind w:left="745"/>
        <w:rPr>
          <w:sz w:val="20"/>
        </w:rPr>
      </w:pPr>
      <w:r>
        <w:rPr>
          <w:sz w:val="20"/>
        </w:rPr>
        <w:drawing>
          <wp:inline distT="0" distB="0" distL="0" distR="0">
            <wp:extent cx="5789100" cy="3767328"/>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56" cstate="print"/>
                    <a:stretch>
                      <a:fillRect/>
                    </a:stretch>
                  </pic:blipFill>
                  <pic:spPr>
                    <a:xfrm>
                      <a:off x="0" y="0"/>
                      <a:ext cx="5789100" cy="3767328"/>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39"/>
        <w:rPr>
          <w:b/>
        </w:rPr>
      </w:pPr>
    </w:p>
    <w:p>
      <w:pPr>
        <w:spacing w:before="0"/>
        <w:ind w:left="678" w:right="0" w:firstLine="0"/>
        <w:jc w:val="left"/>
        <w:rPr>
          <w:b/>
          <w:sz w:val="24"/>
        </w:rPr>
      </w:pPr>
      <w:r>
        <w:rPr>
          <w:b/>
          <w:sz w:val="24"/>
        </w:rPr>
        <w:t>Fig.</w:t>
      </w:r>
      <w:r>
        <w:rPr>
          <w:b/>
          <w:spacing w:val="-1"/>
          <w:sz w:val="24"/>
        </w:rPr>
        <w:t> </w:t>
      </w:r>
      <w:r>
        <w:rPr>
          <w:b/>
          <w:sz w:val="24"/>
        </w:rPr>
        <w:t>4.4: Plots</w:t>
      </w:r>
      <w:r>
        <w:rPr>
          <w:b/>
          <w:spacing w:val="-1"/>
          <w:sz w:val="24"/>
        </w:rPr>
        <w:t> </w:t>
      </w:r>
      <w:r>
        <w:rPr>
          <w:b/>
          <w:sz w:val="24"/>
        </w:rPr>
        <w:t>of</w:t>
      </w:r>
      <w:r>
        <w:rPr>
          <w:b/>
          <w:spacing w:val="1"/>
          <w:sz w:val="24"/>
        </w:rPr>
        <w:t> </w:t>
      </w:r>
      <w:r>
        <w:rPr>
          <w:b/>
          <w:sz w:val="24"/>
        </w:rPr>
        <w:t>cumulative</w:t>
      </w:r>
      <w:r>
        <w:rPr>
          <w:b/>
          <w:spacing w:val="-2"/>
          <w:sz w:val="24"/>
        </w:rPr>
        <w:t> </w:t>
      </w:r>
      <w:r>
        <w:rPr>
          <w:b/>
          <w:sz w:val="24"/>
        </w:rPr>
        <w:t>percentage</w:t>
      </w:r>
      <w:r>
        <w:rPr>
          <w:b/>
          <w:spacing w:val="-2"/>
          <w:sz w:val="24"/>
        </w:rPr>
        <w:t> </w:t>
      </w:r>
      <w:r>
        <w:rPr>
          <w:b/>
          <w:sz w:val="24"/>
        </w:rPr>
        <w:t>(%)</w:t>
      </w:r>
      <w:r>
        <w:rPr>
          <w:b/>
          <w:spacing w:val="-1"/>
          <w:sz w:val="24"/>
        </w:rPr>
        <w:t> </w:t>
      </w:r>
      <w:r>
        <w:rPr>
          <w:b/>
          <w:sz w:val="24"/>
        </w:rPr>
        <w:t>drug</w:t>
      </w:r>
      <w:r>
        <w:rPr>
          <w:b/>
          <w:spacing w:val="-1"/>
          <w:sz w:val="24"/>
        </w:rPr>
        <w:t> </w:t>
      </w:r>
      <w:r>
        <w:rPr>
          <w:b/>
          <w:sz w:val="24"/>
        </w:rPr>
        <w:t>release</w:t>
      </w:r>
      <w:r>
        <w:rPr>
          <w:b/>
          <w:spacing w:val="-2"/>
          <w:sz w:val="24"/>
        </w:rPr>
        <w:t> </w:t>
      </w:r>
      <w:r>
        <w:rPr>
          <w:b/>
          <w:sz w:val="24"/>
        </w:rPr>
        <w:t>versus</w:t>
      </w:r>
      <w:r>
        <w:rPr>
          <w:b/>
          <w:spacing w:val="-1"/>
          <w:sz w:val="24"/>
        </w:rPr>
        <w:t> </w:t>
      </w:r>
      <w:r>
        <w:rPr>
          <w:b/>
          <w:sz w:val="24"/>
        </w:rPr>
        <w:t>Time for</w:t>
      </w:r>
      <w:r>
        <w:rPr>
          <w:b/>
          <w:spacing w:val="-1"/>
          <w:sz w:val="24"/>
        </w:rPr>
        <w:t> </w:t>
      </w:r>
      <w:r>
        <w:rPr>
          <w:b/>
          <w:spacing w:val="-2"/>
          <w:sz w:val="24"/>
        </w:rPr>
        <w:t>Avicel</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19776">
                <wp:simplePos x="0" y="0"/>
                <wp:positionH relativeFrom="page">
                  <wp:posOffset>3861220</wp:posOffset>
                </wp:positionH>
                <wp:positionV relativeFrom="page">
                  <wp:posOffset>3734575</wp:posOffset>
                </wp:positionV>
                <wp:extent cx="1287780" cy="91440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96704;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20288">
                <wp:simplePos x="0" y="0"/>
                <wp:positionH relativeFrom="page">
                  <wp:posOffset>4288097</wp:posOffset>
                </wp:positionH>
                <wp:positionV relativeFrom="page">
                  <wp:posOffset>1617859</wp:posOffset>
                </wp:positionV>
                <wp:extent cx="3421379" cy="9144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296192;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20800">
                <wp:simplePos x="0" y="0"/>
                <wp:positionH relativeFrom="page">
                  <wp:posOffset>-316181</wp:posOffset>
                </wp:positionH>
                <wp:positionV relativeFrom="page">
                  <wp:posOffset>6721518</wp:posOffset>
                </wp:positionV>
                <wp:extent cx="5504815" cy="91440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95680;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p>
      <w:pPr>
        <w:pStyle w:val="BodyText"/>
        <w:ind w:left="985"/>
        <w:rPr>
          <w:sz w:val="20"/>
        </w:rPr>
      </w:pPr>
      <w:r>
        <w:rPr>
          <w:sz w:val="20"/>
        </w:rPr>
        <w:drawing>
          <wp:inline distT="0" distB="0" distL="0" distR="0">
            <wp:extent cx="5621385" cy="3450336"/>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57" cstate="print"/>
                    <a:stretch>
                      <a:fillRect/>
                    </a:stretch>
                  </pic:blipFill>
                  <pic:spPr>
                    <a:xfrm>
                      <a:off x="0" y="0"/>
                      <a:ext cx="5621385" cy="3450336"/>
                    </a:xfrm>
                    <a:prstGeom prst="rect">
                      <a:avLst/>
                    </a:prstGeom>
                  </pic:spPr>
                </pic:pic>
              </a:graphicData>
            </a:graphic>
          </wp:inline>
        </w:drawing>
      </w:r>
      <w:r>
        <w:rPr>
          <w:sz w:val="20"/>
        </w:rPr>
      </w:r>
    </w:p>
    <w:p>
      <w:pPr>
        <w:pStyle w:val="BodyText"/>
        <w:rPr>
          <w:b/>
        </w:rPr>
      </w:pPr>
    </w:p>
    <w:p>
      <w:pPr>
        <w:pStyle w:val="BodyText"/>
        <w:rPr>
          <w:b/>
        </w:rPr>
      </w:pPr>
    </w:p>
    <w:p>
      <w:pPr>
        <w:pStyle w:val="BodyText"/>
        <w:spacing w:before="185"/>
        <w:rPr>
          <w:b/>
        </w:rPr>
      </w:pPr>
    </w:p>
    <w:p>
      <w:pPr>
        <w:spacing w:before="0"/>
        <w:ind w:left="678" w:right="0" w:firstLine="0"/>
        <w:jc w:val="left"/>
        <w:rPr>
          <w:b/>
          <w:sz w:val="24"/>
        </w:rPr>
      </w:pPr>
      <w:r>
        <w:rPr>
          <w:b/>
          <w:sz w:val="24"/>
        </w:rPr>
        <w:t>Fig.</w:t>
      </w:r>
      <w:r>
        <w:rPr>
          <w:b/>
          <w:spacing w:val="-1"/>
          <w:sz w:val="24"/>
        </w:rPr>
        <w:t> </w:t>
      </w:r>
      <w:r>
        <w:rPr>
          <w:b/>
          <w:sz w:val="24"/>
        </w:rPr>
        <w:t>4.5: Plots</w:t>
      </w:r>
      <w:r>
        <w:rPr>
          <w:b/>
          <w:spacing w:val="-1"/>
          <w:sz w:val="24"/>
        </w:rPr>
        <w:t> </w:t>
      </w:r>
      <w:r>
        <w:rPr>
          <w:b/>
          <w:sz w:val="24"/>
        </w:rPr>
        <w:t>of</w:t>
      </w:r>
      <w:r>
        <w:rPr>
          <w:b/>
          <w:spacing w:val="1"/>
          <w:sz w:val="24"/>
        </w:rPr>
        <w:t> </w:t>
      </w:r>
      <w:r>
        <w:rPr>
          <w:b/>
          <w:sz w:val="24"/>
        </w:rPr>
        <w:t>cumulative</w:t>
      </w:r>
      <w:r>
        <w:rPr>
          <w:b/>
          <w:spacing w:val="-2"/>
          <w:sz w:val="24"/>
        </w:rPr>
        <w:t> </w:t>
      </w:r>
      <w:r>
        <w:rPr>
          <w:b/>
          <w:sz w:val="24"/>
        </w:rPr>
        <w:t>percentage</w:t>
      </w:r>
      <w:r>
        <w:rPr>
          <w:b/>
          <w:spacing w:val="-3"/>
          <w:sz w:val="24"/>
        </w:rPr>
        <w:t> </w:t>
      </w:r>
      <w:r>
        <w:rPr>
          <w:b/>
          <w:sz w:val="24"/>
        </w:rPr>
        <w:t>(%)</w:t>
      </w:r>
      <w:r>
        <w:rPr>
          <w:b/>
          <w:spacing w:val="-1"/>
          <w:sz w:val="24"/>
        </w:rPr>
        <w:t> </w:t>
      </w:r>
      <w:r>
        <w:rPr>
          <w:b/>
          <w:sz w:val="24"/>
        </w:rPr>
        <w:t>release</w:t>
      </w:r>
      <w:r>
        <w:rPr>
          <w:b/>
          <w:spacing w:val="-2"/>
          <w:sz w:val="24"/>
        </w:rPr>
        <w:t> </w:t>
      </w:r>
      <w:r>
        <w:rPr>
          <w:b/>
          <w:sz w:val="24"/>
        </w:rPr>
        <w:t>versus</w:t>
      </w:r>
      <w:r>
        <w:rPr>
          <w:b/>
          <w:spacing w:val="-1"/>
          <w:sz w:val="24"/>
        </w:rPr>
        <w:t> </w:t>
      </w:r>
      <w:r>
        <w:rPr>
          <w:b/>
          <w:sz w:val="24"/>
        </w:rPr>
        <w:t>Time</w:t>
      </w:r>
      <w:r>
        <w:rPr>
          <w:b/>
          <w:spacing w:val="-2"/>
          <w:sz w:val="24"/>
        </w:rPr>
        <w:t> </w:t>
      </w:r>
      <w:r>
        <w:rPr>
          <w:b/>
          <w:sz w:val="24"/>
        </w:rPr>
        <w:t>for</w:t>
      </w:r>
      <w:r>
        <w:rPr>
          <w:b/>
          <w:spacing w:val="-1"/>
          <w:sz w:val="24"/>
        </w:rPr>
        <w:t> </w:t>
      </w:r>
      <w:r>
        <w:rPr>
          <w:b/>
          <w:spacing w:val="-2"/>
          <w:sz w:val="24"/>
        </w:rPr>
        <w:t>Cellactose</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21312">
                <wp:simplePos x="0" y="0"/>
                <wp:positionH relativeFrom="page">
                  <wp:posOffset>-1402226</wp:posOffset>
                </wp:positionH>
                <wp:positionV relativeFrom="page">
                  <wp:posOffset>4612234</wp:posOffset>
                </wp:positionV>
                <wp:extent cx="10685780" cy="91440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95168;rotation:306" type="#_x0000_t136" fillcolor="#ff5400" stroked="f">
                <o:extrusion v:ext="view" autorotationcenter="t"/>
                <v:textpath style="font-family:&quot;Arial MT&quot;;font-size:72pt;v-text-kern:t;mso-text-shadow:auto" string="UNIVERSITY OF IBADAN"/>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p>
      <w:pPr>
        <w:pStyle w:val="BodyText"/>
        <w:ind w:left="985"/>
        <w:rPr>
          <w:sz w:val="20"/>
        </w:rPr>
      </w:pPr>
      <w:r>
        <w:rPr>
          <w:sz w:val="20"/>
        </w:rPr>
        <w:drawing>
          <wp:inline distT="0" distB="0" distL="0" distR="0">
            <wp:extent cx="5213888" cy="3364991"/>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58" cstate="print"/>
                    <a:stretch>
                      <a:fillRect/>
                    </a:stretch>
                  </pic:blipFill>
                  <pic:spPr>
                    <a:xfrm>
                      <a:off x="0" y="0"/>
                      <a:ext cx="5213888" cy="3364991"/>
                    </a:xfrm>
                    <a:prstGeom prst="rect">
                      <a:avLst/>
                    </a:prstGeom>
                  </pic:spPr>
                </pic:pic>
              </a:graphicData>
            </a:graphic>
          </wp:inline>
        </w:drawing>
      </w:r>
      <w:r>
        <w:rPr>
          <w:sz w:val="20"/>
        </w:rPr>
      </w:r>
    </w:p>
    <w:p>
      <w:pPr>
        <w:pStyle w:val="BodyText"/>
        <w:rPr>
          <w:b/>
        </w:rPr>
      </w:pPr>
    </w:p>
    <w:p>
      <w:pPr>
        <w:pStyle w:val="BodyText"/>
        <w:spacing w:before="266"/>
        <w:rPr>
          <w:b/>
        </w:rPr>
      </w:pPr>
    </w:p>
    <w:p>
      <w:pPr>
        <w:spacing w:before="0"/>
        <w:ind w:left="678" w:right="0" w:firstLine="0"/>
        <w:jc w:val="left"/>
        <w:rPr>
          <w:b/>
          <w:sz w:val="24"/>
        </w:rPr>
      </w:pPr>
      <w:r>
        <w:rPr>
          <w:b/>
          <w:sz w:val="24"/>
        </w:rPr>
        <w:t>Fig.</w:t>
      </w:r>
      <w:r>
        <w:rPr>
          <w:b/>
          <w:spacing w:val="-1"/>
          <w:sz w:val="24"/>
        </w:rPr>
        <w:t> </w:t>
      </w:r>
      <w:r>
        <w:rPr>
          <w:b/>
          <w:sz w:val="24"/>
        </w:rPr>
        <w:t>4.6: Plots</w:t>
      </w:r>
      <w:r>
        <w:rPr>
          <w:b/>
          <w:spacing w:val="-1"/>
          <w:sz w:val="24"/>
        </w:rPr>
        <w:t> </w:t>
      </w:r>
      <w:r>
        <w:rPr>
          <w:b/>
          <w:sz w:val="24"/>
        </w:rPr>
        <w:t>of</w:t>
      </w:r>
      <w:r>
        <w:rPr>
          <w:b/>
          <w:spacing w:val="1"/>
          <w:sz w:val="24"/>
        </w:rPr>
        <w:t> </w:t>
      </w:r>
      <w:r>
        <w:rPr>
          <w:b/>
          <w:sz w:val="24"/>
        </w:rPr>
        <w:t>cumulative</w:t>
      </w:r>
      <w:r>
        <w:rPr>
          <w:b/>
          <w:spacing w:val="-2"/>
          <w:sz w:val="24"/>
        </w:rPr>
        <w:t> </w:t>
      </w:r>
      <w:r>
        <w:rPr>
          <w:b/>
          <w:sz w:val="24"/>
        </w:rPr>
        <w:t>percentage</w:t>
      </w:r>
      <w:r>
        <w:rPr>
          <w:b/>
          <w:spacing w:val="-3"/>
          <w:sz w:val="24"/>
        </w:rPr>
        <w:t> </w:t>
      </w:r>
      <w:r>
        <w:rPr>
          <w:b/>
          <w:sz w:val="24"/>
        </w:rPr>
        <w:t>(%)</w:t>
      </w:r>
      <w:r>
        <w:rPr>
          <w:b/>
          <w:spacing w:val="-1"/>
          <w:sz w:val="24"/>
        </w:rPr>
        <w:t> </w:t>
      </w:r>
      <w:r>
        <w:rPr>
          <w:b/>
          <w:sz w:val="24"/>
        </w:rPr>
        <w:t>release</w:t>
      </w:r>
      <w:r>
        <w:rPr>
          <w:b/>
          <w:spacing w:val="-2"/>
          <w:sz w:val="24"/>
        </w:rPr>
        <w:t> </w:t>
      </w:r>
      <w:r>
        <w:rPr>
          <w:b/>
          <w:sz w:val="24"/>
        </w:rPr>
        <w:t>versus</w:t>
      </w:r>
      <w:r>
        <w:rPr>
          <w:b/>
          <w:spacing w:val="-1"/>
          <w:sz w:val="24"/>
        </w:rPr>
        <w:t> </w:t>
      </w:r>
      <w:r>
        <w:rPr>
          <w:b/>
          <w:sz w:val="24"/>
        </w:rPr>
        <w:t>Time</w:t>
      </w:r>
      <w:r>
        <w:rPr>
          <w:b/>
          <w:spacing w:val="-2"/>
          <w:sz w:val="24"/>
        </w:rPr>
        <w:t> </w:t>
      </w:r>
      <w:r>
        <w:rPr>
          <w:b/>
          <w:sz w:val="24"/>
        </w:rPr>
        <w:t>for</w:t>
      </w:r>
      <w:r>
        <w:rPr>
          <w:b/>
          <w:spacing w:val="-1"/>
          <w:sz w:val="24"/>
        </w:rPr>
        <w:t> </w:t>
      </w:r>
      <w:r>
        <w:rPr>
          <w:b/>
          <w:spacing w:val="-2"/>
          <w:sz w:val="24"/>
        </w:rPr>
        <w:t>lactose</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21824">
                <wp:simplePos x="0" y="0"/>
                <wp:positionH relativeFrom="page">
                  <wp:posOffset>3861220</wp:posOffset>
                </wp:positionH>
                <wp:positionV relativeFrom="page">
                  <wp:posOffset>3734575</wp:posOffset>
                </wp:positionV>
                <wp:extent cx="1287780" cy="91440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94656;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22336">
                <wp:simplePos x="0" y="0"/>
                <wp:positionH relativeFrom="page">
                  <wp:posOffset>4288097</wp:posOffset>
                </wp:positionH>
                <wp:positionV relativeFrom="page">
                  <wp:posOffset>1617859</wp:posOffset>
                </wp:positionV>
                <wp:extent cx="3421379" cy="9144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294144;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22848">
                <wp:simplePos x="0" y="0"/>
                <wp:positionH relativeFrom="page">
                  <wp:posOffset>-316181</wp:posOffset>
                </wp:positionH>
                <wp:positionV relativeFrom="page">
                  <wp:posOffset>6721518</wp:posOffset>
                </wp:positionV>
                <wp:extent cx="5504815" cy="91440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93632;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6"/>
        <w:rPr>
          <w:b/>
          <w:sz w:val="20"/>
        </w:rPr>
      </w:pPr>
    </w:p>
    <w:p>
      <w:pPr>
        <w:pStyle w:val="BodyText"/>
        <w:ind w:left="966"/>
        <w:rPr>
          <w:sz w:val="20"/>
        </w:rPr>
      </w:pPr>
      <w:r>
        <w:rPr>
          <w:sz w:val="20"/>
        </w:rPr>
        <w:drawing>
          <wp:inline distT="0" distB="0" distL="0" distR="0">
            <wp:extent cx="5652556" cy="3407664"/>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59" cstate="print"/>
                    <a:stretch>
                      <a:fillRect/>
                    </a:stretch>
                  </pic:blipFill>
                  <pic:spPr>
                    <a:xfrm>
                      <a:off x="0" y="0"/>
                      <a:ext cx="5652556" cy="3407664"/>
                    </a:xfrm>
                    <a:prstGeom prst="rect">
                      <a:avLst/>
                    </a:prstGeom>
                  </pic:spPr>
                </pic:pic>
              </a:graphicData>
            </a:graphic>
          </wp:inline>
        </w:drawing>
      </w:r>
      <w:r>
        <w:rPr>
          <w:sz w:val="20"/>
        </w:rPr>
      </w:r>
    </w:p>
    <w:p>
      <w:pPr>
        <w:pStyle w:val="BodyText"/>
        <w:rPr>
          <w:b/>
        </w:rPr>
      </w:pPr>
    </w:p>
    <w:p>
      <w:pPr>
        <w:pStyle w:val="BodyText"/>
        <w:rPr>
          <w:b/>
        </w:rPr>
      </w:pPr>
    </w:p>
    <w:p>
      <w:pPr>
        <w:pStyle w:val="BodyText"/>
        <w:spacing w:before="125"/>
        <w:rPr>
          <w:b/>
        </w:rPr>
      </w:pPr>
    </w:p>
    <w:p>
      <w:pPr>
        <w:spacing w:line="360" w:lineRule="auto" w:before="0"/>
        <w:ind w:left="678" w:right="0" w:firstLine="0"/>
        <w:jc w:val="left"/>
        <w:rPr>
          <w:b/>
          <w:sz w:val="24"/>
        </w:rPr>
      </w:pPr>
      <w:r>
        <w:rPr>
          <w:b/>
          <w:sz w:val="24"/>
        </w:rPr>
        <w:t>Fig</w:t>
      </w:r>
      <w:r>
        <w:rPr>
          <w:b/>
          <w:spacing w:val="76"/>
          <w:sz w:val="24"/>
        </w:rPr>
        <w:t> </w:t>
      </w:r>
      <w:r>
        <w:rPr>
          <w:b/>
          <w:sz w:val="24"/>
        </w:rPr>
        <w:t>4.7:</w:t>
      </w:r>
      <w:r>
        <w:rPr>
          <w:b/>
          <w:spacing w:val="77"/>
          <w:sz w:val="24"/>
        </w:rPr>
        <w:t> </w:t>
      </w:r>
      <w:r>
        <w:rPr>
          <w:b/>
          <w:sz w:val="24"/>
        </w:rPr>
        <w:t>Plot</w:t>
      </w:r>
      <w:r>
        <w:rPr>
          <w:b/>
          <w:spacing w:val="75"/>
          <w:sz w:val="24"/>
        </w:rPr>
        <w:t> </w:t>
      </w:r>
      <w:r>
        <w:rPr>
          <w:b/>
          <w:sz w:val="24"/>
        </w:rPr>
        <w:t>of</w:t>
      </w:r>
      <w:r>
        <w:rPr>
          <w:b/>
          <w:spacing w:val="77"/>
          <w:sz w:val="24"/>
        </w:rPr>
        <w:t> </w:t>
      </w:r>
      <w:r>
        <w:rPr>
          <w:b/>
          <w:sz w:val="24"/>
        </w:rPr>
        <w:t>cumulative</w:t>
      </w:r>
      <w:r>
        <w:rPr>
          <w:b/>
          <w:spacing w:val="75"/>
          <w:sz w:val="24"/>
        </w:rPr>
        <w:t> </w:t>
      </w:r>
      <w:r>
        <w:rPr>
          <w:b/>
          <w:sz w:val="24"/>
        </w:rPr>
        <w:t>%</w:t>
      </w:r>
      <w:r>
        <w:rPr>
          <w:b/>
          <w:spacing w:val="78"/>
          <w:sz w:val="24"/>
        </w:rPr>
        <w:t> </w:t>
      </w:r>
      <w:r>
        <w:rPr>
          <w:b/>
          <w:sz w:val="24"/>
        </w:rPr>
        <w:t>drug</w:t>
      </w:r>
      <w:r>
        <w:rPr>
          <w:b/>
          <w:spacing w:val="75"/>
          <w:sz w:val="24"/>
        </w:rPr>
        <w:t> </w:t>
      </w:r>
      <w:r>
        <w:rPr>
          <w:b/>
          <w:sz w:val="24"/>
        </w:rPr>
        <w:t>release</w:t>
      </w:r>
      <w:r>
        <w:rPr>
          <w:b/>
          <w:spacing w:val="74"/>
          <w:sz w:val="24"/>
        </w:rPr>
        <w:t> </w:t>
      </w:r>
      <w:r>
        <w:rPr>
          <w:b/>
          <w:sz w:val="24"/>
        </w:rPr>
        <w:t>versus</w:t>
      </w:r>
      <w:r>
        <w:rPr>
          <w:b/>
          <w:spacing w:val="76"/>
          <w:sz w:val="24"/>
        </w:rPr>
        <w:t> </w:t>
      </w:r>
      <w:r>
        <w:rPr>
          <w:b/>
          <w:sz w:val="24"/>
        </w:rPr>
        <w:t>Time</w:t>
      </w:r>
      <w:r>
        <w:rPr>
          <w:b/>
          <w:spacing w:val="75"/>
          <w:sz w:val="24"/>
        </w:rPr>
        <w:t> </w:t>
      </w:r>
      <w:r>
        <w:rPr>
          <w:b/>
          <w:sz w:val="24"/>
        </w:rPr>
        <w:t>for</w:t>
      </w:r>
      <w:r>
        <w:rPr>
          <w:b/>
          <w:spacing w:val="77"/>
          <w:sz w:val="24"/>
        </w:rPr>
        <w:t> </w:t>
      </w:r>
      <w:r>
        <w:rPr>
          <w:b/>
          <w:sz w:val="24"/>
        </w:rPr>
        <w:t>PVP</w:t>
      </w:r>
      <w:r>
        <w:rPr>
          <w:b/>
          <w:spacing w:val="73"/>
          <w:sz w:val="24"/>
        </w:rPr>
        <w:t> </w:t>
      </w:r>
      <w:r>
        <w:rPr>
          <w:b/>
          <w:sz w:val="24"/>
        </w:rPr>
        <w:t>1%</w:t>
      </w:r>
      <w:r>
        <w:rPr>
          <w:b/>
          <w:spacing w:val="80"/>
          <w:sz w:val="24"/>
        </w:rPr>
        <w:t> </w:t>
      </w:r>
      <w:r>
        <w:rPr>
          <w:b/>
          <w:sz w:val="24"/>
        </w:rPr>
        <w:t>in</w:t>
      </w:r>
      <w:r>
        <w:rPr>
          <w:b/>
          <w:spacing w:val="74"/>
          <w:sz w:val="24"/>
        </w:rPr>
        <w:t> </w:t>
      </w:r>
      <w:r>
        <w:rPr>
          <w:b/>
          <w:sz w:val="24"/>
        </w:rPr>
        <w:t>wet </w:t>
      </w:r>
      <w:r>
        <w:rPr>
          <w:b/>
          <w:spacing w:val="-2"/>
          <w:sz w:val="24"/>
        </w:rPr>
        <w:t>granulation</w:t>
      </w:r>
    </w:p>
    <w:p>
      <w:pPr>
        <w:spacing w:after="0" w:line="360" w:lineRule="auto"/>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23360">
                <wp:simplePos x="0" y="0"/>
                <wp:positionH relativeFrom="page">
                  <wp:posOffset>3861220</wp:posOffset>
                </wp:positionH>
                <wp:positionV relativeFrom="page">
                  <wp:posOffset>3734575</wp:posOffset>
                </wp:positionV>
                <wp:extent cx="1287780" cy="91440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93120;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23872">
                <wp:simplePos x="0" y="0"/>
                <wp:positionH relativeFrom="page">
                  <wp:posOffset>4288097</wp:posOffset>
                </wp:positionH>
                <wp:positionV relativeFrom="page">
                  <wp:posOffset>1617859</wp:posOffset>
                </wp:positionV>
                <wp:extent cx="3421379" cy="91440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292608;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24384">
                <wp:simplePos x="0" y="0"/>
                <wp:positionH relativeFrom="page">
                  <wp:posOffset>-316181</wp:posOffset>
                </wp:positionH>
                <wp:positionV relativeFrom="page">
                  <wp:posOffset>6721518</wp:posOffset>
                </wp:positionV>
                <wp:extent cx="5504815" cy="91440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92096;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5"/>
        <w:rPr>
          <w:b/>
          <w:sz w:val="20"/>
        </w:rPr>
      </w:pPr>
    </w:p>
    <w:p>
      <w:pPr>
        <w:pStyle w:val="BodyText"/>
        <w:ind w:left="966"/>
        <w:rPr>
          <w:sz w:val="20"/>
        </w:rPr>
      </w:pPr>
      <w:r>
        <w:rPr>
          <w:sz w:val="20"/>
        </w:rPr>
        <w:drawing>
          <wp:inline distT="0" distB="0" distL="0" distR="0">
            <wp:extent cx="5642262" cy="3474720"/>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60" cstate="print"/>
                    <a:stretch>
                      <a:fillRect/>
                    </a:stretch>
                  </pic:blipFill>
                  <pic:spPr>
                    <a:xfrm>
                      <a:off x="0" y="0"/>
                      <a:ext cx="5642262" cy="3474720"/>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130"/>
        <w:rPr>
          <w:b/>
        </w:rPr>
      </w:pPr>
    </w:p>
    <w:p>
      <w:pPr>
        <w:spacing w:before="0"/>
        <w:ind w:left="678" w:right="0" w:firstLine="0"/>
        <w:jc w:val="left"/>
        <w:rPr>
          <w:b/>
          <w:sz w:val="24"/>
        </w:rPr>
      </w:pPr>
      <w:r>
        <w:rPr>
          <w:b/>
          <w:sz w:val="24"/>
        </w:rPr>
        <w:t>Fig.</w:t>
      </w:r>
      <w:r>
        <w:rPr>
          <w:b/>
          <w:spacing w:val="-1"/>
          <w:sz w:val="24"/>
        </w:rPr>
        <w:t> </w:t>
      </w:r>
      <w:r>
        <w:rPr>
          <w:b/>
          <w:sz w:val="24"/>
        </w:rPr>
        <w:t>4.8:</w:t>
      </w:r>
      <w:r>
        <w:rPr>
          <w:b/>
          <w:spacing w:val="-1"/>
          <w:sz w:val="24"/>
        </w:rPr>
        <w:t> </w:t>
      </w:r>
      <w:r>
        <w:rPr>
          <w:b/>
          <w:sz w:val="24"/>
        </w:rPr>
        <w:t>Cummulative</w:t>
      </w:r>
      <w:r>
        <w:rPr>
          <w:b/>
          <w:spacing w:val="1"/>
          <w:sz w:val="24"/>
        </w:rPr>
        <w:t> </w:t>
      </w:r>
      <w:r>
        <w:rPr>
          <w:b/>
          <w:sz w:val="24"/>
        </w:rPr>
        <w:t>%</w:t>
      </w:r>
      <w:r>
        <w:rPr>
          <w:b/>
          <w:spacing w:val="1"/>
          <w:sz w:val="24"/>
        </w:rPr>
        <w:t> </w:t>
      </w:r>
      <w:r>
        <w:rPr>
          <w:b/>
          <w:sz w:val="24"/>
        </w:rPr>
        <w:t>release</w:t>
      </w:r>
      <w:r>
        <w:rPr>
          <w:b/>
          <w:spacing w:val="-2"/>
          <w:sz w:val="24"/>
        </w:rPr>
        <w:t> </w:t>
      </w:r>
      <w:r>
        <w:rPr>
          <w:b/>
          <w:sz w:val="24"/>
        </w:rPr>
        <w:t>versus Time</w:t>
      </w:r>
      <w:r>
        <w:rPr>
          <w:b/>
          <w:spacing w:val="-2"/>
          <w:sz w:val="24"/>
        </w:rPr>
        <w:t> </w:t>
      </w:r>
      <w:r>
        <w:rPr>
          <w:b/>
          <w:sz w:val="24"/>
        </w:rPr>
        <w:t>for</w:t>
      </w:r>
      <w:r>
        <w:rPr>
          <w:b/>
          <w:spacing w:val="-1"/>
          <w:sz w:val="24"/>
        </w:rPr>
        <w:t> </w:t>
      </w:r>
      <w:r>
        <w:rPr>
          <w:b/>
          <w:sz w:val="24"/>
        </w:rPr>
        <w:t>PVP</w:t>
      </w:r>
      <w:r>
        <w:rPr>
          <w:b/>
          <w:spacing w:val="-4"/>
          <w:sz w:val="24"/>
        </w:rPr>
        <w:t> </w:t>
      </w:r>
      <w:r>
        <w:rPr>
          <w:b/>
          <w:sz w:val="24"/>
        </w:rPr>
        <w:t>4%</w:t>
      </w:r>
      <w:r>
        <w:rPr>
          <w:b/>
          <w:spacing w:val="2"/>
          <w:sz w:val="24"/>
        </w:rPr>
        <w:t> </w:t>
      </w:r>
      <w:r>
        <w:rPr>
          <w:b/>
          <w:sz w:val="24"/>
        </w:rPr>
        <w:t>in</w:t>
      </w:r>
      <w:r>
        <w:rPr>
          <w:b/>
          <w:spacing w:val="-2"/>
          <w:sz w:val="24"/>
        </w:rPr>
        <w:t> </w:t>
      </w:r>
      <w:r>
        <w:rPr>
          <w:b/>
          <w:sz w:val="24"/>
        </w:rPr>
        <w:t>wet </w:t>
      </w:r>
      <w:r>
        <w:rPr>
          <w:b/>
          <w:spacing w:val="-2"/>
          <w:sz w:val="24"/>
        </w:rPr>
        <w:t>granulation</w:t>
      </w:r>
    </w:p>
    <w:p>
      <w:pPr>
        <w:spacing w:after="0"/>
        <w:jc w:val="left"/>
        <w:rPr>
          <w:sz w:val="24"/>
        </w:rPr>
        <w:sectPr>
          <w:pgSz w:w="12240" w:h="15840"/>
          <w:pgMar w:header="0" w:footer="1056" w:top="1820" w:bottom="1240" w:left="1420" w:right="420"/>
        </w:sectPr>
      </w:pPr>
    </w:p>
    <w:p>
      <w:pPr>
        <w:pStyle w:val="BodyText"/>
        <w:rPr>
          <w:b/>
          <w:sz w:val="20"/>
        </w:rPr>
      </w:pPr>
      <w:r>
        <w:rPr/>
        <mc:AlternateContent>
          <mc:Choice Requires="wps">
            <w:drawing>
              <wp:anchor distT="0" distB="0" distL="0" distR="0" allowOverlap="1" layoutInCell="1" locked="0" behindDoc="1" simplePos="0" relativeHeight="483024896">
                <wp:simplePos x="0" y="0"/>
                <wp:positionH relativeFrom="page">
                  <wp:posOffset>3861220</wp:posOffset>
                </wp:positionH>
                <wp:positionV relativeFrom="page">
                  <wp:posOffset>3734575</wp:posOffset>
                </wp:positionV>
                <wp:extent cx="1287780" cy="91440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91584;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4288097</wp:posOffset>
                </wp:positionH>
                <wp:positionV relativeFrom="page">
                  <wp:posOffset>1617859</wp:posOffset>
                </wp:positionV>
                <wp:extent cx="3421379" cy="9144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1585152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25920">
                <wp:simplePos x="0" y="0"/>
                <wp:positionH relativeFrom="page">
                  <wp:posOffset>-316181</wp:posOffset>
                </wp:positionH>
                <wp:positionV relativeFrom="page">
                  <wp:posOffset>6721518</wp:posOffset>
                </wp:positionV>
                <wp:extent cx="5504815" cy="91440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90560;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0"/>
        <w:rPr>
          <w:b/>
          <w:sz w:val="20"/>
        </w:rPr>
      </w:pPr>
    </w:p>
    <w:p>
      <w:pPr>
        <w:pStyle w:val="BodyText"/>
        <w:ind w:left="899"/>
        <w:rPr>
          <w:sz w:val="20"/>
        </w:rPr>
      </w:pPr>
      <w:r>
        <w:rPr>
          <w:sz w:val="20"/>
        </w:rPr>
        <w:drawing>
          <wp:inline distT="0" distB="0" distL="0" distR="0">
            <wp:extent cx="5271672" cy="3371088"/>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61" cstate="print"/>
                    <a:stretch>
                      <a:fillRect/>
                    </a:stretch>
                  </pic:blipFill>
                  <pic:spPr>
                    <a:xfrm>
                      <a:off x="0" y="0"/>
                      <a:ext cx="5271672" cy="3371088"/>
                    </a:xfrm>
                    <a:prstGeom prst="rect">
                      <a:avLst/>
                    </a:prstGeom>
                  </pic:spPr>
                </pic:pic>
              </a:graphicData>
            </a:graphic>
          </wp:inline>
        </w:drawing>
      </w:r>
      <w:r>
        <w:rPr>
          <w:sz w:val="20"/>
        </w:rPr>
      </w:r>
    </w:p>
    <w:p>
      <w:pPr>
        <w:pStyle w:val="BodyText"/>
        <w:spacing w:before="266"/>
        <w:rPr>
          <w:b/>
        </w:rPr>
      </w:pPr>
    </w:p>
    <w:p>
      <w:pPr>
        <w:spacing w:line="360" w:lineRule="auto" w:before="0"/>
        <w:ind w:left="678" w:right="1041" w:firstLine="0"/>
        <w:jc w:val="left"/>
        <w:rPr>
          <w:b/>
          <w:sz w:val="24"/>
        </w:rPr>
      </w:pPr>
      <w:r>
        <w:rPr>
          <w:b/>
          <w:sz w:val="24"/>
        </w:rPr>
        <w:t>Fig. 4.9: Plot of </w:t>
      </w:r>
      <w:r>
        <w:rPr>
          <w:b/>
          <w:color w:val="131213"/>
          <w:sz w:val="24"/>
        </w:rPr>
        <w:t>cumulative % drug release versus Time for Corn starch 1% in wet</w:t>
      </w:r>
      <w:r>
        <w:rPr>
          <w:b/>
          <w:color w:val="131213"/>
          <w:spacing w:val="80"/>
          <w:sz w:val="24"/>
        </w:rPr>
        <w:t> </w:t>
      </w:r>
      <w:r>
        <w:rPr>
          <w:b/>
          <w:color w:val="131213"/>
          <w:spacing w:val="-2"/>
          <w:sz w:val="24"/>
        </w:rPr>
        <w:t>granulation</w:t>
      </w:r>
    </w:p>
    <w:p>
      <w:pPr>
        <w:spacing w:after="0" w:line="360" w:lineRule="auto"/>
        <w:jc w:val="left"/>
        <w:rPr>
          <w:sz w:val="24"/>
        </w:rPr>
        <w:sectPr>
          <w:pgSz w:w="12240" w:h="15840"/>
          <w:pgMar w:header="0" w:footer="1056" w:top="1820" w:bottom="1240" w:left="1420" w:right="420"/>
        </w:sectPr>
      </w:pPr>
    </w:p>
    <w:p>
      <w:pPr>
        <w:pStyle w:val="BodyText"/>
        <w:spacing w:line="360" w:lineRule="auto" w:before="72"/>
        <w:ind w:left="678" w:right="1001"/>
        <w:jc w:val="both"/>
      </w:pPr>
      <w:r>
        <w:rPr/>
        <mc:AlternateContent>
          <mc:Choice Requires="wps">
            <w:drawing>
              <wp:anchor distT="0" distB="0" distL="0" distR="0" allowOverlap="1" layoutInCell="1" locked="0" behindDoc="1" simplePos="0" relativeHeight="483026432">
                <wp:simplePos x="0" y="0"/>
                <wp:positionH relativeFrom="page">
                  <wp:posOffset>-1402226</wp:posOffset>
                </wp:positionH>
                <wp:positionV relativeFrom="page">
                  <wp:posOffset>4612234</wp:posOffset>
                </wp:positionV>
                <wp:extent cx="10685780" cy="91440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90048;rotation:306" type="#_x0000_t136" fillcolor="#ff5400" stroked="f">
                <o:extrusion v:ext="view" autorotationcenter="t"/>
                <v:textpath style="font-family:&quot;Arial MT&quot;;font-size:72pt;v-text-kern:t;mso-text-shadow:auto" string="UNIVERSITY OF IBADAN"/>
                <w10:wrap type="none"/>
              </v:shape>
            </w:pict>
          </mc:Fallback>
        </mc:AlternateContent>
      </w:r>
      <w:r>
        <w:rPr/>
        <w:t>increase in the concentration of the binding agent and compression pressure resulted in increase in dissolution time of the compressed drug.</w:t>
      </w:r>
    </w:p>
    <w:p>
      <w:pPr>
        <w:pStyle w:val="BodyText"/>
        <w:spacing w:line="360" w:lineRule="auto" w:before="1"/>
        <w:ind w:left="678" w:right="995" w:firstLine="840"/>
        <w:jc w:val="both"/>
      </w:pPr>
      <w:r>
        <w:rPr/>
        <w:t>Within 61 and 76 minutes all the formulations containing PVP and corn starch respectively had released 70% and 80% of their contents. The impressing dissolution profile of tablets containing PVP as binder could be due to the disintegration times exhibited by PVP.</w:t>
      </w:r>
    </w:p>
    <w:p>
      <w:pPr>
        <w:pStyle w:val="BodyText"/>
        <w:spacing w:line="360" w:lineRule="auto"/>
        <w:ind w:left="819" w:right="996" w:firstLine="578"/>
        <w:jc w:val="both"/>
      </w:pPr>
      <w:r>
        <w:rPr/>
        <w:t>As shown in Table 4.9, differences in diluents used and compression pressure resulted in different dissolution profiles (t</w:t>
      </w:r>
      <w:r>
        <w:rPr>
          <w:vertAlign w:val="subscript"/>
        </w:rPr>
        <w:t>50</w:t>
      </w:r>
      <w:r>
        <w:rPr>
          <w:vertAlign w:val="baseline"/>
        </w:rPr>
        <w:t>, t</w:t>
      </w:r>
      <w:r>
        <w:rPr>
          <w:vertAlign w:val="subscript"/>
        </w:rPr>
        <w:t>80</w:t>
      </w:r>
      <w:r>
        <w:rPr>
          <w:vertAlign w:val="baseline"/>
        </w:rPr>
        <w:t>- the times required for 50% and 80% of the drug to be dissolved). Generally for each diluent type used, an increase in the compression pressure resulted in increase in dissolution time of the compressed tablets.</w:t>
      </w:r>
    </w:p>
    <w:p>
      <w:pPr>
        <w:pStyle w:val="BodyText"/>
        <w:spacing w:line="360" w:lineRule="auto" w:before="121"/>
        <w:ind w:left="769" w:right="995"/>
        <w:jc w:val="both"/>
      </w:pPr>
      <w:r>
        <w:rPr/>
        <w:t>The highest t</w:t>
      </w:r>
      <w:r>
        <w:rPr>
          <w:vertAlign w:val="subscript"/>
        </w:rPr>
        <w:t>50</w:t>
      </w:r>
      <w:r>
        <w:rPr>
          <w:vertAlign w:val="baseline"/>
        </w:rPr>
        <w:t> values were obtained for tablets containing Avicel as diluent while tablets containing lactose had the least t</w:t>
      </w:r>
      <w:r>
        <w:rPr>
          <w:vertAlign w:val="subscript"/>
        </w:rPr>
        <w:t>50</w:t>
      </w:r>
      <w:r>
        <w:rPr>
          <w:vertAlign w:val="baseline"/>
        </w:rPr>
        <w:t> values. Tablets compressed without diluents had the highest t</w:t>
      </w:r>
      <w:r>
        <w:rPr>
          <w:vertAlign w:val="subscript"/>
        </w:rPr>
        <w:t>80</w:t>
      </w:r>
      <w:r>
        <w:rPr>
          <w:spacing w:val="-5"/>
          <w:vertAlign w:val="baseline"/>
        </w:rPr>
        <w:t> </w:t>
      </w:r>
      <w:r>
        <w:rPr>
          <w:vertAlign w:val="baseline"/>
        </w:rPr>
        <w:t>while tablets containing lactose had the least.</w:t>
      </w:r>
    </w:p>
    <w:p>
      <w:pPr>
        <w:pStyle w:val="BodyText"/>
      </w:pPr>
    </w:p>
    <w:p>
      <w:pPr>
        <w:pStyle w:val="BodyText"/>
        <w:spacing w:before="107"/>
      </w:pPr>
    </w:p>
    <w:p>
      <w:pPr>
        <w:pStyle w:val="Heading2"/>
        <w:numPr>
          <w:ilvl w:val="3"/>
          <w:numId w:val="44"/>
        </w:numPr>
        <w:tabs>
          <w:tab w:pos="1398" w:val="left" w:leader="none"/>
        </w:tabs>
        <w:spacing w:line="240" w:lineRule="auto" w:before="0" w:after="0"/>
        <w:ind w:left="1398" w:right="0" w:hanging="720"/>
        <w:jc w:val="both"/>
      </w:pPr>
      <w:bookmarkStart w:name="_TOC_250004" w:id="129"/>
      <w:r>
        <w:rPr/>
        <w:t>Kitazawa</w:t>
      </w:r>
      <w:r>
        <w:rPr>
          <w:spacing w:val="-3"/>
        </w:rPr>
        <w:t> </w:t>
      </w:r>
      <w:bookmarkEnd w:id="129"/>
      <w:r>
        <w:rPr>
          <w:spacing w:val="-2"/>
        </w:rPr>
        <w:t>plots</w:t>
      </w:r>
    </w:p>
    <w:p>
      <w:pPr>
        <w:pStyle w:val="BodyText"/>
        <w:spacing w:line="360" w:lineRule="auto" w:before="132"/>
        <w:ind w:left="678" w:right="994" w:firstLine="720"/>
        <w:jc w:val="both"/>
      </w:pPr>
      <w:r>
        <w:rPr/>
        <w:t>The</w:t>
      </w:r>
      <w:r>
        <w:rPr>
          <w:spacing w:val="-3"/>
        </w:rPr>
        <w:t> </w:t>
      </w:r>
      <w:r>
        <w:rPr/>
        <w:t>plots</w:t>
      </w:r>
      <w:r>
        <w:rPr>
          <w:spacing w:val="-1"/>
        </w:rPr>
        <w:t> </w:t>
      </w:r>
      <w:r>
        <w:rPr/>
        <w:t>of</w:t>
      </w:r>
      <w:r>
        <w:rPr>
          <w:spacing w:val="-2"/>
        </w:rPr>
        <w:t> </w:t>
      </w:r>
      <w:r>
        <w:rPr/>
        <w:t>different</w:t>
      </w:r>
      <w:r>
        <w:rPr>
          <w:spacing w:val="-1"/>
        </w:rPr>
        <w:t> </w:t>
      </w:r>
      <w:r>
        <w:rPr/>
        <w:t>dissolution</w:t>
      </w:r>
      <w:r>
        <w:rPr>
          <w:spacing w:val="-1"/>
        </w:rPr>
        <w:t> </w:t>
      </w:r>
      <w:r>
        <w:rPr/>
        <w:t>profiles</w:t>
      </w:r>
      <w:r>
        <w:rPr>
          <w:spacing w:val="-1"/>
        </w:rPr>
        <w:t> </w:t>
      </w:r>
      <w:r>
        <w:rPr/>
        <w:t>of</w:t>
      </w:r>
      <w:r>
        <w:rPr>
          <w:spacing w:val="-2"/>
        </w:rPr>
        <w:t> </w:t>
      </w:r>
      <w:r>
        <w:rPr/>
        <w:t>tablets</w:t>
      </w:r>
      <w:r>
        <w:rPr>
          <w:spacing w:val="-1"/>
        </w:rPr>
        <w:t> </w:t>
      </w:r>
      <w:r>
        <w:rPr/>
        <w:t>prepared</w:t>
      </w:r>
      <w:r>
        <w:rPr>
          <w:spacing w:val="-1"/>
        </w:rPr>
        <w:t> </w:t>
      </w:r>
      <w:r>
        <w:rPr/>
        <w:t>by</w:t>
      </w:r>
      <w:r>
        <w:rPr>
          <w:spacing w:val="-5"/>
        </w:rPr>
        <w:t> </w:t>
      </w:r>
      <w:r>
        <w:rPr/>
        <w:t>direct</w:t>
      </w:r>
      <w:r>
        <w:rPr>
          <w:spacing w:val="-1"/>
        </w:rPr>
        <w:t> </w:t>
      </w:r>
      <w:r>
        <w:rPr/>
        <w:t>compression and compressed at two different compression pressures are shown in Figures 4.3-4.6.</w:t>
      </w:r>
      <w:r>
        <w:rPr>
          <w:spacing w:val="40"/>
        </w:rPr>
        <w:t> </w:t>
      </w:r>
      <w:r>
        <w:rPr/>
        <w:t>From these, the values of t</w:t>
      </w:r>
      <w:r>
        <w:rPr>
          <w:vertAlign w:val="subscript"/>
        </w:rPr>
        <w:t>50</w:t>
      </w:r>
      <w:r>
        <w:rPr>
          <w:vertAlign w:val="baseline"/>
        </w:rPr>
        <w:t> and t</w:t>
      </w:r>
      <w:r>
        <w:rPr>
          <w:vertAlign w:val="subscript"/>
        </w:rPr>
        <w:t>80</w:t>
      </w:r>
      <w:r>
        <w:rPr>
          <w:vertAlign w:val="baseline"/>
        </w:rPr>
        <w:t> (the time required for 50% and 80% of </w:t>
      </w:r>
      <w:r>
        <w:rPr>
          <w:i/>
          <w:vertAlign w:val="baseline"/>
        </w:rPr>
        <w:t>Mucuna pruriens </w:t>
      </w:r>
      <w:r>
        <w:rPr>
          <w:vertAlign w:val="baseline"/>
        </w:rPr>
        <w:t>tablets to be dissolved) were calculated using the integrated form of the equation of Noyes and Whitney (1897):</w:t>
      </w:r>
    </w:p>
    <w:p>
      <w:pPr>
        <w:pStyle w:val="BodyText"/>
      </w:pPr>
    </w:p>
    <w:p>
      <w:pPr>
        <w:pStyle w:val="BodyText"/>
        <w:spacing w:before="102"/>
      </w:pPr>
    </w:p>
    <w:p>
      <w:pPr>
        <w:pStyle w:val="BodyText"/>
        <w:ind w:left="678"/>
        <w:jc w:val="both"/>
      </w:pPr>
      <w:r>
        <w:rPr/>
        <w:t>ln[Cs/(Cs</w:t>
      </w:r>
      <w:r>
        <w:rPr>
          <w:spacing w:val="-3"/>
        </w:rPr>
        <w:t> </w:t>
      </w:r>
      <w:r>
        <w:rPr/>
        <w:t>– C)] =</w:t>
      </w:r>
      <w:r>
        <w:rPr>
          <w:spacing w:val="-1"/>
        </w:rPr>
        <w:t> </w:t>
      </w:r>
      <w:r>
        <w:rPr>
          <w:spacing w:val="-5"/>
        </w:rPr>
        <w:t>kt</w:t>
      </w:r>
    </w:p>
    <w:p>
      <w:pPr>
        <w:pStyle w:val="BodyText"/>
      </w:pPr>
    </w:p>
    <w:p>
      <w:pPr>
        <w:pStyle w:val="BodyText"/>
      </w:pPr>
    </w:p>
    <w:p>
      <w:pPr>
        <w:pStyle w:val="BodyText"/>
        <w:spacing w:before="85"/>
      </w:pPr>
    </w:p>
    <w:p>
      <w:pPr>
        <w:pStyle w:val="BodyText"/>
        <w:spacing w:line="360" w:lineRule="auto"/>
        <w:ind w:left="678" w:right="993"/>
        <w:jc w:val="both"/>
      </w:pPr>
      <w:r>
        <w:rPr/>
        <w:t>where Cs is the concentration of the solute at saturation. C is the concentration at time t</w:t>
      </w:r>
      <w:r>
        <w:rPr>
          <w:vertAlign w:val="subscript"/>
        </w:rPr>
        <w:t>1</w:t>
      </w:r>
      <w:r>
        <w:rPr>
          <w:vertAlign w:val="baseline"/>
        </w:rPr>
        <w:t> and k is a dissolution rate constant. Representative plots of ln[Cs/(Cs – C)] versus t (Kitazawa </w:t>
      </w:r>
      <w:r>
        <w:rPr>
          <w:i/>
          <w:vertAlign w:val="baseline"/>
        </w:rPr>
        <w:t>et al</w:t>
      </w:r>
      <w:r>
        <w:rPr>
          <w:vertAlign w:val="baseline"/>
        </w:rPr>
        <w:t>., 1975) are presented in Figure 4.9. In all cases, two straight regression lines of slopes k</w:t>
      </w:r>
      <w:r>
        <w:rPr>
          <w:vertAlign w:val="subscript"/>
        </w:rPr>
        <w:t>1</w:t>
      </w:r>
      <w:r>
        <w:rPr>
          <w:vertAlign w:val="baseline"/>
        </w:rPr>
        <w:t> and k</w:t>
      </w:r>
      <w:r>
        <w:rPr>
          <w:vertAlign w:val="subscript"/>
        </w:rPr>
        <w:t>2</w:t>
      </w:r>
      <w:r>
        <w:rPr>
          <w:spacing w:val="-12"/>
          <w:vertAlign w:val="baseline"/>
        </w:rPr>
        <w:t> </w:t>
      </w:r>
      <w:r>
        <w:rPr>
          <w:vertAlign w:val="baseline"/>
        </w:rPr>
        <w:t>were obtained. The time at which the lines intersect is denoted t</w:t>
      </w:r>
      <w:r>
        <w:rPr>
          <w:vertAlign w:val="subscript"/>
        </w:rPr>
        <w:t>1</w:t>
      </w:r>
      <w:r>
        <w:rPr>
          <w:vertAlign w:val="baseline"/>
        </w:rPr>
        <w:t>. From Figure 4.9</w:t>
      </w:r>
      <w:r>
        <w:rPr>
          <w:b/>
          <w:vertAlign w:val="baseline"/>
        </w:rPr>
        <w:t>, </w:t>
      </w:r>
      <w:r>
        <w:rPr>
          <w:vertAlign w:val="baseline"/>
        </w:rPr>
        <w:t>the higher the compression pressure the lower the dissolution rate</w:t>
      </w:r>
    </w:p>
    <w:p>
      <w:pPr>
        <w:spacing w:after="0" w:line="360" w:lineRule="auto"/>
        <w:jc w:val="both"/>
        <w:sectPr>
          <w:pgSz w:w="12240" w:h="15840"/>
          <w:pgMar w:header="0" w:footer="1056" w:top="1340" w:bottom="1240" w:left="1420" w:right="420"/>
        </w:sectPr>
      </w:pPr>
    </w:p>
    <w:p>
      <w:pPr>
        <w:pStyle w:val="BodyText"/>
        <w:rPr>
          <w:sz w:val="20"/>
        </w:rPr>
      </w:pPr>
      <w:r>
        <w:rPr/>
        <mc:AlternateContent>
          <mc:Choice Requires="wps">
            <w:drawing>
              <wp:anchor distT="0" distB="0" distL="0" distR="0" allowOverlap="1" layoutInCell="1" locked="0" behindDoc="1" simplePos="0" relativeHeight="483026944">
                <wp:simplePos x="0" y="0"/>
                <wp:positionH relativeFrom="page">
                  <wp:posOffset>3861220</wp:posOffset>
                </wp:positionH>
                <wp:positionV relativeFrom="page">
                  <wp:posOffset>3734575</wp:posOffset>
                </wp:positionV>
                <wp:extent cx="1287780" cy="91440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89536;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27456">
                <wp:simplePos x="0" y="0"/>
                <wp:positionH relativeFrom="page">
                  <wp:posOffset>4288097</wp:posOffset>
                </wp:positionH>
                <wp:positionV relativeFrom="page">
                  <wp:posOffset>1617859</wp:posOffset>
                </wp:positionV>
                <wp:extent cx="3421379" cy="91440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289024;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27968">
                <wp:simplePos x="0" y="0"/>
                <wp:positionH relativeFrom="page">
                  <wp:posOffset>-316181</wp:posOffset>
                </wp:positionH>
                <wp:positionV relativeFrom="page">
                  <wp:posOffset>6721518</wp:posOffset>
                </wp:positionV>
                <wp:extent cx="5504815" cy="9144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88512;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1"/>
        <w:rPr>
          <w:sz w:val="20"/>
        </w:rPr>
      </w:pPr>
    </w:p>
    <w:p>
      <w:pPr>
        <w:pStyle w:val="BodyText"/>
        <w:ind w:left="966"/>
        <w:rPr>
          <w:sz w:val="20"/>
        </w:rPr>
      </w:pPr>
      <w:r>
        <w:rPr>
          <w:sz w:val="20"/>
        </w:rPr>
        <w:drawing>
          <wp:inline distT="0" distB="0" distL="0" distR="0">
            <wp:extent cx="5646569" cy="4041648"/>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62" cstate="print"/>
                    <a:stretch>
                      <a:fillRect/>
                    </a:stretch>
                  </pic:blipFill>
                  <pic:spPr>
                    <a:xfrm>
                      <a:off x="0" y="0"/>
                      <a:ext cx="5646569" cy="4041648"/>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132"/>
      </w:pPr>
    </w:p>
    <w:p>
      <w:pPr>
        <w:pStyle w:val="Heading2"/>
        <w:spacing w:line="362" w:lineRule="auto" w:before="1"/>
        <w:ind w:right="1041"/>
        <w:jc w:val="left"/>
      </w:pPr>
      <w:r>
        <w:rPr/>
        <w:t>Fig.</w:t>
      </w:r>
      <w:r>
        <w:rPr>
          <w:spacing w:val="-3"/>
        </w:rPr>
        <w:t> </w:t>
      </w:r>
      <w:r>
        <w:rPr/>
        <w:t>4.10:</w:t>
      </w:r>
      <w:r>
        <w:rPr>
          <w:spacing w:val="-3"/>
        </w:rPr>
        <w:t> </w:t>
      </w:r>
      <w:r>
        <w:rPr/>
        <w:t>Ln</w:t>
      </w:r>
      <w:r>
        <w:rPr>
          <w:spacing w:val="-3"/>
        </w:rPr>
        <w:t> </w:t>
      </w:r>
      <w:r>
        <w:rPr/>
        <w:t>[Cs/</w:t>
      </w:r>
      <w:r>
        <w:rPr>
          <w:spacing w:val="-3"/>
        </w:rPr>
        <w:t> </w:t>
      </w:r>
      <w:r>
        <w:rPr/>
        <w:t>(Cs-C)</w:t>
      </w:r>
      <w:r>
        <w:rPr>
          <w:spacing w:val="-3"/>
        </w:rPr>
        <w:t> </w:t>
      </w:r>
      <w:r>
        <w:rPr/>
        <w:t>]</w:t>
      </w:r>
      <w:r>
        <w:rPr>
          <w:spacing w:val="-5"/>
        </w:rPr>
        <w:t> </w:t>
      </w:r>
      <w:r>
        <w:rPr/>
        <w:t>versus</w:t>
      </w:r>
      <w:r>
        <w:rPr>
          <w:spacing w:val="-3"/>
        </w:rPr>
        <w:t> </w:t>
      </w:r>
      <w:r>
        <w:rPr/>
        <w:t>time</w:t>
      </w:r>
      <w:r>
        <w:rPr>
          <w:spacing w:val="-4"/>
        </w:rPr>
        <w:t> </w:t>
      </w:r>
      <w:r>
        <w:rPr/>
        <w:t>plots</w:t>
      </w:r>
      <w:r>
        <w:rPr>
          <w:spacing w:val="-3"/>
        </w:rPr>
        <w:t> </w:t>
      </w:r>
      <w:r>
        <w:rPr/>
        <w:t>for</w:t>
      </w:r>
      <w:r>
        <w:rPr>
          <w:spacing w:val="-3"/>
        </w:rPr>
        <w:t> </w:t>
      </w:r>
      <w:r>
        <w:rPr>
          <w:i/>
        </w:rPr>
        <w:t>Mucuna</w:t>
      </w:r>
      <w:r>
        <w:rPr>
          <w:i/>
          <w:spacing w:val="-3"/>
        </w:rPr>
        <w:t> </w:t>
      </w:r>
      <w:r>
        <w:rPr>
          <w:i/>
        </w:rPr>
        <w:t>pruiens</w:t>
      </w:r>
      <w:r>
        <w:rPr>
          <w:i/>
          <w:spacing w:val="-2"/>
        </w:rPr>
        <w:t> </w:t>
      </w:r>
      <w:r>
        <w:rPr/>
        <w:t>tablets</w:t>
      </w:r>
      <w:r>
        <w:rPr>
          <w:spacing w:val="-3"/>
        </w:rPr>
        <w:t> </w:t>
      </w:r>
      <w:r>
        <w:rPr/>
        <w:t>containing corn starch and PVP as binders</w:t>
      </w:r>
    </w:p>
    <w:p>
      <w:pPr>
        <w:spacing w:after="0" w:line="362" w:lineRule="auto"/>
        <w:jc w:val="left"/>
        <w:sectPr>
          <w:pgSz w:w="12240" w:h="15840"/>
          <w:pgMar w:header="0" w:footer="1056" w:top="1820" w:bottom="1240" w:left="1420" w:right="420"/>
        </w:sectPr>
      </w:pPr>
    </w:p>
    <w:p>
      <w:pPr>
        <w:pStyle w:val="BodyText"/>
        <w:spacing w:line="360" w:lineRule="auto" w:before="72"/>
        <w:ind w:left="678" w:right="997"/>
        <w:jc w:val="both"/>
      </w:pPr>
      <w:r>
        <w:rPr/>
        <mc:AlternateContent>
          <mc:Choice Requires="wps">
            <w:drawing>
              <wp:anchor distT="0" distB="0" distL="0" distR="0" allowOverlap="1" layoutInCell="1" locked="0" behindDoc="1" simplePos="0" relativeHeight="483028480">
                <wp:simplePos x="0" y="0"/>
                <wp:positionH relativeFrom="page">
                  <wp:posOffset>-1402226</wp:posOffset>
                </wp:positionH>
                <wp:positionV relativeFrom="page">
                  <wp:posOffset>4612234</wp:posOffset>
                </wp:positionV>
                <wp:extent cx="10685780" cy="9144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8000;rotation:306" type="#_x0000_t136" fillcolor="#ff5400" stroked="f">
                <o:extrusion v:ext="view" autorotationcenter="t"/>
                <v:textpath style="font-family:&quot;Arial MT&quot;;font-size:72pt;v-text-kern:t;mso-text-shadow:auto" string="UNIVERSITY OF IBADAN"/>
                <w10:wrap type="none"/>
              </v:shape>
            </w:pict>
          </mc:Fallback>
        </mc:AlternateContent>
      </w:r>
      <w:r>
        <w:rPr/>
        <w:t>constants for all the tablets prepared by both the direct compression and wet granulation.</w:t>
      </w:r>
      <w:r>
        <w:rPr>
          <w:spacing w:val="80"/>
        </w:rPr>
        <w:t> </w:t>
      </w:r>
      <w:r>
        <w:rPr/>
        <w:t>It can be observed that the values of t</w:t>
      </w:r>
      <w:r>
        <w:rPr>
          <w:vertAlign w:val="subscript"/>
        </w:rPr>
        <w:t>50</w:t>
      </w:r>
      <w:r>
        <w:rPr>
          <w:vertAlign w:val="baseline"/>
        </w:rPr>
        <w:t>, t</w:t>
      </w:r>
      <w:r>
        <w:rPr>
          <w:vertAlign w:val="subscript"/>
        </w:rPr>
        <w:t>80</w:t>
      </w:r>
      <w:r>
        <w:rPr>
          <w:vertAlign w:val="baseline"/>
        </w:rPr>
        <w:t> and t</w:t>
      </w:r>
      <w:r>
        <w:rPr>
          <w:vertAlign w:val="subscript"/>
        </w:rPr>
        <w:t>1</w:t>
      </w:r>
      <w:r>
        <w:rPr>
          <w:vertAlign w:val="baseline"/>
        </w:rPr>
        <w:t> all increased with binder concentration while the values of k</w:t>
      </w:r>
      <w:r>
        <w:rPr>
          <w:vertAlign w:val="subscript"/>
        </w:rPr>
        <w:t>1</w:t>
      </w:r>
      <w:r>
        <w:rPr>
          <w:vertAlign w:val="baseline"/>
        </w:rPr>
        <w:t> and k</w:t>
      </w:r>
      <w:r>
        <w:rPr>
          <w:vertAlign w:val="subscript"/>
        </w:rPr>
        <w:t>2</w:t>
      </w:r>
      <w:r>
        <w:rPr>
          <w:vertAlign w:val="baseline"/>
        </w:rPr>
        <w:t> decreased.</w:t>
      </w:r>
    </w:p>
    <w:p>
      <w:pPr>
        <w:pStyle w:val="BodyText"/>
        <w:spacing w:line="360" w:lineRule="auto" w:before="240"/>
        <w:ind w:left="678" w:right="993" w:firstLine="780"/>
        <w:jc w:val="both"/>
      </w:pPr>
      <w:r>
        <w:rPr/>
        <w:t>The values of k</w:t>
      </w:r>
      <w:r>
        <w:rPr>
          <w:vertAlign w:val="subscript"/>
        </w:rPr>
        <w:t>1</w:t>
      </w:r>
      <w:r>
        <w:rPr>
          <w:vertAlign w:val="baseline"/>
        </w:rPr>
        <w:t> were lower than the values of k</w:t>
      </w:r>
      <w:r>
        <w:rPr>
          <w:vertAlign w:val="subscript"/>
        </w:rPr>
        <w:t>2</w:t>
      </w:r>
      <w:r>
        <w:rPr>
          <w:vertAlign w:val="baseline"/>
        </w:rPr>
        <w:t>, implying a faster dissolution rate of the drug after t</w:t>
      </w:r>
      <w:r>
        <w:rPr>
          <w:vertAlign w:val="subscript"/>
        </w:rPr>
        <w:t>1</w:t>
      </w:r>
      <w:r>
        <w:rPr>
          <w:vertAlign w:val="baseline"/>
        </w:rPr>
        <w:t>. The change from k</w:t>
      </w:r>
      <w:r>
        <w:rPr>
          <w:vertAlign w:val="subscript"/>
        </w:rPr>
        <w:t>1</w:t>
      </w:r>
      <w:r>
        <w:rPr>
          <w:vertAlign w:val="baseline"/>
        </w:rPr>
        <w:t> to k</w:t>
      </w:r>
      <w:r>
        <w:rPr>
          <w:vertAlign w:val="subscript"/>
        </w:rPr>
        <w:t>2</w:t>
      </w:r>
      <w:r>
        <w:rPr>
          <w:spacing w:val="-3"/>
          <w:vertAlign w:val="baseline"/>
        </w:rPr>
        <w:t> </w:t>
      </w:r>
      <w:r>
        <w:rPr>
          <w:vertAlign w:val="baseline"/>
        </w:rPr>
        <w:t>at time t</w:t>
      </w:r>
      <w:r>
        <w:rPr>
          <w:vertAlign w:val="subscript"/>
        </w:rPr>
        <w:t>1</w:t>
      </w:r>
      <w:r>
        <w:rPr>
          <w:vertAlign w:val="baseline"/>
        </w:rPr>
        <w:t> is attributable to a change in</w:t>
      </w:r>
      <w:r>
        <w:rPr>
          <w:spacing w:val="40"/>
          <w:vertAlign w:val="baseline"/>
        </w:rPr>
        <w:t> </w:t>
      </w:r>
      <w:r>
        <w:rPr>
          <w:vertAlign w:val="baseline"/>
        </w:rPr>
        <w:t>the</w:t>
      </w:r>
      <w:r>
        <w:rPr>
          <w:spacing w:val="-1"/>
          <w:vertAlign w:val="baseline"/>
        </w:rPr>
        <w:t> </w:t>
      </w:r>
      <w:r>
        <w:rPr>
          <w:vertAlign w:val="baseline"/>
        </w:rPr>
        <w:t>surface</w:t>
      </w:r>
      <w:r>
        <w:rPr>
          <w:spacing w:val="-1"/>
          <w:vertAlign w:val="baseline"/>
        </w:rPr>
        <w:t> </w:t>
      </w:r>
      <w:r>
        <w:rPr>
          <w:vertAlign w:val="baseline"/>
        </w:rPr>
        <w:t>area</w:t>
      </w:r>
      <w:r>
        <w:rPr>
          <w:spacing w:val="-1"/>
          <w:vertAlign w:val="baseline"/>
        </w:rPr>
        <w:t> </w:t>
      </w:r>
      <w:r>
        <w:rPr>
          <w:vertAlign w:val="baseline"/>
        </w:rPr>
        <w:t>due</w:t>
      </w:r>
      <w:r>
        <w:rPr>
          <w:spacing w:val="-1"/>
          <w:vertAlign w:val="baseline"/>
        </w:rPr>
        <w:t> </w:t>
      </w:r>
      <w:r>
        <w:rPr>
          <w:vertAlign w:val="baseline"/>
        </w:rPr>
        <w:t>to the</w:t>
      </w:r>
      <w:r>
        <w:rPr>
          <w:spacing w:val="-1"/>
          <w:vertAlign w:val="baseline"/>
        </w:rPr>
        <w:t> </w:t>
      </w:r>
      <w:r>
        <w:rPr>
          <w:vertAlign w:val="baseline"/>
        </w:rPr>
        <w:t>break up of</w:t>
      </w:r>
      <w:r>
        <w:rPr>
          <w:spacing w:val="-1"/>
          <w:vertAlign w:val="baseline"/>
        </w:rPr>
        <w:t> </w:t>
      </w:r>
      <w:r>
        <w:rPr>
          <w:vertAlign w:val="baseline"/>
        </w:rPr>
        <w:t>the</w:t>
      </w:r>
      <w:r>
        <w:rPr>
          <w:spacing w:val="-1"/>
          <w:vertAlign w:val="baseline"/>
        </w:rPr>
        <w:t> </w:t>
      </w:r>
      <w:r>
        <w:rPr>
          <w:vertAlign w:val="baseline"/>
        </w:rPr>
        <w:t>tablets into fragments (Itiola</w:t>
      </w:r>
      <w:r>
        <w:rPr>
          <w:spacing w:val="-1"/>
          <w:vertAlign w:val="baseline"/>
        </w:rPr>
        <w:t> </w:t>
      </w:r>
      <w:r>
        <w:rPr>
          <w:vertAlign w:val="baseline"/>
        </w:rPr>
        <w:t>and Pilpel, 1986b). It was also observed that t</w:t>
      </w:r>
      <w:r>
        <w:rPr>
          <w:vertAlign w:val="subscript"/>
        </w:rPr>
        <w:t>1</w:t>
      </w:r>
      <w:r>
        <w:rPr>
          <w:vertAlign w:val="baseline"/>
        </w:rPr>
        <w:t> values were generally higher than the disintegration time values, probably resulting from the greater agitation employed in the disintegration test than in dissolution tests (Kitazawa </w:t>
      </w:r>
      <w:r>
        <w:rPr>
          <w:i/>
          <w:vertAlign w:val="baseline"/>
        </w:rPr>
        <w:t>et al</w:t>
      </w:r>
      <w:r>
        <w:rPr>
          <w:vertAlign w:val="baseline"/>
        </w:rPr>
        <w:t>, 1977; Itiola and Pilpel, 1986b). The linear relationships between various measured parameters of disintegration and dissolution proved to be significant (p &lt; 0.05) using two ways ANOVA. The disintegration time, DT, generally gave linear relationships with t</w:t>
      </w:r>
      <w:r>
        <w:rPr>
          <w:vertAlign w:val="subscript"/>
        </w:rPr>
        <w:t>50</w:t>
      </w:r>
      <w:r>
        <w:rPr>
          <w:vertAlign w:val="baseline"/>
        </w:rPr>
        <w:t> and t</w:t>
      </w:r>
      <w:r>
        <w:rPr>
          <w:vertAlign w:val="subscript"/>
        </w:rPr>
        <w:t>80</w:t>
      </w:r>
      <w:r>
        <w:rPr>
          <w:vertAlign w:val="baseline"/>
        </w:rPr>
        <w:t>. The correlation between DT and the dissolution parameters t</w:t>
      </w:r>
      <w:r>
        <w:rPr>
          <w:vertAlign w:val="subscript"/>
        </w:rPr>
        <w:t>50</w:t>
      </w:r>
      <w:r>
        <w:rPr>
          <w:vertAlign w:val="baseline"/>
        </w:rPr>
        <w:t> and t</w:t>
      </w:r>
      <w:r>
        <w:rPr>
          <w:vertAlign w:val="subscript"/>
        </w:rPr>
        <w:t>80</w:t>
      </w:r>
      <w:r>
        <w:rPr>
          <w:vertAlign w:val="baseline"/>
        </w:rPr>
        <w:t> are probably due to the fact that disintegration of tablets plays a vital role in the dissolution process since disintegration determines to a large extent, the area of contact between the solid and liquid (Itiola and Pilpel, 1986).</w:t>
      </w:r>
    </w:p>
    <w:p>
      <w:pPr>
        <w:pStyle w:val="BodyText"/>
        <w:spacing w:line="360" w:lineRule="auto" w:before="241"/>
        <w:ind w:left="678" w:right="999" w:firstLine="720"/>
        <w:jc w:val="both"/>
      </w:pPr>
      <w:r>
        <w:rPr/>
        <w:t>Furthermore, there were generally no significant (p &lt; 0.05) relationships between dissolution rate constant, k</w:t>
      </w:r>
      <w:r>
        <w:rPr>
          <w:vertAlign w:val="subscript"/>
        </w:rPr>
        <w:t>1</w:t>
      </w:r>
      <w:r>
        <w:rPr>
          <w:vertAlign w:val="baseline"/>
        </w:rPr>
        <w:t> and k</w:t>
      </w:r>
      <w:r>
        <w:rPr>
          <w:vertAlign w:val="subscript"/>
        </w:rPr>
        <w:t>2</w:t>
      </w:r>
      <w:r>
        <w:rPr>
          <w:vertAlign w:val="baseline"/>
        </w:rPr>
        <w:t>, and most of the other dissolution parameters. The dissolution rate constant, k</w:t>
      </w:r>
      <w:r>
        <w:rPr>
          <w:vertAlign w:val="subscript"/>
        </w:rPr>
        <w:t>2</w:t>
      </w:r>
      <w:r>
        <w:rPr>
          <w:vertAlign w:val="baseline"/>
        </w:rPr>
        <w:t>, did not show significant (p &lt; 0.05) correlation with all the parameters. A similar observation was made by Odeku and Itiola (2003) and is due to the fact that k</w:t>
      </w:r>
      <w:r>
        <w:rPr>
          <w:vertAlign w:val="subscript"/>
        </w:rPr>
        <w:t>2</w:t>
      </w:r>
      <w:r>
        <w:rPr>
          <w:vertAlign w:val="baseline"/>
        </w:rPr>
        <w:t> represents essentially the period of time during dissolution when the tablet has broken up.</w:t>
      </w:r>
    </w:p>
    <w:p>
      <w:pPr>
        <w:pStyle w:val="BodyText"/>
        <w:spacing w:line="360" w:lineRule="auto" w:before="120"/>
        <w:ind w:left="678" w:right="1017" w:firstLine="720"/>
      </w:pPr>
      <w:r>
        <w:rPr/>
        <w:t>Production of </w:t>
      </w:r>
      <w:r>
        <w:rPr>
          <w:i/>
        </w:rPr>
        <w:t>M. pruriens </w:t>
      </w:r>
      <w:r>
        <w:rPr/>
        <w:t>tablets by direct compression with or without diluents</w:t>
      </w:r>
      <w:r>
        <w:rPr>
          <w:spacing w:val="40"/>
        </w:rPr>
        <w:t> </w:t>
      </w:r>
      <w:r>
        <w:rPr/>
        <w:t>using Avicel produced satisfactory tablets which possessed good mechanical and release properties. Generally, the crushing strength of tablets prepared by direct compression using</w:t>
      </w:r>
      <w:r>
        <w:rPr>
          <w:spacing w:val="40"/>
        </w:rPr>
        <w:t> </w:t>
      </w:r>
      <w:r>
        <w:rPr/>
        <w:t>Avicel</w:t>
      </w:r>
      <w:r>
        <w:rPr>
          <w:spacing w:val="40"/>
        </w:rPr>
        <w:t> </w:t>
      </w:r>
      <w:r>
        <w:rPr/>
        <w:t>as</w:t>
      </w:r>
      <w:r>
        <w:rPr>
          <w:spacing w:val="40"/>
        </w:rPr>
        <w:t> </w:t>
      </w:r>
      <w:r>
        <w:rPr/>
        <w:t>directly</w:t>
      </w:r>
      <w:r>
        <w:rPr>
          <w:spacing w:val="40"/>
        </w:rPr>
        <w:t> </w:t>
      </w:r>
      <w:r>
        <w:rPr/>
        <w:t>compressible</w:t>
      </w:r>
      <w:r>
        <w:rPr>
          <w:spacing w:val="40"/>
        </w:rPr>
        <w:t> </w:t>
      </w:r>
      <w:r>
        <w:rPr/>
        <w:t>diluent</w:t>
      </w:r>
      <w:r>
        <w:rPr>
          <w:spacing w:val="40"/>
        </w:rPr>
        <w:t> </w:t>
      </w:r>
      <w:r>
        <w:rPr/>
        <w:t>were</w:t>
      </w:r>
      <w:r>
        <w:rPr>
          <w:spacing w:val="40"/>
        </w:rPr>
        <w:t> </w:t>
      </w:r>
      <w:r>
        <w:rPr/>
        <w:t>higher</w:t>
      </w:r>
      <w:r>
        <w:rPr>
          <w:spacing w:val="40"/>
        </w:rPr>
        <w:t> </w:t>
      </w:r>
      <w:r>
        <w:rPr/>
        <w:t>than</w:t>
      </w:r>
      <w:r>
        <w:rPr>
          <w:spacing w:val="40"/>
        </w:rPr>
        <w:t> </w:t>
      </w:r>
      <w:r>
        <w:rPr/>
        <w:t>those</w:t>
      </w:r>
      <w:r>
        <w:rPr>
          <w:spacing w:val="40"/>
        </w:rPr>
        <w:t> </w:t>
      </w:r>
      <w:r>
        <w:rPr/>
        <w:t>prepared</w:t>
      </w:r>
      <w:r>
        <w:rPr>
          <w:spacing w:val="40"/>
        </w:rPr>
        <w:t> </w:t>
      </w:r>
      <w:r>
        <w:rPr/>
        <w:t>by</w:t>
      </w:r>
      <w:r>
        <w:rPr>
          <w:spacing w:val="38"/>
        </w:rPr>
        <w:t> </w:t>
      </w:r>
      <w:r>
        <w:rPr/>
        <w:t>wet granulation using PVP and corn starch.</w:t>
      </w:r>
    </w:p>
    <w:p>
      <w:pPr>
        <w:spacing w:after="0" w:line="360" w:lineRule="auto"/>
        <w:sectPr>
          <w:pgSz w:w="12240" w:h="15840"/>
          <w:pgMar w:header="0" w:footer="1056" w:top="1340" w:bottom="1240" w:left="1420" w:right="420"/>
        </w:sectPr>
      </w:pPr>
    </w:p>
    <w:p>
      <w:pPr>
        <w:pStyle w:val="Heading2"/>
        <w:spacing w:before="71"/>
        <w:ind w:left="0" w:right="319"/>
        <w:jc w:val="center"/>
      </w:pPr>
      <w:r>
        <w:rPr/>
        <mc:AlternateContent>
          <mc:Choice Requires="wps">
            <w:drawing>
              <wp:anchor distT="0" distB="0" distL="0" distR="0" allowOverlap="1" layoutInCell="1" locked="0" behindDoc="1" simplePos="0" relativeHeight="483028992">
                <wp:simplePos x="0" y="0"/>
                <wp:positionH relativeFrom="page">
                  <wp:posOffset>-1402226</wp:posOffset>
                </wp:positionH>
                <wp:positionV relativeFrom="page">
                  <wp:posOffset>4612234</wp:posOffset>
                </wp:positionV>
                <wp:extent cx="10685780" cy="9144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7488;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03" w:id="130"/>
      <w:r>
        <w:rPr/>
        <w:t>CHAPTER</w:t>
      </w:r>
      <w:r>
        <w:rPr>
          <w:spacing w:val="-3"/>
        </w:rPr>
        <w:t> </w:t>
      </w:r>
      <w:r>
        <w:rPr/>
        <w:t>FIVE:</w:t>
      </w:r>
      <w:r>
        <w:rPr>
          <w:spacing w:val="-1"/>
        </w:rPr>
        <w:t> </w:t>
      </w:r>
      <w:r>
        <w:rPr/>
        <w:t>IN</w:t>
      </w:r>
      <w:r>
        <w:rPr>
          <w:spacing w:val="-1"/>
        </w:rPr>
        <w:t> </w:t>
      </w:r>
      <w:r>
        <w:rPr/>
        <w:t>VIVO</w:t>
      </w:r>
      <w:r>
        <w:rPr>
          <w:spacing w:val="-1"/>
        </w:rPr>
        <w:t> </w:t>
      </w:r>
      <w:bookmarkEnd w:id="130"/>
      <w:r>
        <w:rPr>
          <w:spacing w:val="-2"/>
        </w:rPr>
        <w:t>STUDIES</w:t>
      </w:r>
    </w:p>
    <w:p>
      <w:pPr>
        <w:pStyle w:val="BodyText"/>
        <w:rPr>
          <w:b/>
        </w:rPr>
      </w:pPr>
    </w:p>
    <w:p>
      <w:pPr>
        <w:pStyle w:val="BodyText"/>
        <w:rPr>
          <w:b/>
        </w:rPr>
      </w:pPr>
    </w:p>
    <w:p>
      <w:pPr>
        <w:pStyle w:val="BodyText"/>
        <w:spacing w:before="149"/>
        <w:rPr>
          <w:b/>
        </w:rPr>
      </w:pPr>
    </w:p>
    <w:p>
      <w:pPr>
        <w:spacing w:before="0"/>
        <w:ind w:left="678" w:right="0" w:firstLine="0"/>
        <w:jc w:val="both"/>
        <w:rPr>
          <w:b/>
          <w:sz w:val="24"/>
        </w:rPr>
      </w:pPr>
      <w:r>
        <w:rPr>
          <w:b/>
          <w:sz w:val="24"/>
        </w:rPr>
        <w:t>5.0</w:t>
      </w:r>
      <w:r>
        <w:rPr>
          <w:b/>
          <w:spacing w:val="-4"/>
          <w:sz w:val="24"/>
        </w:rPr>
        <w:t> </w:t>
      </w:r>
      <w:r>
        <w:rPr>
          <w:b/>
          <w:sz w:val="24"/>
        </w:rPr>
        <w:t>Antidiabetic</w:t>
      </w:r>
      <w:r>
        <w:rPr>
          <w:b/>
          <w:spacing w:val="-3"/>
          <w:sz w:val="24"/>
        </w:rPr>
        <w:t> </w:t>
      </w:r>
      <w:r>
        <w:rPr>
          <w:b/>
          <w:sz w:val="24"/>
        </w:rPr>
        <w:t>properties</w:t>
      </w:r>
      <w:r>
        <w:rPr>
          <w:b/>
          <w:spacing w:val="-1"/>
          <w:sz w:val="24"/>
        </w:rPr>
        <w:t> </w:t>
      </w:r>
      <w:r>
        <w:rPr>
          <w:b/>
          <w:sz w:val="24"/>
        </w:rPr>
        <w:t>of </w:t>
      </w:r>
      <w:r>
        <w:rPr>
          <w:b/>
          <w:i/>
          <w:sz w:val="24"/>
        </w:rPr>
        <w:t>Mucuna</w:t>
      </w:r>
      <w:r>
        <w:rPr>
          <w:b/>
          <w:i/>
          <w:spacing w:val="-1"/>
          <w:sz w:val="24"/>
        </w:rPr>
        <w:t> </w:t>
      </w:r>
      <w:r>
        <w:rPr>
          <w:b/>
          <w:i/>
          <w:sz w:val="24"/>
        </w:rPr>
        <w:t>pruriens</w:t>
      </w:r>
      <w:r>
        <w:rPr>
          <w:b/>
          <w:i/>
          <w:spacing w:val="-3"/>
          <w:sz w:val="24"/>
        </w:rPr>
        <w:t> </w:t>
      </w:r>
      <w:r>
        <w:rPr>
          <w:b/>
          <w:sz w:val="24"/>
        </w:rPr>
        <w:t>tablets</w:t>
      </w:r>
      <w:r>
        <w:rPr>
          <w:b/>
          <w:spacing w:val="-1"/>
          <w:sz w:val="24"/>
        </w:rPr>
        <w:t> </w:t>
      </w:r>
      <w:r>
        <w:rPr>
          <w:b/>
          <w:sz w:val="24"/>
        </w:rPr>
        <w:t>and glucose</w:t>
      </w:r>
      <w:r>
        <w:rPr>
          <w:b/>
          <w:spacing w:val="-2"/>
          <w:sz w:val="24"/>
        </w:rPr>
        <w:t> </w:t>
      </w:r>
      <w:r>
        <w:rPr>
          <w:b/>
          <w:sz w:val="24"/>
        </w:rPr>
        <w:t>kinetics</w:t>
      </w:r>
      <w:r>
        <w:rPr>
          <w:b/>
          <w:spacing w:val="-1"/>
          <w:sz w:val="24"/>
        </w:rPr>
        <w:t> </w:t>
      </w:r>
      <w:r>
        <w:rPr>
          <w:b/>
          <w:sz w:val="24"/>
        </w:rPr>
        <w:t>in </w:t>
      </w:r>
      <w:r>
        <w:rPr>
          <w:b/>
          <w:spacing w:val="-2"/>
          <w:sz w:val="24"/>
        </w:rPr>
        <w:t>rabbits</w:t>
      </w:r>
    </w:p>
    <w:p>
      <w:pPr>
        <w:spacing w:before="137"/>
        <w:ind w:left="738" w:right="0" w:firstLine="0"/>
        <w:jc w:val="both"/>
        <w:rPr>
          <w:b/>
          <w:sz w:val="24"/>
        </w:rPr>
      </w:pPr>
      <w:r>
        <w:rPr>
          <w:b/>
          <w:color w:val="131213"/>
          <w:sz w:val="24"/>
        </w:rPr>
        <w:t>5.1</w:t>
      </w:r>
      <w:r>
        <w:rPr>
          <w:b/>
          <w:color w:val="131213"/>
          <w:spacing w:val="-1"/>
          <w:sz w:val="24"/>
        </w:rPr>
        <w:t> </w:t>
      </w:r>
      <w:r>
        <w:rPr>
          <w:b/>
          <w:sz w:val="24"/>
        </w:rPr>
        <w:t>Results</w:t>
      </w:r>
      <w:r>
        <w:rPr>
          <w:b/>
          <w:spacing w:val="-1"/>
          <w:sz w:val="24"/>
        </w:rPr>
        <w:t> </w:t>
      </w:r>
      <w:r>
        <w:rPr>
          <w:b/>
          <w:sz w:val="24"/>
        </w:rPr>
        <w:t>and </w:t>
      </w:r>
      <w:r>
        <w:rPr>
          <w:b/>
          <w:spacing w:val="-2"/>
          <w:sz w:val="24"/>
        </w:rPr>
        <w:t>discussion</w:t>
      </w:r>
    </w:p>
    <w:p>
      <w:pPr>
        <w:pStyle w:val="BodyText"/>
        <w:spacing w:line="360" w:lineRule="auto" w:before="134"/>
        <w:ind w:left="678" w:right="994" w:firstLine="720"/>
        <w:jc w:val="both"/>
      </w:pPr>
      <w:r>
        <w:rPr/>
        <w:t>The effects of </w:t>
      </w:r>
      <w:r>
        <w:rPr>
          <w:i/>
        </w:rPr>
        <w:t>Mucuna pruriens </w:t>
      </w:r>
      <w:r>
        <w:rPr/>
        <w:t>tablets prepared by direct compression and wet granulation methods of tablet production and glibenclamide (Daonil</w:t>
      </w:r>
      <w:r>
        <w:rPr>
          <w:vertAlign w:val="superscript"/>
        </w:rPr>
        <w:t>®</w:t>
      </w:r>
      <w:r>
        <w:rPr>
          <w:vertAlign w:val="baseline"/>
        </w:rPr>
        <w:t>) tablet as standard drug on glucose levels in alloxan-induced diabetic rabbits after the administration of the tablets were</w:t>
      </w:r>
      <w:r>
        <w:rPr>
          <w:spacing w:val="-1"/>
          <w:vertAlign w:val="baseline"/>
        </w:rPr>
        <w:t> </w:t>
      </w:r>
      <w:r>
        <w:rPr>
          <w:vertAlign w:val="baseline"/>
        </w:rPr>
        <w:t>evaluated and assessed hourly</w:t>
      </w:r>
      <w:r>
        <w:rPr>
          <w:spacing w:val="-3"/>
          <w:vertAlign w:val="baseline"/>
        </w:rPr>
        <w:t> </w:t>
      </w:r>
      <w:r>
        <w:rPr>
          <w:vertAlign w:val="baseline"/>
        </w:rPr>
        <w:t>and the results presented</w:t>
      </w:r>
      <w:r>
        <w:rPr>
          <w:spacing w:val="-1"/>
          <w:vertAlign w:val="baseline"/>
        </w:rPr>
        <w:t> </w:t>
      </w:r>
      <w:r>
        <w:rPr>
          <w:vertAlign w:val="baseline"/>
        </w:rPr>
        <w:t>in Table</w:t>
      </w:r>
      <w:r>
        <w:rPr>
          <w:spacing w:val="-1"/>
          <w:vertAlign w:val="baseline"/>
        </w:rPr>
        <w:t> </w:t>
      </w:r>
      <w:r>
        <w:rPr>
          <w:vertAlign w:val="baseline"/>
        </w:rPr>
        <w:t>5.1 while</w:t>
      </w:r>
      <w:r>
        <w:rPr>
          <w:spacing w:val="-1"/>
          <w:vertAlign w:val="baseline"/>
        </w:rPr>
        <w:t> </w:t>
      </w:r>
      <w:r>
        <w:rPr>
          <w:vertAlign w:val="baseline"/>
        </w:rPr>
        <w:t>the representative plots of the log blood glucose levels against time (hour) are presented in Figures 5.1-5.4. The blood glucose level reduction versus time profiles depicted an intravenous bolus administration under going a glucose elimination first order reaction in</w:t>
      </w:r>
      <w:r>
        <w:rPr>
          <w:spacing w:val="40"/>
          <w:vertAlign w:val="baseline"/>
        </w:rPr>
        <w:t> </w:t>
      </w:r>
      <w:r>
        <w:rPr>
          <w:vertAlign w:val="baseline"/>
        </w:rPr>
        <w:t>a two-compartment model. The various rate constants which denote the rate at which the blood is cleared from the body and their corresponding t that is the time (hour) at which the glucose elimination moved from one compartment to the other, and half lives are presented in Table 5.2.</w:t>
      </w:r>
    </w:p>
    <w:p>
      <w:pPr>
        <w:pStyle w:val="BodyText"/>
        <w:spacing w:line="360" w:lineRule="auto"/>
        <w:ind w:left="678" w:right="999" w:firstLine="780"/>
        <w:jc w:val="both"/>
      </w:pPr>
      <w:r>
        <w:rPr/>
        <w:t>After a single dose of the orally administered tablets in rabbits there was a significant (p &lt; 0.05) reduction in blood glucose level of the rabbits from 0hr up to 10</w:t>
      </w:r>
      <w:r>
        <w:rPr>
          <w:spacing w:val="40"/>
        </w:rPr>
        <w:t> </w:t>
      </w:r>
      <w:r>
        <w:rPr/>
        <w:t>hour when compared with the diabetic standard. The profile which is similar for direct compression and wet granulation which means that the drug release is similar. In this investigation reduction in blood glucose levels correlates with drug release.</w:t>
      </w:r>
    </w:p>
    <w:p>
      <w:pPr>
        <w:pStyle w:val="BodyText"/>
        <w:spacing w:line="360" w:lineRule="auto"/>
        <w:ind w:left="678" w:right="1078" w:firstLine="720"/>
      </w:pPr>
      <w:r>
        <w:rPr/>
        <w:t>Between time 0 and time 10 hour, k</w:t>
      </w:r>
      <w:r>
        <w:rPr>
          <w:vertAlign w:val="subscript"/>
        </w:rPr>
        <w:t>1</w:t>
      </w:r>
      <w:r>
        <w:rPr>
          <w:vertAlign w:val="baseline"/>
        </w:rPr>
        <w:t>, the rate at which blood glucose was being eliminated,</w:t>
      </w:r>
      <w:r>
        <w:rPr>
          <w:spacing w:val="-3"/>
          <w:vertAlign w:val="baseline"/>
        </w:rPr>
        <w:t> </w:t>
      </w:r>
      <w:r>
        <w:rPr>
          <w:vertAlign w:val="baseline"/>
        </w:rPr>
        <w:t>was</w:t>
      </w:r>
      <w:r>
        <w:rPr>
          <w:spacing w:val="-3"/>
          <w:vertAlign w:val="baseline"/>
        </w:rPr>
        <w:t> </w:t>
      </w:r>
      <w:r>
        <w:rPr>
          <w:vertAlign w:val="baseline"/>
        </w:rPr>
        <w:t>significantly</w:t>
      </w:r>
      <w:r>
        <w:rPr>
          <w:spacing w:val="-8"/>
          <w:vertAlign w:val="baseline"/>
        </w:rPr>
        <w:t> </w:t>
      </w:r>
      <w:r>
        <w:rPr>
          <w:vertAlign w:val="baseline"/>
        </w:rPr>
        <w:t>higher</w:t>
      </w:r>
      <w:r>
        <w:rPr>
          <w:spacing w:val="-3"/>
          <w:vertAlign w:val="baseline"/>
        </w:rPr>
        <w:t> </w:t>
      </w:r>
      <w:r>
        <w:rPr>
          <w:vertAlign w:val="baseline"/>
        </w:rPr>
        <w:t>(p</w:t>
      </w:r>
      <w:r>
        <w:rPr>
          <w:spacing w:val="-1"/>
          <w:vertAlign w:val="baseline"/>
        </w:rPr>
        <w:t> </w:t>
      </w:r>
      <w:r>
        <w:rPr>
          <w:vertAlign w:val="baseline"/>
        </w:rPr>
        <w:t>&lt;</w:t>
      </w:r>
      <w:r>
        <w:rPr>
          <w:spacing w:val="-4"/>
          <w:vertAlign w:val="baseline"/>
        </w:rPr>
        <w:t> </w:t>
      </w:r>
      <w:r>
        <w:rPr>
          <w:vertAlign w:val="baseline"/>
        </w:rPr>
        <w:t>0.05)</w:t>
      </w:r>
      <w:r>
        <w:rPr>
          <w:spacing w:val="-4"/>
          <w:vertAlign w:val="baseline"/>
        </w:rPr>
        <w:t> </w:t>
      </w:r>
      <w:r>
        <w:rPr>
          <w:vertAlign w:val="baseline"/>
        </w:rPr>
        <w:t>than</w:t>
      </w:r>
      <w:r>
        <w:rPr>
          <w:spacing w:val="-3"/>
          <w:vertAlign w:val="baseline"/>
        </w:rPr>
        <w:t> </w:t>
      </w:r>
      <w:r>
        <w:rPr>
          <w:vertAlign w:val="baseline"/>
        </w:rPr>
        <w:t>k</w:t>
      </w:r>
      <w:r>
        <w:rPr>
          <w:vertAlign w:val="subscript"/>
        </w:rPr>
        <w:t>2</w:t>
      </w:r>
      <w:r>
        <w:rPr>
          <w:vertAlign w:val="baseline"/>
        </w:rPr>
        <w:t>,</w:t>
      </w:r>
      <w:r>
        <w:rPr>
          <w:spacing w:val="-3"/>
          <w:vertAlign w:val="baseline"/>
        </w:rPr>
        <w:t> </w:t>
      </w:r>
      <w:r>
        <w:rPr>
          <w:vertAlign w:val="baseline"/>
        </w:rPr>
        <w:t>the</w:t>
      </w:r>
      <w:r>
        <w:rPr>
          <w:spacing w:val="-3"/>
          <w:vertAlign w:val="baseline"/>
        </w:rPr>
        <w:t> </w:t>
      </w:r>
      <w:r>
        <w:rPr>
          <w:vertAlign w:val="baseline"/>
        </w:rPr>
        <w:t>rate</w:t>
      </w:r>
      <w:r>
        <w:rPr>
          <w:spacing w:val="-3"/>
          <w:vertAlign w:val="baseline"/>
        </w:rPr>
        <w:t> </w:t>
      </w:r>
      <w:r>
        <w:rPr>
          <w:vertAlign w:val="baseline"/>
        </w:rPr>
        <w:t>at</w:t>
      </w:r>
      <w:r>
        <w:rPr>
          <w:spacing w:val="-3"/>
          <w:vertAlign w:val="baseline"/>
        </w:rPr>
        <w:t> </w:t>
      </w:r>
      <w:r>
        <w:rPr>
          <w:vertAlign w:val="baseline"/>
        </w:rPr>
        <w:t>which</w:t>
      </w:r>
      <w:r>
        <w:rPr>
          <w:spacing w:val="-3"/>
          <w:vertAlign w:val="baseline"/>
        </w:rPr>
        <w:t> </w:t>
      </w:r>
      <w:r>
        <w:rPr>
          <w:vertAlign w:val="baseline"/>
        </w:rPr>
        <w:t>the</w:t>
      </w:r>
      <w:r>
        <w:rPr>
          <w:spacing w:val="-2"/>
          <w:vertAlign w:val="baseline"/>
        </w:rPr>
        <w:t> </w:t>
      </w:r>
      <w:r>
        <w:rPr>
          <w:vertAlign w:val="baseline"/>
        </w:rPr>
        <w:t>blood</w:t>
      </w:r>
      <w:r>
        <w:rPr>
          <w:spacing w:val="-3"/>
          <w:vertAlign w:val="baseline"/>
        </w:rPr>
        <w:t> </w:t>
      </w:r>
      <w:r>
        <w:rPr>
          <w:vertAlign w:val="baseline"/>
        </w:rPr>
        <w:t>glucose was being eliminated between 10 hour and 72 hour. According to the law of mass action, the velocity of a chemical reaction is proportional to the product of the active masses (concentrations) of the reactants. In a monomolecular reaction, that is, one in which only</w:t>
      </w:r>
      <w:r>
        <w:rPr>
          <w:spacing w:val="40"/>
          <w:vertAlign w:val="baseline"/>
        </w:rPr>
        <w:t> </w:t>
      </w:r>
      <w:r>
        <w:rPr>
          <w:vertAlign w:val="baseline"/>
        </w:rPr>
        <w:t>a single molecular species reacts, as in this investigation, the velocity of the reaction</w:t>
      </w:r>
      <w:r>
        <w:rPr>
          <w:spacing w:val="40"/>
          <w:vertAlign w:val="baseline"/>
        </w:rPr>
        <w:t> </w:t>
      </w:r>
      <w:r>
        <w:rPr>
          <w:vertAlign w:val="baseline"/>
        </w:rPr>
        <w:t>is proportional to the concentration of the un-reacted substance, that is,</w:t>
      </w:r>
      <w:r>
        <w:rPr>
          <w:spacing w:val="40"/>
          <w:vertAlign w:val="baseline"/>
        </w:rPr>
        <w:t> </w:t>
      </w:r>
      <w:r>
        <w:rPr>
          <w:vertAlign w:val="baseline"/>
        </w:rPr>
        <w:t>glucose that is not</w:t>
      </w:r>
    </w:p>
    <w:p>
      <w:pPr>
        <w:pStyle w:val="BodyText"/>
        <w:spacing w:line="360" w:lineRule="auto" w:before="2"/>
        <w:ind w:left="678" w:right="996"/>
        <w:jc w:val="both"/>
        <w:rPr>
          <w:i/>
        </w:rPr>
      </w:pPr>
      <w:r>
        <w:rPr/>
        <w:t>yet eliminated.</w:t>
      </w:r>
      <w:r>
        <w:rPr>
          <w:spacing w:val="40"/>
        </w:rPr>
        <w:t> </w:t>
      </w:r>
      <w:r>
        <w:rPr/>
        <w:t>Hence, the high velocity recorded at the onset of the course of the elimination. As time went on more of the glucose was being eliminated thus a lower velocity</w:t>
      </w:r>
      <w:r>
        <w:rPr>
          <w:spacing w:val="50"/>
        </w:rPr>
        <w:t> </w:t>
      </w:r>
      <w:r>
        <w:rPr/>
        <w:t>of</w:t>
      </w:r>
      <w:r>
        <w:rPr>
          <w:spacing w:val="56"/>
        </w:rPr>
        <w:t> </w:t>
      </w:r>
      <w:r>
        <w:rPr/>
        <w:t>reaction</w:t>
      </w:r>
      <w:r>
        <w:rPr>
          <w:spacing w:val="57"/>
        </w:rPr>
        <w:t> </w:t>
      </w:r>
      <w:r>
        <w:rPr/>
        <w:t>ensued</w:t>
      </w:r>
      <w:r>
        <w:rPr>
          <w:spacing w:val="57"/>
        </w:rPr>
        <w:t> </w:t>
      </w:r>
      <w:r>
        <w:rPr/>
        <w:t>starting</w:t>
      </w:r>
      <w:r>
        <w:rPr>
          <w:spacing w:val="57"/>
        </w:rPr>
        <w:t> </w:t>
      </w:r>
      <w:r>
        <w:rPr/>
        <w:t>from</w:t>
      </w:r>
      <w:r>
        <w:rPr>
          <w:spacing w:val="57"/>
        </w:rPr>
        <w:t> </w:t>
      </w:r>
      <w:r>
        <w:rPr/>
        <w:t>10</w:t>
      </w:r>
      <w:r>
        <w:rPr>
          <w:spacing w:val="57"/>
        </w:rPr>
        <w:t> </w:t>
      </w:r>
      <w:r>
        <w:rPr/>
        <w:t>hour</w:t>
      </w:r>
      <w:r>
        <w:rPr>
          <w:spacing w:val="55"/>
        </w:rPr>
        <w:t> </w:t>
      </w:r>
      <w:r>
        <w:rPr/>
        <w:t>to</w:t>
      </w:r>
      <w:r>
        <w:rPr>
          <w:spacing w:val="57"/>
        </w:rPr>
        <w:t> </w:t>
      </w:r>
      <w:r>
        <w:rPr/>
        <w:t>72</w:t>
      </w:r>
      <w:r>
        <w:rPr>
          <w:spacing w:val="57"/>
        </w:rPr>
        <w:t> </w:t>
      </w:r>
      <w:r>
        <w:rPr/>
        <w:t>hour.</w:t>
      </w:r>
      <w:r>
        <w:rPr>
          <w:spacing w:val="56"/>
        </w:rPr>
        <w:t> </w:t>
      </w:r>
      <w:r>
        <w:rPr/>
        <w:t>The</w:t>
      </w:r>
      <w:r>
        <w:rPr>
          <w:spacing w:val="58"/>
        </w:rPr>
        <w:t> </w:t>
      </w:r>
      <w:r>
        <w:rPr/>
        <w:t>rate</w:t>
      </w:r>
      <w:r>
        <w:rPr>
          <w:spacing w:val="56"/>
        </w:rPr>
        <w:t> </w:t>
      </w:r>
      <w:r>
        <w:rPr/>
        <w:t>at</w:t>
      </w:r>
      <w:r>
        <w:rPr>
          <w:spacing w:val="57"/>
        </w:rPr>
        <w:t> </w:t>
      </w:r>
      <w:r>
        <w:rPr/>
        <w:t>which</w:t>
      </w:r>
      <w:r>
        <w:rPr>
          <w:spacing w:val="64"/>
        </w:rPr>
        <w:t> </w:t>
      </w:r>
      <w:r>
        <w:rPr>
          <w:i/>
          <w:spacing w:val="-5"/>
        </w:rPr>
        <w:t>M.</w:t>
      </w:r>
    </w:p>
    <w:p>
      <w:pPr>
        <w:spacing w:after="0" w:line="360" w:lineRule="auto"/>
        <w:jc w:val="both"/>
        <w:sectPr>
          <w:pgSz w:w="12240" w:h="15840"/>
          <w:pgMar w:header="0" w:footer="1056" w:top="1620" w:bottom="1240" w:left="1420" w:right="420"/>
        </w:sectPr>
      </w:pPr>
    </w:p>
    <w:p>
      <w:pPr>
        <w:pStyle w:val="BodyText"/>
        <w:spacing w:line="360" w:lineRule="auto" w:before="72"/>
        <w:ind w:left="678" w:right="992"/>
        <w:jc w:val="both"/>
      </w:pPr>
      <w:r>
        <w:rPr/>
        <mc:AlternateContent>
          <mc:Choice Requires="wps">
            <w:drawing>
              <wp:anchor distT="0" distB="0" distL="0" distR="0" allowOverlap="1" layoutInCell="1" locked="0" behindDoc="1" simplePos="0" relativeHeight="483029504">
                <wp:simplePos x="0" y="0"/>
                <wp:positionH relativeFrom="page">
                  <wp:posOffset>-1402226</wp:posOffset>
                </wp:positionH>
                <wp:positionV relativeFrom="page">
                  <wp:posOffset>4612234</wp:posOffset>
                </wp:positionV>
                <wp:extent cx="10685780" cy="9144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6976;rotation:306" type="#_x0000_t136" fillcolor="#ff5400" stroked="f">
                <o:extrusion v:ext="view" autorotationcenter="t"/>
                <v:textpath style="font-family:&quot;Arial MT&quot;;font-size:72pt;v-text-kern:t;mso-text-shadow:auto" string="UNIVERSITY OF IBADAN"/>
                <w10:wrap type="none"/>
              </v:shape>
            </w:pict>
          </mc:Fallback>
        </mc:AlternateContent>
      </w:r>
      <w:r>
        <w:rPr>
          <w:i/>
        </w:rPr>
        <w:t>pruriens </w:t>
      </w:r>
      <w:r>
        <w:rPr/>
        <w:t>tablet prepared by direct compression was eliminating glucose was higher than that of tablet produced by wet granulation. The rate at which glibenclamide (Daonil</w:t>
      </w:r>
      <w:r>
        <w:rPr>
          <w:vertAlign w:val="superscript"/>
        </w:rPr>
        <w:t>®</w:t>
      </w:r>
      <w:r>
        <w:rPr>
          <w:vertAlign w:val="baseline"/>
        </w:rPr>
        <w:t>) was eliminating glucose was significantly (P &lt; 0 .05) higher than those of M. pruriens tablets prepared by DC and WG. At 72hr there was a rebound as the blood glucose started going up as a result of non-bioavailability of more </w:t>
      </w:r>
      <w:r>
        <w:rPr>
          <w:i/>
          <w:vertAlign w:val="baseline"/>
        </w:rPr>
        <w:t>M. pruriens </w:t>
      </w:r>
      <w:r>
        <w:rPr>
          <w:vertAlign w:val="baseline"/>
        </w:rPr>
        <w:t>tablet to elicit pharmacological activity, that is, to cause more glucose elimination.</w:t>
      </w:r>
      <w:r>
        <w:rPr>
          <w:spacing w:val="40"/>
          <w:vertAlign w:val="baseline"/>
        </w:rPr>
        <w:t> </w:t>
      </w:r>
      <w:r>
        <w:rPr>
          <w:vertAlign w:val="baseline"/>
        </w:rPr>
        <w:t>The blood glucose level went up until 192 hour which necessitated the stoppage of the experiment. The rebound effect was</w:t>
      </w:r>
      <w:r>
        <w:rPr>
          <w:spacing w:val="40"/>
          <w:vertAlign w:val="baseline"/>
        </w:rPr>
        <w:t> </w:t>
      </w:r>
      <w:r>
        <w:rPr>
          <w:vertAlign w:val="baseline"/>
        </w:rPr>
        <w:t>going</w:t>
      </w:r>
      <w:r>
        <w:rPr>
          <w:spacing w:val="-3"/>
          <w:vertAlign w:val="baseline"/>
        </w:rPr>
        <w:t> </w:t>
      </w:r>
      <w:r>
        <w:rPr>
          <w:vertAlign w:val="baseline"/>
        </w:rPr>
        <w:t>at a</w:t>
      </w:r>
      <w:r>
        <w:rPr>
          <w:spacing w:val="-1"/>
          <w:vertAlign w:val="baseline"/>
        </w:rPr>
        <w:t> </w:t>
      </w:r>
      <w:r>
        <w:rPr>
          <w:vertAlign w:val="baseline"/>
        </w:rPr>
        <w:t>different rate</w:t>
      </w:r>
      <w:r>
        <w:rPr>
          <w:spacing w:val="-1"/>
          <w:vertAlign w:val="baseline"/>
        </w:rPr>
        <w:t> </w:t>
      </w:r>
      <w:r>
        <w:rPr>
          <w:vertAlign w:val="baseline"/>
        </w:rPr>
        <w:t>constant (k</w:t>
      </w:r>
      <w:r>
        <w:rPr>
          <w:vertAlign w:val="subscript"/>
        </w:rPr>
        <w:t>3</w:t>
      </w:r>
      <w:r>
        <w:rPr>
          <w:vertAlign w:val="baseline"/>
        </w:rPr>
        <w:t>).</w:t>
      </w:r>
      <w:r>
        <w:rPr>
          <w:spacing w:val="-1"/>
          <w:vertAlign w:val="baseline"/>
        </w:rPr>
        <w:t> </w:t>
      </w:r>
      <w:r>
        <w:rPr>
          <w:vertAlign w:val="baseline"/>
        </w:rPr>
        <w:t>The</w:t>
      </w:r>
      <w:r>
        <w:rPr>
          <w:spacing w:val="-2"/>
          <w:vertAlign w:val="baseline"/>
        </w:rPr>
        <w:t> </w:t>
      </w:r>
      <w:r>
        <w:rPr>
          <w:vertAlign w:val="baseline"/>
        </w:rPr>
        <w:t>line</w:t>
      </w:r>
      <w:r>
        <w:rPr>
          <w:spacing w:val="-1"/>
          <w:vertAlign w:val="baseline"/>
        </w:rPr>
        <w:t> </w:t>
      </w:r>
      <w:r>
        <w:rPr>
          <w:vertAlign w:val="baseline"/>
        </w:rPr>
        <w:t>made</w:t>
      </w:r>
      <w:r>
        <w:rPr>
          <w:spacing w:val="-2"/>
          <w:vertAlign w:val="baseline"/>
        </w:rPr>
        <w:t> </w:t>
      </w:r>
      <w:r>
        <w:rPr>
          <w:vertAlign w:val="baseline"/>
        </w:rPr>
        <w:t>a</w:t>
      </w:r>
      <w:r>
        <w:rPr>
          <w:spacing w:val="-1"/>
          <w:vertAlign w:val="baseline"/>
        </w:rPr>
        <w:t> </w:t>
      </w:r>
      <w:r>
        <w:rPr>
          <w:vertAlign w:val="baseline"/>
        </w:rPr>
        <w:t>detour</w:t>
      </w:r>
      <w:r>
        <w:rPr>
          <w:spacing w:val="-1"/>
          <w:vertAlign w:val="baseline"/>
        </w:rPr>
        <w:t> </w:t>
      </w:r>
      <w:r>
        <w:rPr>
          <w:vertAlign w:val="baseline"/>
        </w:rPr>
        <w:t>at t which corresponds to the time the blood glucose elimination was moving from one compartment to the other. The resident time in the first compartment was the same for all the </w:t>
      </w:r>
      <w:r>
        <w:rPr>
          <w:i/>
          <w:vertAlign w:val="baseline"/>
        </w:rPr>
        <w:t>M. pruriens </w:t>
      </w:r>
      <w:r>
        <w:rPr>
          <w:vertAlign w:val="baseline"/>
        </w:rPr>
        <w:t>prepared by direct compression and wet granulation and glibenclamide while the second compartment (k</w:t>
      </w:r>
      <w:r>
        <w:rPr>
          <w:vertAlign w:val="subscript"/>
        </w:rPr>
        <w:t>2</w:t>
      </w:r>
      <w:r>
        <w:rPr>
          <w:vertAlign w:val="baseline"/>
        </w:rPr>
        <w:t>) was almost the same too except for glibenclamide that was much lower than </w:t>
      </w:r>
      <w:r>
        <w:rPr>
          <w:i/>
          <w:vertAlign w:val="baseline"/>
        </w:rPr>
        <w:t>M. pruriens </w:t>
      </w:r>
      <w:r>
        <w:rPr>
          <w:vertAlign w:val="baseline"/>
        </w:rPr>
        <w:t>tablets prepared by direct compression and wet granulation.</w:t>
      </w:r>
    </w:p>
    <w:p>
      <w:pPr>
        <w:pStyle w:val="BodyText"/>
        <w:spacing w:line="360" w:lineRule="auto" w:before="1"/>
        <w:ind w:left="678" w:right="995" w:firstLine="720"/>
        <w:jc w:val="both"/>
      </w:pPr>
      <w:r>
        <w:rPr/>
        <w:t>The corresponding elimination half- lives (t</w:t>
      </w:r>
      <w:r>
        <w:rPr>
          <w:vertAlign w:val="subscript"/>
        </w:rPr>
        <w:t>1</w:t>
      </w:r>
      <w:r>
        <w:rPr>
          <w:i/>
          <w:vertAlign w:val="subscript"/>
        </w:rPr>
        <w:t>/</w:t>
      </w:r>
      <w:r>
        <w:rPr>
          <w:vertAlign w:val="subscript"/>
        </w:rPr>
        <w:t>2</w:t>
      </w:r>
      <w:r>
        <w:rPr>
          <w:vertAlign w:val="baseline"/>
        </w:rPr>
        <w:t>) of the rate constants are presented</w:t>
      </w:r>
      <w:r>
        <w:rPr>
          <w:spacing w:val="40"/>
          <w:vertAlign w:val="baseline"/>
        </w:rPr>
        <w:t> </w:t>
      </w:r>
      <w:r>
        <w:rPr>
          <w:vertAlign w:val="baseline"/>
        </w:rPr>
        <w:t>in Table 5.2. Half life is the time required for the concentration to be halved. The elimination half-life of glibenclamide was significantly (p &lt; 0.05) lower than </w:t>
      </w:r>
      <w:r>
        <w:rPr>
          <w:i/>
          <w:vertAlign w:val="baseline"/>
        </w:rPr>
        <w:t>M. pruriens </w:t>
      </w:r>
      <w:r>
        <w:rPr>
          <w:vertAlign w:val="baseline"/>
        </w:rPr>
        <w:t>tablets prepared by direct compression and wet granulation at the initial stage of the glucose</w:t>
      </w:r>
      <w:r>
        <w:rPr>
          <w:spacing w:val="4"/>
          <w:vertAlign w:val="baseline"/>
        </w:rPr>
        <w:t> </w:t>
      </w:r>
      <w:r>
        <w:rPr>
          <w:vertAlign w:val="baseline"/>
        </w:rPr>
        <w:t>elimination</w:t>
      </w:r>
      <w:r>
        <w:rPr>
          <w:spacing w:val="3"/>
          <w:vertAlign w:val="baseline"/>
        </w:rPr>
        <w:t> </w:t>
      </w:r>
      <w:r>
        <w:rPr>
          <w:vertAlign w:val="baseline"/>
        </w:rPr>
        <w:t>kinetics.</w:t>
      </w:r>
      <w:r>
        <w:rPr>
          <w:spacing w:val="3"/>
          <w:vertAlign w:val="baseline"/>
        </w:rPr>
        <w:t> </w:t>
      </w:r>
      <w:r>
        <w:rPr>
          <w:vertAlign w:val="baseline"/>
        </w:rPr>
        <w:t>Between</w:t>
      </w:r>
      <w:r>
        <w:rPr>
          <w:spacing w:val="4"/>
          <w:vertAlign w:val="baseline"/>
        </w:rPr>
        <w:t> </w:t>
      </w:r>
      <w:r>
        <w:rPr>
          <w:vertAlign w:val="baseline"/>
        </w:rPr>
        <w:t>10</w:t>
      </w:r>
      <w:r>
        <w:rPr>
          <w:spacing w:val="3"/>
          <w:vertAlign w:val="baseline"/>
        </w:rPr>
        <w:t> </w:t>
      </w:r>
      <w:r>
        <w:rPr>
          <w:vertAlign w:val="baseline"/>
        </w:rPr>
        <w:t>hour</w:t>
      </w:r>
      <w:r>
        <w:rPr>
          <w:spacing w:val="5"/>
          <w:vertAlign w:val="baseline"/>
        </w:rPr>
        <w:t> </w:t>
      </w:r>
      <w:r>
        <w:rPr>
          <w:vertAlign w:val="baseline"/>
        </w:rPr>
        <w:t>and</w:t>
      </w:r>
      <w:r>
        <w:rPr>
          <w:spacing w:val="5"/>
          <w:vertAlign w:val="baseline"/>
        </w:rPr>
        <w:t> </w:t>
      </w:r>
      <w:r>
        <w:rPr>
          <w:vertAlign w:val="baseline"/>
        </w:rPr>
        <w:t>72</w:t>
      </w:r>
      <w:r>
        <w:rPr>
          <w:spacing w:val="4"/>
          <w:vertAlign w:val="baseline"/>
        </w:rPr>
        <w:t> </w:t>
      </w:r>
      <w:r>
        <w:rPr>
          <w:vertAlign w:val="baseline"/>
        </w:rPr>
        <w:t>hour</w:t>
      </w:r>
      <w:r>
        <w:rPr>
          <w:spacing w:val="2"/>
          <w:vertAlign w:val="baseline"/>
        </w:rPr>
        <w:t> </w:t>
      </w:r>
      <w:r>
        <w:rPr>
          <w:vertAlign w:val="baseline"/>
        </w:rPr>
        <w:t>all</w:t>
      </w:r>
      <w:r>
        <w:rPr>
          <w:spacing w:val="4"/>
          <w:vertAlign w:val="baseline"/>
        </w:rPr>
        <w:t> </w:t>
      </w:r>
      <w:r>
        <w:rPr>
          <w:vertAlign w:val="baseline"/>
        </w:rPr>
        <w:t>the</w:t>
      </w:r>
      <w:r>
        <w:rPr>
          <w:spacing w:val="3"/>
          <w:vertAlign w:val="baseline"/>
        </w:rPr>
        <w:t> </w:t>
      </w:r>
      <w:r>
        <w:rPr>
          <w:vertAlign w:val="baseline"/>
        </w:rPr>
        <w:t>tablet</w:t>
      </w:r>
      <w:r>
        <w:rPr>
          <w:spacing w:val="5"/>
          <w:vertAlign w:val="baseline"/>
        </w:rPr>
        <w:t> </w:t>
      </w:r>
      <w:r>
        <w:rPr>
          <w:vertAlign w:val="baseline"/>
        </w:rPr>
        <w:t>had</w:t>
      </w:r>
      <w:r>
        <w:rPr>
          <w:spacing w:val="3"/>
          <w:vertAlign w:val="baseline"/>
        </w:rPr>
        <w:t> </w:t>
      </w:r>
      <w:r>
        <w:rPr>
          <w:vertAlign w:val="baseline"/>
        </w:rPr>
        <w:t>the</w:t>
      </w:r>
      <w:r>
        <w:rPr>
          <w:spacing w:val="3"/>
          <w:vertAlign w:val="baseline"/>
        </w:rPr>
        <w:t> </w:t>
      </w:r>
      <w:r>
        <w:rPr>
          <w:vertAlign w:val="baseline"/>
        </w:rPr>
        <w:t>same</w:t>
      </w:r>
      <w:r>
        <w:rPr>
          <w:spacing w:val="4"/>
          <w:vertAlign w:val="baseline"/>
        </w:rPr>
        <w:t> </w:t>
      </w:r>
      <w:r>
        <w:rPr>
          <w:spacing w:val="-4"/>
          <w:vertAlign w:val="baseline"/>
        </w:rPr>
        <w:t>half</w:t>
      </w:r>
    </w:p>
    <w:p>
      <w:pPr>
        <w:pStyle w:val="BodyText"/>
        <w:spacing w:before="1"/>
        <w:ind w:left="678"/>
      </w:pPr>
      <w:r>
        <w:rPr>
          <w:spacing w:val="-2"/>
        </w:rPr>
        <w:t>-life.</w:t>
      </w:r>
    </w:p>
    <w:p>
      <w:pPr>
        <w:spacing w:after="0"/>
        <w:sectPr>
          <w:pgSz w:w="12240" w:h="15840"/>
          <w:pgMar w:header="0" w:footer="1056" w:top="1340" w:bottom="1240" w:left="1420" w:right="420"/>
        </w:sectPr>
      </w:pPr>
    </w:p>
    <w:p>
      <w:pPr>
        <w:spacing w:before="75"/>
        <w:ind w:left="678" w:right="0" w:firstLine="0"/>
        <w:jc w:val="left"/>
        <w:rPr>
          <w:b/>
          <w:sz w:val="24"/>
        </w:rPr>
      </w:pPr>
      <w:r>
        <w:rPr/>
        <mc:AlternateContent>
          <mc:Choice Requires="wps">
            <w:drawing>
              <wp:anchor distT="0" distB="0" distL="0" distR="0" allowOverlap="1" layoutInCell="1" locked="0" behindDoc="1" simplePos="0" relativeHeight="483030016">
                <wp:simplePos x="0" y="0"/>
                <wp:positionH relativeFrom="page">
                  <wp:posOffset>-1402226</wp:posOffset>
                </wp:positionH>
                <wp:positionV relativeFrom="page">
                  <wp:posOffset>4612234</wp:posOffset>
                </wp:positionV>
                <wp:extent cx="10685780" cy="9144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646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w:t>
      </w:r>
      <w:r>
        <w:rPr>
          <w:b/>
          <w:spacing w:val="40"/>
          <w:sz w:val="24"/>
        </w:rPr>
        <w:t> </w:t>
      </w:r>
      <w:r>
        <w:rPr>
          <w:b/>
          <w:sz w:val="24"/>
        </w:rPr>
        <w:t>5.1:</w:t>
      </w:r>
      <w:r>
        <w:rPr>
          <w:b/>
          <w:spacing w:val="40"/>
          <w:sz w:val="24"/>
        </w:rPr>
        <w:t> </w:t>
      </w:r>
      <w:r>
        <w:rPr>
          <w:b/>
          <w:sz w:val="24"/>
        </w:rPr>
        <w:t>Effects</w:t>
      </w:r>
      <w:r>
        <w:rPr>
          <w:b/>
          <w:spacing w:val="40"/>
          <w:sz w:val="24"/>
        </w:rPr>
        <w:t> </w:t>
      </w:r>
      <w:r>
        <w:rPr>
          <w:b/>
          <w:sz w:val="24"/>
        </w:rPr>
        <w:t>of</w:t>
      </w:r>
      <w:r>
        <w:rPr>
          <w:b/>
          <w:spacing w:val="40"/>
          <w:sz w:val="24"/>
        </w:rPr>
        <w:t> </w:t>
      </w:r>
      <w:r>
        <w:rPr>
          <w:b/>
          <w:sz w:val="24"/>
        </w:rPr>
        <w:t>the</w:t>
      </w:r>
      <w:r>
        <w:rPr>
          <w:b/>
          <w:spacing w:val="40"/>
          <w:sz w:val="24"/>
        </w:rPr>
        <w:t> </w:t>
      </w:r>
      <w:r>
        <w:rPr>
          <w:b/>
          <w:i/>
          <w:sz w:val="24"/>
        </w:rPr>
        <w:t>Mucuna</w:t>
      </w:r>
      <w:r>
        <w:rPr>
          <w:b/>
          <w:i/>
          <w:spacing w:val="40"/>
          <w:sz w:val="24"/>
        </w:rPr>
        <w:t> </w:t>
      </w:r>
      <w:r>
        <w:rPr>
          <w:b/>
          <w:i/>
          <w:sz w:val="24"/>
        </w:rPr>
        <w:t>pruriens</w:t>
      </w:r>
      <w:r>
        <w:rPr>
          <w:b/>
          <w:i/>
          <w:spacing w:val="40"/>
          <w:sz w:val="24"/>
        </w:rPr>
        <w:t> </w:t>
      </w:r>
      <w:r>
        <w:rPr>
          <w:b/>
          <w:sz w:val="24"/>
        </w:rPr>
        <w:t>tablets</w:t>
      </w:r>
      <w:r>
        <w:rPr>
          <w:b/>
          <w:spacing w:val="40"/>
          <w:sz w:val="24"/>
        </w:rPr>
        <w:t> </w:t>
      </w:r>
      <w:r>
        <w:rPr>
          <w:b/>
          <w:sz w:val="24"/>
        </w:rPr>
        <w:t>on</w:t>
      </w:r>
      <w:r>
        <w:rPr>
          <w:b/>
          <w:spacing w:val="40"/>
          <w:sz w:val="24"/>
        </w:rPr>
        <w:t> </w:t>
      </w:r>
      <w:r>
        <w:rPr>
          <w:b/>
          <w:sz w:val="24"/>
        </w:rPr>
        <w:t>alloxan-diabetic</w:t>
      </w:r>
      <w:r>
        <w:rPr>
          <w:b/>
          <w:spacing w:val="40"/>
          <w:sz w:val="24"/>
        </w:rPr>
        <w:t> </w:t>
      </w:r>
      <w:r>
        <w:rPr>
          <w:b/>
          <w:sz w:val="24"/>
        </w:rPr>
        <w:t>rabbits</w:t>
      </w:r>
      <w:r>
        <w:rPr>
          <w:b/>
          <w:spacing w:val="40"/>
          <w:sz w:val="24"/>
        </w:rPr>
        <w:t> </w:t>
      </w:r>
      <w:r>
        <w:rPr>
          <w:b/>
          <w:sz w:val="24"/>
        </w:rPr>
        <w:t>and elimination of glucose kinetics (Mean ± SD)</w:t>
      </w:r>
    </w:p>
    <w:p>
      <w:pPr>
        <w:pStyle w:val="BodyText"/>
        <w:rPr>
          <w:b/>
          <w:sz w:val="20"/>
        </w:rPr>
      </w:pPr>
    </w:p>
    <w:p>
      <w:pPr>
        <w:pStyle w:val="BodyText"/>
        <w:rPr>
          <w:b/>
          <w:sz w:val="20"/>
        </w:rPr>
      </w:pPr>
    </w:p>
    <w:p>
      <w:pPr>
        <w:pStyle w:val="BodyText"/>
        <w:rPr>
          <w:b/>
          <w:sz w:val="20"/>
        </w:rPr>
      </w:pPr>
    </w:p>
    <w:p>
      <w:pPr>
        <w:pStyle w:val="BodyText"/>
        <w:spacing w:before="113"/>
        <w:rPr>
          <w:b/>
          <w:sz w:val="20"/>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8"/>
        <w:gridCol w:w="1479"/>
        <w:gridCol w:w="1437"/>
        <w:gridCol w:w="1527"/>
        <w:gridCol w:w="1563"/>
        <w:gridCol w:w="1853"/>
      </w:tblGrid>
      <w:tr>
        <w:trPr>
          <w:trHeight w:val="1139" w:hRule="atLeast"/>
        </w:trPr>
        <w:tc>
          <w:tcPr>
            <w:tcW w:w="1078" w:type="dxa"/>
            <w:tcBorders>
              <w:top w:val="single" w:sz="4" w:space="0" w:color="000000"/>
              <w:bottom w:val="single" w:sz="4" w:space="0" w:color="000000"/>
            </w:tcBorders>
          </w:tcPr>
          <w:p>
            <w:pPr>
              <w:pStyle w:val="TableParagraph"/>
              <w:spacing w:line="360" w:lineRule="auto"/>
              <w:ind w:left="107" w:right="364"/>
              <w:rPr>
                <w:b/>
                <w:sz w:val="22"/>
              </w:rPr>
            </w:pPr>
            <w:r>
              <w:rPr>
                <w:b/>
                <w:spacing w:val="-4"/>
                <w:sz w:val="22"/>
              </w:rPr>
              <w:t>Time </w:t>
            </w:r>
            <w:r>
              <w:rPr>
                <w:b/>
                <w:spacing w:val="-2"/>
                <w:sz w:val="22"/>
              </w:rPr>
              <w:t>(hour)</w:t>
            </w:r>
          </w:p>
        </w:tc>
        <w:tc>
          <w:tcPr>
            <w:tcW w:w="1479" w:type="dxa"/>
            <w:tcBorders>
              <w:top w:val="single" w:sz="4" w:space="0" w:color="000000"/>
              <w:bottom w:val="single" w:sz="4" w:space="0" w:color="000000"/>
            </w:tcBorders>
          </w:tcPr>
          <w:p>
            <w:pPr>
              <w:pStyle w:val="TableParagraph"/>
              <w:spacing w:line="360" w:lineRule="auto"/>
              <w:ind w:left="369" w:right="381"/>
              <w:rPr>
                <w:b/>
                <w:sz w:val="22"/>
              </w:rPr>
            </w:pPr>
            <w:r>
              <w:rPr>
                <w:b/>
                <w:spacing w:val="-2"/>
                <w:sz w:val="22"/>
              </w:rPr>
              <w:t>Normal control</w:t>
            </w:r>
          </w:p>
          <w:p>
            <w:pPr>
              <w:pStyle w:val="TableParagraph"/>
              <w:spacing w:line="252" w:lineRule="exact"/>
              <w:ind w:left="369"/>
              <w:rPr>
                <w:b/>
                <w:sz w:val="22"/>
              </w:rPr>
            </w:pPr>
            <w:r>
              <w:rPr>
                <w:b/>
                <w:spacing w:val="-2"/>
                <w:sz w:val="22"/>
              </w:rPr>
              <w:t>(mg/dL)</w:t>
            </w:r>
          </w:p>
        </w:tc>
        <w:tc>
          <w:tcPr>
            <w:tcW w:w="1437" w:type="dxa"/>
            <w:tcBorders>
              <w:top w:val="single" w:sz="4" w:space="0" w:color="000000"/>
              <w:bottom w:val="single" w:sz="4" w:space="0" w:color="000000"/>
            </w:tcBorders>
          </w:tcPr>
          <w:p>
            <w:pPr>
              <w:pStyle w:val="TableParagraph"/>
              <w:spacing w:line="360" w:lineRule="auto"/>
              <w:ind w:left="273"/>
              <w:rPr>
                <w:b/>
                <w:sz w:val="22"/>
              </w:rPr>
            </w:pPr>
            <w:r>
              <w:rPr>
                <w:b/>
                <w:spacing w:val="-2"/>
                <w:sz w:val="22"/>
              </w:rPr>
              <w:t>Diabetic control</w:t>
            </w:r>
          </w:p>
          <w:p>
            <w:pPr>
              <w:pStyle w:val="TableParagraph"/>
              <w:spacing w:line="252" w:lineRule="exact"/>
              <w:ind w:left="273"/>
              <w:rPr>
                <w:b/>
                <w:sz w:val="22"/>
              </w:rPr>
            </w:pPr>
            <w:r>
              <w:rPr>
                <w:b/>
                <w:spacing w:val="-2"/>
                <w:sz w:val="22"/>
              </w:rPr>
              <w:t>(mg/dL)</w:t>
            </w:r>
          </w:p>
        </w:tc>
        <w:tc>
          <w:tcPr>
            <w:tcW w:w="1527" w:type="dxa"/>
            <w:tcBorders>
              <w:top w:val="single" w:sz="4" w:space="0" w:color="000000"/>
              <w:bottom w:val="single" w:sz="4" w:space="0" w:color="000000"/>
            </w:tcBorders>
          </w:tcPr>
          <w:p>
            <w:pPr>
              <w:pStyle w:val="TableParagraph"/>
              <w:spacing w:line="251" w:lineRule="exact"/>
              <w:ind w:left="218"/>
              <w:rPr>
                <w:b/>
                <w:sz w:val="22"/>
              </w:rPr>
            </w:pPr>
            <w:r>
              <w:rPr>
                <w:b/>
                <w:spacing w:val="-5"/>
                <w:sz w:val="22"/>
              </w:rPr>
              <w:t>DC</w:t>
            </w:r>
          </w:p>
          <w:p>
            <w:pPr>
              <w:pStyle w:val="TableParagraph"/>
              <w:spacing w:before="126"/>
              <w:ind w:left="273"/>
              <w:rPr>
                <w:b/>
                <w:sz w:val="22"/>
              </w:rPr>
            </w:pPr>
            <w:r>
              <w:rPr>
                <w:b/>
                <w:spacing w:val="-2"/>
                <w:sz w:val="22"/>
              </w:rPr>
              <w:t>(mg/dL)</w:t>
            </w:r>
          </w:p>
        </w:tc>
        <w:tc>
          <w:tcPr>
            <w:tcW w:w="1563" w:type="dxa"/>
            <w:tcBorders>
              <w:top w:val="single" w:sz="4" w:space="0" w:color="000000"/>
              <w:bottom w:val="single" w:sz="4" w:space="0" w:color="000000"/>
            </w:tcBorders>
          </w:tcPr>
          <w:p>
            <w:pPr>
              <w:pStyle w:val="TableParagraph"/>
              <w:spacing w:line="251" w:lineRule="exact"/>
              <w:ind w:left="254"/>
              <w:rPr>
                <w:b/>
                <w:sz w:val="22"/>
              </w:rPr>
            </w:pPr>
            <w:r>
              <w:rPr>
                <w:b/>
                <w:spacing w:val="-5"/>
                <w:sz w:val="22"/>
              </w:rPr>
              <w:t>WG</w:t>
            </w:r>
          </w:p>
          <w:p>
            <w:pPr>
              <w:pStyle w:val="TableParagraph"/>
              <w:spacing w:before="126"/>
              <w:ind w:left="254"/>
              <w:rPr>
                <w:b/>
                <w:sz w:val="22"/>
              </w:rPr>
            </w:pPr>
            <w:r>
              <w:rPr>
                <w:b/>
                <w:spacing w:val="-2"/>
                <w:sz w:val="22"/>
              </w:rPr>
              <w:t>(mg/dL)</w:t>
            </w:r>
          </w:p>
        </w:tc>
        <w:tc>
          <w:tcPr>
            <w:tcW w:w="1853" w:type="dxa"/>
            <w:tcBorders>
              <w:top w:val="single" w:sz="4" w:space="0" w:color="000000"/>
              <w:bottom w:val="single" w:sz="4" w:space="0" w:color="000000"/>
            </w:tcBorders>
          </w:tcPr>
          <w:p>
            <w:pPr>
              <w:pStyle w:val="TableParagraph"/>
              <w:spacing w:line="251" w:lineRule="exact"/>
              <w:ind w:left="256"/>
              <w:rPr>
                <w:b/>
                <w:sz w:val="22"/>
              </w:rPr>
            </w:pPr>
            <w:r>
              <w:rPr>
                <w:b/>
                <w:spacing w:val="-5"/>
                <w:sz w:val="22"/>
              </w:rPr>
              <w:t>GLI</w:t>
            </w:r>
          </w:p>
          <w:p>
            <w:pPr>
              <w:pStyle w:val="TableParagraph"/>
              <w:spacing w:before="126"/>
              <w:ind w:left="256"/>
              <w:rPr>
                <w:b/>
                <w:sz w:val="22"/>
              </w:rPr>
            </w:pPr>
            <w:r>
              <w:rPr>
                <w:b/>
                <w:spacing w:val="-2"/>
                <w:sz w:val="22"/>
              </w:rPr>
              <w:t>(mg/dL)</w:t>
            </w:r>
          </w:p>
        </w:tc>
      </w:tr>
      <w:tr>
        <w:trPr>
          <w:trHeight w:val="314" w:hRule="atLeast"/>
        </w:trPr>
        <w:tc>
          <w:tcPr>
            <w:tcW w:w="1078" w:type="dxa"/>
            <w:tcBorders>
              <w:top w:val="single" w:sz="4" w:space="0" w:color="000000"/>
            </w:tcBorders>
          </w:tcPr>
          <w:p>
            <w:pPr>
              <w:pStyle w:val="TableParagraph"/>
              <w:spacing w:line="247" w:lineRule="exact"/>
              <w:ind w:left="107"/>
              <w:rPr>
                <w:sz w:val="22"/>
              </w:rPr>
            </w:pPr>
            <w:r>
              <w:rPr>
                <w:spacing w:val="-10"/>
                <w:sz w:val="22"/>
              </w:rPr>
              <w:t>0</w:t>
            </w:r>
          </w:p>
        </w:tc>
        <w:tc>
          <w:tcPr>
            <w:tcW w:w="1479" w:type="dxa"/>
            <w:tcBorders>
              <w:top w:val="single" w:sz="4" w:space="0" w:color="000000"/>
            </w:tcBorders>
          </w:tcPr>
          <w:p>
            <w:pPr>
              <w:pStyle w:val="TableParagraph"/>
              <w:spacing w:line="247" w:lineRule="exact"/>
              <w:ind w:left="369"/>
              <w:rPr>
                <w:sz w:val="22"/>
              </w:rPr>
            </w:pPr>
            <w:r>
              <w:rPr>
                <w:sz w:val="22"/>
              </w:rPr>
              <w:t>82.3 </w:t>
            </w:r>
            <w:r>
              <w:rPr>
                <w:spacing w:val="-4"/>
                <w:sz w:val="22"/>
              </w:rPr>
              <w:t>±3.3</w:t>
            </w:r>
          </w:p>
        </w:tc>
        <w:tc>
          <w:tcPr>
            <w:tcW w:w="1437" w:type="dxa"/>
            <w:tcBorders>
              <w:top w:val="single" w:sz="4" w:space="0" w:color="000000"/>
            </w:tcBorders>
          </w:tcPr>
          <w:p>
            <w:pPr>
              <w:pStyle w:val="TableParagraph"/>
              <w:spacing w:line="247" w:lineRule="exact"/>
              <w:ind w:left="273"/>
              <w:rPr>
                <w:sz w:val="22"/>
              </w:rPr>
            </w:pPr>
            <w:r>
              <w:rPr>
                <w:spacing w:val="-2"/>
                <w:sz w:val="22"/>
              </w:rPr>
              <w:t>468.3±8.5</w:t>
            </w:r>
          </w:p>
        </w:tc>
        <w:tc>
          <w:tcPr>
            <w:tcW w:w="1527" w:type="dxa"/>
            <w:tcBorders>
              <w:top w:val="single" w:sz="4" w:space="0" w:color="000000"/>
            </w:tcBorders>
          </w:tcPr>
          <w:p>
            <w:pPr>
              <w:pStyle w:val="TableParagraph"/>
              <w:spacing w:line="247" w:lineRule="exact"/>
              <w:ind w:left="218"/>
              <w:rPr>
                <w:sz w:val="22"/>
              </w:rPr>
            </w:pPr>
            <w:r>
              <w:rPr>
                <w:sz w:val="22"/>
              </w:rPr>
              <w:t>458.8</w:t>
            </w:r>
            <w:r>
              <w:rPr>
                <w:spacing w:val="-3"/>
                <w:sz w:val="22"/>
              </w:rPr>
              <w:t> </w:t>
            </w:r>
            <w:r>
              <w:rPr>
                <w:spacing w:val="-4"/>
                <w:sz w:val="22"/>
              </w:rPr>
              <w:t>±3.5</w:t>
            </w:r>
          </w:p>
        </w:tc>
        <w:tc>
          <w:tcPr>
            <w:tcW w:w="1563" w:type="dxa"/>
            <w:tcBorders>
              <w:top w:val="single" w:sz="4" w:space="0" w:color="000000"/>
            </w:tcBorders>
          </w:tcPr>
          <w:p>
            <w:pPr>
              <w:pStyle w:val="TableParagraph"/>
              <w:spacing w:line="247" w:lineRule="exact"/>
              <w:ind w:left="254"/>
              <w:rPr>
                <w:sz w:val="22"/>
              </w:rPr>
            </w:pPr>
            <w:r>
              <w:rPr>
                <w:sz w:val="22"/>
              </w:rPr>
              <w:t>468.0</w:t>
            </w:r>
            <w:r>
              <w:rPr>
                <w:spacing w:val="-3"/>
                <w:sz w:val="22"/>
              </w:rPr>
              <w:t> </w:t>
            </w:r>
            <w:r>
              <w:rPr>
                <w:spacing w:val="-4"/>
                <w:sz w:val="22"/>
              </w:rPr>
              <w:t>±8.6</w:t>
            </w:r>
          </w:p>
        </w:tc>
        <w:tc>
          <w:tcPr>
            <w:tcW w:w="1853" w:type="dxa"/>
            <w:tcBorders>
              <w:top w:val="single" w:sz="4" w:space="0" w:color="000000"/>
            </w:tcBorders>
          </w:tcPr>
          <w:p>
            <w:pPr>
              <w:pStyle w:val="TableParagraph"/>
              <w:spacing w:line="247" w:lineRule="exact"/>
              <w:ind w:left="256"/>
              <w:rPr>
                <w:sz w:val="22"/>
              </w:rPr>
            </w:pPr>
            <w:r>
              <w:rPr>
                <w:sz w:val="22"/>
              </w:rPr>
              <w:t>463.5</w:t>
            </w:r>
            <w:r>
              <w:rPr>
                <w:spacing w:val="-3"/>
                <w:sz w:val="22"/>
              </w:rPr>
              <w:t> </w:t>
            </w:r>
            <w:r>
              <w:rPr>
                <w:spacing w:val="-4"/>
                <w:sz w:val="22"/>
              </w:rPr>
              <w:t>±5.2</w:t>
            </w:r>
          </w:p>
        </w:tc>
      </w:tr>
      <w:tr>
        <w:trPr>
          <w:trHeight w:val="379" w:hRule="atLeast"/>
        </w:trPr>
        <w:tc>
          <w:tcPr>
            <w:tcW w:w="1078" w:type="dxa"/>
          </w:tcPr>
          <w:p>
            <w:pPr>
              <w:pStyle w:val="TableParagraph"/>
              <w:spacing w:before="58"/>
              <w:ind w:left="107"/>
              <w:rPr>
                <w:sz w:val="22"/>
              </w:rPr>
            </w:pPr>
            <w:r>
              <w:rPr>
                <w:spacing w:val="-10"/>
                <w:sz w:val="22"/>
              </w:rPr>
              <w:t>1</w:t>
            </w:r>
          </w:p>
        </w:tc>
        <w:tc>
          <w:tcPr>
            <w:tcW w:w="1479" w:type="dxa"/>
          </w:tcPr>
          <w:p>
            <w:pPr>
              <w:pStyle w:val="TableParagraph"/>
              <w:spacing w:before="58"/>
              <w:ind w:left="369"/>
              <w:rPr>
                <w:sz w:val="22"/>
              </w:rPr>
            </w:pPr>
            <w:r>
              <w:rPr>
                <w:sz w:val="22"/>
              </w:rPr>
              <w:t>80.5 </w:t>
            </w:r>
            <w:r>
              <w:rPr>
                <w:spacing w:val="-4"/>
                <w:sz w:val="22"/>
              </w:rPr>
              <w:t>±2.4</w:t>
            </w:r>
          </w:p>
        </w:tc>
        <w:tc>
          <w:tcPr>
            <w:tcW w:w="1437" w:type="dxa"/>
          </w:tcPr>
          <w:p>
            <w:pPr>
              <w:pStyle w:val="TableParagraph"/>
              <w:spacing w:before="58"/>
              <w:ind w:left="273"/>
              <w:rPr>
                <w:sz w:val="22"/>
              </w:rPr>
            </w:pPr>
            <w:r>
              <w:rPr>
                <w:sz w:val="22"/>
              </w:rPr>
              <w:t>468.5</w:t>
            </w:r>
            <w:r>
              <w:rPr>
                <w:spacing w:val="-3"/>
                <w:sz w:val="22"/>
              </w:rPr>
              <w:t> </w:t>
            </w:r>
            <w:r>
              <w:rPr>
                <w:spacing w:val="-4"/>
                <w:sz w:val="22"/>
              </w:rPr>
              <w:t>±8.4</w:t>
            </w:r>
          </w:p>
        </w:tc>
        <w:tc>
          <w:tcPr>
            <w:tcW w:w="1527" w:type="dxa"/>
          </w:tcPr>
          <w:p>
            <w:pPr>
              <w:pStyle w:val="TableParagraph"/>
              <w:spacing w:before="58"/>
              <w:ind w:left="218"/>
              <w:rPr>
                <w:sz w:val="22"/>
              </w:rPr>
            </w:pPr>
            <w:r>
              <w:rPr>
                <w:sz w:val="22"/>
              </w:rPr>
              <w:t>453.3</w:t>
            </w:r>
            <w:r>
              <w:rPr>
                <w:spacing w:val="-3"/>
                <w:sz w:val="22"/>
              </w:rPr>
              <w:t> </w:t>
            </w:r>
            <w:r>
              <w:rPr>
                <w:spacing w:val="-4"/>
                <w:sz w:val="22"/>
              </w:rPr>
              <w:t>±4.9</w:t>
            </w:r>
          </w:p>
        </w:tc>
        <w:tc>
          <w:tcPr>
            <w:tcW w:w="1563" w:type="dxa"/>
          </w:tcPr>
          <w:p>
            <w:pPr>
              <w:pStyle w:val="TableParagraph"/>
              <w:spacing w:before="58"/>
              <w:ind w:left="254"/>
              <w:rPr>
                <w:sz w:val="22"/>
              </w:rPr>
            </w:pPr>
            <w:r>
              <w:rPr>
                <w:sz w:val="22"/>
              </w:rPr>
              <w:t>464.3</w:t>
            </w:r>
            <w:r>
              <w:rPr>
                <w:spacing w:val="-3"/>
                <w:sz w:val="22"/>
              </w:rPr>
              <w:t> </w:t>
            </w:r>
            <w:r>
              <w:rPr>
                <w:spacing w:val="-4"/>
                <w:sz w:val="22"/>
              </w:rPr>
              <w:t>±6.9</w:t>
            </w:r>
          </w:p>
        </w:tc>
        <w:tc>
          <w:tcPr>
            <w:tcW w:w="1853" w:type="dxa"/>
          </w:tcPr>
          <w:p>
            <w:pPr>
              <w:pStyle w:val="TableParagraph"/>
              <w:spacing w:before="58"/>
              <w:ind w:left="256"/>
              <w:rPr>
                <w:sz w:val="22"/>
              </w:rPr>
            </w:pPr>
            <w:r>
              <w:rPr>
                <w:sz w:val="22"/>
              </w:rPr>
              <w:t>457.0</w:t>
            </w:r>
            <w:r>
              <w:rPr>
                <w:spacing w:val="-3"/>
                <w:sz w:val="22"/>
              </w:rPr>
              <w:t> </w:t>
            </w:r>
            <w:r>
              <w:rPr>
                <w:spacing w:val="-4"/>
                <w:sz w:val="22"/>
              </w:rPr>
              <w:t>±4.7</w:t>
            </w:r>
          </w:p>
        </w:tc>
      </w:tr>
      <w:tr>
        <w:trPr>
          <w:trHeight w:val="379" w:hRule="atLeast"/>
        </w:trPr>
        <w:tc>
          <w:tcPr>
            <w:tcW w:w="1078" w:type="dxa"/>
          </w:tcPr>
          <w:p>
            <w:pPr>
              <w:pStyle w:val="TableParagraph"/>
              <w:spacing w:before="58"/>
              <w:ind w:left="107"/>
              <w:rPr>
                <w:sz w:val="22"/>
              </w:rPr>
            </w:pPr>
            <w:r>
              <w:rPr>
                <w:spacing w:val="-10"/>
                <w:sz w:val="22"/>
              </w:rPr>
              <w:t>2</w:t>
            </w:r>
          </w:p>
        </w:tc>
        <w:tc>
          <w:tcPr>
            <w:tcW w:w="1479" w:type="dxa"/>
          </w:tcPr>
          <w:p>
            <w:pPr>
              <w:pStyle w:val="TableParagraph"/>
              <w:spacing w:before="58"/>
              <w:ind w:left="369"/>
              <w:rPr>
                <w:sz w:val="22"/>
              </w:rPr>
            </w:pPr>
            <w:r>
              <w:rPr>
                <w:sz w:val="22"/>
              </w:rPr>
              <w:t>81.9 </w:t>
            </w:r>
            <w:r>
              <w:rPr>
                <w:spacing w:val="-4"/>
                <w:sz w:val="22"/>
              </w:rPr>
              <w:t>±2.5</w:t>
            </w:r>
          </w:p>
        </w:tc>
        <w:tc>
          <w:tcPr>
            <w:tcW w:w="1437" w:type="dxa"/>
          </w:tcPr>
          <w:p>
            <w:pPr>
              <w:pStyle w:val="TableParagraph"/>
              <w:spacing w:before="58"/>
              <w:ind w:left="273"/>
              <w:rPr>
                <w:sz w:val="22"/>
              </w:rPr>
            </w:pPr>
            <w:r>
              <w:rPr>
                <w:sz w:val="22"/>
              </w:rPr>
              <w:t>469.0</w:t>
            </w:r>
            <w:r>
              <w:rPr>
                <w:spacing w:val="-3"/>
                <w:sz w:val="22"/>
              </w:rPr>
              <w:t> </w:t>
            </w:r>
            <w:r>
              <w:rPr>
                <w:spacing w:val="-4"/>
                <w:sz w:val="22"/>
              </w:rPr>
              <w:t>±8.8</w:t>
            </w:r>
          </w:p>
        </w:tc>
        <w:tc>
          <w:tcPr>
            <w:tcW w:w="1527" w:type="dxa"/>
          </w:tcPr>
          <w:p>
            <w:pPr>
              <w:pStyle w:val="TableParagraph"/>
              <w:spacing w:before="58"/>
              <w:ind w:left="218"/>
              <w:rPr>
                <w:sz w:val="22"/>
              </w:rPr>
            </w:pPr>
            <w:r>
              <w:rPr>
                <w:sz w:val="22"/>
              </w:rPr>
              <w:t>447.3</w:t>
            </w:r>
            <w:r>
              <w:rPr>
                <w:spacing w:val="-3"/>
                <w:sz w:val="22"/>
              </w:rPr>
              <w:t> </w:t>
            </w:r>
            <w:r>
              <w:rPr>
                <w:spacing w:val="-4"/>
                <w:sz w:val="22"/>
              </w:rPr>
              <w:t>±6.9</w:t>
            </w:r>
          </w:p>
        </w:tc>
        <w:tc>
          <w:tcPr>
            <w:tcW w:w="1563" w:type="dxa"/>
          </w:tcPr>
          <w:p>
            <w:pPr>
              <w:pStyle w:val="TableParagraph"/>
              <w:spacing w:before="58"/>
              <w:ind w:left="254"/>
              <w:rPr>
                <w:sz w:val="22"/>
              </w:rPr>
            </w:pPr>
            <w:r>
              <w:rPr>
                <w:sz w:val="22"/>
              </w:rPr>
              <w:t>458.8</w:t>
            </w:r>
            <w:r>
              <w:rPr>
                <w:spacing w:val="-3"/>
                <w:sz w:val="22"/>
              </w:rPr>
              <w:t> </w:t>
            </w:r>
            <w:r>
              <w:rPr>
                <w:spacing w:val="-4"/>
                <w:sz w:val="22"/>
              </w:rPr>
              <w:t>±7.9</w:t>
            </w:r>
          </w:p>
        </w:tc>
        <w:tc>
          <w:tcPr>
            <w:tcW w:w="1853" w:type="dxa"/>
          </w:tcPr>
          <w:p>
            <w:pPr>
              <w:pStyle w:val="TableParagraph"/>
              <w:spacing w:before="58"/>
              <w:ind w:left="256"/>
              <w:rPr>
                <w:sz w:val="22"/>
              </w:rPr>
            </w:pPr>
            <w:r>
              <w:rPr>
                <w:sz w:val="22"/>
              </w:rPr>
              <w:t>447.0</w:t>
            </w:r>
            <w:r>
              <w:rPr>
                <w:spacing w:val="-3"/>
                <w:sz w:val="22"/>
              </w:rPr>
              <w:t> </w:t>
            </w:r>
            <w:r>
              <w:rPr>
                <w:spacing w:val="-4"/>
                <w:sz w:val="22"/>
              </w:rPr>
              <w:t>±8.9</w:t>
            </w:r>
          </w:p>
        </w:tc>
      </w:tr>
      <w:tr>
        <w:trPr>
          <w:trHeight w:val="379" w:hRule="atLeast"/>
        </w:trPr>
        <w:tc>
          <w:tcPr>
            <w:tcW w:w="1078" w:type="dxa"/>
          </w:tcPr>
          <w:p>
            <w:pPr>
              <w:pStyle w:val="TableParagraph"/>
              <w:spacing w:before="59"/>
              <w:ind w:left="107"/>
              <w:rPr>
                <w:sz w:val="22"/>
              </w:rPr>
            </w:pPr>
            <w:r>
              <w:rPr>
                <w:spacing w:val="-10"/>
                <w:sz w:val="22"/>
              </w:rPr>
              <w:t>3</w:t>
            </w:r>
          </w:p>
        </w:tc>
        <w:tc>
          <w:tcPr>
            <w:tcW w:w="1479" w:type="dxa"/>
          </w:tcPr>
          <w:p>
            <w:pPr>
              <w:pStyle w:val="TableParagraph"/>
              <w:spacing w:before="59"/>
              <w:ind w:left="369"/>
              <w:rPr>
                <w:sz w:val="22"/>
              </w:rPr>
            </w:pPr>
            <w:r>
              <w:rPr>
                <w:sz w:val="22"/>
              </w:rPr>
              <w:t>81.5 </w:t>
            </w:r>
            <w:r>
              <w:rPr>
                <w:spacing w:val="-4"/>
                <w:sz w:val="22"/>
              </w:rPr>
              <w:t>±2.4</w:t>
            </w:r>
          </w:p>
        </w:tc>
        <w:tc>
          <w:tcPr>
            <w:tcW w:w="1437" w:type="dxa"/>
          </w:tcPr>
          <w:p>
            <w:pPr>
              <w:pStyle w:val="TableParagraph"/>
              <w:spacing w:before="59"/>
              <w:ind w:left="273"/>
              <w:rPr>
                <w:sz w:val="22"/>
              </w:rPr>
            </w:pPr>
            <w:r>
              <w:rPr>
                <w:sz w:val="22"/>
              </w:rPr>
              <w:t>470.0</w:t>
            </w:r>
            <w:r>
              <w:rPr>
                <w:spacing w:val="-3"/>
                <w:sz w:val="22"/>
              </w:rPr>
              <w:t> </w:t>
            </w:r>
            <w:r>
              <w:rPr>
                <w:spacing w:val="-4"/>
                <w:sz w:val="22"/>
              </w:rPr>
              <w:t>±8.0</w:t>
            </w:r>
          </w:p>
        </w:tc>
        <w:tc>
          <w:tcPr>
            <w:tcW w:w="1527" w:type="dxa"/>
          </w:tcPr>
          <w:p>
            <w:pPr>
              <w:pStyle w:val="TableParagraph"/>
              <w:spacing w:before="59"/>
              <w:ind w:left="218"/>
              <w:rPr>
                <w:sz w:val="22"/>
              </w:rPr>
            </w:pPr>
            <w:r>
              <w:rPr>
                <w:sz w:val="22"/>
              </w:rPr>
              <w:t>438.3</w:t>
            </w:r>
            <w:r>
              <w:rPr>
                <w:spacing w:val="-3"/>
                <w:sz w:val="22"/>
              </w:rPr>
              <w:t> </w:t>
            </w:r>
            <w:r>
              <w:rPr>
                <w:spacing w:val="-4"/>
                <w:sz w:val="22"/>
              </w:rPr>
              <w:t>±5.2</w:t>
            </w:r>
          </w:p>
        </w:tc>
        <w:tc>
          <w:tcPr>
            <w:tcW w:w="1563" w:type="dxa"/>
          </w:tcPr>
          <w:p>
            <w:pPr>
              <w:pStyle w:val="TableParagraph"/>
              <w:spacing w:before="59"/>
              <w:ind w:left="254"/>
              <w:rPr>
                <w:sz w:val="22"/>
              </w:rPr>
            </w:pPr>
            <w:r>
              <w:rPr>
                <w:sz w:val="22"/>
              </w:rPr>
              <w:t>451.8</w:t>
            </w:r>
            <w:r>
              <w:rPr>
                <w:spacing w:val="-3"/>
                <w:sz w:val="22"/>
              </w:rPr>
              <w:t> </w:t>
            </w:r>
            <w:r>
              <w:rPr>
                <w:spacing w:val="-4"/>
                <w:sz w:val="22"/>
              </w:rPr>
              <w:t>±7.7</w:t>
            </w:r>
          </w:p>
        </w:tc>
        <w:tc>
          <w:tcPr>
            <w:tcW w:w="1853" w:type="dxa"/>
          </w:tcPr>
          <w:p>
            <w:pPr>
              <w:pStyle w:val="TableParagraph"/>
              <w:spacing w:before="59"/>
              <w:ind w:left="256"/>
              <w:rPr>
                <w:sz w:val="22"/>
              </w:rPr>
            </w:pPr>
            <w:r>
              <w:rPr>
                <w:sz w:val="22"/>
              </w:rPr>
              <w:t>437.5</w:t>
            </w:r>
            <w:r>
              <w:rPr>
                <w:spacing w:val="-3"/>
                <w:sz w:val="22"/>
              </w:rPr>
              <w:t> </w:t>
            </w:r>
            <w:r>
              <w:rPr>
                <w:spacing w:val="-4"/>
                <w:sz w:val="22"/>
              </w:rPr>
              <w:t>±7.7</w:t>
            </w:r>
          </w:p>
        </w:tc>
      </w:tr>
      <w:tr>
        <w:trPr>
          <w:trHeight w:val="379" w:hRule="atLeast"/>
        </w:trPr>
        <w:tc>
          <w:tcPr>
            <w:tcW w:w="1078" w:type="dxa"/>
          </w:tcPr>
          <w:p>
            <w:pPr>
              <w:pStyle w:val="TableParagraph"/>
              <w:spacing w:before="58"/>
              <w:ind w:left="107"/>
              <w:rPr>
                <w:sz w:val="22"/>
              </w:rPr>
            </w:pPr>
            <w:r>
              <w:rPr>
                <w:spacing w:val="-10"/>
                <w:sz w:val="22"/>
              </w:rPr>
              <w:t>4</w:t>
            </w:r>
          </w:p>
        </w:tc>
        <w:tc>
          <w:tcPr>
            <w:tcW w:w="1479" w:type="dxa"/>
          </w:tcPr>
          <w:p>
            <w:pPr>
              <w:pStyle w:val="TableParagraph"/>
              <w:spacing w:before="58"/>
              <w:ind w:left="369"/>
              <w:rPr>
                <w:sz w:val="22"/>
              </w:rPr>
            </w:pPr>
            <w:r>
              <w:rPr>
                <w:sz w:val="22"/>
              </w:rPr>
              <w:t>81.3 </w:t>
            </w:r>
            <w:r>
              <w:rPr>
                <w:spacing w:val="-4"/>
                <w:sz w:val="22"/>
              </w:rPr>
              <w:t>±2.6</w:t>
            </w:r>
          </w:p>
        </w:tc>
        <w:tc>
          <w:tcPr>
            <w:tcW w:w="1437" w:type="dxa"/>
          </w:tcPr>
          <w:p>
            <w:pPr>
              <w:pStyle w:val="TableParagraph"/>
              <w:spacing w:before="58"/>
              <w:ind w:left="273"/>
              <w:rPr>
                <w:sz w:val="22"/>
              </w:rPr>
            </w:pPr>
            <w:r>
              <w:rPr>
                <w:sz w:val="22"/>
              </w:rPr>
              <w:t>470.0</w:t>
            </w:r>
            <w:r>
              <w:rPr>
                <w:spacing w:val="-3"/>
                <w:sz w:val="22"/>
              </w:rPr>
              <w:t> </w:t>
            </w:r>
            <w:r>
              <w:rPr>
                <w:spacing w:val="-4"/>
                <w:sz w:val="22"/>
              </w:rPr>
              <w:t>±8.7</w:t>
            </w:r>
          </w:p>
        </w:tc>
        <w:tc>
          <w:tcPr>
            <w:tcW w:w="1527" w:type="dxa"/>
          </w:tcPr>
          <w:p>
            <w:pPr>
              <w:pStyle w:val="TableParagraph"/>
              <w:spacing w:before="58"/>
              <w:ind w:left="218"/>
              <w:rPr>
                <w:sz w:val="22"/>
              </w:rPr>
            </w:pPr>
            <w:r>
              <w:rPr>
                <w:sz w:val="22"/>
              </w:rPr>
              <w:t>420.0</w:t>
            </w:r>
            <w:r>
              <w:rPr>
                <w:spacing w:val="-3"/>
                <w:sz w:val="22"/>
              </w:rPr>
              <w:t> </w:t>
            </w:r>
            <w:r>
              <w:rPr>
                <w:spacing w:val="-2"/>
                <w:sz w:val="22"/>
              </w:rPr>
              <w:t>±10.6</w:t>
            </w:r>
          </w:p>
        </w:tc>
        <w:tc>
          <w:tcPr>
            <w:tcW w:w="1563" w:type="dxa"/>
          </w:tcPr>
          <w:p>
            <w:pPr>
              <w:pStyle w:val="TableParagraph"/>
              <w:spacing w:before="58"/>
              <w:ind w:left="254"/>
              <w:rPr>
                <w:sz w:val="22"/>
              </w:rPr>
            </w:pPr>
            <w:r>
              <w:rPr>
                <w:sz w:val="22"/>
              </w:rPr>
              <w:t>440.3</w:t>
            </w:r>
            <w:r>
              <w:rPr>
                <w:spacing w:val="-3"/>
                <w:sz w:val="22"/>
              </w:rPr>
              <w:t> </w:t>
            </w:r>
            <w:r>
              <w:rPr>
                <w:spacing w:val="-2"/>
                <w:sz w:val="22"/>
              </w:rPr>
              <w:t>±11.8</w:t>
            </w:r>
          </w:p>
        </w:tc>
        <w:tc>
          <w:tcPr>
            <w:tcW w:w="1853" w:type="dxa"/>
          </w:tcPr>
          <w:p>
            <w:pPr>
              <w:pStyle w:val="TableParagraph"/>
              <w:spacing w:before="58"/>
              <w:ind w:left="256"/>
              <w:rPr>
                <w:sz w:val="22"/>
              </w:rPr>
            </w:pPr>
            <w:r>
              <w:rPr>
                <w:sz w:val="22"/>
              </w:rPr>
              <w:t>417.5</w:t>
            </w:r>
            <w:r>
              <w:rPr>
                <w:spacing w:val="-3"/>
                <w:sz w:val="22"/>
              </w:rPr>
              <w:t> </w:t>
            </w:r>
            <w:r>
              <w:rPr>
                <w:spacing w:val="-4"/>
                <w:sz w:val="22"/>
              </w:rPr>
              <w:t>±6.4</w:t>
            </w:r>
          </w:p>
        </w:tc>
      </w:tr>
      <w:tr>
        <w:trPr>
          <w:trHeight w:val="379" w:hRule="atLeast"/>
        </w:trPr>
        <w:tc>
          <w:tcPr>
            <w:tcW w:w="1078" w:type="dxa"/>
          </w:tcPr>
          <w:p>
            <w:pPr>
              <w:pStyle w:val="TableParagraph"/>
              <w:spacing w:before="58"/>
              <w:ind w:left="107"/>
              <w:rPr>
                <w:sz w:val="22"/>
              </w:rPr>
            </w:pPr>
            <w:r>
              <w:rPr>
                <w:spacing w:val="-10"/>
                <w:sz w:val="22"/>
              </w:rPr>
              <w:t>5</w:t>
            </w:r>
          </w:p>
        </w:tc>
        <w:tc>
          <w:tcPr>
            <w:tcW w:w="1479" w:type="dxa"/>
          </w:tcPr>
          <w:p>
            <w:pPr>
              <w:pStyle w:val="TableParagraph"/>
              <w:spacing w:before="58"/>
              <w:ind w:left="369"/>
              <w:rPr>
                <w:sz w:val="22"/>
              </w:rPr>
            </w:pPr>
            <w:r>
              <w:rPr>
                <w:sz w:val="22"/>
              </w:rPr>
              <w:t>81.5 </w:t>
            </w:r>
            <w:r>
              <w:rPr>
                <w:spacing w:val="-4"/>
                <w:sz w:val="22"/>
              </w:rPr>
              <w:t>±1.5</w:t>
            </w:r>
          </w:p>
        </w:tc>
        <w:tc>
          <w:tcPr>
            <w:tcW w:w="1437" w:type="dxa"/>
          </w:tcPr>
          <w:p>
            <w:pPr>
              <w:pStyle w:val="TableParagraph"/>
              <w:spacing w:before="58"/>
              <w:ind w:left="273"/>
              <w:rPr>
                <w:sz w:val="22"/>
              </w:rPr>
            </w:pPr>
            <w:r>
              <w:rPr>
                <w:sz w:val="22"/>
              </w:rPr>
              <w:t>473.5</w:t>
            </w:r>
            <w:r>
              <w:rPr>
                <w:spacing w:val="-3"/>
                <w:sz w:val="22"/>
              </w:rPr>
              <w:t> </w:t>
            </w:r>
            <w:r>
              <w:rPr>
                <w:spacing w:val="-4"/>
                <w:sz w:val="22"/>
              </w:rPr>
              <w:t>±6.7</w:t>
            </w:r>
          </w:p>
        </w:tc>
        <w:tc>
          <w:tcPr>
            <w:tcW w:w="1527" w:type="dxa"/>
          </w:tcPr>
          <w:p>
            <w:pPr>
              <w:pStyle w:val="TableParagraph"/>
              <w:spacing w:before="58"/>
              <w:ind w:left="218"/>
              <w:rPr>
                <w:sz w:val="22"/>
              </w:rPr>
            </w:pPr>
            <w:r>
              <w:rPr>
                <w:sz w:val="22"/>
              </w:rPr>
              <w:t>408.0</w:t>
            </w:r>
            <w:r>
              <w:rPr>
                <w:spacing w:val="-3"/>
                <w:sz w:val="22"/>
              </w:rPr>
              <w:t> </w:t>
            </w:r>
            <w:r>
              <w:rPr>
                <w:spacing w:val="-2"/>
                <w:sz w:val="22"/>
              </w:rPr>
              <w:t>±14.5</w:t>
            </w:r>
          </w:p>
        </w:tc>
        <w:tc>
          <w:tcPr>
            <w:tcW w:w="1563" w:type="dxa"/>
          </w:tcPr>
          <w:p>
            <w:pPr>
              <w:pStyle w:val="TableParagraph"/>
              <w:spacing w:before="58"/>
              <w:ind w:left="254"/>
              <w:rPr>
                <w:sz w:val="22"/>
              </w:rPr>
            </w:pPr>
            <w:r>
              <w:rPr>
                <w:sz w:val="22"/>
              </w:rPr>
              <w:t>431.5</w:t>
            </w:r>
            <w:r>
              <w:rPr>
                <w:spacing w:val="-3"/>
                <w:sz w:val="22"/>
              </w:rPr>
              <w:t> </w:t>
            </w:r>
            <w:r>
              <w:rPr>
                <w:spacing w:val="-2"/>
                <w:sz w:val="22"/>
              </w:rPr>
              <w:t>±11.3</w:t>
            </w:r>
          </w:p>
        </w:tc>
        <w:tc>
          <w:tcPr>
            <w:tcW w:w="1853" w:type="dxa"/>
          </w:tcPr>
          <w:p>
            <w:pPr>
              <w:pStyle w:val="TableParagraph"/>
              <w:spacing w:before="58"/>
              <w:ind w:left="256"/>
              <w:rPr>
                <w:sz w:val="22"/>
              </w:rPr>
            </w:pPr>
            <w:r>
              <w:rPr>
                <w:sz w:val="22"/>
              </w:rPr>
              <w:t>410.3</w:t>
            </w:r>
            <w:r>
              <w:rPr>
                <w:spacing w:val="-3"/>
                <w:sz w:val="22"/>
              </w:rPr>
              <w:t> </w:t>
            </w:r>
            <w:r>
              <w:rPr>
                <w:spacing w:val="-4"/>
                <w:sz w:val="22"/>
              </w:rPr>
              <w:t>±6.9</w:t>
            </w:r>
          </w:p>
        </w:tc>
      </w:tr>
      <w:tr>
        <w:trPr>
          <w:trHeight w:val="379" w:hRule="atLeast"/>
        </w:trPr>
        <w:tc>
          <w:tcPr>
            <w:tcW w:w="1078" w:type="dxa"/>
          </w:tcPr>
          <w:p>
            <w:pPr>
              <w:pStyle w:val="TableParagraph"/>
              <w:spacing w:before="58"/>
              <w:ind w:left="107"/>
              <w:rPr>
                <w:sz w:val="22"/>
              </w:rPr>
            </w:pPr>
            <w:r>
              <w:rPr>
                <w:spacing w:val="-10"/>
                <w:sz w:val="22"/>
              </w:rPr>
              <w:t>6</w:t>
            </w:r>
          </w:p>
        </w:tc>
        <w:tc>
          <w:tcPr>
            <w:tcW w:w="1479" w:type="dxa"/>
          </w:tcPr>
          <w:p>
            <w:pPr>
              <w:pStyle w:val="TableParagraph"/>
              <w:spacing w:before="58"/>
              <w:ind w:left="369"/>
              <w:rPr>
                <w:sz w:val="22"/>
              </w:rPr>
            </w:pPr>
            <w:r>
              <w:rPr>
                <w:sz w:val="22"/>
              </w:rPr>
              <w:t>80.8 </w:t>
            </w:r>
            <w:r>
              <w:rPr>
                <w:spacing w:val="-4"/>
                <w:sz w:val="22"/>
              </w:rPr>
              <w:t>±3.4</w:t>
            </w:r>
          </w:p>
        </w:tc>
        <w:tc>
          <w:tcPr>
            <w:tcW w:w="1437" w:type="dxa"/>
          </w:tcPr>
          <w:p>
            <w:pPr>
              <w:pStyle w:val="TableParagraph"/>
              <w:spacing w:before="58"/>
              <w:ind w:left="273"/>
              <w:rPr>
                <w:sz w:val="22"/>
              </w:rPr>
            </w:pPr>
            <w:r>
              <w:rPr>
                <w:sz w:val="22"/>
              </w:rPr>
              <w:t>474.8</w:t>
            </w:r>
            <w:r>
              <w:rPr>
                <w:spacing w:val="-3"/>
                <w:sz w:val="22"/>
              </w:rPr>
              <w:t> </w:t>
            </w:r>
            <w:r>
              <w:rPr>
                <w:spacing w:val="-4"/>
                <w:sz w:val="22"/>
              </w:rPr>
              <w:t>±6.7</w:t>
            </w:r>
          </w:p>
        </w:tc>
        <w:tc>
          <w:tcPr>
            <w:tcW w:w="1527" w:type="dxa"/>
          </w:tcPr>
          <w:p>
            <w:pPr>
              <w:pStyle w:val="TableParagraph"/>
              <w:spacing w:before="58"/>
              <w:ind w:left="218"/>
              <w:rPr>
                <w:sz w:val="22"/>
              </w:rPr>
            </w:pPr>
            <w:r>
              <w:rPr>
                <w:sz w:val="22"/>
              </w:rPr>
              <w:t>401.0</w:t>
            </w:r>
            <w:r>
              <w:rPr>
                <w:spacing w:val="-3"/>
                <w:sz w:val="22"/>
              </w:rPr>
              <w:t> </w:t>
            </w:r>
            <w:r>
              <w:rPr>
                <w:spacing w:val="-2"/>
                <w:sz w:val="22"/>
              </w:rPr>
              <w:t>±10.1</w:t>
            </w:r>
          </w:p>
        </w:tc>
        <w:tc>
          <w:tcPr>
            <w:tcW w:w="1563" w:type="dxa"/>
          </w:tcPr>
          <w:p>
            <w:pPr>
              <w:pStyle w:val="TableParagraph"/>
              <w:spacing w:before="58"/>
              <w:ind w:left="254"/>
              <w:rPr>
                <w:sz w:val="22"/>
              </w:rPr>
            </w:pPr>
            <w:r>
              <w:rPr>
                <w:sz w:val="22"/>
              </w:rPr>
              <w:t>423.3</w:t>
            </w:r>
            <w:r>
              <w:rPr>
                <w:spacing w:val="-3"/>
                <w:sz w:val="22"/>
              </w:rPr>
              <w:t> </w:t>
            </w:r>
            <w:r>
              <w:rPr>
                <w:spacing w:val="-2"/>
                <w:sz w:val="22"/>
              </w:rPr>
              <w:t>±11.5</w:t>
            </w:r>
          </w:p>
        </w:tc>
        <w:tc>
          <w:tcPr>
            <w:tcW w:w="1853" w:type="dxa"/>
          </w:tcPr>
          <w:p>
            <w:pPr>
              <w:pStyle w:val="TableParagraph"/>
              <w:spacing w:before="58"/>
              <w:ind w:left="256"/>
              <w:rPr>
                <w:sz w:val="22"/>
              </w:rPr>
            </w:pPr>
            <w:r>
              <w:rPr>
                <w:sz w:val="22"/>
              </w:rPr>
              <w:t>389.8</w:t>
            </w:r>
            <w:r>
              <w:rPr>
                <w:spacing w:val="-3"/>
                <w:sz w:val="22"/>
              </w:rPr>
              <w:t> </w:t>
            </w:r>
            <w:r>
              <w:rPr>
                <w:spacing w:val="-4"/>
                <w:sz w:val="22"/>
              </w:rPr>
              <w:t>±9.3</w:t>
            </w:r>
          </w:p>
        </w:tc>
      </w:tr>
      <w:tr>
        <w:trPr>
          <w:trHeight w:val="380" w:hRule="atLeast"/>
        </w:trPr>
        <w:tc>
          <w:tcPr>
            <w:tcW w:w="1078" w:type="dxa"/>
          </w:tcPr>
          <w:p>
            <w:pPr>
              <w:pStyle w:val="TableParagraph"/>
              <w:spacing w:before="58"/>
              <w:ind w:left="107"/>
              <w:rPr>
                <w:sz w:val="22"/>
              </w:rPr>
            </w:pPr>
            <w:r>
              <w:rPr>
                <w:spacing w:val="-10"/>
                <w:sz w:val="22"/>
              </w:rPr>
              <w:t>7</w:t>
            </w:r>
          </w:p>
        </w:tc>
        <w:tc>
          <w:tcPr>
            <w:tcW w:w="1479" w:type="dxa"/>
          </w:tcPr>
          <w:p>
            <w:pPr>
              <w:pStyle w:val="TableParagraph"/>
              <w:spacing w:before="58"/>
              <w:ind w:left="369"/>
              <w:rPr>
                <w:sz w:val="22"/>
              </w:rPr>
            </w:pPr>
            <w:r>
              <w:rPr>
                <w:sz w:val="22"/>
              </w:rPr>
              <w:t>81.3 </w:t>
            </w:r>
            <w:r>
              <w:rPr>
                <w:spacing w:val="-4"/>
                <w:sz w:val="22"/>
              </w:rPr>
              <w:t>±2.4</w:t>
            </w:r>
          </w:p>
        </w:tc>
        <w:tc>
          <w:tcPr>
            <w:tcW w:w="1437" w:type="dxa"/>
          </w:tcPr>
          <w:p>
            <w:pPr>
              <w:pStyle w:val="TableParagraph"/>
              <w:spacing w:before="58"/>
              <w:ind w:left="273"/>
              <w:rPr>
                <w:sz w:val="22"/>
              </w:rPr>
            </w:pPr>
            <w:r>
              <w:rPr>
                <w:sz w:val="22"/>
              </w:rPr>
              <w:t>476.0</w:t>
            </w:r>
            <w:r>
              <w:rPr>
                <w:spacing w:val="-3"/>
                <w:sz w:val="22"/>
              </w:rPr>
              <w:t> </w:t>
            </w:r>
            <w:r>
              <w:rPr>
                <w:spacing w:val="-4"/>
                <w:sz w:val="22"/>
              </w:rPr>
              <w:t>±6.6</w:t>
            </w:r>
          </w:p>
        </w:tc>
        <w:tc>
          <w:tcPr>
            <w:tcW w:w="1527" w:type="dxa"/>
          </w:tcPr>
          <w:p>
            <w:pPr>
              <w:pStyle w:val="TableParagraph"/>
              <w:spacing w:before="58"/>
              <w:ind w:left="218"/>
              <w:rPr>
                <w:sz w:val="22"/>
              </w:rPr>
            </w:pPr>
            <w:r>
              <w:rPr>
                <w:sz w:val="22"/>
              </w:rPr>
              <w:t>388.5</w:t>
            </w:r>
            <w:r>
              <w:rPr>
                <w:spacing w:val="-3"/>
                <w:sz w:val="22"/>
              </w:rPr>
              <w:t> </w:t>
            </w:r>
            <w:r>
              <w:rPr>
                <w:spacing w:val="-4"/>
                <w:sz w:val="22"/>
              </w:rPr>
              <w:t>±6.5</w:t>
            </w:r>
          </w:p>
        </w:tc>
        <w:tc>
          <w:tcPr>
            <w:tcW w:w="1563" w:type="dxa"/>
          </w:tcPr>
          <w:p>
            <w:pPr>
              <w:pStyle w:val="TableParagraph"/>
              <w:spacing w:before="58"/>
              <w:ind w:left="254"/>
              <w:rPr>
                <w:sz w:val="22"/>
              </w:rPr>
            </w:pPr>
            <w:r>
              <w:rPr>
                <w:sz w:val="22"/>
              </w:rPr>
              <w:t>411.3</w:t>
            </w:r>
            <w:r>
              <w:rPr>
                <w:spacing w:val="-3"/>
                <w:sz w:val="22"/>
              </w:rPr>
              <w:t> </w:t>
            </w:r>
            <w:r>
              <w:rPr>
                <w:spacing w:val="-2"/>
                <w:sz w:val="22"/>
              </w:rPr>
              <w:t>±15.5</w:t>
            </w:r>
          </w:p>
        </w:tc>
        <w:tc>
          <w:tcPr>
            <w:tcW w:w="1853" w:type="dxa"/>
          </w:tcPr>
          <w:p>
            <w:pPr>
              <w:pStyle w:val="TableParagraph"/>
              <w:spacing w:before="58"/>
              <w:ind w:left="256"/>
              <w:rPr>
                <w:sz w:val="22"/>
              </w:rPr>
            </w:pPr>
            <w:r>
              <w:rPr>
                <w:sz w:val="22"/>
              </w:rPr>
              <w:t>370.8</w:t>
            </w:r>
            <w:r>
              <w:rPr>
                <w:spacing w:val="-3"/>
                <w:sz w:val="22"/>
              </w:rPr>
              <w:t> </w:t>
            </w:r>
            <w:r>
              <w:rPr>
                <w:spacing w:val="-4"/>
                <w:sz w:val="22"/>
              </w:rPr>
              <w:t>±8.2</w:t>
            </w:r>
          </w:p>
        </w:tc>
      </w:tr>
      <w:tr>
        <w:trPr>
          <w:trHeight w:val="380" w:hRule="atLeast"/>
        </w:trPr>
        <w:tc>
          <w:tcPr>
            <w:tcW w:w="1078" w:type="dxa"/>
          </w:tcPr>
          <w:p>
            <w:pPr>
              <w:pStyle w:val="TableParagraph"/>
              <w:spacing w:before="60"/>
              <w:ind w:left="107"/>
              <w:rPr>
                <w:sz w:val="22"/>
              </w:rPr>
            </w:pPr>
            <w:r>
              <w:rPr>
                <w:spacing w:val="-10"/>
                <w:sz w:val="22"/>
              </w:rPr>
              <w:t>8</w:t>
            </w:r>
          </w:p>
        </w:tc>
        <w:tc>
          <w:tcPr>
            <w:tcW w:w="1479" w:type="dxa"/>
          </w:tcPr>
          <w:p>
            <w:pPr>
              <w:pStyle w:val="TableParagraph"/>
              <w:spacing w:before="60"/>
              <w:ind w:left="369"/>
              <w:rPr>
                <w:sz w:val="22"/>
              </w:rPr>
            </w:pPr>
            <w:r>
              <w:rPr>
                <w:sz w:val="22"/>
              </w:rPr>
              <w:t>82.0 </w:t>
            </w:r>
            <w:r>
              <w:rPr>
                <w:spacing w:val="-4"/>
                <w:sz w:val="22"/>
              </w:rPr>
              <w:t>±2.1</w:t>
            </w:r>
          </w:p>
        </w:tc>
        <w:tc>
          <w:tcPr>
            <w:tcW w:w="1437" w:type="dxa"/>
          </w:tcPr>
          <w:p>
            <w:pPr>
              <w:pStyle w:val="TableParagraph"/>
              <w:spacing w:before="60"/>
              <w:ind w:left="273"/>
              <w:rPr>
                <w:sz w:val="22"/>
              </w:rPr>
            </w:pPr>
            <w:r>
              <w:rPr>
                <w:sz w:val="22"/>
              </w:rPr>
              <w:t>477.8</w:t>
            </w:r>
            <w:r>
              <w:rPr>
                <w:spacing w:val="-3"/>
                <w:sz w:val="22"/>
              </w:rPr>
              <w:t> </w:t>
            </w:r>
            <w:r>
              <w:rPr>
                <w:spacing w:val="-4"/>
                <w:sz w:val="22"/>
              </w:rPr>
              <w:t>±6.2</w:t>
            </w:r>
          </w:p>
        </w:tc>
        <w:tc>
          <w:tcPr>
            <w:tcW w:w="1527" w:type="dxa"/>
          </w:tcPr>
          <w:p>
            <w:pPr>
              <w:pStyle w:val="TableParagraph"/>
              <w:spacing w:before="60"/>
              <w:ind w:left="218"/>
              <w:rPr>
                <w:sz w:val="22"/>
              </w:rPr>
            </w:pPr>
            <w:r>
              <w:rPr>
                <w:sz w:val="22"/>
              </w:rPr>
              <w:t>377.8</w:t>
            </w:r>
            <w:r>
              <w:rPr>
                <w:spacing w:val="-3"/>
                <w:sz w:val="22"/>
              </w:rPr>
              <w:t> </w:t>
            </w:r>
            <w:r>
              <w:rPr>
                <w:spacing w:val="-4"/>
                <w:sz w:val="22"/>
              </w:rPr>
              <w:t>±4.9</w:t>
            </w:r>
          </w:p>
        </w:tc>
        <w:tc>
          <w:tcPr>
            <w:tcW w:w="1563" w:type="dxa"/>
          </w:tcPr>
          <w:p>
            <w:pPr>
              <w:pStyle w:val="TableParagraph"/>
              <w:spacing w:before="60"/>
              <w:ind w:left="254"/>
              <w:rPr>
                <w:sz w:val="22"/>
              </w:rPr>
            </w:pPr>
            <w:r>
              <w:rPr>
                <w:sz w:val="22"/>
              </w:rPr>
              <w:t>397.8</w:t>
            </w:r>
            <w:r>
              <w:rPr>
                <w:spacing w:val="-3"/>
                <w:sz w:val="22"/>
              </w:rPr>
              <w:t> </w:t>
            </w:r>
            <w:r>
              <w:rPr>
                <w:spacing w:val="-2"/>
                <w:sz w:val="22"/>
              </w:rPr>
              <w:t>±16.3</w:t>
            </w:r>
          </w:p>
        </w:tc>
        <w:tc>
          <w:tcPr>
            <w:tcW w:w="1853" w:type="dxa"/>
          </w:tcPr>
          <w:p>
            <w:pPr>
              <w:pStyle w:val="TableParagraph"/>
              <w:spacing w:before="60"/>
              <w:ind w:left="256"/>
              <w:rPr>
                <w:sz w:val="22"/>
              </w:rPr>
            </w:pPr>
            <w:r>
              <w:rPr>
                <w:spacing w:val="-2"/>
                <w:sz w:val="22"/>
              </w:rPr>
              <w:t>357.3±6.8</w:t>
            </w:r>
          </w:p>
        </w:tc>
      </w:tr>
      <w:tr>
        <w:trPr>
          <w:trHeight w:val="379" w:hRule="atLeast"/>
        </w:trPr>
        <w:tc>
          <w:tcPr>
            <w:tcW w:w="1078" w:type="dxa"/>
          </w:tcPr>
          <w:p>
            <w:pPr>
              <w:pStyle w:val="TableParagraph"/>
              <w:spacing w:before="58"/>
              <w:ind w:left="107"/>
              <w:rPr>
                <w:sz w:val="22"/>
              </w:rPr>
            </w:pPr>
            <w:r>
              <w:rPr>
                <w:spacing w:val="-10"/>
                <w:sz w:val="22"/>
              </w:rPr>
              <w:t>9</w:t>
            </w:r>
          </w:p>
        </w:tc>
        <w:tc>
          <w:tcPr>
            <w:tcW w:w="1479" w:type="dxa"/>
          </w:tcPr>
          <w:p>
            <w:pPr>
              <w:pStyle w:val="TableParagraph"/>
              <w:spacing w:before="58"/>
              <w:ind w:left="369"/>
              <w:rPr>
                <w:sz w:val="22"/>
              </w:rPr>
            </w:pPr>
            <w:r>
              <w:rPr>
                <w:sz w:val="22"/>
              </w:rPr>
              <w:t>82.3 </w:t>
            </w:r>
            <w:r>
              <w:rPr>
                <w:spacing w:val="-4"/>
                <w:sz w:val="22"/>
              </w:rPr>
              <w:t>±2.9</w:t>
            </w:r>
          </w:p>
        </w:tc>
        <w:tc>
          <w:tcPr>
            <w:tcW w:w="1437" w:type="dxa"/>
          </w:tcPr>
          <w:p>
            <w:pPr>
              <w:pStyle w:val="TableParagraph"/>
              <w:spacing w:before="58"/>
              <w:ind w:left="273"/>
              <w:rPr>
                <w:sz w:val="22"/>
              </w:rPr>
            </w:pPr>
            <w:r>
              <w:rPr>
                <w:sz w:val="22"/>
              </w:rPr>
              <w:t>478.3</w:t>
            </w:r>
            <w:r>
              <w:rPr>
                <w:spacing w:val="-3"/>
                <w:sz w:val="22"/>
              </w:rPr>
              <w:t> </w:t>
            </w:r>
            <w:r>
              <w:rPr>
                <w:spacing w:val="-4"/>
                <w:sz w:val="22"/>
              </w:rPr>
              <w:t>±5.9</w:t>
            </w:r>
          </w:p>
        </w:tc>
        <w:tc>
          <w:tcPr>
            <w:tcW w:w="1527" w:type="dxa"/>
          </w:tcPr>
          <w:p>
            <w:pPr>
              <w:pStyle w:val="TableParagraph"/>
              <w:spacing w:before="58"/>
              <w:ind w:left="218"/>
              <w:rPr>
                <w:sz w:val="22"/>
              </w:rPr>
            </w:pPr>
            <w:r>
              <w:rPr>
                <w:sz w:val="22"/>
              </w:rPr>
              <w:t>361.5</w:t>
            </w:r>
            <w:r>
              <w:rPr>
                <w:spacing w:val="-3"/>
                <w:sz w:val="22"/>
              </w:rPr>
              <w:t> </w:t>
            </w:r>
            <w:r>
              <w:rPr>
                <w:spacing w:val="-4"/>
                <w:sz w:val="22"/>
              </w:rPr>
              <w:t>±8.5</w:t>
            </w:r>
          </w:p>
        </w:tc>
        <w:tc>
          <w:tcPr>
            <w:tcW w:w="1563" w:type="dxa"/>
          </w:tcPr>
          <w:p>
            <w:pPr>
              <w:pStyle w:val="TableParagraph"/>
              <w:spacing w:before="58"/>
              <w:ind w:left="254"/>
              <w:rPr>
                <w:sz w:val="22"/>
              </w:rPr>
            </w:pPr>
            <w:r>
              <w:rPr>
                <w:sz w:val="22"/>
              </w:rPr>
              <w:t>386.5</w:t>
            </w:r>
            <w:r>
              <w:rPr>
                <w:spacing w:val="-3"/>
                <w:sz w:val="22"/>
              </w:rPr>
              <w:t> </w:t>
            </w:r>
            <w:r>
              <w:rPr>
                <w:spacing w:val="-2"/>
                <w:sz w:val="22"/>
              </w:rPr>
              <w:t>±14.9</w:t>
            </w:r>
          </w:p>
        </w:tc>
        <w:tc>
          <w:tcPr>
            <w:tcW w:w="1853" w:type="dxa"/>
          </w:tcPr>
          <w:p>
            <w:pPr>
              <w:pStyle w:val="TableParagraph"/>
              <w:spacing w:before="58"/>
              <w:ind w:left="256"/>
              <w:rPr>
                <w:sz w:val="22"/>
              </w:rPr>
            </w:pPr>
            <w:r>
              <w:rPr>
                <w:sz w:val="22"/>
              </w:rPr>
              <w:t>341.5</w:t>
            </w:r>
            <w:r>
              <w:rPr>
                <w:spacing w:val="-3"/>
                <w:sz w:val="22"/>
              </w:rPr>
              <w:t> </w:t>
            </w:r>
            <w:r>
              <w:rPr>
                <w:spacing w:val="-4"/>
                <w:sz w:val="22"/>
              </w:rPr>
              <w:t>±6.0</w:t>
            </w:r>
          </w:p>
        </w:tc>
      </w:tr>
      <w:tr>
        <w:trPr>
          <w:trHeight w:val="379" w:hRule="atLeast"/>
        </w:trPr>
        <w:tc>
          <w:tcPr>
            <w:tcW w:w="1078" w:type="dxa"/>
          </w:tcPr>
          <w:p>
            <w:pPr>
              <w:pStyle w:val="TableParagraph"/>
              <w:spacing w:before="58"/>
              <w:ind w:left="107"/>
              <w:rPr>
                <w:sz w:val="22"/>
              </w:rPr>
            </w:pPr>
            <w:r>
              <w:rPr>
                <w:spacing w:val="-5"/>
                <w:sz w:val="22"/>
              </w:rPr>
              <w:t>10</w:t>
            </w:r>
          </w:p>
        </w:tc>
        <w:tc>
          <w:tcPr>
            <w:tcW w:w="1479" w:type="dxa"/>
          </w:tcPr>
          <w:p>
            <w:pPr>
              <w:pStyle w:val="TableParagraph"/>
              <w:spacing w:before="58"/>
              <w:ind w:left="369"/>
              <w:rPr>
                <w:sz w:val="22"/>
              </w:rPr>
            </w:pPr>
            <w:r>
              <w:rPr>
                <w:sz w:val="22"/>
              </w:rPr>
              <w:t>82.3 </w:t>
            </w:r>
            <w:r>
              <w:rPr>
                <w:spacing w:val="-4"/>
                <w:sz w:val="22"/>
              </w:rPr>
              <w:t>±2.1</w:t>
            </w:r>
          </w:p>
        </w:tc>
        <w:tc>
          <w:tcPr>
            <w:tcW w:w="1437" w:type="dxa"/>
          </w:tcPr>
          <w:p>
            <w:pPr>
              <w:pStyle w:val="TableParagraph"/>
              <w:spacing w:before="58"/>
              <w:ind w:left="273"/>
              <w:rPr>
                <w:sz w:val="22"/>
              </w:rPr>
            </w:pPr>
            <w:r>
              <w:rPr>
                <w:sz w:val="22"/>
              </w:rPr>
              <w:t>480.5</w:t>
            </w:r>
            <w:r>
              <w:rPr>
                <w:spacing w:val="-3"/>
                <w:sz w:val="22"/>
              </w:rPr>
              <w:t> </w:t>
            </w:r>
            <w:r>
              <w:rPr>
                <w:spacing w:val="-4"/>
                <w:sz w:val="22"/>
              </w:rPr>
              <w:t>±5.8</w:t>
            </w:r>
          </w:p>
        </w:tc>
        <w:tc>
          <w:tcPr>
            <w:tcW w:w="1527" w:type="dxa"/>
          </w:tcPr>
          <w:p>
            <w:pPr>
              <w:pStyle w:val="TableParagraph"/>
              <w:spacing w:before="58"/>
              <w:ind w:left="218"/>
              <w:rPr>
                <w:sz w:val="22"/>
              </w:rPr>
            </w:pPr>
            <w:r>
              <w:rPr>
                <w:sz w:val="22"/>
              </w:rPr>
              <w:t>332.0</w:t>
            </w:r>
            <w:r>
              <w:rPr>
                <w:spacing w:val="-3"/>
                <w:sz w:val="22"/>
              </w:rPr>
              <w:t> </w:t>
            </w:r>
            <w:r>
              <w:rPr>
                <w:spacing w:val="-2"/>
                <w:sz w:val="22"/>
              </w:rPr>
              <w:t>±11.7</w:t>
            </w:r>
          </w:p>
        </w:tc>
        <w:tc>
          <w:tcPr>
            <w:tcW w:w="1563" w:type="dxa"/>
          </w:tcPr>
          <w:p>
            <w:pPr>
              <w:pStyle w:val="TableParagraph"/>
              <w:spacing w:before="58"/>
              <w:ind w:left="254"/>
              <w:rPr>
                <w:sz w:val="22"/>
              </w:rPr>
            </w:pPr>
            <w:r>
              <w:rPr>
                <w:sz w:val="22"/>
              </w:rPr>
              <w:t>365.8</w:t>
            </w:r>
            <w:r>
              <w:rPr>
                <w:spacing w:val="-3"/>
                <w:sz w:val="22"/>
              </w:rPr>
              <w:t> </w:t>
            </w:r>
            <w:r>
              <w:rPr>
                <w:spacing w:val="-2"/>
                <w:sz w:val="22"/>
              </w:rPr>
              <w:t>±11.7</w:t>
            </w:r>
          </w:p>
        </w:tc>
        <w:tc>
          <w:tcPr>
            <w:tcW w:w="1853" w:type="dxa"/>
          </w:tcPr>
          <w:p>
            <w:pPr>
              <w:pStyle w:val="TableParagraph"/>
              <w:spacing w:before="58"/>
              <w:ind w:left="256"/>
              <w:rPr>
                <w:sz w:val="22"/>
              </w:rPr>
            </w:pPr>
            <w:r>
              <w:rPr>
                <w:sz w:val="22"/>
              </w:rPr>
              <w:t>323.0</w:t>
            </w:r>
            <w:r>
              <w:rPr>
                <w:spacing w:val="-3"/>
                <w:sz w:val="22"/>
              </w:rPr>
              <w:t> </w:t>
            </w:r>
            <w:r>
              <w:rPr>
                <w:spacing w:val="-4"/>
                <w:sz w:val="22"/>
              </w:rPr>
              <w:t>±6.8</w:t>
            </w:r>
          </w:p>
        </w:tc>
      </w:tr>
      <w:tr>
        <w:trPr>
          <w:trHeight w:val="379" w:hRule="atLeast"/>
        </w:trPr>
        <w:tc>
          <w:tcPr>
            <w:tcW w:w="1078" w:type="dxa"/>
          </w:tcPr>
          <w:p>
            <w:pPr>
              <w:pStyle w:val="TableParagraph"/>
              <w:spacing w:before="58"/>
              <w:ind w:left="107"/>
              <w:rPr>
                <w:sz w:val="22"/>
              </w:rPr>
            </w:pPr>
            <w:r>
              <w:rPr>
                <w:spacing w:val="-5"/>
                <w:sz w:val="22"/>
              </w:rPr>
              <w:t>18</w:t>
            </w:r>
          </w:p>
        </w:tc>
        <w:tc>
          <w:tcPr>
            <w:tcW w:w="1479" w:type="dxa"/>
          </w:tcPr>
          <w:p>
            <w:pPr>
              <w:pStyle w:val="TableParagraph"/>
              <w:spacing w:before="58"/>
              <w:ind w:left="369"/>
              <w:rPr>
                <w:sz w:val="22"/>
              </w:rPr>
            </w:pPr>
            <w:r>
              <w:rPr>
                <w:sz w:val="22"/>
              </w:rPr>
              <w:t>81.3 </w:t>
            </w:r>
            <w:r>
              <w:rPr>
                <w:spacing w:val="-4"/>
                <w:sz w:val="22"/>
              </w:rPr>
              <w:t>±1.9</w:t>
            </w:r>
          </w:p>
        </w:tc>
        <w:tc>
          <w:tcPr>
            <w:tcW w:w="1437" w:type="dxa"/>
          </w:tcPr>
          <w:p>
            <w:pPr>
              <w:pStyle w:val="TableParagraph"/>
              <w:spacing w:before="58"/>
              <w:ind w:left="273"/>
              <w:rPr>
                <w:sz w:val="22"/>
              </w:rPr>
            </w:pPr>
            <w:r>
              <w:rPr>
                <w:sz w:val="22"/>
              </w:rPr>
              <w:t>484.5</w:t>
            </w:r>
            <w:r>
              <w:rPr>
                <w:spacing w:val="-3"/>
                <w:sz w:val="22"/>
              </w:rPr>
              <w:t> </w:t>
            </w:r>
            <w:r>
              <w:rPr>
                <w:spacing w:val="-4"/>
                <w:sz w:val="22"/>
              </w:rPr>
              <w:t>±4.2</w:t>
            </w:r>
          </w:p>
        </w:tc>
        <w:tc>
          <w:tcPr>
            <w:tcW w:w="1527" w:type="dxa"/>
          </w:tcPr>
          <w:p>
            <w:pPr>
              <w:pStyle w:val="TableParagraph"/>
              <w:spacing w:before="58"/>
              <w:ind w:left="218"/>
              <w:rPr>
                <w:sz w:val="22"/>
              </w:rPr>
            </w:pPr>
            <w:r>
              <w:rPr>
                <w:sz w:val="22"/>
              </w:rPr>
              <w:t>317.5</w:t>
            </w:r>
            <w:r>
              <w:rPr>
                <w:spacing w:val="-3"/>
                <w:sz w:val="22"/>
              </w:rPr>
              <w:t> </w:t>
            </w:r>
            <w:r>
              <w:rPr>
                <w:spacing w:val="-4"/>
                <w:sz w:val="22"/>
              </w:rPr>
              <w:t>±7.1</w:t>
            </w:r>
          </w:p>
        </w:tc>
        <w:tc>
          <w:tcPr>
            <w:tcW w:w="1563" w:type="dxa"/>
          </w:tcPr>
          <w:p>
            <w:pPr>
              <w:pStyle w:val="TableParagraph"/>
              <w:spacing w:before="58"/>
              <w:ind w:left="254"/>
              <w:rPr>
                <w:sz w:val="22"/>
              </w:rPr>
            </w:pPr>
            <w:r>
              <w:rPr>
                <w:sz w:val="22"/>
              </w:rPr>
              <w:t>359.0</w:t>
            </w:r>
            <w:r>
              <w:rPr>
                <w:spacing w:val="-3"/>
                <w:sz w:val="22"/>
              </w:rPr>
              <w:t> </w:t>
            </w:r>
            <w:r>
              <w:rPr>
                <w:spacing w:val="-2"/>
                <w:sz w:val="22"/>
              </w:rPr>
              <w:t>±10.0</w:t>
            </w:r>
          </w:p>
        </w:tc>
        <w:tc>
          <w:tcPr>
            <w:tcW w:w="1853" w:type="dxa"/>
          </w:tcPr>
          <w:p>
            <w:pPr>
              <w:pStyle w:val="TableParagraph"/>
              <w:spacing w:before="58"/>
              <w:ind w:left="256"/>
              <w:rPr>
                <w:sz w:val="22"/>
              </w:rPr>
            </w:pPr>
            <w:r>
              <w:rPr>
                <w:sz w:val="22"/>
              </w:rPr>
              <w:t>270.8</w:t>
            </w:r>
            <w:r>
              <w:rPr>
                <w:spacing w:val="-3"/>
                <w:sz w:val="22"/>
              </w:rPr>
              <w:t> </w:t>
            </w:r>
            <w:r>
              <w:rPr>
                <w:spacing w:val="-2"/>
                <w:sz w:val="22"/>
              </w:rPr>
              <w:t>±10.8</w:t>
            </w:r>
          </w:p>
        </w:tc>
      </w:tr>
      <w:tr>
        <w:trPr>
          <w:trHeight w:val="379" w:hRule="atLeast"/>
        </w:trPr>
        <w:tc>
          <w:tcPr>
            <w:tcW w:w="1078" w:type="dxa"/>
          </w:tcPr>
          <w:p>
            <w:pPr>
              <w:pStyle w:val="TableParagraph"/>
              <w:spacing w:before="59"/>
              <w:ind w:left="107"/>
              <w:rPr>
                <w:sz w:val="22"/>
              </w:rPr>
            </w:pPr>
            <w:r>
              <w:rPr>
                <w:spacing w:val="-5"/>
                <w:sz w:val="22"/>
              </w:rPr>
              <w:t>24</w:t>
            </w:r>
          </w:p>
        </w:tc>
        <w:tc>
          <w:tcPr>
            <w:tcW w:w="1479" w:type="dxa"/>
          </w:tcPr>
          <w:p>
            <w:pPr>
              <w:pStyle w:val="TableParagraph"/>
              <w:spacing w:before="59"/>
              <w:ind w:left="369"/>
              <w:rPr>
                <w:sz w:val="22"/>
              </w:rPr>
            </w:pPr>
            <w:r>
              <w:rPr>
                <w:sz w:val="22"/>
              </w:rPr>
              <w:t>81.3 </w:t>
            </w:r>
            <w:r>
              <w:rPr>
                <w:spacing w:val="-4"/>
                <w:sz w:val="22"/>
              </w:rPr>
              <w:t>±2.6</w:t>
            </w:r>
          </w:p>
        </w:tc>
        <w:tc>
          <w:tcPr>
            <w:tcW w:w="1437" w:type="dxa"/>
          </w:tcPr>
          <w:p>
            <w:pPr>
              <w:pStyle w:val="TableParagraph"/>
              <w:spacing w:before="59"/>
              <w:ind w:left="273"/>
              <w:rPr>
                <w:sz w:val="22"/>
              </w:rPr>
            </w:pPr>
            <w:r>
              <w:rPr>
                <w:sz w:val="22"/>
              </w:rPr>
              <w:t>487.0</w:t>
            </w:r>
            <w:r>
              <w:rPr>
                <w:spacing w:val="-3"/>
                <w:sz w:val="22"/>
              </w:rPr>
              <w:t> </w:t>
            </w:r>
            <w:r>
              <w:rPr>
                <w:spacing w:val="-4"/>
                <w:sz w:val="22"/>
              </w:rPr>
              <w:t>±3.5</w:t>
            </w:r>
          </w:p>
        </w:tc>
        <w:tc>
          <w:tcPr>
            <w:tcW w:w="1527" w:type="dxa"/>
          </w:tcPr>
          <w:p>
            <w:pPr>
              <w:pStyle w:val="TableParagraph"/>
              <w:spacing w:before="59"/>
              <w:ind w:left="218"/>
              <w:rPr>
                <w:sz w:val="22"/>
              </w:rPr>
            </w:pPr>
            <w:r>
              <w:rPr>
                <w:sz w:val="22"/>
              </w:rPr>
              <w:t>299.5</w:t>
            </w:r>
            <w:r>
              <w:rPr>
                <w:spacing w:val="-3"/>
                <w:sz w:val="22"/>
              </w:rPr>
              <w:t> </w:t>
            </w:r>
            <w:r>
              <w:rPr>
                <w:spacing w:val="-2"/>
                <w:sz w:val="22"/>
              </w:rPr>
              <w:t>±10.1</w:t>
            </w:r>
          </w:p>
        </w:tc>
        <w:tc>
          <w:tcPr>
            <w:tcW w:w="1563" w:type="dxa"/>
          </w:tcPr>
          <w:p>
            <w:pPr>
              <w:pStyle w:val="TableParagraph"/>
              <w:spacing w:before="59"/>
              <w:ind w:left="254"/>
              <w:rPr>
                <w:sz w:val="22"/>
              </w:rPr>
            </w:pPr>
            <w:r>
              <w:rPr>
                <w:sz w:val="22"/>
              </w:rPr>
              <w:t>332.5</w:t>
            </w:r>
            <w:r>
              <w:rPr>
                <w:spacing w:val="-3"/>
                <w:sz w:val="22"/>
              </w:rPr>
              <w:t> </w:t>
            </w:r>
            <w:r>
              <w:rPr>
                <w:spacing w:val="-2"/>
                <w:sz w:val="22"/>
              </w:rPr>
              <w:t>±11.8</w:t>
            </w:r>
          </w:p>
        </w:tc>
        <w:tc>
          <w:tcPr>
            <w:tcW w:w="1853" w:type="dxa"/>
          </w:tcPr>
          <w:p>
            <w:pPr>
              <w:pStyle w:val="TableParagraph"/>
              <w:spacing w:before="59"/>
              <w:ind w:left="256"/>
              <w:rPr>
                <w:sz w:val="22"/>
              </w:rPr>
            </w:pPr>
            <w:r>
              <w:rPr>
                <w:sz w:val="22"/>
              </w:rPr>
              <w:t>258.8</w:t>
            </w:r>
            <w:r>
              <w:rPr>
                <w:spacing w:val="-3"/>
                <w:sz w:val="22"/>
              </w:rPr>
              <w:t> </w:t>
            </w:r>
            <w:r>
              <w:rPr>
                <w:spacing w:val="-4"/>
                <w:sz w:val="22"/>
              </w:rPr>
              <w:t>±5.4</w:t>
            </w:r>
          </w:p>
        </w:tc>
      </w:tr>
      <w:tr>
        <w:trPr>
          <w:trHeight w:val="379" w:hRule="atLeast"/>
        </w:trPr>
        <w:tc>
          <w:tcPr>
            <w:tcW w:w="1078" w:type="dxa"/>
          </w:tcPr>
          <w:p>
            <w:pPr>
              <w:pStyle w:val="TableParagraph"/>
              <w:spacing w:before="58"/>
              <w:ind w:left="107"/>
              <w:rPr>
                <w:sz w:val="22"/>
              </w:rPr>
            </w:pPr>
            <w:r>
              <w:rPr>
                <w:spacing w:val="-5"/>
                <w:sz w:val="22"/>
              </w:rPr>
              <w:t>36</w:t>
            </w:r>
          </w:p>
        </w:tc>
        <w:tc>
          <w:tcPr>
            <w:tcW w:w="1479" w:type="dxa"/>
          </w:tcPr>
          <w:p>
            <w:pPr>
              <w:pStyle w:val="TableParagraph"/>
              <w:spacing w:before="58"/>
              <w:ind w:left="369"/>
              <w:rPr>
                <w:sz w:val="22"/>
              </w:rPr>
            </w:pPr>
            <w:r>
              <w:rPr>
                <w:sz w:val="22"/>
              </w:rPr>
              <w:t>80.8 </w:t>
            </w:r>
            <w:r>
              <w:rPr>
                <w:spacing w:val="-4"/>
                <w:sz w:val="22"/>
              </w:rPr>
              <w:t>±2.2</w:t>
            </w:r>
          </w:p>
        </w:tc>
        <w:tc>
          <w:tcPr>
            <w:tcW w:w="1437" w:type="dxa"/>
          </w:tcPr>
          <w:p>
            <w:pPr>
              <w:pStyle w:val="TableParagraph"/>
              <w:spacing w:before="58"/>
              <w:ind w:left="273"/>
              <w:rPr>
                <w:sz w:val="22"/>
              </w:rPr>
            </w:pPr>
            <w:r>
              <w:rPr>
                <w:sz w:val="22"/>
              </w:rPr>
              <w:t>489.0</w:t>
            </w:r>
            <w:r>
              <w:rPr>
                <w:spacing w:val="-3"/>
                <w:sz w:val="22"/>
              </w:rPr>
              <w:t> </w:t>
            </w:r>
            <w:r>
              <w:rPr>
                <w:spacing w:val="-4"/>
                <w:sz w:val="22"/>
              </w:rPr>
              <w:t>±3.9</w:t>
            </w:r>
          </w:p>
        </w:tc>
        <w:tc>
          <w:tcPr>
            <w:tcW w:w="1527" w:type="dxa"/>
          </w:tcPr>
          <w:p>
            <w:pPr>
              <w:pStyle w:val="TableParagraph"/>
              <w:spacing w:before="58"/>
              <w:ind w:left="218"/>
              <w:rPr>
                <w:sz w:val="22"/>
              </w:rPr>
            </w:pPr>
            <w:r>
              <w:rPr>
                <w:sz w:val="22"/>
              </w:rPr>
              <w:t>287.5 </w:t>
            </w:r>
            <w:r>
              <w:rPr>
                <w:spacing w:val="-5"/>
                <w:sz w:val="22"/>
              </w:rPr>
              <w:t>8.3</w:t>
            </w:r>
          </w:p>
        </w:tc>
        <w:tc>
          <w:tcPr>
            <w:tcW w:w="1563" w:type="dxa"/>
          </w:tcPr>
          <w:p>
            <w:pPr>
              <w:pStyle w:val="TableParagraph"/>
              <w:spacing w:before="58"/>
              <w:ind w:left="254"/>
              <w:rPr>
                <w:sz w:val="22"/>
              </w:rPr>
            </w:pPr>
            <w:r>
              <w:rPr>
                <w:sz w:val="22"/>
              </w:rPr>
              <w:t>314.8</w:t>
            </w:r>
            <w:r>
              <w:rPr>
                <w:spacing w:val="-3"/>
                <w:sz w:val="22"/>
              </w:rPr>
              <w:t> </w:t>
            </w:r>
            <w:r>
              <w:rPr>
                <w:spacing w:val="-4"/>
                <w:sz w:val="22"/>
              </w:rPr>
              <w:t>±7.2</w:t>
            </w:r>
          </w:p>
        </w:tc>
        <w:tc>
          <w:tcPr>
            <w:tcW w:w="1853" w:type="dxa"/>
          </w:tcPr>
          <w:p>
            <w:pPr>
              <w:pStyle w:val="TableParagraph"/>
              <w:spacing w:before="58"/>
              <w:ind w:left="256"/>
              <w:rPr>
                <w:sz w:val="22"/>
              </w:rPr>
            </w:pPr>
            <w:r>
              <w:rPr>
                <w:sz w:val="22"/>
              </w:rPr>
              <w:t>248.8</w:t>
            </w:r>
            <w:r>
              <w:rPr>
                <w:spacing w:val="-3"/>
                <w:sz w:val="22"/>
              </w:rPr>
              <w:t> </w:t>
            </w:r>
            <w:r>
              <w:rPr>
                <w:spacing w:val="-4"/>
                <w:sz w:val="22"/>
              </w:rPr>
              <w:t>±5.4</w:t>
            </w:r>
          </w:p>
        </w:tc>
      </w:tr>
      <w:tr>
        <w:trPr>
          <w:trHeight w:val="379" w:hRule="atLeast"/>
        </w:trPr>
        <w:tc>
          <w:tcPr>
            <w:tcW w:w="1078" w:type="dxa"/>
          </w:tcPr>
          <w:p>
            <w:pPr>
              <w:pStyle w:val="TableParagraph"/>
              <w:spacing w:before="58"/>
              <w:ind w:left="107"/>
              <w:rPr>
                <w:sz w:val="22"/>
              </w:rPr>
            </w:pPr>
            <w:r>
              <w:rPr>
                <w:spacing w:val="-5"/>
                <w:sz w:val="22"/>
              </w:rPr>
              <w:t>48</w:t>
            </w:r>
          </w:p>
        </w:tc>
        <w:tc>
          <w:tcPr>
            <w:tcW w:w="1479" w:type="dxa"/>
          </w:tcPr>
          <w:p>
            <w:pPr>
              <w:pStyle w:val="TableParagraph"/>
              <w:spacing w:before="58"/>
              <w:ind w:left="369"/>
              <w:rPr>
                <w:sz w:val="22"/>
              </w:rPr>
            </w:pPr>
            <w:r>
              <w:rPr>
                <w:sz w:val="22"/>
              </w:rPr>
              <w:t>80.5 </w:t>
            </w:r>
            <w:r>
              <w:rPr>
                <w:spacing w:val="-4"/>
                <w:sz w:val="22"/>
              </w:rPr>
              <w:t>±2.4</w:t>
            </w:r>
          </w:p>
        </w:tc>
        <w:tc>
          <w:tcPr>
            <w:tcW w:w="1437" w:type="dxa"/>
          </w:tcPr>
          <w:p>
            <w:pPr>
              <w:pStyle w:val="TableParagraph"/>
              <w:spacing w:before="58"/>
              <w:ind w:left="273"/>
              <w:rPr>
                <w:sz w:val="22"/>
              </w:rPr>
            </w:pPr>
            <w:r>
              <w:rPr>
                <w:sz w:val="22"/>
              </w:rPr>
              <w:t>494.3</w:t>
            </w:r>
            <w:r>
              <w:rPr>
                <w:spacing w:val="-3"/>
                <w:sz w:val="22"/>
              </w:rPr>
              <w:t> </w:t>
            </w:r>
            <w:r>
              <w:rPr>
                <w:spacing w:val="-4"/>
                <w:sz w:val="22"/>
              </w:rPr>
              <w:t>±1.9</w:t>
            </w:r>
          </w:p>
        </w:tc>
        <w:tc>
          <w:tcPr>
            <w:tcW w:w="1527" w:type="dxa"/>
          </w:tcPr>
          <w:p>
            <w:pPr>
              <w:pStyle w:val="TableParagraph"/>
              <w:spacing w:before="58"/>
              <w:ind w:left="218"/>
              <w:rPr>
                <w:sz w:val="22"/>
              </w:rPr>
            </w:pPr>
            <w:r>
              <w:rPr>
                <w:sz w:val="22"/>
              </w:rPr>
              <w:t>273.8</w:t>
            </w:r>
            <w:r>
              <w:rPr>
                <w:spacing w:val="-3"/>
                <w:sz w:val="22"/>
              </w:rPr>
              <w:t> </w:t>
            </w:r>
            <w:r>
              <w:rPr>
                <w:spacing w:val="-4"/>
                <w:sz w:val="22"/>
              </w:rPr>
              <w:t>±5.1</w:t>
            </w:r>
          </w:p>
        </w:tc>
        <w:tc>
          <w:tcPr>
            <w:tcW w:w="1563" w:type="dxa"/>
          </w:tcPr>
          <w:p>
            <w:pPr>
              <w:pStyle w:val="TableParagraph"/>
              <w:spacing w:before="58"/>
              <w:ind w:left="254"/>
              <w:rPr>
                <w:sz w:val="22"/>
              </w:rPr>
            </w:pPr>
            <w:r>
              <w:rPr>
                <w:sz w:val="22"/>
              </w:rPr>
              <w:t>294.3</w:t>
            </w:r>
            <w:r>
              <w:rPr>
                <w:spacing w:val="-3"/>
                <w:sz w:val="22"/>
              </w:rPr>
              <w:t> </w:t>
            </w:r>
            <w:r>
              <w:rPr>
                <w:spacing w:val="-4"/>
                <w:sz w:val="22"/>
              </w:rPr>
              <w:t>±7.6</w:t>
            </w:r>
          </w:p>
        </w:tc>
        <w:tc>
          <w:tcPr>
            <w:tcW w:w="1853" w:type="dxa"/>
          </w:tcPr>
          <w:p>
            <w:pPr>
              <w:pStyle w:val="TableParagraph"/>
              <w:spacing w:before="58"/>
              <w:ind w:left="256"/>
              <w:rPr>
                <w:sz w:val="22"/>
              </w:rPr>
            </w:pPr>
            <w:r>
              <w:rPr>
                <w:sz w:val="22"/>
              </w:rPr>
              <w:t>229.5</w:t>
            </w:r>
            <w:r>
              <w:rPr>
                <w:spacing w:val="-3"/>
                <w:sz w:val="22"/>
              </w:rPr>
              <w:t> </w:t>
            </w:r>
            <w:r>
              <w:rPr>
                <w:spacing w:val="-4"/>
                <w:sz w:val="22"/>
              </w:rPr>
              <w:t>±7.9</w:t>
            </w:r>
          </w:p>
        </w:tc>
      </w:tr>
      <w:tr>
        <w:trPr>
          <w:trHeight w:val="379" w:hRule="atLeast"/>
        </w:trPr>
        <w:tc>
          <w:tcPr>
            <w:tcW w:w="1078" w:type="dxa"/>
          </w:tcPr>
          <w:p>
            <w:pPr>
              <w:pStyle w:val="TableParagraph"/>
              <w:spacing w:before="58"/>
              <w:ind w:left="107"/>
              <w:rPr>
                <w:sz w:val="22"/>
              </w:rPr>
            </w:pPr>
            <w:r>
              <w:rPr>
                <w:spacing w:val="-5"/>
                <w:sz w:val="22"/>
              </w:rPr>
              <w:t>54</w:t>
            </w:r>
          </w:p>
        </w:tc>
        <w:tc>
          <w:tcPr>
            <w:tcW w:w="1479" w:type="dxa"/>
          </w:tcPr>
          <w:p>
            <w:pPr>
              <w:pStyle w:val="TableParagraph"/>
              <w:spacing w:before="58"/>
              <w:ind w:left="369"/>
              <w:rPr>
                <w:sz w:val="22"/>
              </w:rPr>
            </w:pPr>
            <w:r>
              <w:rPr>
                <w:sz w:val="22"/>
              </w:rPr>
              <w:t>81.8 </w:t>
            </w:r>
            <w:r>
              <w:rPr>
                <w:spacing w:val="-4"/>
                <w:sz w:val="22"/>
              </w:rPr>
              <w:t>±2.8</w:t>
            </w:r>
          </w:p>
        </w:tc>
        <w:tc>
          <w:tcPr>
            <w:tcW w:w="1437" w:type="dxa"/>
          </w:tcPr>
          <w:p>
            <w:pPr>
              <w:pStyle w:val="TableParagraph"/>
              <w:spacing w:before="58"/>
              <w:ind w:left="273"/>
              <w:rPr>
                <w:sz w:val="22"/>
              </w:rPr>
            </w:pPr>
            <w:r>
              <w:rPr>
                <w:sz w:val="22"/>
              </w:rPr>
              <w:t>496.3</w:t>
            </w:r>
            <w:r>
              <w:rPr>
                <w:spacing w:val="-3"/>
                <w:sz w:val="22"/>
              </w:rPr>
              <w:t> </w:t>
            </w:r>
            <w:r>
              <w:rPr>
                <w:spacing w:val="-4"/>
                <w:sz w:val="22"/>
              </w:rPr>
              <w:t>±1.5</w:t>
            </w:r>
          </w:p>
        </w:tc>
        <w:tc>
          <w:tcPr>
            <w:tcW w:w="1527" w:type="dxa"/>
          </w:tcPr>
          <w:p>
            <w:pPr>
              <w:pStyle w:val="TableParagraph"/>
              <w:spacing w:before="58"/>
              <w:ind w:left="218"/>
              <w:rPr>
                <w:sz w:val="22"/>
              </w:rPr>
            </w:pPr>
            <w:r>
              <w:rPr>
                <w:sz w:val="22"/>
              </w:rPr>
              <w:t>257.0</w:t>
            </w:r>
            <w:r>
              <w:rPr>
                <w:spacing w:val="-3"/>
                <w:sz w:val="22"/>
              </w:rPr>
              <w:t> </w:t>
            </w:r>
            <w:r>
              <w:rPr>
                <w:spacing w:val="-4"/>
                <w:sz w:val="22"/>
              </w:rPr>
              <w:t>±6.2</w:t>
            </w:r>
          </w:p>
        </w:tc>
        <w:tc>
          <w:tcPr>
            <w:tcW w:w="1563" w:type="dxa"/>
          </w:tcPr>
          <w:p>
            <w:pPr>
              <w:pStyle w:val="TableParagraph"/>
              <w:spacing w:before="58"/>
              <w:ind w:left="254"/>
              <w:rPr>
                <w:sz w:val="22"/>
              </w:rPr>
            </w:pPr>
            <w:r>
              <w:rPr>
                <w:sz w:val="22"/>
              </w:rPr>
              <w:t>281.8</w:t>
            </w:r>
            <w:r>
              <w:rPr>
                <w:spacing w:val="-3"/>
                <w:sz w:val="22"/>
              </w:rPr>
              <w:t> </w:t>
            </w:r>
            <w:r>
              <w:rPr>
                <w:spacing w:val="-4"/>
                <w:sz w:val="22"/>
              </w:rPr>
              <w:t>±5.5</w:t>
            </w:r>
          </w:p>
        </w:tc>
        <w:tc>
          <w:tcPr>
            <w:tcW w:w="1853" w:type="dxa"/>
          </w:tcPr>
          <w:p>
            <w:pPr>
              <w:pStyle w:val="TableParagraph"/>
              <w:spacing w:before="58"/>
              <w:ind w:left="256"/>
              <w:rPr>
                <w:sz w:val="22"/>
              </w:rPr>
            </w:pPr>
            <w:r>
              <w:rPr>
                <w:sz w:val="22"/>
              </w:rPr>
              <w:t>220.0</w:t>
            </w:r>
            <w:r>
              <w:rPr>
                <w:spacing w:val="-3"/>
                <w:sz w:val="22"/>
              </w:rPr>
              <w:t> </w:t>
            </w:r>
            <w:r>
              <w:rPr>
                <w:spacing w:val="-4"/>
                <w:sz w:val="22"/>
              </w:rPr>
              <w:t>±7.7</w:t>
            </w:r>
          </w:p>
        </w:tc>
      </w:tr>
      <w:tr>
        <w:trPr>
          <w:trHeight w:val="380" w:hRule="atLeast"/>
        </w:trPr>
        <w:tc>
          <w:tcPr>
            <w:tcW w:w="1078" w:type="dxa"/>
          </w:tcPr>
          <w:p>
            <w:pPr>
              <w:pStyle w:val="TableParagraph"/>
              <w:spacing w:before="58"/>
              <w:ind w:left="107"/>
              <w:rPr>
                <w:sz w:val="22"/>
              </w:rPr>
            </w:pPr>
            <w:r>
              <w:rPr>
                <w:spacing w:val="-5"/>
                <w:sz w:val="22"/>
              </w:rPr>
              <w:t>60</w:t>
            </w:r>
          </w:p>
        </w:tc>
        <w:tc>
          <w:tcPr>
            <w:tcW w:w="1479" w:type="dxa"/>
          </w:tcPr>
          <w:p>
            <w:pPr>
              <w:pStyle w:val="TableParagraph"/>
              <w:spacing w:before="58"/>
              <w:ind w:left="369"/>
              <w:rPr>
                <w:sz w:val="22"/>
              </w:rPr>
            </w:pPr>
            <w:r>
              <w:rPr>
                <w:sz w:val="22"/>
              </w:rPr>
              <w:t>81.5 </w:t>
            </w:r>
            <w:r>
              <w:rPr>
                <w:spacing w:val="-4"/>
                <w:sz w:val="22"/>
              </w:rPr>
              <w:t>±1.9</w:t>
            </w:r>
          </w:p>
        </w:tc>
        <w:tc>
          <w:tcPr>
            <w:tcW w:w="1437" w:type="dxa"/>
          </w:tcPr>
          <w:p>
            <w:pPr>
              <w:pStyle w:val="TableParagraph"/>
              <w:spacing w:before="58"/>
              <w:ind w:left="273"/>
              <w:rPr>
                <w:sz w:val="22"/>
              </w:rPr>
            </w:pPr>
            <w:r>
              <w:rPr>
                <w:sz w:val="22"/>
              </w:rPr>
              <w:t>497.0</w:t>
            </w:r>
            <w:r>
              <w:rPr>
                <w:spacing w:val="-3"/>
                <w:sz w:val="22"/>
              </w:rPr>
              <w:t> </w:t>
            </w:r>
            <w:r>
              <w:rPr>
                <w:spacing w:val="-4"/>
                <w:sz w:val="22"/>
              </w:rPr>
              <w:t>±1.6</w:t>
            </w:r>
          </w:p>
        </w:tc>
        <w:tc>
          <w:tcPr>
            <w:tcW w:w="1527" w:type="dxa"/>
          </w:tcPr>
          <w:p>
            <w:pPr>
              <w:pStyle w:val="TableParagraph"/>
              <w:spacing w:before="58"/>
              <w:ind w:left="218"/>
              <w:rPr>
                <w:sz w:val="22"/>
              </w:rPr>
            </w:pPr>
            <w:r>
              <w:rPr>
                <w:sz w:val="22"/>
              </w:rPr>
              <w:t>244.3</w:t>
            </w:r>
            <w:r>
              <w:rPr>
                <w:spacing w:val="-3"/>
                <w:sz w:val="22"/>
              </w:rPr>
              <w:t> </w:t>
            </w:r>
            <w:r>
              <w:rPr>
                <w:spacing w:val="-4"/>
                <w:sz w:val="22"/>
              </w:rPr>
              <w:t>±6.0</w:t>
            </w:r>
          </w:p>
        </w:tc>
        <w:tc>
          <w:tcPr>
            <w:tcW w:w="1563" w:type="dxa"/>
          </w:tcPr>
          <w:p>
            <w:pPr>
              <w:pStyle w:val="TableParagraph"/>
              <w:spacing w:before="58"/>
              <w:ind w:left="254"/>
              <w:rPr>
                <w:sz w:val="22"/>
              </w:rPr>
            </w:pPr>
            <w:r>
              <w:rPr>
                <w:sz w:val="22"/>
              </w:rPr>
              <w:t>266.8</w:t>
            </w:r>
            <w:r>
              <w:rPr>
                <w:spacing w:val="-3"/>
                <w:sz w:val="22"/>
              </w:rPr>
              <w:t> </w:t>
            </w:r>
            <w:r>
              <w:rPr>
                <w:spacing w:val="-4"/>
                <w:sz w:val="22"/>
              </w:rPr>
              <w:t>±6.7</w:t>
            </w:r>
          </w:p>
        </w:tc>
        <w:tc>
          <w:tcPr>
            <w:tcW w:w="1853" w:type="dxa"/>
          </w:tcPr>
          <w:p>
            <w:pPr>
              <w:pStyle w:val="TableParagraph"/>
              <w:spacing w:before="58"/>
              <w:ind w:left="256"/>
              <w:rPr>
                <w:sz w:val="22"/>
              </w:rPr>
            </w:pPr>
            <w:r>
              <w:rPr>
                <w:sz w:val="22"/>
              </w:rPr>
              <w:t>221.3</w:t>
            </w:r>
            <w:r>
              <w:rPr>
                <w:spacing w:val="-3"/>
                <w:sz w:val="22"/>
              </w:rPr>
              <w:t> </w:t>
            </w:r>
            <w:r>
              <w:rPr>
                <w:spacing w:val="-4"/>
                <w:sz w:val="22"/>
              </w:rPr>
              <w:t>±7.0</w:t>
            </w:r>
          </w:p>
        </w:tc>
      </w:tr>
      <w:tr>
        <w:trPr>
          <w:trHeight w:val="380" w:hRule="atLeast"/>
        </w:trPr>
        <w:tc>
          <w:tcPr>
            <w:tcW w:w="1078" w:type="dxa"/>
          </w:tcPr>
          <w:p>
            <w:pPr>
              <w:pStyle w:val="TableParagraph"/>
              <w:spacing w:before="60"/>
              <w:ind w:left="107"/>
              <w:rPr>
                <w:sz w:val="22"/>
              </w:rPr>
            </w:pPr>
            <w:r>
              <w:rPr>
                <w:spacing w:val="-5"/>
                <w:sz w:val="22"/>
              </w:rPr>
              <w:t>72</w:t>
            </w:r>
          </w:p>
        </w:tc>
        <w:tc>
          <w:tcPr>
            <w:tcW w:w="1479" w:type="dxa"/>
          </w:tcPr>
          <w:p>
            <w:pPr>
              <w:pStyle w:val="TableParagraph"/>
              <w:spacing w:before="60"/>
              <w:ind w:left="369"/>
              <w:rPr>
                <w:sz w:val="22"/>
              </w:rPr>
            </w:pPr>
            <w:r>
              <w:rPr>
                <w:sz w:val="22"/>
              </w:rPr>
              <w:t>81.3 </w:t>
            </w:r>
            <w:r>
              <w:rPr>
                <w:spacing w:val="-4"/>
                <w:sz w:val="22"/>
              </w:rPr>
              <w:t>±2.2</w:t>
            </w:r>
          </w:p>
        </w:tc>
        <w:tc>
          <w:tcPr>
            <w:tcW w:w="1437" w:type="dxa"/>
          </w:tcPr>
          <w:p>
            <w:pPr>
              <w:pStyle w:val="TableParagraph"/>
              <w:spacing w:before="60"/>
              <w:ind w:left="273"/>
              <w:rPr>
                <w:sz w:val="22"/>
              </w:rPr>
            </w:pPr>
            <w:r>
              <w:rPr>
                <w:spacing w:val="-10"/>
                <w:sz w:val="22"/>
              </w:rPr>
              <w:t>-</w:t>
            </w:r>
          </w:p>
        </w:tc>
        <w:tc>
          <w:tcPr>
            <w:tcW w:w="1527" w:type="dxa"/>
          </w:tcPr>
          <w:p>
            <w:pPr>
              <w:pStyle w:val="TableParagraph"/>
              <w:spacing w:before="60"/>
              <w:ind w:left="218"/>
              <w:rPr>
                <w:sz w:val="22"/>
              </w:rPr>
            </w:pPr>
            <w:r>
              <w:rPr>
                <w:sz w:val="22"/>
              </w:rPr>
              <w:t>222.3</w:t>
            </w:r>
            <w:r>
              <w:rPr>
                <w:spacing w:val="-3"/>
                <w:sz w:val="22"/>
              </w:rPr>
              <w:t> </w:t>
            </w:r>
            <w:r>
              <w:rPr>
                <w:spacing w:val="-4"/>
                <w:sz w:val="22"/>
              </w:rPr>
              <w:t>±9.3</w:t>
            </w:r>
          </w:p>
        </w:tc>
        <w:tc>
          <w:tcPr>
            <w:tcW w:w="1563" w:type="dxa"/>
          </w:tcPr>
          <w:p>
            <w:pPr>
              <w:pStyle w:val="TableParagraph"/>
              <w:spacing w:before="60"/>
              <w:ind w:left="254"/>
              <w:rPr>
                <w:sz w:val="22"/>
              </w:rPr>
            </w:pPr>
            <w:r>
              <w:rPr>
                <w:sz w:val="22"/>
              </w:rPr>
              <w:t>246.3</w:t>
            </w:r>
            <w:r>
              <w:rPr>
                <w:spacing w:val="-3"/>
                <w:sz w:val="22"/>
              </w:rPr>
              <w:t> </w:t>
            </w:r>
            <w:r>
              <w:rPr>
                <w:spacing w:val="-4"/>
                <w:sz w:val="22"/>
              </w:rPr>
              <w:t>±8.7</w:t>
            </w:r>
          </w:p>
        </w:tc>
        <w:tc>
          <w:tcPr>
            <w:tcW w:w="1853" w:type="dxa"/>
          </w:tcPr>
          <w:p>
            <w:pPr>
              <w:pStyle w:val="TableParagraph"/>
              <w:spacing w:before="60"/>
              <w:ind w:left="256"/>
              <w:rPr>
                <w:sz w:val="22"/>
              </w:rPr>
            </w:pPr>
            <w:r>
              <w:rPr>
                <w:sz w:val="22"/>
              </w:rPr>
              <w:t>228.0</w:t>
            </w:r>
            <w:r>
              <w:rPr>
                <w:spacing w:val="-3"/>
                <w:sz w:val="22"/>
              </w:rPr>
              <w:t> </w:t>
            </w:r>
            <w:r>
              <w:rPr>
                <w:spacing w:val="-4"/>
                <w:sz w:val="22"/>
              </w:rPr>
              <w:t>±2.3</w:t>
            </w:r>
          </w:p>
        </w:tc>
      </w:tr>
      <w:tr>
        <w:trPr>
          <w:trHeight w:val="379" w:hRule="atLeast"/>
        </w:trPr>
        <w:tc>
          <w:tcPr>
            <w:tcW w:w="1078" w:type="dxa"/>
          </w:tcPr>
          <w:p>
            <w:pPr>
              <w:pStyle w:val="TableParagraph"/>
              <w:spacing w:before="58"/>
              <w:ind w:left="107"/>
              <w:rPr>
                <w:sz w:val="22"/>
              </w:rPr>
            </w:pPr>
            <w:r>
              <w:rPr>
                <w:spacing w:val="-5"/>
                <w:sz w:val="22"/>
              </w:rPr>
              <w:t>84</w:t>
            </w:r>
          </w:p>
        </w:tc>
        <w:tc>
          <w:tcPr>
            <w:tcW w:w="1479" w:type="dxa"/>
          </w:tcPr>
          <w:p>
            <w:pPr>
              <w:pStyle w:val="TableParagraph"/>
              <w:spacing w:before="58"/>
              <w:ind w:left="369"/>
              <w:rPr>
                <w:sz w:val="22"/>
              </w:rPr>
            </w:pPr>
            <w:r>
              <w:rPr>
                <w:sz w:val="22"/>
              </w:rPr>
              <w:t>82.5 </w:t>
            </w:r>
            <w:r>
              <w:rPr>
                <w:spacing w:val="-4"/>
                <w:sz w:val="22"/>
              </w:rPr>
              <w:t>±1.9</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245.3</w:t>
            </w:r>
            <w:r>
              <w:rPr>
                <w:spacing w:val="-3"/>
                <w:sz w:val="22"/>
              </w:rPr>
              <w:t> </w:t>
            </w:r>
            <w:r>
              <w:rPr>
                <w:spacing w:val="-2"/>
                <w:sz w:val="22"/>
              </w:rPr>
              <w:t>±10.7</w:t>
            </w:r>
          </w:p>
        </w:tc>
        <w:tc>
          <w:tcPr>
            <w:tcW w:w="1563" w:type="dxa"/>
          </w:tcPr>
          <w:p>
            <w:pPr>
              <w:pStyle w:val="TableParagraph"/>
              <w:spacing w:before="58"/>
              <w:ind w:left="254"/>
              <w:rPr>
                <w:sz w:val="22"/>
              </w:rPr>
            </w:pPr>
            <w:r>
              <w:rPr>
                <w:sz w:val="22"/>
              </w:rPr>
              <w:t>260.8</w:t>
            </w:r>
            <w:r>
              <w:rPr>
                <w:spacing w:val="-3"/>
                <w:sz w:val="22"/>
              </w:rPr>
              <w:t> </w:t>
            </w:r>
            <w:r>
              <w:rPr>
                <w:spacing w:val="-4"/>
                <w:sz w:val="22"/>
              </w:rPr>
              <w:t>±9.9</w:t>
            </w:r>
          </w:p>
        </w:tc>
        <w:tc>
          <w:tcPr>
            <w:tcW w:w="1853" w:type="dxa"/>
          </w:tcPr>
          <w:p>
            <w:pPr>
              <w:pStyle w:val="TableParagraph"/>
              <w:spacing w:before="58"/>
              <w:ind w:left="256"/>
              <w:rPr>
                <w:sz w:val="22"/>
              </w:rPr>
            </w:pPr>
            <w:r>
              <w:rPr>
                <w:sz w:val="22"/>
              </w:rPr>
              <w:t>239.0</w:t>
            </w:r>
            <w:r>
              <w:rPr>
                <w:spacing w:val="-3"/>
                <w:sz w:val="22"/>
              </w:rPr>
              <w:t> </w:t>
            </w:r>
            <w:r>
              <w:rPr>
                <w:spacing w:val="-4"/>
                <w:sz w:val="22"/>
              </w:rPr>
              <w:t>±1.8</w:t>
            </w:r>
          </w:p>
        </w:tc>
      </w:tr>
      <w:tr>
        <w:trPr>
          <w:trHeight w:val="379" w:hRule="atLeast"/>
        </w:trPr>
        <w:tc>
          <w:tcPr>
            <w:tcW w:w="1078" w:type="dxa"/>
          </w:tcPr>
          <w:p>
            <w:pPr>
              <w:pStyle w:val="TableParagraph"/>
              <w:spacing w:before="58"/>
              <w:ind w:left="107"/>
              <w:rPr>
                <w:sz w:val="22"/>
              </w:rPr>
            </w:pPr>
            <w:r>
              <w:rPr>
                <w:spacing w:val="-5"/>
                <w:sz w:val="22"/>
              </w:rPr>
              <w:t>96</w:t>
            </w:r>
          </w:p>
        </w:tc>
        <w:tc>
          <w:tcPr>
            <w:tcW w:w="1479" w:type="dxa"/>
          </w:tcPr>
          <w:p>
            <w:pPr>
              <w:pStyle w:val="TableParagraph"/>
              <w:spacing w:before="58"/>
              <w:ind w:left="369"/>
              <w:rPr>
                <w:sz w:val="22"/>
              </w:rPr>
            </w:pPr>
            <w:r>
              <w:rPr>
                <w:sz w:val="22"/>
              </w:rPr>
              <w:t>82.0 </w:t>
            </w:r>
            <w:r>
              <w:rPr>
                <w:spacing w:val="-4"/>
                <w:sz w:val="22"/>
              </w:rPr>
              <w:t>±1.8</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295.0</w:t>
            </w:r>
            <w:r>
              <w:rPr>
                <w:spacing w:val="-3"/>
                <w:sz w:val="22"/>
              </w:rPr>
              <w:t> </w:t>
            </w:r>
            <w:r>
              <w:rPr>
                <w:spacing w:val="-4"/>
                <w:sz w:val="22"/>
              </w:rPr>
              <w:t>±1.9</w:t>
            </w:r>
          </w:p>
        </w:tc>
        <w:tc>
          <w:tcPr>
            <w:tcW w:w="1563" w:type="dxa"/>
          </w:tcPr>
          <w:p>
            <w:pPr>
              <w:pStyle w:val="TableParagraph"/>
              <w:spacing w:before="58"/>
              <w:ind w:left="254"/>
              <w:rPr>
                <w:sz w:val="22"/>
              </w:rPr>
            </w:pPr>
            <w:r>
              <w:rPr>
                <w:sz w:val="22"/>
              </w:rPr>
              <w:t>281.8</w:t>
            </w:r>
            <w:r>
              <w:rPr>
                <w:spacing w:val="-2"/>
                <w:sz w:val="22"/>
              </w:rPr>
              <w:t> </w:t>
            </w:r>
            <w:r>
              <w:rPr>
                <w:spacing w:val="-4"/>
                <w:sz w:val="22"/>
              </w:rPr>
              <w:t>v6.6</w:t>
            </w:r>
          </w:p>
        </w:tc>
        <w:tc>
          <w:tcPr>
            <w:tcW w:w="1853" w:type="dxa"/>
          </w:tcPr>
          <w:p>
            <w:pPr>
              <w:pStyle w:val="TableParagraph"/>
              <w:spacing w:before="58"/>
              <w:ind w:left="256"/>
              <w:rPr>
                <w:sz w:val="22"/>
              </w:rPr>
            </w:pPr>
            <w:r>
              <w:rPr>
                <w:sz w:val="22"/>
              </w:rPr>
              <w:t>253.5</w:t>
            </w:r>
            <w:r>
              <w:rPr>
                <w:spacing w:val="-3"/>
                <w:sz w:val="22"/>
              </w:rPr>
              <w:t> </w:t>
            </w:r>
            <w:r>
              <w:rPr>
                <w:spacing w:val="-4"/>
                <w:sz w:val="22"/>
              </w:rPr>
              <w:t>±4.7</w:t>
            </w:r>
          </w:p>
        </w:tc>
      </w:tr>
      <w:tr>
        <w:trPr>
          <w:trHeight w:val="379" w:hRule="atLeast"/>
        </w:trPr>
        <w:tc>
          <w:tcPr>
            <w:tcW w:w="1078" w:type="dxa"/>
          </w:tcPr>
          <w:p>
            <w:pPr>
              <w:pStyle w:val="TableParagraph"/>
              <w:spacing w:before="58"/>
              <w:ind w:left="107"/>
              <w:rPr>
                <w:sz w:val="22"/>
              </w:rPr>
            </w:pPr>
            <w:r>
              <w:rPr>
                <w:spacing w:val="-5"/>
                <w:sz w:val="22"/>
              </w:rPr>
              <w:t>108</w:t>
            </w:r>
          </w:p>
        </w:tc>
        <w:tc>
          <w:tcPr>
            <w:tcW w:w="1479" w:type="dxa"/>
          </w:tcPr>
          <w:p>
            <w:pPr>
              <w:pStyle w:val="TableParagraph"/>
              <w:spacing w:before="58"/>
              <w:ind w:left="369"/>
              <w:rPr>
                <w:sz w:val="22"/>
              </w:rPr>
            </w:pPr>
            <w:r>
              <w:rPr>
                <w:sz w:val="22"/>
              </w:rPr>
              <w:t>80.8 </w:t>
            </w:r>
            <w:r>
              <w:rPr>
                <w:spacing w:val="-4"/>
                <w:sz w:val="22"/>
              </w:rPr>
              <w:t>±2.9</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351.8</w:t>
            </w:r>
            <w:r>
              <w:rPr>
                <w:spacing w:val="-3"/>
                <w:sz w:val="22"/>
              </w:rPr>
              <w:t> </w:t>
            </w:r>
            <w:r>
              <w:rPr>
                <w:spacing w:val="-2"/>
                <w:sz w:val="22"/>
              </w:rPr>
              <w:t>±12.3</w:t>
            </w:r>
          </w:p>
        </w:tc>
        <w:tc>
          <w:tcPr>
            <w:tcW w:w="1563" w:type="dxa"/>
          </w:tcPr>
          <w:p>
            <w:pPr>
              <w:pStyle w:val="TableParagraph"/>
              <w:spacing w:before="58"/>
              <w:ind w:left="254"/>
              <w:rPr>
                <w:sz w:val="22"/>
              </w:rPr>
            </w:pPr>
            <w:r>
              <w:rPr>
                <w:sz w:val="22"/>
              </w:rPr>
              <w:t>310.0</w:t>
            </w:r>
            <w:r>
              <w:rPr>
                <w:spacing w:val="-3"/>
                <w:sz w:val="22"/>
              </w:rPr>
              <w:t> </w:t>
            </w:r>
            <w:r>
              <w:rPr>
                <w:spacing w:val="-2"/>
                <w:sz w:val="22"/>
              </w:rPr>
              <w:t>±14.1</w:t>
            </w:r>
          </w:p>
        </w:tc>
        <w:tc>
          <w:tcPr>
            <w:tcW w:w="1853" w:type="dxa"/>
          </w:tcPr>
          <w:p>
            <w:pPr>
              <w:pStyle w:val="TableParagraph"/>
              <w:spacing w:before="58"/>
              <w:ind w:left="256"/>
              <w:rPr>
                <w:sz w:val="22"/>
              </w:rPr>
            </w:pPr>
            <w:r>
              <w:rPr>
                <w:sz w:val="22"/>
              </w:rPr>
              <w:t>271.0</w:t>
            </w:r>
            <w:r>
              <w:rPr>
                <w:spacing w:val="-3"/>
                <w:sz w:val="22"/>
              </w:rPr>
              <w:t> </w:t>
            </w:r>
            <w:r>
              <w:rPr>
                <w:spacing w:val="-4"/>
                <w:sz w:val="22"/>
              </w:rPr>
              <w:t>±3.2</w:t>
            </w:r>
          </w:p>
        </w:tc>
      </w:tr>
      <w:tr>
        <w:trPr>
          <w:trHeight w:val="379" w:hRule="atLeast"/>
        </w:trPr>
        <w:tc>
          <w:tcPr>
            <w:tcW w:w="1078" w:type="dxa"/>
          </w:tcPr>
          <w:p>
            <w:pPr>
              <w:pStyle w:val="TableParagraph"/>
              <w:spacing w:before="59"/>
              <w:ind w:left="107"/>
              <w:rPr>
                <w:sz w:val="22"/>
              </w:rPr>
            </w:pPr>
            <w:r>
              <w:rPr>
                <w:spacing w:val="-5"/>
                <w:sz w:val="22"/>
              </w:rPr>
              <w:t>120</w:t>
            </w:r>
          </w:p>
        </w:tc>
        <w:tc>
          <w:tcPr>
            <w:tcW w:w="1479" w:type="dxa"/>
          </w:tcPr>
          <w:p>
            <w:pPr>
              <w:pStyle w:val="TableParagraph"/>
              <w:spacing w:before="59"/>
              <w:ind w:left="369"/>
              <w:rPr>
                <w:sz w:val="22"/>
              </w:rPr>
            </w:pPr>
            <w:r>
              <w:rPr>
                <w:sz w:val="22"/>
              </w:rPr>
              <w:t>81.3 </w:t>
            </w:r>
            <w:r>
              <w:rPr>
                <w:spacing w:val="-4"/>
                <w:sz w:val="22"/>
              </w:rPr>
              <w:t>±2.6</w:t>
            </w:r>
          </w:p>
        </w:tc>
        <w:tc>
          <w:tcPr>
            <w:tcW w:w="1437" w:type="dxa"/>
          </w:tcPr>
          <w:p>
            <w:pPr>
              <w:pStyle w:val="TableParagraph"/>
              <w:spacing w:before="59"/>
              <w:ind w:left="273"/>
              <w:rPr>
                <w:sz w:val="22"/>
              </w:rPr>
            </w:pPr>
            <w:r>
              <w:rPr>
                <w:spacing w:val="-10"/>
                <w:sz w:val="22"/>
              </w:rPr>
              <w:t>-</w:t>
            </w:r>
          </w:p>
        </w:tc>
        <w:tc>
          <w:tcPr>
            <w:tcW w:w="1527" w:type="dxa"/>
          </w:tcPr>
          <w:p>
            <w:pPr>
              <w:pStyle w:val="TableParagraph"/>
              <w:spacing w:before="59"/>
              <w:ind w:left="218"/>
              <w:rPr>
                <w:sz w:val="22"/>
              </w:rPr>
            </w:pPr>
            <w:r>
              <w:rPr>
                <w:sz w:val="22"/>
              </w:rPr>
              <w:t>403.5</w:t>
            </w:r>
            <w:r>
              <w:rPr>
                <w:spacing w:val="-3"/>
                <w:sz w:val="22"/>
              </w:rPr>
              <w:t> </w:t>
            </w:r>
            <w:r>
              <w:rPr>
                <w:spacing w:val="-4"/>
                <w:sz w:val="22"/>
              </w:rPr>
              <w:t>±4.5</w:t>
            </w:r>
          </w:p>
        </w:tc>
        <w:tc>
          <w:tcPr>
            <w:tcW w:w="1563" w:type="dxa"/>
          </w:tcPr>
          <w:p>
            <w:pPr>
              <w:pStyle w:val="TableParagraph"/>
              <w:spacing w:before="59"/>
              <w:ind w:left="254"/>
              <w:rPr>
                <w:sz w:val="22"/>
              </w:rPr>
            </w:pPr>
            <w:r>
              <w:rPr>
                <w:sz w:val="22"/>
              </w:rPr>
              <w:t>355.5</w:t>
            </w:r>
            <w:r>
              <w:rPr>
                <w:spacing w:val="-3"/>
                <w:sz w:val="22"/>
              </w:rPr>
              <w:t> </w:t>
            </w:r>
            <w:r>
              <w:rPr>
                <w:spacing w:val="-4"/>
                <w:sz w:val="22"/>
              </w:rPr>
              <w:t>±8.3</w:t>
            </w:r>
          </w:p>
        </w:tc>
        <w:tc>
          <w:tcPr>
            <w:tcW w:w="1853" w:type="dxa"/>
          </w:tcPr>
          <w:p>
            <w:pPr>
              <w:pStyle w:val="TableParagraph"/>
              <w:spacing w:before="59"/>
              <w:ind w:left="256"/>
              <w:rPr>
                <w:sz w:val="22"/>
              </w:rPr>
            </w:pPr>
            <w:r>
              <w:rPr>
                <w:sz w:val="22"/>
              </w:rPr>
              <w:t>300.0</w:t>
            </w:r>
            <w:r>
              <w:rPr>
                <w:spacing w:val="-3"/>
                <w:sz w:val="22"/>
              </w:rPr>
              <w:t> </w:t>
            </w:r>
            <w:r>
              <w:rPr>
                <w:spacing w:val="-4"/>
                <w:sz w:val="22"/>
              </w:rPr>
              <w:t>±3.7</w:t>
            </w:r>
          </w:p>
        </w:tc>
      </w:tr>
      <w:tr>
        <w:trPr>
          <w:trHeight w:val="379" w:hRule="atLeast"/>
        </w:trPr>
        <w:tc>
          <w:tcPr>
            <w:tcW w:w="1078" w:type="dxa"/>
          </w:tcPr>
          <w:p>
            <w:pPr>
              <w:pStyle w:val="TableParagraph"/>
              <w:spacing w:before="58"/>
              <w:ind w:left="107"/>
              <w:rPr>
                <w:sz w:val="22"/>
              </w:rPr>
            </w:pPr>
            <w:r>
              <w:rPr>
                <w:spacing w:val="-5"/>
                <w:sz w:val="22"/>
              </w:rPr>
              <w:t>132</w:t>
            </w:r>
          </w:p>
        </w:tc>
        <w:tc>
          <w:tcPr>
            <w:tcW w:w="1479" w:type="dxa"/>
          </w:tcPr>
          <w:p>
            <w:pPr>
              <w:pStyle w:val="TableParagraph"/>
              <w:spacing w:before="58"/>
              <w:ind w:left="369"/>
              <w:rPr>
                <w:sz w:val="22"/>
              </w:rPr>
            </w:pPr>
            <w:r>
              <w:rPr>
                <w:sz w:val="22"/>
              </w:rPr>
              <w:t>82.5 </w:t>
            </w:r>
            <w:r>
              <w:rPr>
                <w:spacing w:val="-4"/>
                <w:sz w:val="22"/>
              </w:rPr>
              <w:t>±2.4</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443.0</w:t>
            </w:r>
            <w:r>
              <w:rPr>
                <w:spacing w:val="-3"/>
                <w:sz w:val="22"/>
              </w:rPr>
              <w:t> </w:t>
            </w:r>
            <w:r>
              <w:rPr>
                <w:spacing w:val="-4"/>
                <w:sz w:val="22"/>
              </w:rPr>
              <w:t>±5.3</w:t>
            </w:r>
          </w:p>
        </w:tc>
        <w:tc>
          <w:tcPr>
            <w:tcW w:w="1563" w:type="dxa"/>
          </w:tcPr>
          <w:p>
            <w:pPr>
              <w:pStyle w:val="TableParagraph"/>
              <w:spacing w:before="58"/>
              <w:ind w:left="254"/>
              <w:rPr>
                <w:sz w:val="22"/>
              </w:rPr>
            </w:pPr>
            <w:r>
              <w:rPr>
                <w:sz w:val="22"/>
              </w:rPr>
              <w:t>391.3</w:t>
            </w:r>
            <w:r>
              <w:rPr>
                <w:spacing w:val="-3"/>
                <w:sz w:val="22"/>
              </w:rPr>
              <w:t> </w:t>
            </w:r>
            <w:r>
              <w:rPr>
                <w:spacing w:val="-2"/>
                <w:sz w:val="22"/>
              </w:rPr>
              <w:t>±10.5</w:t>
            </w:r>
          </w:p>
        </w:tc>
        <w:tc>
          <w:tcPr>
            <w:tcW w:w="1853" w:type="dxa"/>
          </w:tcPr>
          <w:p>
            <w:pPr>
              <w:pStyle w:val="TableParagraph"/>
              <w:spacing w:before="58"/>
              <w:ind w:left="256"/>
              <w:rPr>
                <w:sz w:val="22"/>
              </w:rPr>
            </w:pPr>
            <w:r>
              <w:rPr>
                <w:sz w:val="22"/>
              </w:rPr>
              <w:t>340.5</w:t>
            </w:r>
            <w:r>
              <w:rPr>
                <w:spacing w:val="-3"/>
                <w:sz w:val="22"/>
              </w:rPr>
              <w:t> </w:t>
            </w:r>
            <w:r>
              <w:rPr>
                <w:spacing w:val="-4"/>
                <w:sz w:val="22"/>
              </w:rPr>
              <w:t>±6.6</w:t>
            </w:r>
          </w:p>
        </w:tc>
      </w:tr>
      <w:tr>
        <w:trPr>
          <w:trHeight w:val="379" w:hRule="atLeast"/>
        </w:trPr>
        <w:tc>
          <w:tcPr>
            <w:tcW w:w="1078" w:type="dxa"/>
          </w:tcPr>
          <w:p>
            <w:pPr>
              <w:pStyle w:val="TableParagraph"/>
              <w:spacing w:before="58"/>
              <w:ind w:left="107"/>
              <w:rPr>
                <w:sz w:val="22"/>
              </w:rPr>
            </w:pPr>
            <w:r>
              <w:rPr>
                <w:spacing w:val="-5"/>
                <w:sz w:val="22"/>
              </w:rPr>
              <w:t>144</w:t>
            </w:r>
          </w:p>
        </w:tc>
        <w:tc>
          <w:tcPr>
            <w:tcW w:w="1479" w:type="dxa"/>
          </w:tcPr>
          <w:p>
            <w:pPr>
              <w:pStyle w:val="TableParagraph"/>
              <w:spacing w:before="58"/>
              <w:ind w:left="369"/>
              <w:rPr>
                <w:sz w:val="22"/>
              </w:rPr>
            </w:pPr>
            <w:r>
              <w:rPr>
                <w:sz w:val="22"/>
              </w:rPr>
              <w:t>82.8 </w:t>
            </w:r>
            <w:r>
              <w:rPr>
                <w:spacing w:val="-4"/>
                <w:sz w:val="22"/>
              </w:rPr>
              <w:t>±3.8</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464.3</w:t>
            </w:r>
            <w:r>
              <w:rPr>
                <w:spacing w:val="-3"/>
                <w:sz w:val="22"/>
              </w:rPr>
              <w:t> </w:t>
            </w:r>
            <w:r>
              <w:rPr>
                <w:spacing w:val="-4"/>
                <w:sz w:val="22"/>
              </w:rPr>
              <w:t>±3.6</w:t>
            </w:r>
          </w:p>
        </w:tc>
        <w:tc>
          <w:tcPr>
            <w:tcW w:w="1563" w:type="dxa"/>
          </w:tcPr>
          <w:p>
            <w:pPr>
              <w:pStyle w:val="TableParagraph"/>
              <w:spacing w:before="58"/>
              <w:ind w:left="254"/>
              <w:rPr>
                <w:sz w:val="22"/>
              </w:rPr>
            </w:pPr>
            <w:r>
              <w:rPr>
                <w:sz w:val="22"/>
              </w:rPr>
              <w:t>427.5</w:t>
            </w:r>
            <w:r>
              <w:rPr>
                <w:spacing w:val="-3"/>
                <w:sz w:val="22"/>
              </w:rPr>
              <w:t> </w:t>
            </w:r>
            <w:r>
              <w:rPr>
                <w:spacing w:val="-2"/>
                <w:sz w:val="22"/>
              </w:rPr>
              <w:t>±11.1</w:t>
            </w:r>
          </w:p>
        </w:tc>
        <w:tc>
          <w:tcPr>
            <w:tcW w:w="1853" w:type="dxa"/>
          </w:tcPr>
          <w:p>
            <w:pPr>
              <w:pStyle w:val="TableParagraph"/>
              <w:spacing w:before="58"/>
              <w:ind w:left="256"/>
              <w:rPr>
                <w:sz w:val="22"/>
              </w:rPr>
            </w:pPr>
            <w:r>
              <w:rPr>
                <w:sz w:val="22"/>
              </w:rPr>
              <w:t>361.8</w:t>
            </w:r>
            <w:r>
              <w:rPr>
                <w:spacing w:val="-3"/>
                <w:sz w:val="22"/>
              </w:rPr>
              <w:t> </w:t>
            </w:r>
            <w:r>
              <w:rPr>
                <w:spacing w:val="-4"/>
                <w:sz w:val="22"/>
              </w:rPr>
              <w:t>±4.4</w:t>
            </w:r>
          </w:p>
        </w:tc>
      </w:tr>
      <w:tr>
        <w:trPr>
          <w:trHeight w:val="379" w:hRule="atLeast"/>
        </w:trPr>
        <w:tc>
          <w:tcPr>
            <w:tcW w:w="1078" w:type="dxa"/>
          </w:tcPr>
          <w:p>
            <w:pPr>
              <w:pStyle w:val="TableParagraph"/>
              <w:spacing w:before="58"/>
              <w:ind w:left="107"/>
              <w:rPr>
                <w:sz w:val="22"/>
              </w:rPr>
            </w:pPr>
            <w:r>
              <w:rPr>
                <w:spacing w:val="-5"/>
                <w:sz w:val="22"/>
              </w:rPr>
              <w:t>156</w:t>
            </w:r>
          </w:p>
        </w:tc>
        <w:tc>
          <w:tcPr>
            <w:tcW w:w="1479" w:type="dxa"/>
          </w:tcPr>
          <w:p>
            <w:pPr>
              <w:pStyle w:val="TableParagraph"/>
              <w:spacing w:before="58"/>
              <w:ind w:left="369"/>
              <w:rPr>
                <w:sz w:val="22"/>
              </w:rPr>
            </w:pPr>
            <w:r>
              <w:rPr>
                <w:sz w:val="22"/>
              </w:rPr>
              <w:t>81.3 </w:t>
            </w:r>
            <w:r>
              <w:rPr>
                <w:spacing w:val="-4"/>
                <w:sz w:val="22"/>
              </w:rPr>
              <w:t>±2.5</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483.3</w:t>
            </w:r>
            <w:r>
              <w:rPr>
                <w:spacing w:val="-3"/>
                <w:sz w:val="22"/>
              </w:rPr>
              <w:t> </w:t>
            </w:r>
            <w:r>
              <w:rPr>
                <w:spacing w:val="-4"/>
                <w:sz w:val="22"/>
              </w:rPr>
              <w:t>±2.2</w:t>
            </w:r>
          </w:p>
        </w:tc>
        <w:tc>
          <w:tcPr>
            <w:tcW w:w="1563" w:type="dxa"/>
          </w:tcPr>
          <w:p>
            <w:pPr>
              <w:pStyle w:val="TableParagraph"/>
              <w:spacing w:before="58"/>
              <w:ind w:left="254"/>
              <w:rPr>
                <w:sz w:val="22"/>
              </w:rPr>
            </w:pPr>
            <w:r>
              <w:rPr>
                <w:sz w:val="22"/>
              </w:rPr>
              <w:t>452.8</w:t>
            </w:r>
            <w:r>
              <w:rPr>
                <w:spacing w:val="-3"/>
                <w:sz w:val="22"/>
              </w:rPr>
              <w:t> </w:t>
            </w:r>
            <w:r>
              <w:rPr>
                <w:spacing w:val="-2"/>
                <w:sz w:val="22"/>
              </w:rPr>
              <w:t>±12.8</w:t>
            </w:r>
          </w:p>
        </w:tc>
        <w:tc>
          <w:tcPr>
            <w:tcW w:w="1853" w:type="dxa"/>
          </w:tcPr>
          <w:p>
            <w:pPr>
              <w:pStyle w:val="TableParagraph"/>
              <w:spacing w:before="58"/>
              <w:ind w:left="256"/>
              <w:rPr>
                <w:sz w:val="22"/>
              </w:rPr>
            </w:pPr>
            <w:r>
              <w:rPr>
                <w:sz w:val="22"/>
              </w:rPr>
              <w:t>381.3</w:t>
            </w:r>
            <w:r>
              <w:rPr>
                <w:spacing w:val="-3"/>
                <w:sz w:val="22"/>
              </w:rPr>
              <w:t> </w:t>
            </w:r>
            <w:r>
              <w:rPr>
                <w:spacing w:val="-4"/>
                <w:sz w:val="22"/>
              </w:rPr>
              <w:t>±8.5</w:t>
            </w:r>
          </w:p>
        </w:tc>
      </w:tr>
      <w:tr>
        <w:trPr>
          <w:trHeight w:val="380" w:hRule="atLeast"/>
        </w:trPr>
        <w:tc>
          <w:tcPr>
            <w:tcW w:w="1078" w:type="dxa"/>
          </w:tcPr>
          <w:p>
            <w:pPr>
              <w:pStyle w:val="TableParagraph"/>
              <w:spacing w:before="58"/>
              <w:ind w:left="107"/>
              <w:rPr>
                <w:sz w:val="22"/>
              </w:rPr>
            </w:pPr>
            <w:r>
              <w:rPr>
                <w:spacing w:val="-5"/>
                <w:sz w:val="22"/>
              </w:rPr>
              <w:t>168</w:t>
            </w:r>
          </w:p>
        </w:tc>
        <w:tc>
          <w:tcPr>
            <w:tcW w:w="1479" w:type="dxa"/>
          </w:tcPr>
          <w:p>
            <w:pPr>
              <w:pStyle w:val="TableParagraph"/>
              <w:spacing w:before="58"/>
              <w:ind w:left="369"/>
              <w:rPr>
                <w:sz w:val="22"/>
              </w:rPr>
            </w:pPr>
            <w:r>
              <w:rPr>
                <w:sz w:val="22"/>
              </w:rPr>
              <w:t>81.5 </w:t>
            </w:r>
            <w:r>
              <w:rPr>
                <w:spacing w:val="-4"/>
                <w:sz w:val="22"/>
              </w:rPr>
              <w:t>±3.1</w:t>
            </w:r>
          </w:p>
        </w:tc>
        <w:tc>
          <w:tcPr>
            <w:tcW w:w="1437" w:type="dxa"/>
          </w:tcPr>
          <w:p>
            <w:pPr>
              <w:pStyle w:val="TableParagraph"/>
              <w:spacing w:before="58"/>
              <w:ind w:left="273"/>
              <w:rPr>
                <w:sz w:val="22"/>
              </w:rPr>
            </w:pPr>
            <w:r>
              <w:rPr>
                <w:spacing w:val="-10"/>
                <w:sz w:val="22"/>
              </w:rPr>
              <w:t>-</w:t>
            </w:r>
          </w:p>
        </w:tc>
        <w:tc>
          <w:tcPr>
            <w:tcW w:w="1527" w:type="dxa"/>
          </w:tcPr>
          <w:p>
            <w:pPr>
              <w:pStyle w:val="TableParagraph"/>
              <w:spacing w:before="58"/>
              <w:ind w:left="218"/>
              <w:rPr>
                <w:sz w:val="22"/>
              </w:rPr>
            </w:pPr>
            <w:r>
              <w:rPr>
                <w:sz w:val="22"/>
              </w:rPr>
              <w:t>493.3</w:t>
            </w:r>
            <w:r>
              <w:rPr>
                <w:spacing w:val="-3"/>
                <w:sz w:val="22"/>
              </w:rPr>
              <w:t> </w:t>
            </w:r>
            <w:r>
              <w:rPr>
                <w:spacing w:val="-4"/>
                <w:sz w:val="22"/>
              </w:rPr>
              <w:t>±2.4</w:t>
            </w:r>
          </w:p>
        </w:tc>
        <w:tc>
          <w:tcPr>
            <w:tcW w:w="1563" w:type="dxa"/>
          </w:tcPr>
          <w:p>
            <w:pPr>
              <w:pStyle w:val="TableParagraph"/>
              <w:spacing w:before="58"/>
              <w:ind w:left="254"/>
              <w:rPr>
                <w:sz w:val="22"/>
              </w:rPr>
            </w:pPr>
            <w:r>
              <w:rPr>
                <w:sz w:val="22"/>
              </w:rPr>
              <w:t>471.3</w:t>
            </w:r>
            <w:r>
              <w:rPr>
                <w:spacing w:val="-3"/>
                <w:sz w:val="22"/>
              </w:rPr>
              <w:t> </w:t>
            </w:r>
            <w:r>
              <w:rPr>
                <w:spacing w:val="-2"/>
                <w:sz w:val="22"/>
              </w:rPr>
              <w:t>±11.7</w:t>
            </w:r>
          </w:p>
        </w:tc>
        <w:tc>
          <w:tcPr>
            <w:tcW w:w="1853" w:type="dxa"/>
          </w:tcPr>
          <w:p>
            <w:pPr>
              <w:pStyle w:val="TableParagraph"/>
              <w:spacing w:before="58"/>
              <w:ind w:left="256"/>
              <w:rPr>
                <w:sz w:val="22"/>
              </w:rPr>
            </w:pPr>
            <w:r>
              <w:rPr>
                <w:sz w:val="22"/>
              </w:rPr>
              <w:t>409.5</w:t>
            </w:r>
            <w:r>
              <w:rPr>
                <w:spacing w:val="-3"/>
                <w:sz w:val="22"/>
              </w:rPr>
              <w:t> </w:t>
            </w:r>
            <w:r>
              <w:rPr>
                <w:spacing w:val="-4"/>
                <w:sz w:val="22"/>
              </w:rPr>
              <w:t>±8.4</w:t>
            </w:r>
          </w:p>
        </w:tc>
      </w:tr>
      <w:tr>
        <w:trPr>
          <w:trHeight w:val="380" w:hRule="atLeast"/>
        </w:trPr>
        <w:tc>
          <w:tcPr>
            <w:tcW w:w="1078" w:type="dxa"/>
          </w:tcPr>
          <w:p>
            <w:pPr>
              <w:pStyle w:val="TableParagraph"/>
              <w:spacing w:before="60"/>
              <w:ind w:left="107"/>
              <w:rPr>
                <w:sz w:val="22"/>
              </w:rPr>
            </w:pPr>
            <w:r>
              <w:rPr>
                <w:spacing w:val="-5"/>
                <w:sz w:val="22"/>
              </w:rPr>
              <w:t>180</w:t>
            </w:r>
          </w:p>
        </w:tc>
        <w:tc>
          <w:tcPr>
            <w:tcW w:w="1479" w:type="dxa"/>
          </w:tcPr>
          <w:p>
            <w:pPr>
              <w:pStyle w:val="TableParagraph"/>
              <w:spacing w:before="60"/>
              <w:ind w:left="369"/>
              <w:rPr>
                <w:sz w:val="22"/>
              </w:rPr>
            </w:pPr>
            <w:r>
              <w:rPr>
                <w:sz w:val="22"/>
              </w:rPr>
              <w:t>82.0 </w:t>
            </w:r>
            <w:r>
              <w:rPr>
                <w:spacing w:val="-4"/>
                <w:sz w:val="22"/>
              </w:rPr>
              <w:t>±3.2</w:t>
            </w:r>
          </w:p>
        </w:tc>
        <w:tc>
          <w:tcPr>
            <w:tcW w:w="1437" w:type="dxa"/>
          </w:tcPr>
          <w:p>
            <w:pPr>
              <w:pStyle w:val="TableParagraph"/>
              <w:spacing w:before="60"/>
              <w:ind w:left="273"/>
              <w:rPr>
                <w:sz w:val="22"/>
              </w:rPr>
            </w:pPr>
            <w:r>
              <w:rPr>
                <w:spacing w:val="-10"/>
                <w:sz w:val="22"/>
              </w:rPr>
              <w:t>-</w:t>
            </w:r>
          </w:p>
        </w:tc>
        <w:tc>
          <w:tcPr>
            <w:tcW w:w="1527" w:type="dxa"/>
          </w:tcPr>
          <w:p>
            <w:pPr>
              <w:pStyle w:val="TableParagraph"/>
              <w:spacing w:before="60"/>
              <w:ind w:left="218"/>
              <w:rPr>
                <w:sz w:val="22"/>
              </w:rPr>
            </w:pPr>
            <w:r>
              <w:rPr>
                <w:sz w:val="22"/>
              </w:rPr>
              <w:t>496.5</w:t>
            </w:r>
            <w:r>
              <w:rPr>
                <w:spacing w:val="-3"/>
                <w:sz w:val="22"/>
              </w:rPr>
              <w:t> </w:t>
            </w:r>
            <w:r>
              <w:rPr>
                <w:spacing w:val="-4"/>
                <w:sz w:val="22"/>
              </w:rPr>
              <w:t>±1.7</w:t>
            </w:r>
          </w:p>
        </w:tc>
        <w:tc>
          <w:tcPr>
            <w:tcW w:w="1563" w:type="dxa"/>
          </w:tcPr>
          <w:p>
            <w:pPr>
              <w:pStyle w:val="TableParagraph"/>
              <w:spacing w:before="60"/>
              <w:ind w:left="254"/>
              <w:rPr>
                <w:sz w:val="22"/>
              </w:rPr>
            </w:pPr>
            <w:r>
              <w:rPr>
                <w:sz w:val="22"/>
              </w:rPr>
              <w:t>487.8</w:t>
            </w:r>
            <w:r>
              <w:rPr>
                <w:spacing w:val="-3"/>
                <w:sz w:val="22"/>
              </w:rPr>
              <w:t> </w:t>
            </w:r>
            <w:r>
              <w:rPr>
                <w:spacing w:val="-4"/>
                <w:sz w:val="22"/>
              </w:rPr>
              <w:t>±8.4</w:t>
            </w:r>
          </w:p>
        </w:tc>
        <w:tc>
          <w:tcPr>
            <w:tcW w:w="1853" w:type="dxa"/>
          </w:tcPr>
          <w:p>
            <w:pPr>
              <w:pStyle w:val="TableParagraph"/>
              <w:spacing w:before="60"/>
              <w:ind w:left="256"/>
              <w:rPr>
                <w:sz w:val="22"/>
              </w:rPr>
            </w:pPr>
            <w:r>
              <w:rPr>
                <w:sz w:val="22"/>
              </w:rPr>
              <w:t>433.5</w:t>
            </w:r>
            <w:r>
              <w:rPr>
                <w:spacing w:val="-3"/>
                <w:sz w:val="22"/>
              </w:rPr>
              <w:t> </w:t>
            </w:r>
            <w:r>
              <w:rPr>
                <w:spacing w:val="-4"/>
                <w:sz w:val="22"/>
              </w:rPr>
              <w:t>±6.9</w:t>
            </w:r>
          </w:p>
        </w:tc>
      </w:tr>
      <w:tr>
        <w:trPr>
          <w:trHeight w:val="311" w:hRule="atLeast"/>
        </w:trPr>
        <w:tc>
          <w:tcPr>
            <w:tcW w:w="1078" w:type="dxa"/>
          </w:tcPr>
          <w:p>
            <w:pPr>
              <w:pStyle w:val="TableParagraph"/>
              <w:spacing w:line="233" w:lineRule="exact" w:before="58"/>
              <w:ind w:left="107"/>
              <w:rPr>
                <w:sz w:val="22"/>
              </w:rPr>
            </w:pPr>
            <w:r>
              <w:rPr>
                <w:spacing w:val="-5"/>
                <w:sz w:val="22"/>
              </w:rPr>
              <w:t>192</w:t>
            </w:r>
          </w:p>
        </w:tc>
        <w:tc>
          <w:tcPr>
            <w:tcW w:w="1479" w:type="dxa"/>
          </w:tcPr>
          <w:p>
            <w:pPr>
              <w:pStyle w:val="TableParagraph"/>
              <w:spacing w:line="233" w:lineRule="exact" w:before="58"/>
              <w:ind w:left="369"/>
              <w:rPr>
                <w:sz w:val="22"/>
              </w:rPr>
            </w:pPr>
            <w:r>
              <w:rPr>
                <w:sz w:val="22"/>
              </w:rPr>
              <w:t>80.0 </w:t>
            </w:r>
            <w:r>
              <w:rPr>
                <w:spacing w:val="-4"/>
                <w:sz w:val="22"/>
              </w:rPr>
              <w:t>±2.4</w:t>
            </w:r>
          </w:p>
        </w:tc>
        <w:tc>
          <w:tcPr>
            <w:tcW w:w="1437" w:type="dxa"/>
          </w:tcPr>
          <w:p>
            <w:pPr>
              <w:pStyle w:val="TableParagraph"/>
              <w:spacing w:line="233" w:lineRule="exact" w:before="58"/>
              <w:ind w:left="273"/>
              <w:rPr>
                <w:sz w:val="22"/>
              </w:rPr>
            </w:pPr>
            <w:r>
              <w:rPr>
                <w:spacing w:val="-10"/>
                <w:sz w:val="22"/>
              </w:rPr>
              <w:t>-</w:t>
            </w:r>
          </w:p>
        </w:tc>
        <w:tc>
          <w:tcPr>
            <w:tcW w:w="1527" w:type="dxa"/>
          </w:tcPr>
          <w:p>
            <w:pPr>
              <w:pStyle w:val="TableParagraph"/>
              <w:spacing w:line="233" w:lineRule="exact" w:before="58"/>
              <w:ind w:left="218"/>
              <w:rPr>
                <w:sz w:val="22"/>
              </w:rPr>
            </w:pPr>
            <w:r>
              <w:rPr>
                <w:sz w:val="22"/>
              </w:rPr>
              <w:t>497.5</w:t>
            </w:r>
            <w:r>
              <w:rPr>
                <w:spacing w:val="-3"/>
                <w:sz w:val="22"/>
              </w:rPr>
              <w:t> </w:t>
            </w:r>
            <w:r>
              <w:rPr>
                <w:spacing w:val="-4"/>
                <w:sz w:val="22"/>
              </w:rPr>
              <w:t>±1.1</w:t>
            </w:r>
          </w:p>
        </w:tc>
        <w:tc>
          <w:tcPr>
            <w:tcW w:w="1563" w:type="dxa"/>
          </w:tcPr>
          <w:p>
            <w:pPr>
              <w:pStyle w:val="TableParagraph"/>
              <w:spacing w:line="233" w:lineRule="exact" w:before="58"/>
              <w:ind w:left="254"/>
              <w:rPr>
                <w:sz w:val="22"/>
              </w:rPr>
            </w:pPr>
            <w:r>
              <w:rPr>
                <w:sz w:val="22"/>
              </w:rPr>
              <w:t>495.0</w:t>
            </w:r>
            <w:r>
              <w:rPr>
                <w:spacing w:val="-3"/>
                <w:sz w:val="22"/>
              </w:rPr>
              <w:t> </w:t>
            </w:r>
            <w:r>
              <w:rPr>
                <w:spacing w:val="-4"/>
                <w:sz w:val="22"/>
              </w:rPr>
              <w:t>±1.4</w:t>
            </w:r>
          </w:p>
        </w:tc>
        <w:tc>
          <w:tcPr>
            <w:tcW w:w="1853" w:type="dxa"/>
          </w:tcPr>
          <w:p>
            <w:pPr>
              <w:pStyle w:val="TableParagraph"/>
              <w:spacing w:line="233" w:lineRule="exact" w:before="58"/>
              <w:ind w:left="256"/>
              <w:rPr>
                <w:sz w:val="22"/>
              </w:rPr>
            </w:pPr>
            <w:r>
              <w:rPr>
                <w:sz w:val="22"/>
              </w:rPr>
              <w:t>455.0</w:t>
            </w:r>
            <w:r>
              <w:rPr>
                <w:spacing w:val="-3"/>
                <w:sz w:val="22"/>
              </w:rPr>
              <w:t> </w:t>
            </w:r>
            <w:r>
              <w:rPr>
                <w:spacing w:val="-4"/>
                <w:sz w:val="22"/>
              </w:rPr>
              <w:t>±5.0</w:t>
            </w:r>
          </w:p>
        </w:tc>
      </w:tr>
    </w:tbl>
    <w:p>
      <w:pPr>
        <w:spacing w:after="0" w:line="233" w:lineRule="exact"/>
        <w:rPr>
          <w:sz w:val="22"/>
        </w:rPr>
        <w:sectPr>
          <w:footerReference w:type="default" r:id="rId63"/>
          <w:pgSz w:w="12240" w:h="15840"/>
          <w:pgMar w:header="0" w:footer="906" w:top="1340" w:bottom="1100" w:left="1420" w:right="420"/>
        </w:sectPr>
      </w:pPr>
    </w:p>
    <w:p>
      <w:pPr>
        <w:pStyle w:val="BodyText"/>
        <w:rPr>
          <w:b/>
          <w:sz w:val="20"/>
        </w:rPr>
      </w:pPr>
      <w:r>
        <w:rPr/>
        <mc:AlternateContent>
          <mc:Choice Requires="wps">
            <w:drawing>
              <wp:anchor distT="0" distB="0" distL="0" distR="0" allowOverlap="1" layoutInCell="1" locked="0" behindDoc="1" simplePos="0" relativeHeight="483030528">
                <wp:simplePos x="0" y="0"/>
                <wp:positionH relativeFrom="page">
                  <wp:posOffset>3861220</wp:posOffset>
                </wp:positionH>
                <wp:positionV relativeFrom="page">
                  <wp:posOffset>3734575</wp:posOffset>
                </wp:positionV>
                <wp:extent cx="1287780" cy="914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rot="18360000">
                          <a:off x="0" y="0"/>
                          <a:ext cx="1287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5"/>
                                <w:sz w:val="144"/>
                              </w:rPr>
                              <w:t>OF</w:t>
                            </w:r>
                          </w:p>
                        </w:txbxContent>
                      </wps:txbx>
                      <wps:bodyPr wrap="square" lIns="0" tIns="0" rIns="0" bIns="0" rtlCol="0">
                        <a:noAutofit/>
                      </wps:bodyPr>
                    </wps:wsp>
                  </a:graphicData>
                </a:graphic>
              </wp:anchor>
            </w:drawing>
          </mc:Choice>
          <mc:Fallback>
            <w:pict>
              <v:shape style="position:absolute;margin-left:304.033093pt;margin-top:294.061084pt;width:101.4pt;height:72pt;mso-position-horizontal-relative:page;mso-position-vertical-relative:page;z-index:-20285952;rotation:306" type="#_x0000_t136" fillcolor="#ff5400" stroked="f">
                <o:extrusion v:ext="view" autorotationcenter="t"/>
                <v:textpath style="font-family:&quot;Arial MT&quot;;font-size:72pt;v-text-kern:t;mso-text-shadow:auto" string="OF"/>
                <w10:wrap type="none"/>
              </v:shape>
            </w:pict>
          </mc:Fallback>
        </mc:AlternateContent>
      </w:r>
      <w:r>
        <w:rPr/>
        <mc:AlternateContent>
          <mc:Choice Requires="wps">
            <w:drawing>
              <wp:anchor distT="0" distB="0" distL="0" distR="0" allowOverlap="1" layoutInCell="1" locked="0" behindDoc="1" simplePos="0" relativeHeight="483031040">
                <wp:simplePos x="0" y="0"/>
                <wp:positionH relativeFrom="page">
                  <wp:posOffset>4288097</wp:posOffset>
                </wp:positionH>
                <wp:positionV relativeFrom="page">
                  <wp:posOffset>1617859</wp:posOffset>
                </wp:positionV>
                <wp:extent cx="3421379" cy="9144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rot="18360000">
                          <a:off x="0" y="0"/>
                          <a:ext cx="3421379"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IBADAN</w:t>
                            </w:r>
                          </w:p>
                        </w:txbxContent>
                      </wps:txbx>
                      <wps:bodyPr wrap="square" lIns="0" tIns="0" rIns="0" bIns="0" rtlCol="0">
                        <a:noAutofit/>
                      </wps:bodyPr>
                    </wps:wsp>
                  </a:graphicData>
                </a:graphic>
              </wp:anchor>
            </w:drawing>
          </mc:Choice>
          <mc:Fallback>
            <w:pict>
              <v:shape style="position:absolute;margin-left:337.64549pt;margin-top:127.390523pt;width:269.4pt;height:72pt;mso-position-horizontal-relative:page;mso-position-vertical-relative:page;z-index:-20285440;rotation:306" type="#_x0000_t136" fillcolor="#ff5400" stroked="f">
                <o:extrusion v:ext="view" autorotationcenter="t"/>
                <v:textpath style="font-family:&quot;Arial MT&quot;;font-size:72pt;v-text-kern:t;mso-text-shadow:auto" string="IBADAN"/>
                <w10:wrap type="none"/>
              </v:shape>
            </w:pict>
          </mc:Fallback>
        </mc:AlternateContent>
      </w:r>
      <w:r>
        <w:rPr/>
        <mc:AlternateContent>
          <mc:Choice Requires="wps">
            <w:drawing>
              <wp:anchor distT="0" distB="0" distL="0" distR="0" allowOverlap="1" layoutInCell="1" locked="0" behindDoc="1" simplePos="0" relativeHeight="483031552">
                <wp:simplePos x="0" y="0"/>
                <wp:positionH relativeFrom="page">
                  <wp:posOffset>-316181</wp:posOffset>
                </wp:positionH>
                <wp:positionV relativeFrom="page">
                  <wp:posOffset>6721518</wp:posOffset>
                </wp:positionV>
                <wp:extent cx="5504815" cy="9144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rot="18360000">
                          <a:off x="0" y="0"/>
                          <a:ext cx="5504815" cy="914400"/>
                        </a:xfrm>
                        <a:prstGeom prst="rect">
                          <a:avLst/>
                        </a:prstGeom>
                      </wps:spPr>
                      <wps:txbx>
                        <w:txbxContent>
                          <w:p>
                            <w:pPr>
                              <w:spacing w:line="1440" w:lineRule="exact" w:before="0"/>
                              <w:ind w:left="0" w:right="0" w:firstLine="0"/>
                              <w:jc w:val="left"/>
                              <w:rPr>
                                <w:rFonts w:ascii="Arial MT"/>
                                <w:sz w:val="144"/>
                              </w:rPr>
                            </w:pPr>
                            <w:r>
                              <w:rPr>
                                <w:rFonts w:ascii="Arial MT"/>
                                <w:color w:val="FF5400"/>
                                <w:spacing w:val="-2"/>
                                <w:sz w:val="144"/>
                              </w:rPr>
                              <w:t>UNIVERSITY</w:t>
                            </w:r>
                          </w:p>
                        </w:txbxContent>
                      </wps:txbx>
                      <wps:bodyPr wrap="square" lIns="0" tIns="0" rIns="0" bIns="0" rtlCol="0">
                        <a:noAutofit/>
                      </wps:bodyPr>
                    </wps:wsp>
                  </a:graphicData>
                </a:graphic>
              </wp:anchor>
            </w:drawing>
          </mc:Choice>
          <mc:Fallback>
            <w:pict>
              <v:shape style="position:absolute;margin-left:-24.896173pt;margin-top:529.253412pt;width:433.45pt;height:72pt;mso-position-horizontal-relative:page;mso-position-vertical-relative:page;z-index:-20284928;rotation:306" type="#_x0000_t136" fillcolor="#ff5400" stroked="f">
                <o:extrusion v:ext="view" autorotationcenter="t"/>
                <v:textpath style="font-family:&quot;Arial MT&quot;;font-size:72pt;v-text-kern:t;mso-text-shadow:auto" string="UNIVERSITY"/>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p>
      <w:pPr>
        <w:pStyle w:val="BodyText"/>
        <w:ind w:left="985"/>
        <w:rPr>
          <w:sz w:val="20"/>
        </w:rPr>
      </w:pPr>
      <w:r>
        <w:rPr>
          <w:sz w:val="20"/>
        </w:rPr>
        <w:drawing>
          <wp:inline distT="0" distB="0" distL="0" distR="0">
            <wp:extent cx="5202094" cy="3346704"/>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65" cstate="print"/>
                    <a:stretch>
                      <a:fillRect/>
                    </a:stretch>
                  </pic:blipFill>
                  <pic:spPr>
                    <a:xfrm>
                      <a:off x="0" y="0"/>
                      <a:ext cx="5202094" cy="3346704"/>
                    </a:xfrm>
                    <a:prstGeom prst="rect">
                      <a:avLst/>
                    </a:prstGeom>
                  </pic:spPr>
                </pic:pic>
              </a:graphicData>
            </a:graphic>
          </wp:inline>
        </w:drawing>
      </w:r>
      <w:r>
        <w:rPr>
          <w:sz w:val="20"/>
        </w:rPr>
      </w:r>
    </w:p>
    <w:p>
      <w:pPr>
        <w:pStyle w:val="BodyText"/>
        <w:spacing w:before="271"/>
        <w:rPr>
          <w:b/>
        </w:rPr>
      </w:pPr>
    </w:p>
    <w:p>
      <w:pPr>
        <w:spacing w:before="0"/>
        <w:ind w:left="678" w:right="0" w:firstLine="0"/>
        <w:jc w:val="left"/>
        <w:rPr>
          <w:b/>
          <w:sz w:val="24"/>
        </w:rPr>
      </w:pPr>
      <w:r>
        <w:rPr>
          <w:b/>
          <w:sz w:val="24"/>
        </w:rPr>
        <w:t>Fig.</w:t>
      </w:r>
      <w:r>
        <w:rPr>
          <w:b/>
          <w:spacing w:val="-1"/>
          <w:sz w:val="24"/>
        </w:rPr>
        <w:t> </w:t>
      </w:r>
      <w:r>
        <w:rPr>
          <w:b/>
          <w:sz w:val="24"/>
        </w:rPr>
        <w:t>5.1:</w:t>
      </w:r>
      <w:r>
        <w:rPr>
          <w:b/>
          <w:spacing w:val="1"/>
          <w:sz w:val="24"/>
        </w:rPr>
        <w:t> </w:t>
      </w:r>
      <w:r>
        <w:rPr>
          <w:b/>
          <w:sz w:val="24"/>
        </w:rPr>
        <w:t>Plots</w:t>
      </w:r>
      <w:r>
        <w:rPr>
          <w:b/>
          <w:spacing w:val="-1"/>
          <w:sz w:val="24"/>
        </w:rPr>
        <w:t> </w:t>
      </w:r>
      <w:r>
        <w:rPr>
          <w:b/>
          <w:sz w:val="24"/>
        </w:rPr>
        <w:t>of log</w:t>
      </w:r>
      <w:r>
        <w:rPr>
          <w:b/>
          <w:spacing w:val="-1"/>
          <w:sz w:val="24"/>
        </w:rPr>
        <w:t> </w:t>
      </w:r>
      <w:r>
        <w:rPr>
          <w:b/>
          <w:sz w:val="24"/>
        </w:rPr>
        <w:t>blood glucose</w:t>
      </w:r>
      <w:r>
        <w:rPr>
          <w:b/>
          <w:spacing w:val="-1"/>
          <w:sz w:val="24"/>
        </w:rPr>
        <w:t> </w:t>
      </w:r>
      <w:r>
        <w:rPr>
          <w:b/>
          <w:sz w:val="24"/>
        </w:rPr>
        <w:t>level</w:t>
      </w:r>
      <w:r>
        <w:rPr>
          <w:b/>
          <w:spacing w:val="1"/>
          <w:sz w:val="24"/>
        </w:rPr>
        <w:t> </w:t>
      </w:r>
      <w:r>
        <w:rPr>
          <w:b/>
          <w:sz w:val="24"/>
        </w:rPr>
        <w:t>in rabbits</w:t>
      </w:r>
      <w:r>
        <w:rPr>
          <w:b/>
          <w:spacing w:val="-1"/>
          <w:sz w:val="24"/>
        </w:rPr>
        <w:t> </w:t>
      </w:r>
      <w:r>
        <w:rPr>
          <w:b/>
          <w:sz w:val="24"/>
        </w:rPr>
        <w:t>against </w:t>
      </w:r>
      <w:r>
        <w:rPr>
          <w:b/>
          <w:spacing w:val="-4"/>
          <w:sz w:val="24"/>
        </w:rPr>
        <w:t>time</w:t>
      </w:r>
    </w:p>
    <w:p>
      <w:pPr>
        <w:spacing w:after="0"/>
        <w:jc w:val="left"/>
        <w:rPr>
          <w:sz w:val="24"/>
        </w:rPr>
        <w:sectPr>
          <w:footerReference w:type="default" r:id="rId64"/>
          <w:pgSz w:w="12240" w:h="15840"/>
          <w:pgMar w:header="0" w:footer="1056" w:top="1820" w:bottom="1240" w:left="1420" w:right="420"/>
          <w:pgNumType w:start="151"/>
        </w:sectPr>
      </w:pPr>
    </w:p>
    <w:p>
      <w:pPr>
        <w:spacing w:line="360" w:lineRule="auto" w:before="77"/>
        <w:ind w:left="678" w:right="1041" w:firstLine="0"/>
        <w:jc w:val="left"/>
        <w:rPr>
          <w:b/>
          <w:sz w:val="24"/>
        </w:rPr>
      </w:pPr>
      <w:r>
        <w:rPr/>
        <mc:AlternateContent>
          <mc:Choice Requires="wps">
            <w:drawing>
              <wp:anchor distT="0" distB="0" distL="0" distR="0" allowOverlap="1" layoutInCell="1" locked="0" behindDoc="1" simplePos="0" relativeHeight="483032064">
                <wp:simplePos x="0" y="0"/>
                <wp:positionH relativeFrom="page">
                  <wp:posOffset>-1402226</wp:posOffset>
                </wp:positionH>
                <wp:positionV relativeFrom="page">
                  <wp:posOffset>4612234</wp:posOffset>
                </wp:positionV>
                <wp:extent cx="10685780" cy="9144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4416;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Table 5.2: Glucose kinetics: Different rate constants (k) and corresponding points of change from one component to the other (t) and half-lives (t</w:t>
      </w:r>
      <w:r>
        <w:rPr>
          <w:b/>
          <w:sz w:val="24"/>
          <w:vertAlign w:val="subscript"/>
        </w:rPr>
        <w:t>1/2</w:t>
      </w:r>
      <w:r>
        <w:rPr>
          <w:b/>
          <w:sz w:val="24"/>
          <w:vertAlign w:val="baseline"/>
        </w:rPr>
        <w:t>) for tablets prepared by direct compression and wet granulation.</w:t>
      </w:r>
    </w:p>
    <w:p>
      <w:pPr>
        <w:pStyle w:val="BodyText"/>
        <w:rPr>
          <w:b/>
          <w:sz w:val="20"/>
        </w:rPr>
      </w:pPr>
    </w:p>
    <w:p>
      <w:pPr>
        <w:pStyle w:val="BodyText"/>
        <w:rPr>
          <w:b/>
          <w:sz w:val="20"/>
        </w:rPr>
      </w:pPr>
    </w:p>
    <w:p>
      <w:pPr>
        <w:pStyle w:val="BodyText"/>
        <w:spacing w:before="45"/>
        <w:rPr>
          <w:b/>
          <w:sz w:val="20"/>
        </w:rPr>
      </w:pPr>
    </w:p>
    <w:tbl>
      <w:tblPr>
        <w:tblW w:w="0" w:type="auto"/>
        <w:jc w:val="left"/>
        <w:tblInd w:w="1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2"/>
        <w:gridCol w:w="1535"/>
        <w:gridCol w:w="839"/>
        <w:gridCol w:w="818"/>
        <w:gridCol w:w="960"/>
        <w:gridCol w:w="799"/>
        <w:gridCol w:w="860"/>
      </w:tblGrid>
      <w:tr>
        <w:trPr>
          <w:trHeight w:val="827" w:hRule="atLeast"/>
        </w:trPr>
        <w:tc>
          <w:tcPr>
            <w:tcW w:w="1692" w:type="dxa"/>
            <w:tcBorders>
              <w:top w:val="single" w:sz="4" w:space="0" w:color="000000"/>
              <w:bottom w:val="single" w:sz="4" w:space="0" w:color="000000"/>
            </w:tcBorders>
          </w:tcPr>
          <w:p>
            <w:pPr>
              <w:pStyle w:val="TableParagraph"/>
              <w:spacing w:line="275" w:lineRule="exact"/>
              <w:ind w:left="122"/>
              <w:rPr>
                <w:b/>
                <w:sz w:val="24"/>
              </w:rPr>
            </w:pPr>
            <w:r>
              <w:rPr>
                <w:b/>
                <w:spacing w:val="-4"/>
                <w:sz w:val="24"/>
              </w:rPr>
              <w:t>Drug</w:t>
            </w:r>
          </w:p>
        </w:tc>
        <w:tc>
          <w:tcPr>
            <w:tcW w:w="1535" w:type="dxa"/>
            <w:tcBorders>
              <w:top w:val="single" w:sz="4" w:space="0" w:color="000000"/>
              <w:bottom w:val="single" w:sz="4" w:space="0" w:color="000000"/>
            </w:tcBorders>
          </w:tcPr>
          <w:p>
            <w:pPr>
              <w:pStyle w:val="TableParagraph"/>
              <w:spacing w:line="275" w:lineRule="exact"/>
              <w:ind w:left="159"/>
              <w:rPr>
                <w:b/>
                <w:sz w:val="24"/>
              </w:rPr>
            </w:pPr>
            <w:r>
              <w:rPr>
                <w:b/>
                <w:sz w:val="24"/>
              </w:rPr>
              <w:t>Method</w:t>
            </w:r>
            <w:r>
              <w:rPr>
                <w:b/>
                <w:spacing w:val="-2"/>
                <w:sz w:val="24"/>
              </w:rPr>
              <w:t> </w:t>
            </w:r>
            <w:r>
              <w:rPr>
                <w:b/>
                <w:spacing w:val="-5"/>
                <w:sz w:val="24"/>
              </w:rPr>
              <w:t>of</w:t>
            </w:r>
          </w:p>
          <w:p>
            <w:pPr>
              <w:pStyle w:val="TableParagraph"/>
              <w:spacing w:before="137"/>
              <w:ind w:left="159"/>
              <w:rPr>
                <w:b/>
                <w:sz w:val="24"/>
              </w:rPr>
            </w:pPr>
            <w:r>
              <w:rPr>
                <w:b/>
                <w:spacing w:val="-2"/>
                <w:sz w:val="24"/>
              </w:rPr>
              <w:t>preparation</w:t>
            </w:r>
          </w:p>
        </w:tc>
        <w:tc>
          <w:tcPr>
            <w:tcW w:w="839" w:type="dxa"/>
            <w:tcBorders>
              <w:top w:val="single" w:sz="4" w:space="0" w:color="000000"/>
              <w:bottom w:val="single" w:sz="4" w:space="0" w:color="000000"/>
            </w:tcBorders>
          </w:tcPr>
          <w:p>
            <w:pPr>
              <w:pStyle w:val="TableParagraph"/>
              <w:spacing w:line="275" w:lineRule="exact"/>
              <w:ind w:left="60"/>
              <w:jc w:val="center"/>
              <w:rPr>
                <w:b/>
                <w:sz w:val="24"/>
              </w:rPr>
            </w:pPr>
            <w:r>
              <w:rPr>
                <w:b/>
                <w:spacing w:val="-5"/>
                <w:sz w:val="24"/>
              </w:rPr>
              <w:t>k</w:t>
            </w:r>
            <w:r>
              <w:rPr>
                <w:b/>
                <w:spacing w:val="-5"/>
                <w:sz w:val="24"/>
                <w:vertAlign w:val="subscript"/>
              </w:rPr>
              <w:t>1</w:t>
            </w:r>
          </w:p>
          <w:p>
            <w:pPr>
              <w:pStyle w:val="TableParagraph"/>
              <w:spacing w:before="137"/>
              <w:ind w:left="60" w:right="3"/>
              <w:jc w:val="center"/>
              <w:rPr>
                <w:b/>
                <w:sz w:val="24"/>
              </w:rPr>
            </w:pPr>
            <w:r>
              <w:rPr>
                <w:b/>
                <w:spacing w:val="-2"/>
                <w:sz w:val="24"/>
              </w:rPr>
              <w:t>(hr</w:t>
            </w:r>
            <w:r>
              <w:rPr>
                <w:b/>
                <w:spacing w:val="-2"/>
                <w:sz w:val="24"/>
                <w:vertAlign w:val="superscript"/>
              </w:rPr>
              <w:t>-</w:t>
            </w:r>
            <w:r>
              <w:rPr>
                <w:b/>
                <w:spacing w:val="-5"/>
                <w:sz w:val="24"/>
                <w:vertAlign w:val="superscript"/>
              </w:rPr>
              <w:t>1</w:t>
            </w:r>
            <w:r>
              <w:rPr>
                <w:b/>
                <w:spacing w:val="-5"/>
                <w:sz w:val="24"/>
                <w:vertAlign w:val="baseline"/>
              </w:rPr>
              <w:t>)</w:t>
            </w:r>
          </w:p>
        </w:tc>
        <w:tc>
          <w:tcPr>
            <w:tcW w:w="818" w:type="dxa"/>
            <w:tcBorders>
              <w:top w:val="single" w:sz="4" w:space="0" w:color="000000"/>
              <w:bottom w:val="single" w:sz="4" w:space="0" w:color="000000"/>
            </w:tcBorders>
          </w:tcPr>
          <w:p>
            <w:pPr>
              <w:pStyle w:val="TableParagraph"/>
              <w:spacing w:line="275" w:lineRule="exact"/>
              <w:ind w:left="387"/>
              <w:rPr>
                <w:b/>
                <w:sz w:val="24"/>
              </w:rPr>
            </w:pPr>
            <w:r>
              <w:rPr>
                <w:b/>
                <w:spacing w:val="-5"/>
                <w:sz w:val="24"/>
              </w:rPr>
              <w:t>t</w:t>
            </w:r>
            <w:r>
              <w:rPr>
                <w:b/>
                <w:spacing w:val="-5"/>
                <w:sz w:val="24"/>
                <w:vertAlign w:val="subscript"/>
              </w:rPr>
              <w:t>1</w:t>
            </w:r>
          </w:p>
          <w:p>
            <w:pPr>
              <w:pStyle w:val="TableParagraph"/>
              <w:spacing w:before="137"/>
              <w:ind w:left="319"/>
              <w:rPr>
                <w:b/>
                <w:sz w:val="24"/>
              </w:rPr>
            </w:pPr>
            <w:r>
              <w:rPr>
                <w:b/>
                <w:spacing w:val="-5"/>
                <w:sz w:val="24"/>
              </w:rPr>
              <w:t>(h)</w:t>
            </w:r>
          </w:p>
        </w:tc>
        <w:tc>
          <w:tcPr>
            <w:tcW w:w="960" w:type="dxa"/>
            <w:tcBorders>
              <w:top w:val="single" w:sz="4" w:space="0" w:color="000000"/>
              <w:bottom w:val="single" w:sz="4" w:space="0" w:color="000000"/>
            </w:tcBorders>
          </w:tcPr>
          <w:p>
            <w:pPr>
              <w:pStyle w:val="TableParagraph"/>
              <w:spacing w:line="275" w:lineRule="exact"/>
              <w:ind w:left="143" w:right="3"/>
              <w:jc w:val="center"/>
              <w:rPr>
                <w:b/>
                <w:sz w:val="24"/>
              </w:rPr>
            </w:pPr>
            <w:r>
              <w:rPr>
                <w:b/>
                <w:spacing w:val="-5"/>
                <w:sz w:val="24"/>
              </w:rPr>
              <w:t>k</w:t>
            </w:r>
            <w:r>
              <w:rPr>
                <w:b/>
                <w:spacing w:val="-5"/>
                <w:sz w:val="24"/>
                <w:vertAlign w:val="subscript"/>
              </w:rPr>
              <w:t>2</w:t>
            </w:r>
          </w:p>
          <w:p>
            <w:pPr>
              <w:pStyle w:val="TableParagraph"/>
              <w:spacing w:before="137"/>
              <w:ind w:left="140" w:right="3"/>
              <w:jc w:val="center"/>
              <w:rPr>
                <w:b/>
                <w:sz w:val="24"/>
              </w:rPr>
            </w:pPr>
            <w:r>
              <w:rPr>
                <w:b/>
                <w:spacing w:val="-2"/>
                <w:sz w:val="24"/>
              </w:rPr>
              <w:t>(hr</w:t>
            </w:r>
            <w:r>
              <w:rPr>
                <w:b/>
                <w:spacing w:val="-2"/>
                <w:sz w:val="24"/>
                <w:vertAlign w:val="superscript"/>
              </w:rPr>
              <w:t>-</w:t>
            </w:r>
            <w:r>
              <w:rPr>
                <w:b/>
                <w:spacing w:val="-5"/>
                <w:sz w:val="24"/>
                <w:vertAlign w:val="superscript"/>
              </w:rPr>
              <w:t>1</w:t>
            </w:r>
            <w:r>
              <w:rPr>
                <w:b/>
                <w:spacing w:val="-5"/>
                <w:sz w:val="24"/>
                <w:vertAlign w:val="baseline"/>
              </w:rPr>
              <w:t>)</w:t>
            </w:r>
          </w:p>
        </w:tc>
        <w:tc>
          <w:tcPr>
            <w:tcW w:w="799" w:type="dxa"/>
            <w:tcBorders>
              <w:top w:val="single" w:sz="4" w:space="0" w:color="000000"/>
              <w:bottom w:val="single" w:sz="4" w:space="0" w:color="000000"/>
            </w:tcBorders>
          </w:tcPr>
          <w:p>
            <w:pPr>
              <w:pStyle w:val="TableParagraph"/>
              <w:spacing w:line="275" w:lineRule="exact"/>
              <w:ind w:left="87"/>
              <w:jc w:val="center"/>
              <w:rPr>
                <w:b/>
                <w:sz w:val="24"/>
              </w:rPr>
            </w:pPr>
            <w:r>
              <w:rPr>
                <w:b/>
                <w:spacing w:val="-5"/>
                <w:sz w:val="24"/>
              </w:rPr>
              <w:t>t</w:t>
            </w:r>
            <w:r>
              <w:rPr>
                <w:b/>
                <w:spacing w:val="-5"/>
                <w:sz w:val="24"/>
                <w:vertAlign w:val="subscript"/>
              </w:rPr>
              <w:t>2</w:t>
            </w:r>
          </w:p>
          <w:p>
            <w:pPr>
              <w:pStyle w:val="TableParagraph"/>
              <w:spacing w:before="137"/>
              <w:ind w:left="87"/>
              <w:jc w:val="center"/>
              <w:rPr>
                <w:b/>
                <w:sz w:val="24"/>
              </w:rPr>
            </w:pPr>
            <w:r>
              <w:rPr>
                <w:b/>
                <w:spacing w:val="-4"/>
                <w:sz w:val="24"/>
              </w:rPr>
              <w:t>(hr)</w:t>
            </w:r>
          </w:p>
        </w:tc>
        <w:tc>
          <w:tcPr>
            <w:tcW w:w="860" w:type="dxa"/>
            <w:tcBorders>
              <w:top w:val="single" w:sz="4" w:space="0" w:color="000000"/>
              <w:bottom w:val="single" w:sz="4" w:space="0" w:color="000000"/>
            </w:tcBorders>
          </w:tcPr>
          <w:p>
            <w:pPr>
              <w:pStyle w:val="TableParagraph"/>
              <w:spacing w:line="275" w:lineRule="exact"/>
              <w:ind w:left="51" w:right="2"/>
              <w:jc w:val="center"/>
              <w:rPr>
                <w:b/>
                <w:sz w:val="24"/>
              </w:rPr>
            </w:pPr>
            <w:r>
              <w:rPr>
                <w:b/>
                <w:spacing w:val="-5"/>
                <w:sz w:val="24"/>
              </w:rPr>
              <w:t>k</w:t>
            </w:r>
            <w:r>
              <w:rPr>
                <w:b/>
                <w:spacing w:val="-5"/>
                <w:sz w:val="24"/>
                <w:vertAlign w:val="subscript"/>
              </w:rPr>
              <w:t>3</w:t>
            </w:r>
          </w:p>
          <w:p>
            <w:pPr>
              <w:pStyle w:val="TableParagraph"/>
              <w:spacing w:before="137"/>
              <w:ind w:left="49" w:right="3"/>
              <w:jc w:val="center"/>
              <w:rPr>
                <w:b/>
                <w:sz w:val="24"/>
              </w:rPr>
            </w:pPr>
            <w:r>
              <w:rPr>
                <w:b/>
                <w:spacing w:val="-2"/>
                <w:sz w:val="24"/>
              </w:rPr>
              <w:t>(hr</w:t>
            </w:r>
            <w:r>
              <w:rPr>
                <w:b/>
                <w:spacing w:val="-2"/>
                <w:sz w:val="24"/>
                <w:vertAlign w:val="superscript"/>
              </w:rPr>
              <w:t>-</w:t>
            </w:r>
            <w:r>
              <w:rPr>
                <w:b/>
                <w:spacing w:val="-5"/>
                <w:sz w:val="24"/>
                <w:vertAlign w:val="superscript"/>
              </w:rPr>
              <w:t>1</w:t>
            </w:r>
            <w:r>
              <w:rPr>
                <w:b/>
                <w:spacing w:val="-5"/>
                <w:sz w:val="24"/>
                <w:vertAlign w:val="baseline"/>
              </w:rPr>
              <w:t>)</w:t>
            </w:r>
          </w:p>
        </w:tc>
      </w:tr>
      <w:tr>
        <w:trPr>
          <w:trHeight w:val="343" w:hRule="atLeast"/>
        </w:trPr>
        <w:tc>
          <w:tcPr>
            <w:tcW w:w="1692" w:type="dxa"/>
            <w:tcBorders>
              <w:top w:val="single" w:sz="4" w:space="0" w:color="000000"/>
            </w:tcBorders>
          </w:tcPr>
          <w:p>
            <w:pPr>
              <w:pStyle w:val="TableParagraph"/>
              <w:spacing w:line="270" w:lineRule="exact"/>
              <w:ind w:left="122"/>
              <w:rPr>
                <w:i/>
                <w:sz w:val="24"/>
              </w:rPr>
            </w:pPr>
            <w:r>
              <w:rPr>
                <w:i/>
                <w:sz w:val="24"/>
              </w:rPr>
              <w:t>M.</w:t>
            </w:r>
            <w:r>
              <w:rPr>
                <w:i/>
                <w:spacing w:val="-1"/>
                <w:sz w:val="24"/>
              </w:rPr>
              <w:t> </w:t>
            </w:r>
            <w:r>
              <w:rPr>
                <w:i/>
                <w:spacing w:val="-2"/>
                <w:sz w:val="24"/>
              </w:rPr>
              <w:t>pruriens</w:t>
            </w:r>
          </w:p>
        </w:tc>
        <w:tc>
          <w:tcPr>
            <w:tcW w:w="1535" w:type="dxa"/>
            <w:tcBorders>
              <w:top w:val="single" w:sz="4" w:space="0" w:color="000000"/>
            </w:tcBorders>
          </w:tcPr>
          <w:p>
            <w:pPr>
              <w:pStyle w:val="TableParagraph"/>
              <w:spacing w:line="270" w:lineRule="exact"/>
              <w:ind w:left="159"/>
              <w:rPr>
                <w:sz w:val="24"/>
              </w:rPr>
            </w:pPr>
            <w:r>
              <w:rPr>
                <w:spacing w:val="-5"/>
                <w:sz w:val="24"/>
              </w:rPr>
              <w:t>DC</w:t>
            </w:r>
          </w:p>
        </w:tc>
        <w:tc>
          <w:tcPr>
            <w:tcW w:w="839" w:type="dxa"/>
            <w:tcBorders>
              <w:top w:val="single" w:sz="4" w:space="0" w:color="000000"/>
            </w:tcBorders>
          </w:tcPr>
          <w:p>
            <w:pPr>
              <w:pStyle w:val="TableParagraph"/>
              <w:spacing w:line="270" w:lineRule="exact"/>
              <w:ind w:left="60" w:right="54"/>
              <w:jc w:val="center"/>
              <w:rPr>
                <w:sz w:val="24"/>
              </w:rPr>
            </w:pPr>
            <w:r>
              <w:rPr>
                <w:spacing w:val="-2"/>
                <w:sz w:val="24"/>
              </w:rPr>
              <w:t>0.028</w:t>
            </w:r>
          </w:p>
        </w:tc>
        <w:tc>
          <w:tcPr>
            <w:tcW w:w="818" w:type="dxa"/>
            <w:tcBorders>
              <w:top w:val="single" w:sz="4" w:space="0" w:color="000000"/>
            </w:tcBorders>
          </w:tcPr>
          <w:p>
            <w:pPr>
              <w:pStyle w:val="TableParagraph"/>
              <w:spacing w:line="270" w:lineRule="exact"/>
              <w:ind w:left="125"/>
              <w:rPr>
                <w:sz w:val="24"/>
              </w:rPr>
            </w:pPr>
            <w:r>
              <w:rPr>
                <w:spacing w:val="-4"/>
                <w:sz w:val="24"/>
              </w:rPr>
              <w:t>10.0</w:t>
            </w:r>
          </w:p>
        </w:tc>
        <w:tc>
          <w:tcPr>
            <w:tcW w:w="960" w:type="dxa"/>
            <w:tcBorders>
              <w:top w:val="single" w:sz="4" w:space="0" w:color="000000"/>
            </w:tcBorders>
          </w:tcPr>
          <w:p>
            <w:pPr>
              <w:pStyle w:val="TableParagraph"/>
              <w:spacing w:line="270" w:lineRule="exact"/>
              <w:ind w:right="3"/>
              <w:jc w:val="center"/>
              <w:rPr>
                <w:sz w:val="24"/>
              </w:rPr>
            </w:pPr>
            <w:r>
              <w:rPr>
                <w:spacing w:val="-2"/>
                <w:sz w:val="24"/>
              </w:rPr>
              <w:t>0.005</w:t>
            </w:r>
          </w:p>
        </w:tc>
        <w:tc>
          <w:tcPr>
            <w:tcW w:w="799" w:type="dxa"/>
            <w:tcBorders>
              <w:top w:val="single" w:sz="4" w:space="0" w:color="000000"/>
            </w:tcBorders>
          </w:tcPr>
          <w:p>
            <w:pPr>
              <w:pStyle w:val="TableParagraph"/>
              <w:spacing w:line="270" w:lineRule="exact"/>
              <w:ind w:right="82"/>
              <w:jc w:val="center"/>
              <w:rPr>
                <w:sz w:val="24"/>
              </w:rPr>
            </w:pPr>
            <w:r>
              <w:rPr>
                <w:spacing w:val="-4"/>
                <w:sz w:val="24"/>
              </w:rPr>
              <w:t>71.0</w:t>
            </w:r>
          </w:p>
        </w:tc>
        <w:tc>
          <w:tcPr>
            <w:tcW w:w="860" w:type="dxa"/>
            <w:tcBorders>
              <w:top w:val="single" w:sz="4" w:space="0" w:color="000000"/>
            </w:tcBorders>
          </w:tcPr>
          <w:p>
            <w:pPr>
              <w:pStyle w:val="TableParagraph"/>
              <w:spacing w:line="270" w:lineRule="exact"/>
              <w:ind w:left="49" w:right="51"/>
              <w:jc w:val="center"/>
              <w:rPr>
                <w:sz w:val="24"/>
              </w:rPr>
            </w:pPr>
            <w:r>
              <w:rPr>
                <w:spacing w:val="-2"/>
                <w:sz w:val="24"/>
              </w:rPr>
              <w:t>0.007</w:t>
            </w:r>
          </w:p>
        </w:tc>
      </w:tr>
      <w:tr>
        <w:trPr>
          <w:trHeight w:val="414" w:hRule="atLeast"/>
        </w:trPr>
        <w:tc>
          <w:tcPr>
            <w:tcW w:w="1692" w:type="dxa"/>
          </w:tcPr>
          <w:p>
            <w:pPr>
              <w:pStyle w:val="TableParagraph"/>
              <w:rPr>
                <w:sz w:val="22"/>
              </w:rPr>
            </w:pPr>
          </w:p>
        </w:tc>
        <w:tc>
          <w:tcPr>
            <w:tcW w:w="1535" w:type="dxa"/>
          </w:tcPr>
          <w:p>
            <w:pPr>
              <w:pStyle w:val="TableParagraph"/>
              <w:spacing w:before="63"/>
              <w:ind w:left="159"/>
              <w:rPr>
                <w:sz w:val="24"/>
              </w:rPr>
            </w:pPr>
            <w:r>
              <w:rPr>
                <w:spacing w:val="-5"/>
                <w:sz w:val="24"/>
              </w:rPr>
              <w:t>WG</w:t>
            </w:r>
          </w:p>
        </w:tc>
        <w:tc>
          <w:tcPr>
            <w:tcW w:w="839" w:type="dxa"/>
          </w:tcPr>
          <w:p>
            <w:pPr>
              <w:pStyle w:val="TableParagraph"/>
              <w:spacing w:before="63"/>
              <w:ind w:left="60" w:right="54"/>
              <w:jc w:val="center"/>
              <w:rPr>
                <w:sz w:val="24"/>
              </w:rPr>
            </w:pPr>
            <w:r>
              <w:rPr>
                <w:spacing w:val="-2"/>
                <w:sz w:val="24"/>
              </w:rPr>
              <w:t>0.021</w:t>
            </w:r>
          </w:p>
        </w:tc>
        <w:tc>
          <w:tcPr>
            <w:tcW w:w="818" w:type="dxa"/>
          </w:tcPr>
          <w:p>
            <w:pPr>
              <w:pStyle w:val="TableParagraph"/>
              <w:spacing w:before="63"/>
              <w:ind w:left="125"/>
              <w:rPr>
                <w:sz w:val="24"/>
              </w:rPr>
            </w:pPr>
            <w:r>
              <w:rPr>
                <w:spacing w:val="-4"/>
                <w:sz w:val="24"/>
              </w:rPr>
              <w:t>10.5</w:t>
            </w:r>
          </w:p>
        </w:tc>
        <w:tc>
          <w:tcPr>
            <w:tcW w:w="960" w:type="dxa"/>
          </w:tcPr>
          <w:p>
            <w:pPr>
              <w:pStyle w:val="TableParagraph"/>
              <w:spacing w:before="63"/>
              <w:ind w:right="3"/>
              <w:jc w:val="center"/>
              <w:rPr>
                <w:sz w:val="24"/>
              </w:rPr>
            </w:pPr>
            <w:r>
              <w:rPr>
                <w:spacing w:val="-2"/>
                <w:sz w:val="24"/>
              </w:rPr>
              <w:t>0.005</w:t>
            </w:r>
          </w:p>
        </w:tc>
        <w:tc>
          <w:tcPr>
            <w:tcW w:w="799" w:type="dxa"/>
          </w:tcPr>
          <w:p>
            <w:pPr>
              <w:pStyle w:val="TableParagraph"/>
              <w:spacing w:before="63"/>
              <w:ind w:right="82"/>
              <w:jc w:val="center"/>
              <w:rPr>
                <w:sz w:val="24"/>
              </w:rPr>
            </w:pPr>
            <w:r>
              <w:rPr>
                <w:spacing w:val="-4"/>
                <w:sz w:val="24"/>
              </w:rPr>
              <w:t>71.0</w:t>
            </w:r>
          </w:p>
        </w:tc>
        <w:tc>
          <w:tcPr>
            <w:tcW w:w="860" w:type="dxa"/>
          </w:tcPr>
          <w:p>
            <w:pPr>
              <w:pStyle w:val="TableParagraph"/>
              <w:spacing w:before="63"/>
              <w:ind w:left="49" w:right="51"/>
              <w:jc w:val="center"/>
              <w:rPr>
                <w:sz w:val="24"/>
              </w:rPr>
            </w:pPr>
            <w:r>
              <w:rPr>
                <w:spacing w:val="-2"/>
                <w:sz w:val="24"/>
              </w:rPr>
              <w:t>0.005</w:t>
            </w:r>
          </w:p>
        </w:tc>
      </w:tr>
      <w:tr>
        <w:trPr>
          <w:trHeight w:val="898" w:hRule="atLeast"/>
        </w:trPr>
        <w:tc>
          <w:tcPr>
            <w:tcW w:w="1692" w:type="dxa"/>
            <w:tcBorders>
              <w:bottom w:val="single" w:sz="4" w:space="0" w:color="000000"/>
            </w:tcBorders>
          </w:tcPr>
          <w:p>
            <w:pPr>
              <w:pStyle w:val="TableParagraph"/>
              <w:spacing w:before="65"/>
              <w:ind w:left="122"/>
              <w:rPr>
                <w:sz w:val="24"/>
              </w:rPr>
            </w:pPr>
            <w:r>
              <w:rPr>
                <w:spacing w:val="-2"/>
                <w:sz w:val="24"/>
              </w:rPr>
              <w:t>Glibenclamide</w:t>
            </w:r>
          </w:p>
          <w:p>
            <w:pPr>
              <w:pStyle w:val="TableParagraph"/>
              <w:spacing w:before="136"/>
              <w:ind w:left="122"/>
              <w:rPr>
                <w:sz w:val="24"/>
              </w:rPr>
            </w:pPr>
            <w:r>
              <w:rPr>
                <w:spacing w:val="-2"/>
                <w:sz w:val="24"/>
              </w:rPr>
              <w:t>(Daonil®)</w:t>
            </w:r>
          </w:p>
        </w:tc>
        <w:tc>
          <w:tcPr>
            <w:tcW w:w="1535" w:type="dxa"/>
            <w:tcBorders>
              <w:bottom w:val="single" w:sz="4" w:space="0" w:color="000000"/>
            </w:tcBorders>
          </w:tcPr>
          <w:p>
            <w:pPr>
              <w:pStyle w:val="TableParagraph"/>
              <w:spacing w:before="69"/>
              <w:ind w:left="159"/>
              <w:rPr>
                <w:b/>
                <w:sz w:val="24"/>
              </w:rPr>
            </w:pPr>
            <w:r>
              <w:rPr>
                <w:b/>
                <w:spacing w:val="-10"/>
                <w:sz w:val="24"/>
              </w:rPr>
              <w:t>-</w:t>
            </w:r>
          </w:p>
        </w:tc>
        <w:tc>
          <w:tcPr>
            <w:tcW w:w="839" w:type="dxa"/>
            <w:tcBorders>
              <w:bottom w:val="single" w:sz="4" w:space="0" w:color="000000"/>
            </w:tcBorders>
          </w:tcPr>
          <w:p>
            <w:pPr>
              <w:pStyle w:val="TableParagraph"/>
              <w:spacing w:before="65"/>
              <w:ind w:left="60" w:right="54"/>
              <w:jc w:val="center"/>
              <w:rPr>
                <w:sz w:val="24"/>
              </w:rPr>
            </w:pPr>
            <w:r>
              <w:rPr>
                <w:spacing w:val="-2"/>
                <w:sz w:val="24"/>
              </w:rPr>
              <w:t>0.035</w:t>
            </w:r>
          </w:p>
        </w:tc>
        <w:tc>
          <w:tcPr>
            <w:tcW w:w="818" w:type="dxa"/>
            <w:tcBorders>
              <w:bottom w:val="single" w:sz="4" w:space="0" w:color="000000"/>
            </w:tcBorders>
          </w:tcPr>
          <w:p>
            <w:pPr>
              <w:pStyle w:val="TableParagraph"/>
              <w:spacing w:before="65"/>
              <w:ind w:left="125"/>
              <w:rPr>
                <w:sz w:val="24"/>
              </w:rPr>
            </w:pPr>
            <w:r>
              <w:rPr>
                <w:spacing w:val="-4"/>
                <w:sz w:val="24"/>
              </w:rPr>
              <w:t>10.0</w:t>
            </w:r>
          </w:p>
        </w:tc>
        <w:tc>
          <w:tcPr>
            <w:tcW w:w="960" w:type="dxa"/>
            <w:tcBorders>
              <w:bottom w:val="single" w:sz="4" w:space="0" w:color="000000"/>
            </w:tcBorders>
          </w:tcPr>
          <w:p>
            <w:pPr>
              <w:pStyle w:val="TableParagraph"/>
              <w:spacing w:before="65"/>
              <w:ind w:right="3"/>
              <w:jc w:val="center"/>
              <w:rPr>
                <w:sz w:val="24"/>
              </w:rPr>
            </w:pPr>
            <w:r>
              <w:rPr>
                <w:spacing w:val="-2"/>
                <w:sz w:val="24"/>
              </w:rPr>
              <w:t>0.005</w:t>
            </w:r>
          </w:p>
        </w:tc>
        <w:tc>
          <w:tcPr>
            <w:tcW w:w="799" w:type="dxa"/>
            <w:tcBorders>
              <w:bottom w:val="single" w:sz="4" w:space="0" w:color="000000"/>
            </w:tcBorders>
          </w:tcPr>
          <w:p>
            <w:pPr>
              <w:pStyle w:val="TableParagraph"/>
              <w:spacing w:before="65"/>
              <w:ind w:right="82"/>
              <w:jc w:val="center"/>
              <w:rPr>
                <w:sz w:val="24"/>
              </w:rPr>
            </w:pPr>
            <w:r>
              <w:rPr>
                <w:spacing w:val="-4"/>
                <w:sz w:val="24"/>
              </w:rPr>
              <w:t>52.0</w:t>
            </w:r>
          </w:p>
        </w:tc>
        <w:tc>
          <w:tcPr>
            <w:tcW w:w="860" w:type="dxa"/>
            <w:tcBorders>
              <w:bottom w:val="single" w:sz="4" w:space="0" w:color="000000"/>
            </w:tcBorders>
          </w:tcPr>
          <w:p>
            <w:pPr>
              <w:pStyle w:val="TableParagraph"/>
              <w:spacing w:before="65"/>
              <w:ind w:left="49" w:right="51"/>
              <w:jc w:val="center"/>
              <w:rPr>
                <w:sz w:val="24"/>
              </w:rPr>
            </w:pPr>
            <w:r>
              <w:rPr>
                <w:spacing w:val="-2"/>
                <w:sz w:val="24"/>
              </w:rPr>
              <w:t>0.005</w:t>
            </w:r>
          </w:p>
        </w:tc>
      </w:tr>
    </w:tbl>
    <w:p>
      <w:pPr>
        <w:spacing w:after="0"/>
        <w:jc w:val="center"/>
        <w:rPr>
          <w:sz w:val="24"/>
        </w:rPr>
        <w:sectPr>
          <w:pgSz w:w="12240" w:h="15840"/>
          <w:pgMar w:header="0" w:footer="1056" w:top="1340" w:bottom="1240" w:left="1420" w:right="420"/>
        </w:sectPr>
      </w:pPr>
    </w:p>
    <w:p>
      <w:pPr>
        <w:pStyle w:val="Heading2"/>
        <w:spacing w:line="604" w:lineRule="auto" w:before="152"/>
        <w:ind w:left="3318" w:right="4362" w:firstLine="540"/>
        <w:jc w:val="left"/>
      </w:pPr>
      <w:r>
        <w:rPr/>
        <mc:AlternateContent>
          <mc:Choice Requires="wps">
            <w:drawing>
              <wp:anchor distT="0" distB="0" distL="0" distR="0" allowOverlap="1" layoutInCell="1" locked="0" behindDoc="1" simplePos="0" relativeHeight="483032576">
                <wp:simplePos x="0" y="0"/>
                <wp:positionH relativeFrom="page">
                  <wp:posOffset>-1402226</wp:posOffset>
                </wp:positionH>
                <wp:positionV relativeFrom="page">
                  <wp:posOffset>4612234</wp:posOffset>
                </wp:positionV>
                <wp:extent cx="10685780" cy="914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3904;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02" w:id="131"/>
      <w:r>
        <w:rPr>
          <w:color w:val="131213"/>
        </w:rPr>
        <w:t>CHAPTER SIX GENERAL</w:t>
      </w:r>
      <w:r>
        <w:rPr>
          <w:color w:val="131213"/>
          <w:spacing w:val="-15"/>
        </w:rPr>
        <w:t> </w:t>
      </w:r>
      <w:bookmarkEnd w:id="131"/>
      <w:r>
        <w:rPr>
          <w:color w:val="131213"/>
        </w:rPr>
        <w:t>DISCUSSION</w:t>
      </w:r>
    </w:p>
    <w:p>
      <w:pPr>
        <w:pStyle w:val="BodyText"/>
        <w:spacing w:before="131"/>
        <w:rPr>
          <w:b/>
        </w:rPr>
      </w:pPr>
    </w:p>
    <w:p>
      <w:pPr>
        <w:pStyle w:val="BodyText"/>
        <w:spacing w:line="360" w:lineRule="auto"/>
        <w:ind w:left="678" w:right="993" w:firstLine="720"/>
        <w:jc w:val="both"/>
      </w:pPr>
      <w:r>
        <w:rPr/>
        <w:t>Diabetes mellitus is the most common disease associated with carbohydrate metabolism and is a major cause of disability, morbidity and mortality associated due to</w:t>
      </w:r>
      <w:r>
        <w:rPr>
          <w:spacing w:val="40"/>
        </w:rPr>
        <w:t> </w:t>
      </w:r>
      <w:r>
        <w:rPr/>
        <w:t>its complications, and hospitalization resulting in a significant financial burden (Foster, 1996). While some NIDDM patients can be managed by diet alone, others require oral hypoglycaemic therapy and/or insulin. Although insulin therapy affords a tight and effective glycaemic control, certain drawbacks such as oral ineffectiveness, short shelf</w:t>
      </w:r>
      <w:r>
        <w:rPr>
          <w:spacing w:val="40"/>
        </w:rPr>
        <w:t> </w:t>
      </w:r>
      <w:r>
        <w:rPr/>
        <w:t>life, requirement of constant refrigeration, parenteral therapy and fatal hypoglycaemia in the event of excess dosage limit its use. On the other hand, pharmacotherapy with sulphonylureas and biguanides is also associated with side effects</w:t>
      </w:r>
      <w:r>
        <w:rPr>
          <w:spacing w:val="40"/>
        </w:rPr>
        <w:t> </w:t>
      </w:r>
      <w:r>
        <w:rPr/>
        <w:t>such as nausea and vomiting, cholestatic jaundice, agranulocytosis, aplastic and hemolytic anemias, generalized hypersensitivity reactions, dermatological reaction and lactic acidosis. (Rang and Dale, 1991). Therefore, there is an urgent need to find safe and effective pharmacological interventions for diabetic mellitus.</w:t>
      </w:r>
    </w:p>
    <w:p>
      <w:pPr>
        <w:pStyle w:val="BodyText"/>
        <w:spacing w:before="139"/>
      </w:pPr>
    </w:p>
    <w:p>
      <w:pPr>
        <w:pStyle w:val="BodyText"/>
        <w:spacing w:line="360" w:lineRule="auto"/>
        <w:ind w:left="678" w:right="993" w:firstLine="600"/>
        <w:jc w:val="both"/>
      </w:pPr>
      <w:r>
        <w:rPr/>
        <w:t>Many drugs commonly used today are of herbal origin. Indeed, about 25 percent of the prescription drugs dispensed in the United States contain at least one active ingredient derived from plant material. Some are made from plant extracts; others are synthesized to mimic a natural plant compound. Herbal medicinal products are defined as any medicinal product, exclusively containing one or more active substances (Chandra and Jayakar, </w:t>
      </w:r>
      <w:r>
        <w:rPr>
          <w:spacing w:val="-2"/>
        </w:rPr>
        <w:t>2010).</w:t>
      </w:r>
    </w:p>
    <w:p>
      <w:pPr>
        <w:pStyle w:val="BodyText"/>
        <w:spacing w:line="360" w:lineRule="auto" w:before="1"/>
        <w:ind w:left="678" w:right="994" w:firstLine="662"/>
        <w:jc w:val="both"/>
      </w:pPr>
      <w:r>
        <w:rPr/>
        <w:t>In the present study, the suitability of the seed of </w:t>
      </w:r>
      <w:r>
        <w:rPr>
          <w:i/>
        </w:rPr>
        <w:t>Mucuna pruriens, </w:t>
      </w:r>
      <w:r>
        <w:rPr/>
        <w:t>reported to be useful</w:t>
      </w:r>
      <w:r>
        <w:rPr>
          <w:spacing w:val="-3"/>
        </w:rPr>
        <w:t> </w:t>
      </w:r>
      <w:r>
        <w:rPr/>
        <w:t>in</w:t>
      </w:r>
      <w:r>
        <w:rPr>
          <w:spacing w:val="-3"/>
        </w:rPr>
        <w:t> </w:t>
      </w:r>
      <w:r>
        <w:rPr/>
        <w:t>diabetes</w:t>
      </w:r>
      <w:r>
        <w:rPr>
          <w:spacing w:val="-3"/>
        </w:rPr>
        <w:t> </w:t>
      </w:r>
      <w:r>
        <w:rPr/>
        <w:t>(</w:t>
      </w:r>
      <w:r>
        <w:rPr>
          <w:spacing w:val="-2"/>
        </w:rPr>
        <w:t> </w:t>
      </w:r>
      <w:r>
        <w:rPr/>
        <w:t>as</w:t>
      </w:r>
      <w:r>
        <w:rPr>
          <w:spacing w:val="-3"/>
        </w:rPr>
        <w:t> </w:t>
      </w:r>
      <w:r>
        <w:rPr/>
        <w:t>a</w:t>
      </w:r>
      <w:r>
        <w:rPr>
          <w:spacing w:val="-3"/>
        </w:rPr>
        <w:t> </w:t>
      </w:r>
      <w:r>
        <w:rPr/>
        <w:t>possible</w:t>
      </w:r>
      <w:r>
        <w:rPr>
          <w:spacing w:val="-3"/>
        </w:rPr>
        <w:t> </w:t>
      </w:r>
      <w:r>
        <w:rPr/>
        <w:t>antidiabetic</w:t>
      </w:r>
      <w:r>
        <w:rPr>
          <w:spacing w:val="-4"/>
        </w:rPr>
        <w:t> </w:t>
      </w:r>
      <w:r>
        <w:rPr/>
        <w:t>agent</w:t>
      </w:r>
      <w:r>
        <w:rPr>
          <w:spacing w:val="-1"/>
        </w:rPr>
        <w:t> </w:t>
      </w:r>
      <w:r>
        <w:rPr/>
        <w:t>in</w:t>
      </w:r>
      <w:r>
        <w:rPr>
          <w:spacing w:val="-3"/>
        </w:rPr>
        <w:t> </w:t>
      </w:r>
      <w:r>
        <w:rPr/>
        <w:t>the</w:t>
      </w:r>
      <w:r>
        <w:rPr>
          <w:spacing w:val="-4"/>
        </w:rPr>
        <w:t> </w:t>
      </w:r>
      <w:r>
        <w:rPr/>
        <w:t>management</w:t>
      </w:r>
      <w:r>
        <w:rPr>
          <w:spacing w:val="-3"/>
        </w:rPr>
        <w:t> </w:t>
      </w:r>
      <w:r>
        <w:rPr/>
        <w:t>and</w:t>
      </w:r>
      <w:r>
        <w:rPr>
          <w:spacing w:val="-3"/>
        </w:rPr>
        <w:t> </w:t>
      </w:r>
      <w:r>
        <w:rPr/>
        <w:t>treatment</w:t>
      </w:r>
      <w:r>
        <w:rPr>
          <w:spacing w:val="-3"/>
        </w:rPr>
        <w:t> </w:t>
      </w:r>
      <w:r>
        <w:rPr/>
        <w:t>of</w:t>
      </w:r>
      <w:r>
        <w:rPr>
          <w:spacing w:val="-3"/>
        </w:rPr>
        <w:t> </w:t>
      </w:r>
      <w:r>
        <w:rPr/>
        <w:t>the complications arising from diabetes mellitus and the standardization of its extract into a tablet dosage form have been investigated.</w:t>
      </w:r>
    </w:p>
    <w:p>
      <w:pPr>
        <w:pStyle w:val="BodyText"/>
        <w:spacing w:line="360" w:lineRule="auto"/>
        <w:ind w:left="678" w:right="999" w:firstLine="720"/>
        <w:jc w:val="both"/>
      </w:pPr>
      <w:r>
        <w:rPr/>
        <w:t>The attainment of dry plant extract from </w:t>
      </w:r>
      <w:r>
        <w:rPr>
          <w:i/>
        </w:rPr>
        <w:t>Mucuna pruriens </w:t>
      </w:r>
      <w:r>
        <w:rPr/>
        <w:t>was done by first determining</w:t>
      </w:r>
      <w:r>
        <w:rPr>
          <w:spacing w:val="53"/>
          <w:w w:val="150"/>
        </w:rPr>
        <w:t> </w:t>
      </w:r>
      <w:r>
        <w:rPr/>
        <w:t>which</w:t>
      </w:r>
      <w:r>
        <w:rPr>
          <w:spacing w:val="54"/>
          <w:w w:val="150"/>
        </w:rPr>
        <w:t> </w:t>
      </w:r>
      <w:r>
        <w:rPr/>
        <w:t>was</w:t>
      </w:r>
      <w:r>
        <w:rPr>
          <w:spacing w:val="55"/>
          <w:w w:val="150"/>
        </w:rPr>
        <w:t> </w:t>
      </w:r>
      <w:r>
        <w:rPr/>
        <w:t>the</w:t>
      </w:r>
      <w:r>
        <w:rPr>
          <w:spacing w:val="52"/>
          <w:w w:val="150"/>
        </w:rPr>
        <w:t> </w:t>
      </w:r>
      <w:r>
        <w:rPr/>
        <w:t>most</w:t>
      </w:r>
      <w:r>
        <w:rPr>
          <w:spacing w:val="53"/>
          <w:w w:val="150"/>
        </w:rPr>
        <w:t> </w:t>
      </w:r>
      <w:r>
        <w:rPr/>
        <w:t>efficient</w:t>
      </w:r>
      <w:r>
        <w:rPr>
          <w:spacing w:val="53"/>
          <w:w w:val="150"/>
        </w:rPr>
        <w:t> </w:t>
      </w:r>
      <w:r>
        <w:rPr/>
        <w:t>solvent</w:t>
      </w:r>
      <w:r>
        <w:rPr>
          <w:spacing w:val="53"/>
          <w:w w:val="150"/>
        </w:rPr>
        <w:t> </w:t>
      </w:r>
      <w:r>
        <w:rPr/>
        <w:t>system.</w:t>
      </w:r>
      <w:r>
        <w:rPr>
          <w:spacing w:val="53"/>
          <w:w w:val="150"/>
        </w:rPr>
        <w:t> </w:t>
      </w:r>
      <w:r>
        <w:rPr/>
        <w:t>Thus,</w:t>
      </w:r>
      <w:r>
        <w:rPr>
          <w:spacing w:val="52"/>
          <w:w w:val="150"/>
        </w:rPr>
        <w:t> </w:t>
      </w:r>
      <w:r>
        <w:rPr/>
        <w:t>we</w:t>
      </w:r>
      <w:r>
        <w:rPr>
          <w:spacing w:val="53"/>
          <w:w w:val="150"/>
        </w:rPr>
        <w:t> </w:t>
      </w:r>
      <w:r>
        <w:rPr/>
        <w:t>evaluated</w:t>
      </w:r>
      <w:r>
        <w:rPr>
          <w:spacing w:val="54"/>
          <w:w w:val="150"/>
        </w:rPr>
        <w:t> </w:t>
      </w:r>
      <w:r>
        <w:rPr>
          <w:spacing w:val="-5"/>
        </w:rPr>
        <w:t>the</w:t>
      </w:r>
    </w:p>
    <w:p>
      <w:pPr>
        <w:spacing w:after="0" w:line="360" w:lineRule="auto"/>
        <w:jc w:val="both"/>
        <w:sectPr>
          <w:pgSz w:w="12240" w:h="15840"/>
          <w:pgMar w:header="0" w:footer="1056" w:top="182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3033088">
                <wp:simplePos x="0" y="0"/>
                <wp:positionH relativeFrom="page">
                  <wp:posOffset>-1402226</wp:posOffset>
                </wp:positionH>
                <wp:positionV relativeFrom="page">
                  <wp:posOffset>4612234</wp:posOffset>
                </wp:positionV>
                <wp:extent cx="10685780" cy="9144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3392;rotation:306" type="#_x0000_t136" fillcolor="#ff5400" stroked="f">
                <o:extrusion v:ext="view" autorotationcenter="t"/>
                <v:textpath style="font-family:&quot;Arial MT&quot;;font-size:72pt;v-text-kern:t;mso-text-shadow:auto" string="UNIVERSITY OF IBADAN"/>
                <w10:wrap type="none"/>
              </v:shape>
            </w:pict>
          </mc:Fallback>
        </mc:AlternateContent>
      </w:r>
      <w:r>
        <w:rPr/>
        <w:t>extractive capacity of chloroform, n-hexane, ethylacetate, ethanol and methanol. The solvent ethanol proved to be the most efficient and effective and was subsequently</w:t>
      </w:r>
      <w:r>
        <w:rPr>
          <w:spacing w:val="-3"/>
        </w:rPr>
        <w:t> </w:t>
      </w:r>
      <w:r>
        <w:rPr/>
        <w:t>used to design</w:t>
      </w:r>
      <w:r>
        <w:rPr>
          <w:spacing w:val="-1"/>
        </w:rPr>
        <w:t> </w:t>
      </w:r>
      <w:r>
        <w:rPr/>
        <w:t>and formulate</w:t>
      </w:r>
      <w:r>
        <w:rPr>
          <w:spacing w:val="-2"/>
        </w:rPr>
        <w:t> </w:t>
      </w:r>
      <w:r>
        <w:rPr/>
        <w:t>the tablets,</w:t>
      </w:r>
      <w:r>
        <w:rPr>
          <w:spacing w:val="-1"/>
        </w:rPr>
        <w:t> </w:t>
      </w:r>
      <w:r>
        <w:rPr/>
        <w:t>which</w:t>
      </w:r>
      <w:r>
        <w:rPr>
          <w:spacing w:val="-1"/>
        </w:rPr>
        <w:t> </w:t>
      </w:r>
      <w:r>
        <w:rPr/>
        <w:t>was</w:t>
      </w:r>
      <w:r>
        <w:rPr>
          <w:spacing w:val="-1"/>
        </w:rPr>
        <w:t> </w:t>
      </w:r>
      <w:r>
        <w:rPr/>
        <w:t>in</w:t>
      </w:r>
      <w:r>
        <w:rPr>
          <w:spacing w:val="-1"/>
        </w:rPr>
        <w:t> </w:t>
      </w:r>
      <w:r>
        <w:rPr/>
        <w:t>tandem</w:t>
      </w:r>
      <w:r>
        <w:rPr>
          <w:spacing w:val="-1"/>
        </w:rPr>
        <w:t> </w:t>
      </w:r>
      <w:r>
        <w:rPr/>
        <w:t>with</w:t>
      </w:r>
      <w:r>
        <w:rPr>
          <w:spacing w:val="-1"/>
        </w:rPr>
        <w:t> </w:t>
      </w:r>
      <w:r>
        <w:rPr/>
        <w:t>folkloric</w:t>
      </w:r>
      <w:r>
        <w:rPr>
          <w:spacing w:val="-2"/>
        </w:rPr>
        <w:t> </w:t>
      </w:r>
      <w:r>
        <w:rPr/>
        <w:t>use.</w:t>
      </w:r>
      <w:r>
        <w:rPr>
          <w:spacing w:val="-2"/>
        </w:rPr>
        <w:t> </w:t>
      </w:r>
      <w:r>
        <w:rPr/>
        <w:t>The</w:t>
      </w:r>
      <w:r>
        <w:rPr>
          <w:spacing w:val="-2"/>
        </w:rPr>
        <w:t> </w:t>
      </w:r>
      <w:r>
        <w:rPr/>
        <w:t>ground</w:t>
      </w:r>
      <w:r>
        <w:rPr>
          <w:spacing w:val="-1"/>
        </w:rPr>
        <w:t> </w:t>
      </w:r>
      <w:r>
        <w:rPr/>
        <w:t>seed usually is dipped in a local gin, left for some days before using mucuna seed as an antidiabetic. The percent yield of</w:t>
      </w:r>
      <w:r>
        <w:rPr>
          <w:spacing w:val="-1"/>
        </w:rPr>
        <w:t> </w:t>
      </w:r>
      <w:r>
        <w:rPr/>
        <w:t>the extraction process was 44%. The yield can be said to be satisfactory when compared with the outcome of the work of Dhanasekaran </w:t>
      </w:r>
      <w:r>
        <w:rPr>
          <w:i/>
        </w:rPr>
        <w:t>et al</w:t>
      </w:r>
      <w:r>
        <w:rPr/>
        <w:t>., (2010) which obtained a percentage yield extract of 18.7%</w:t>
      </w:r>
      <w:r>
        <w:rPr>
          <w:vertAlign w:val="superscript"/>
        </w:rPr>
        <w:t>w</w:t>
      </w:r>
      <w:r>
        <w:rPr>
          <w:vertAlign w:val="baseline"/>
        </w:rPr>
        <w:t>/</w:t>
      </w:r>
      <w:r>
        <w:rPr>
          <w:vertAlign w:val="subscript"/>
        </w:rPr>
        <w:t>w</w:t>
      </w:r>
      <w:r>
        <w:rPr>
          <w:vertAlign w:val="baseline"/>
        </w:rPr>
        <w:t>.</w:t>
      </w:r>
    </w:p>
    <w:p>
      <w:pPr>
        <w:pStyle w:val="BodyText"/>
        <w:spacing w:line="360" w:lineRule="auto"/>
        <w:ind w:left="678" w:right="993" w:firstLine="720"/>
        <w:jc w:val="both"/>
      </w:pPr>
      <w:r>
        <w:rPr/>
        <w:t>Results of phytochemical screening revealed that the plant extract contains appreciable amount of carbohydrates, alkaloids, saponoin, steroid, proteins and lipids; trace amounts of tannins and phenols. Any of these secondary metabolites, singly or in combination with others could be responsible for antidiabetic effect of the seed of </w:t>
      </w:r>
      <w:r>
        <w:rPr>
          <w:i/>
        </w:rPr>
        <w:t>M. pruriens</w:t>
      </w:r>
      <w:r>
        <w:rPr/>
        <w:t>. </w:t>
      </w:r>
      <w:r>
        <w:rPr>
          <w:color w:val="221F1F"/>
        </w:rPr>
        <w:t>Using a combination of chromatographic and NMR techniques, Donati </w:t>
      </w:r>
      <w:r>
        <w:rPr>
          <w:i/>
          <w:color w:val="221F1F"/>
        </w:rPr>
        <w:t>et al</w:t>
      </w:r>
      <w:r>
        <w:rPr>
          <w:color w:val="221F1F"/>
        </w:rPr>
        <w:t>, 2005 revealed the presence of D-chiro-inositol (an oligosaccharide) and its two galacto- derivatives in </w:t>
      </w:r>
      <w:r>
        <w:rPr>
          <w:i/>
          <w:color w:val="221F1F"/>
        </w:rPr>
        <w:t>Mucuna pruriens </w:t>
      </w:r>
      <w:r>
        <w:rPr>
          <w:color w:val="221F1F"/>
        </w:rPr>
        <w:t>seeds. The quantities detected explained the well established antiglycaemic effect of </w:t>
      </w:r>
      <w:r>
        <w:rPr>
          <w:i/>
          <w:color w:val="221F1F"/>
        </w:rPr>
        <w:t>Mucuna pruriens </w:t>
      </w:r>
      <w:r>
        <w:rPr>
          <w:color w:val="221F1F"/>
        </w:rPr>
        <w:t>seeds (Horbowicz and Oberdorf, 1994). Although usually ignored in phytochemical analysis for dietary purposes, the presence of these cyclitols is of interest because of the insulin-mimetic effect of D-</w:t>
      </w:r>
      <w:r>
        <w:rPr>
          <w:i/>
          <w:color w:val="221F1F"/>
        </w:rPr>
        <w:t>chiro</w:t>
      </w:r>
      <w:r>
        <w:rPr>
          <w:color w:val="221F1F"/>
        </w:rPr>
        <w:t>- inositol which constitutes a novel signalling system for the control of glucose metabolism (Larner </w:t>
      </w:r>
      <w:r>
        <w:rPr>
          <w:i/>
          <w:color w:val="221F1F"/>
        </w:rPr>
        <w:t>et al.</w:t>
      </w:r>
      <w:r>
        <w:rPr>
          <w:color w:val="221F1F"/>
        </w:rPr>
        <w:t>, 1998; Asplin </w:t>
      </w:r>
      <w:r>
        <w:rPr>
          <w:i/>
          <w:color w:val="221F1F"/>
        </w:rPr>
        <w:t>et al.</w:t>
      </w:r>
      <w:r>
        <w:rPr>
          <w:color w:val="221F1F"/>
        </w:rPr>
        <w:t>, 1993; Ostlund </w:t>
      </w:r>
      <w:r>
        <w:rPr>
          <w:i/>
          <w:color w:val="221F1F"/>
        </w:rPr>
        <w:t>et al.</w:t>
      </w:r>
      <w:r>
        <w:rPr>
          <w:color w:val="221F1F"/>
        </w:rPr>
        <w:t>, 1993; Ortmeyer </w:t>
      </w:r>
      <w:r>
        <w:rPr>
          <w:i/>
          <w:color w:val="221F1F"/>
        </w:rPr>
        <w:t>et al.</w:t>
      </w:r>
      <w:r>
        <w:rPr>
          <w:color w:val="221F1F"/>
        </w:rPr>
        <w:t>, 1995;</w:t>
      </w:r>
      <w:r>
        <w:rPr>
          <w:color w:val="221F1F"/>
          <w:spacing w:val="40"/>
        </w:rPr>
        <w:t> </w:t>
      </w:r>
      <w:r>
        <w:rPr>
          <w:color w:val="221F1F"/>
        </w:rPr>
        <w:t>Donati </w:t>
      </w:r>
      <w:r>
        <w:rPr>
          <w:i/>
          <w:color w:val="221F1F"/>
        </w:rPr>
        <w:t>et al</w:t>
      </w:r>
      <w:r>
        <w:rPr>
          <w:color w:val="221F1F"/>
        </w:rPr>
        <w:t>., 2005). </w:t>
      </w:r>
      <w:r>
        <w:rPr/>
        <w:t>Similarly, several phenolic compounds possess marked anti-diabetic activity (Hsu </w:t>
      </w:r>
      <w:r>
        <w:rPr>
          <w:i/>
        </w:rPr>
        <w:t>et al</w:t>
      </w:r>
      <w:r>
        <w:rPr/>
        <w:t>., 2000). Moreover, tannin-containing drug demonstrated antidiabetic activity (Iwu, 1983, 1980; Klein </w:t>
      </w:r>
      <w:r>
        <w:rPr>
          <w:i/>
        </w:rPr>
        <w:t>et al</w:t>
      </w:r>
      <w:r>
        <w:rPr/>
        <w:t>, 2007). Although, only a small number of alkaloids have shown anti-diabetic activity, it is possible that alkaloid content of </w:t>
      </w:r>
      <w:r>
        <w:rPr>
          <w:i/>
        </w:rPr>
        <w:t>Mucuna pruriens </w:t>
      </w:r>
      <w:r>
        <w:rPr/>
        <w:t>may contribute to its overall antidiabetic activity of the plant. Possibly the insulin-like activity of these bioactive compounds inherent in </w:t>
      </w:r>
      <w:r>
        <w:rPr>
          <w:i/>
        </w:rPr>
        <w:t>Mucuna pruriens </w:t>
      </w:r>
      <w:r>
        <w:rPr/>
        <w:t>is responsible for its hypoglycaemic effects. It is interesting to know that a carbohydrate is being used to remove same carbohydrate (sugar) responsible for diabetes from the blood just as bacteria produce toxins (antibiotics) that eliminate them.</w:t>
      </w:r>
    </w:p>
    <w:p>
      <w:pPr>
        <w:pStyle w:val="BodyText"/>
        <w:spacing w:line="360" w:lineRule="auto" w:before="1"/>
        <w:ind w:left="678" w:right="993" w:firstLine="720"/>
        <w:jc w:val="both"/>
      </w:pPr>
      <w:r>
        <w:rPr/>
        <w:t>An acute toxicity study is always performed to establish the therapeutic index of a particular drug and to ensure the safety </w:t>
      </w:r>
      <w:r>
        <w:rPr>
          <w:i/>
        </w:rPr>
        <w:t>in-vivo</w:t>
      </w:r>
      <w:r>
        <w:rPr/>
        <w:t>. Acute toxicity study is generally carried out</w:t>
      </w:r>
      <w:r>
        <w:rPr>
          <w:spacing w:val="28"/>
        </w:rPr>
        <w:t> </w:t>
      </w:r>
      <w:r>
        <w:rPr/>
        <w:t>for</w:t>
      </w:r>
      <w:r>
        <w:rPr>
          <w:spacing w:val="27"/>
        </w:rPr>
        <w:t> </w:t>
      </w:r>
      <w:r>
        <w:rPr/>
        <w:t>the</w:t>
      </w:r>
      <w:r>
        <w:rPr>
          <w:spacing w:val="27"/>
        </w:rPr>
        <w:t> </w:t>
      </w:r>
      <w:r>
        <w:rPr/>
        <w:t>determination</w:t>
      </w:r>
      <w:r>
        <w:rPr>
          <w:spacing w:val="28"/>
        </w:rPr>
        <w:t> </w:t>
      </w:r>
      <w:r>
        <w:rPr/>
        <w:t>of</w:t>
      </w:r>
      <w:r>
        <w:rPr>
          <w:spacing w:val="29"/>
        </w:rPr>
        <w:t> </w:t>
      </w:r>
      <w:r>
        <w:rPr/>
        <w:t>LD</w:t>
      </w:r>
      <w:r>
        <w:rPr>
          <w:vertAlign w:val="subscript"/>
        </w:rPr>
        <w:t>50</w:t>
      </w:r>
      <w:r>
        <w:rPr>
          <w:spacing w:val="30"/>
          <w:vertAlign w:val="baseline"/>
        </w:rPr>
        <w:t> </w:t>
      </w:r>
      <w:r>
        <w:rPr>
          <w:vertAlign w:val="baseline"/>
        </w:rPr>
        <w:t>value</w:t>
      </w:r>
      <w:r>
        <w:rPr>
          <w:spacing w:val="27"/>
          <w:vertAlign w:val="baseline"/>
        </w:rPr>
        <w:t> </w:t>
      </w:r>
      <w:r>
        <w:rPr>
          <w:vertAlign w:val="baseline"/>
        </w:rPr>
        <w:t>in</w:t>
      </w:r>
      <w:r>
        <w:rPr>
          <w:spacing w:val="29"/>
          <w:vertAlign w:val="baseline"/>
        </w:rPr>
        <w:t> </w:t>
      </w:r>
      <w:r>
        <w:rPr>
          <w:vertAlign w:val="baseline"/>
        </w:rPr>
        <w:t>experimental</w:t>
      </w:r>
      <w:r>
        <w:rPr>
          <w:spacing w:val="27"/>
          <w:vertAlign w:val="baseline"/>
        </w:rPr>
        <w:t> </w:t>
      </w:r>
      <w:r>
        <w:rPr>
          <w:vertAlign w:val="baseline"/>
        </w:rPr>
        <w:t>animals.</w:t>
      </w:r>
      <w:r>
        <w:rPr>
          <w:spacing w:val="34"/>
          <w:vertAlign w:val="baseline"/>
        </w:rPr>
        <w:t> </w:t>
      </w:r>
      <w:r>
        <w:rPr>
          <w:vertAlign w:val="baseline"/>
        </w:rPr>
        <w:t>LD</w:t>
      </w:r>
      <w:r>
        <w:rPr>
          <w:spacing w:val="27"/>
          <w:vertAlign w:val="baseline"/>
        </w:rPr>
        <w:t> </w:t>
      </w:r>
      <w:r>
        <w:rPr>
          <w:vertAlign w:val="baseline"/>
        </w:rPr>
        <w:t>stands</w:t>
      </w:r>
      <w:r>
        <w:rPr>
          <w:spacing w:val="28"/>
          <w:vertAlign w:val="baseline"/>
        </w:rPr>
        <w:t> </w:t>
      </w:r>
      <w:r>
        <w:rPr>
          <w:vertAlign w:val="baseline"/>
        </w:rPr>
        <w:t>for</w:t>
      </w:r>
      <w:r>
        <w:rPr>
          <w:spacing w:val="28"/>
          <w:vertAlign w:val="baseline"/>
        </w:rPr>
        <w:t> </w:t>
      </w:r>
      <w:r>
        <w:rPr>
          <w:spacing w:val="-2"/>
          <w:vertAlign w:val="baseline"/>
        </w:rPr>
        <w:t>"Lethal</w:t>
      </w:r>
    </w:p>
    <w:p>
      <w:pPr>
        <w:spacing w:after="0" w:line="360" w:lineRule="auto"/>
        <w:jc w:val="both"/>
        <w:sectPr>
          <w:pgSz w:w="12240" w:h="15840"/>
          <w:pgMar w:header="0" w:footer="1056" w:top="1340" w:bottom="1240" w:left="1420" w:right="420"/>
        </w:sectPr>
      </w:pPr>
    </w:p>
    <w:p>
      <w:pPr>
        <w:pStyle w:val="BodyText"/>
        <w:spacing w:line="360" w:lineRule="auto" w:before="72"/>
        <w:ind w:left="678" w:right="996"/>
        <w:jc w:val="both"/>
      </w:pPr>
      <w:r>
        <w:rPr/>
        <mc:AlternateContent>
          <mc:Choice Requires="wps">
            <w:drawing>
              <wp:anchor distT="0" distB="0" distL="0" distR="0" allowOverlap="1" layoutInCell="1" locked="0" behindDoc="1" simplePos="0" relativeHeight="483033600">
                <wp:simplePos x="0" y="0"/>
                <wp:positionH relativeFrom="page">
                  <wp:posOffset>-1402226</wp:posOffset>
                </wp:positionH>
                <wp:positionV relativeFrom="page">
                  <wp:posOffset>4612234</wp:posOffset>
                </wp:positionV>
                <wp:extent cx="10685780" cy="9144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2880;rotation:306" type="#_x0000_t136" fillcolor="#ff5400" stroked="f">
                <o:extrusion v:ext="view" autorotationcenter="t"/>
                <v:textpath style="font-family:&quot;Arial MT&quot;;font-size:72pt;v-text-kern:t;mso-text-shadow:auto" string="UNIVERSITY OF IBADAN"/>
                <w10:wrap type="none"/>
              </v:shape>
            </w:pict>
          </mc:Fallback>
        </mc:AlternateContent>
      </w:r>
      <w:r>
        <w:rPr/>
        <w:t>Dose". LD</w:t>
      </w:r>
      <w:r>
        <w:rPr>
          <w:vertAlign w:val="subscript"/>
        </w:rPr>
        <w:t>50</w:t>
      </w:r>
      <w:r>
        <w:rPr>
          <w:vertAlign w:val="baseline"/>
        </w:rPr>
        <w:t> is the amount of a material, given all at once, which causes the death of 50% (one half) of a group of test animals. The LD</w:t>
      </w:r>
      <w:r>
        <w:rPr>
          <w:vertAlign w:val="subscript"/>
        </w:rPr>
        <w:t>50</w:t>
      </w:r>
      <w:r>
        <w:rPr>
          <w:vertAlign w:val="baseline"/>
        </w:rPr>
        <w:t> is one way to measure the short-term poisoning potential (acute toxicity) of a material. The selection of doses in our study was made based on constant logarithm ratio of 2. The doses selected were very high (0.5 – 32g/kg body weight). As no death of mice was recorded at the doses administered it can</w:t>
      </w:r>
      <w:r>
        <w:rPr>
          <w:spacing w:val="40"/>
          <w:vertAlign w:val="baseline"/>
        </w:rPr>
        <w:t> </w:t>
      </w:r>
      <w:r>
        <w:rPr>
          <w:vertAlign w:val="baseline"/>
        </w:rPr>
        <w:t>be said that </w:t>
      </w:r>
      <w:r>
        <w:rPr>
          <w:i/>
          <w:vertAlign w:val="baseline"/>
        </w:rPr>
        <w:t>Mucuna pruriens </w:t>
      </w:r>
      <w:r>
        <w:rPr>
          <w:vertAlign w:val="baseline"/>
        </w:rPr>
        <w:t>ethanol seed extract is safe at doses selected.</w:t>
      </w:r>
    </w:p>
    <w:p>
      <w:pPr>
        <w:pStyle w:val="BodyText"/>
        <w:spacing w:line="360" w:lineRule="auto" w:before="1"/>
        <w:ind w:left="678" w:right="993" w:firstLine="720"/>
        <w:jc w:val="both"/>
      </w:pPr>
      <w:r>
        <w:rPr>
          <w:color w:val="131213"/>
        </w:rPr>
        <w:t>Alloxan monohydrate is a toxic glucose analogue that preferentially accumulates</w:t>
      </w:r>
      <w:r>
        <w:rPr>
          <w:color w:val="131213"/>
          <w:spacing w:val="40"/>
        </w:rPr>
        <w:t> </w:t>
      </w:r>
      <w:r>
        <w:rPr>
          <w:color w:val="131213"/>
        </w:rPr>
        <w:t>in pancreatic beta cells via the GLUT2 glucose transporters. In the presence of</w:t>
      </w:r>
      <w:r>
        <w:rPr>
          <w:color w:val="131213"/>
          <w:spacing w:val="40"/>
        </w:rPr>
        <w:t> </w:t>
      </w:r>
      <w:r>
        <w:rPr>
          <w:color w:val="131213"/>
        </w:rPr>
        <w:t>intracellular thiols, especially glutathione, alloxan generates reactive oxygen species (ROS) in a cyclic redox reaction with its reduction product, dialuric acid. Autoxidation of dialuric acid generates superoxide radicals, hydrogen peroxide and, in a final iron- catalysed reaction step, hydroxyl radicals. These hydroxyl radicals are ultimately responsible for the death of the pancreatic beta cells, which have a particularly low antioxidative defence capacity, and the ensuing state of insulin-dependent ‗alloxan diabetes‘. As a thiol reagent, alloxan also selectively inhibits glucose-induced insulin secretion through its ability to inhibit the beta cell glucose sensor glucokinase.</w:t>
      </w:r>
    </w:p>
    <w:p>
      <w:pPr>
        <w:pStyle w:val="BodyText"/>
        <w:spacing w:line="360" w:lineRule="auto" w:before="1"/>
        <w:ind w:left="678" w:right="992" w:firstLine="720"/>
        <w:jc w:val="both"/>
      </w:pPr>
      <w:r>
        <w:rPr>
          <w:color w:val="131213"/>
        </w:rPr>
        <w:t>Different doses of alloxan can produce varying intensities of hyperglycaemia ranging from 120 to 500 mg/dL</w:t>
      </w:r>
      <w:r>
        <w:rPr>
          <w:color w:val="131213"/>
          <w:spacing w:val="-1"/>
        </w:rPr>
        <w:t> </w:t>
      </w:r>
      <w:r>
        <w:rPr>
          <w:color w:val="131213"/>
        </w:rPr>
        <w:t>(Ahmed </w:t>
      </w:r>
      <w:r>
        <w:rPr>
          <w:i/>
          <w:color w:val="131213"/>
        </w:rPr>
        <w:t>et al</w:t>
      </w:r>
      <w:r>
        <w:rPr>
          <w:color w:val="131213"/>
        </w:rPr>
        <w:t>., 1991; Dubey</w:t>
      </w:r>
      <w:r>
        <w:rPr>
          <w:color w:val="131213"/>
          <w:spacing w:val="-1"/>
        </w:rPr>
        <w:t> </w:t>
      </w:r>
      <w:r>
        <w:rPr>
          <w:i/>
          <w:color w:val="131213"/>
        </w:rPr>
        <w:t>et al</w:t>
      </w:r>
      <w:r>
        <w:rPr>
          <w:color w:val="131213"/>
        </w:rPr>
        <w:t>., 1994; Subramanium </w:t>
      </w:r>
      <w:r>
        <w:rPr>
          <w:i/>
          <w:color w:val="131213"/>
        </w:rPr>
        <w:t>et al</w:t>
      </w:r>
      <w:r>
        <w:rPr>
          <w:color w:val="131213"/>
        </w:rPr>
        <w:t>.,</w:t>
      </w:r>
      <w:r>
        <w:rPr>
          <w:color w:val="131213"/>
          <w:spacing w:val="-1"/>
        </w:rPr>
        <w:t> </w:t>
      </w:r>
      <w:r>
        <w:rPr>
          <w:color w:val="131213"/>
        </w:rPr>
        <w:t>1996). In</w:t>
      </w:r>
      <w:r>
        <w:rPr>
          <w:color w:val="131213"/>
          <w:spacing w:val="-1"/>
        </w:rPr>
        <w:t> </w:t>
      </w:r>
      <w:r>
        <w:rPr>
          <w:color w:val="131213"/>
        </w:rPr>
        <w:t>the</w:t>
      </w:r>
      <w:r>
        <w:rPr>
          <w:color w:val="131213"/>
          <w:spacing w:val="-2"/>
        </w:rPr>
        <w:t> </w:t>
      </w:r>
      <w:r>
        <w:rPr>
          <w:color w:val="131213"/>
        </w:rPr>
        <w:t>present study,</w:t>
      </w:r>
      <w:r>
        <w:rPr>
          <w:color w:val="131213"/>
          <w:spacing w:val="-1"/>
        </w:rPr>
        <w:t> </w:t>
      </w:r>
      <w:r>
        <w:rPr>
          <w:color w:val="131213"/>
        </w:rPr>
        <w:t>an</w:t>
      </w:r>
      <w:r>
        <w:rPr>
          <w:color w:val="131213"/>
          <w:spacing w:val="-1"/>
        </w:rPr>
        <w:t> </w:t>
      </w:r>
      <w:r>
        <w:rPr>
          <w:color w:val="131213"/>
        </w:rPr>
        <w:t>injection</w:t>
      </w:r>
      <w:r>
        <w:rPr>
          <w:color w:val="131213"/>
          <w:spacing w:val="-1"/>
        </w:rPr>
        <w:t> </w:t>
      </w:r>
      <w:r>
        <w:rPr>
          <w:color w:val="131213"/>
        </w:rPr>
        <w:t>of</w:t>
      </w:r>
      <w:r>
        <w:rPr>
          <w:color w:val="131213"/>
          <w:spacing w:val="-2"/>
        </w:rPr>
        <w:t> </w:t>
      </w:r>
      <w:r>
        <w:rPr>
          <w:color w:val="131213"/>
        </w:rPr>
        <w:t>alloxan</w:t>
      </w:r>
      <w:r>
        <w:rPr>
          <w:color w:val="131213"/>
          <w:spacing w:val="-1"/>
        </w:rPr>
        <w:t> </w:t>
      </w:r>
      <w:r>
        <w:rPr>
          <w:color w:val="131213"/>
        </w:rPr>
        <w:t>(120</w:t>
      </w:r>
      <w:r>
        <w:rPr>
          <w:color w:val="131213"/>
          <w:spacing w:val="-2"/>
        </w:rPr>
        <w:t> </w:t>
      </w:r>
      <w:r>
        <w:rPr>
          <w:color w:val="131213"/>
        </w:rPr>
        <w:t>mg/kg</w:t>
      </w:r>
      <w:r>
        <w:rPr>
          <w:color w:val="131213"/>
          <w:spacing w:val="-3"/>
        </w:rPr>
        <w:t> </w:t>
      </w:r>
      <w:r>
        <w:rPr>
          <w:color w:val="131213"/>
        </w:rPr>
        <w:t>body</w:t>
      </w:r>
      <w:r>
        <w:rPr>
          <w:color w:val="131213"/>
          <w:spacing w:val="-5"/>
        </w:rPr>
        <w:t> </w:t>
      </w:r>
      <w:r>
        <w:rPr>
          <w:color w:val="131213"/>
        </w:rPr>
        <w:t>weight)</w:t>
      </w:r>
      <w:r>
        <w:rPr>
          <w:color w:val="131213"/>
          <w:spacing w:val="-2"/>
        </w:rPr>
        <w:t> </w:t>
      </w:r>
      <w:r>
        <w:rPr>
          <w:color w:val="131213"/>
        </w:rPr>
        <w:t>raised</w:t>
      </w:r>
      <w:r>
        <w:rPr>
          <w:color w:val="131213"/>
          <w:spacing w:val="-2"/>
        </w:rPr>
        <w:t> </w:t>
      </w:r>
      <w:r>
        <w:rPr>
          <w:color w:val="131213"/>
        </w:rPr>
        <w:t>the blood glucose level 72 hours later by 295%. This is comparable to that reported earlier by (Tasaka </w:t>
      </w:r>
      <w:r>
        <w:rPr>
          <w:i/>
          <w:color w:val="131213"/>
        </w:rPr>
        <w:t>et al</w:t>
      </w:r>
      <w:r>
        <w:rPr>
          <w:color w:val="131213"/>
        </w:rPr>
        <w:t>., 1988). Thus, the antihyperglycemic effect of can be dependent upon the dose of diabetogenic agent and therefore on the degree of destruction of the beta cells (Pabrai and Sehra, 1962). This clearly</w:t>
      </w:r>
      <w:r>
        <w:rPr>
          <w:color w:val="131213"/>
          <w:spacing w:val="-1"/>
        </w:rPr>
        <w:t> </w:t>
      </w:r>
      <w:r>
        <w:rPr>
          <w:color w:val="131213"/>
        </w:rPr>
        <w:t>indicates that part of the antihyperglycemic activity of these plants is through the release of insulin from the pancreas, thus when the degree of destruction is more their efficacy is less. In our own study, a hyperglycemia of about 450 mg/dL in rats, (an indication of high diabetic state) extract of</w:t>
      </w:r>
      <w:r>
        <w:rPr>
          <w:color w:val="131213"/>
          <w:spacing w:val="40"/>
        </w:rPr>
        <w:t> </w:t>
      </w:r>
      <w:r>
        <w:rPr>
          <w:i/>
          <w:color w:val="131213"/>
        </w:rPr>
        <w:t>M. pruriens</w:t>
      </w:r>
      <w:r>
        <w:rPr>
          <w:color w:val="131213"/>
        </w:rPr>
        <w:t>, continued to exert an antihyperglycemic effect even when the major part of the beta cells in the pancreas were destroyed, indicating a direct insulinomimetic effect.</w:t>
      </w:r>
    </w:p>
    <w:p>
      <w:pPr>
        <w:pStyle w:val="BodyText"/>
        <w:spacing w:line="360" w:lineRule="auto"/>
        <w:ind w:left="678" w:right="996" w:firstLine="720"/>
        <w:jc w:val="both"/>
      </w:pPr>
      <w:r>
        <w:rPr>
          <w:color w:val="131213"/>
        </w:rPr>
        <w:t>Even in the event of severe diabetes (&gt; 450mg/dL) and an administration of low doses,</w:t>
      </w:r>
      <w:r>
        <w:rPr>
          <w:color w:val="131213"/>
          <w:spacing w:val="26"/>
        </w:rPr>
        <w:t> </w:t>
      </w:r>
      <w:r>
        <w:rPr>
          <w:i/>
          <w:color w:val="131213"/>
        </w:rPr>
        <w:t>Mucuna</w:t>
      </w:r>
      <w:r>
        <w:rPr>
          <w:i/>
          <w:color w:val="131213"/>
          <w:spacing w:val="28"/>
        </w:rPr>
        <w:t> </w:t>
      </w:r>
      <w:r>
        <w:rPr>
          <w:i/>
          <w:color w:val="131213"/>
        </w:rPr>
        <w:t>pruriens</w:t>
      </w:r>
      <w:r>
        <w:rPr>
          <w:i/>
          <w:color w:val="131213"/>
          <w:spacing w:val="30"/>
        </w:rPr>
        <w:t> </w:t>
      </w:r>
      <w:r>
        <w:rPr>
          <w:color w:val="131213"/>
        </w:rPr>
        <w:t>continued</w:t>
      </w:r>
      <w:r>
        <w:rPr>
          <w:color w:val="131213"/>
          <w:spacing w:val="27"/>
        </w:rPr>
        <w:t> </w:t>
      </w:r>
      <w:r>
        <w:rPr>
          <w:color w:val="131213"/>
        </w:rPr>
        <w:t>to</w:t>
      </w:r>
      <w:r>
        <w:rPr>
          <w:color w:val="131213"/>
          <w:spacing w:val="29"/>
        </w:rPr>
        <w:t> </w:t>
      </w:r>
      <w:r>
        <w:rPr>
          <w:color w:val="131213"/>
        </w:rPr>
        <w:t>exert</w:t>
      </w:r>
      <w:r>
        <w:rPr>
          <w:color w:val="131213"/>
          <w:spacing w:val="26"/>
        </w:rPr>
        <w:t> </w:t>
      </w:r>
      <w:r>
        <w:rPr>
          <w:color w:val="131213"/>
        </w:rPr>
        <w:t>an</w:t>
      </w:r>
      <w:r>
        <w:rPr>
          <w:color w:val="131213"/>
          <w:spacing w:val="28"/>
        </w:rPr>
        <w:t> </w:t>
      </w:r>
      <w:r>
        <w:rPr>
          <w:color w:val="131213"/>
        </w:rPr>
        <w:t>antihyperglycaemic</w:t>
      </w:r>
      <w:r>
        <w:rPr>
          <w:color w:val="131213"/>
          <w:spacing w:val="28"/>
        </w:rPr>
        <w:t> </w:t>
      </w:r>
      <w:r>
        <w:rPr>
          <w:color w:val="131213"/>
        </w:rPr>
        <w:t>effect</w:t>
      </w:r>
      <w:r>
        <w:rPr>
          <w:color w:val="131213"/>
          <w:spacing w:val="29"/>
        </w:rPr>
        <w:t> </w:t>
      </w:r>
      <w:r>
        <w:rPr>
          <w:color w:val="131213"/>
        </w:rPr>
        <w:t>even</w:t>
      </w:r>
      <w:r>
        <w:rPr>
          <w:color w:val="131213"/>
          <w:spacing w:val="28"/>
        </w:rPr>
        <w:t> </w:t>
      </w:r>
      <w:r>
        <w:rPr>
          <w:color w:val="131213"/>
        </w:rPr>
        <w:t>when</w:t>
      </w:r>
      <w:r>
        <w:rPr>
          <w:color w:val="131213"/>
          <w:spacing w:val="29"/>
        </w:rPr>
        <w:t> </w:t>
      </w:r>
      <w:r>
        <w:rPr>
          <w:color w:val="131213"/>
          <w:spacing w:val="-5"/>
        </w:rPr>
        <w:t>the</w:t>
      </w:r>
    </w:p>
    <w:p>
      <w:pPr>
        <w:spacing w:after="0" w:line="360" w:lineRule="auto"/>
        <w:jc w:val="both"/>
        <w:sectPr>
          <w:pgSz w:w="12240" w:h="15840"/>
          <w:pgMar w:header="0" w:footer="1056" w:top="1340" w:bottom="1240" w:left="1420" w:right="420"/>
        </w:sectPr>
      </w:pPr>
    </w:p>
    <w:p>
      <w:pPr>
        <w:pStyle w:val="BodyText"/>
        <w:spacing w:line="360" w:lineRule="auto" w:before="72"/>
        <w:ind w:left="678" w:right="1002"/>
        <w:jc w:val="both"/>
      </w:pPr>
      <w:r>
        <w:rPr/>
        <mc:AlternateContent>
          <mc:Choice Requires="wps">
            <w:drawing>
              <wp:anchor distT="0" distB="0" distL="0" distR="0" allowOverlap="1" layoutInCell="1" locked="0" behindDoc="1" simplePos="0" relativeHeight="483034112">
                <wp:simplePos x="0" y="0"/>
                <wp:positionH relativeFrom="page">
                  <wp:posOffset>-1402226</wp:posOffset>
                </wp:positionH>
                <wp:positionV relativeFrom="page">
                  <wp:posOffset>4612234</wp:posOffset>
                </wp:positionV>
                <wp:extent cx="10685780" cy="914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2368;rotation:306" type="#_x0000_t136" fillcolor="#ff5400" stroked="f">
                <o:extrusion v:ext="view" autorotationcenter="t"/>
                <v:textpath style="font-family:&quot;Arial MT&quot;;font-size:72pt;v-text-kern:t;mso-text-shadow:auto" string="UNIVERSITY OF IBADAN"/>
                <w10:wrap type="none"/>
              </v:shape>
            </w:pict>
          </mc:Fallback>
        </mc:AlternateContent>
      </w:r>
      <w:r>
        <w:rPr>
          <w:color w:val="131213"/>
        </w:rPr>
        <w:t>major part of the beta cells have been destroyed and treatment with extract discontinued, as evidenced from our results, thus, indicating a direct insulinomimetic effect.</w:t>
      </w:r>
    </w:p>
    <w:p>
      <w:pPr>
        <w:pStyle w:val="BodyText"/>
        <w:spacing w:line="360" w:lineRule="auto" w:before="1"/>
        <w:ind w:left="678" w:right="994"/>
        <w:jc w:val="both"/>
      </w:pPr>
      <w:r>
        <w:rPr/>
        <w:t>The present data indicated that the </w:t>
      </w:r>
      <w:r>
        <w:rPr>
          <w:i/>
        </w:rPr>
        <w:t>M. pruriens </w:t>
      </w:r>
      <w:r>
        <w:rPr/>
        <w:t>ethanol seed extract significantly</w:t>
      </w:r>
      <w:r>
        <w:rPr>
          <w:spacing w:val="-1"/>
        </w:rPr>
        <w:t> </w:t>
      </w:r>
      <w:r>
        <w:rPr/>
        <w:t>exhibited dose dependent reduction of serum glucose in treated normal and diabetic rats as</w:t>
      </w:r>
      <w:r>
        <w:rPr>
          <w:spacing w:val="40"/>
        </w:rPr>
        <w:t> </w:t>
      </w:r>
      <w:r>
        <w:rPr/>
        <w:t>compared with control rats.</w:t>
      </w:r>
    </w:p>
    <w:p>
      <w:pPr>
        <w:pStyle w:val="BodyText"/>
        <w:spacing w:line="360" w:lineRule="auto"/>
        <w:ind w:left="678" w:right="995" w:firstLine="681"/>
        <w:jc w:val="both"/>
      </w:pPr>
      <w:r>
        <w:rPr/>
        <w:t>Diabetic rats treated with 5, 10, 20, 30, 40, 50 and 100mg/kg of the seed extract</w:t>
      </w:r>
      <w:r>
        <w:rPr>
          <w:spacing w:val="40"/>
        </w:rPr>
        <w:t> </w:t>
      </w:r>
      <w:r>
        <w:rPr/>
        <w:t>and glibenclamide, (5 mg/kg) as standard drug, showed a significant reduction in blood glucose of about 18.6%, 24.9%, 30.8%, 41.4%, 49.7%, 53.1% and 55.4% and 59.7% respectively after 8 hours of treatment.</w:t>
      </w:r>
    </w:p>
    <w:p>
      <w:pPr>
        <w:pStyle w:val="BodyText"/>
        <w:spacing w:line="360" w:lineRule="auto"/>
        <w:ind w:left="678" w:right="996" w:firstLine="741"/>
        <w:jc w:val="both"/>
      </w:pPr>
      <w:r>
        <w:rPr/>
        <w:t>After twelve weeks of daily treatment with the seed extracts (5, 10, 20, 30, 40, 50 and 100mg/kg) there was significant fall in blood sugar level of 55.3%, 59.5%, 68.4%, 74.7%, 80.89% and 83.2% and 83.6% respectively. At the same time, glibenclamide caused a significant reduction of plasma glucose level of 57.8%.</w:t>
      </w:r>
    </w:p>
    <w:p>
      <w:pPr>
        <w:pStyle w:val="BodyText"/>
        <w:spacing w:line="360" w:lineRule="auto"/>
        <w:ind w:left="678" w:right="995" w:firstLine="741"/>
        <w:jc w:val="both"/>
      </w:pPr>
      <w:r>
        <w:rPr/>
        <w:t>After</w:t>
      </w:r>
      <w:r>
        <w:rPr>
          <w:spacing w:val="-2"/>
        </w:rPr>
        <w:t> </w:t>
      </w:r>
      <w:r>
        <w:rPr/>
        <w:t>8 hours</w:t>
      </w:r>
      <w:r>
        <w:rPr>
          <w:spacing w:val="-1"/>
        </w:rPr>
        <w:t> </w:t>
      </w:r>
      <w:r>
        <w:rPr/>
        <w:t>of</w:t>
      </w:r>
      <w:r>
        <w:rPr>
          <w:spacing w:val="-1"/>
        </w:rPr>
        <w:t> </w:t>
      </w:r>
      <w:r>
        <w:rPr/>
        <w:t>treatment, there</w:t>
      </w:r>
      <w:r>
        <w:rPr>
          <w:spacing w:val="-1"/>
        </w:rPr>
        <w:t> </w:t>
      </w:r>
      <w:r>
        <w:rPr/>
        <w:t>was a</w:t>
      </w:r>
      <w:r>
        <w:rPr>
          <w:spacing w:val="-1"/>
        </w:rPr>
        <w:t> </w:t>
      </w:r>
      <w:r>
        <w:rPr/>
        <w:t>reduction in blood glucose (58%). But after about twelve weeks of treatment the reduction in blood glucose was 83% in blood</w:t>
      </w:r>
      <w:r>
        <w:rPr>
          <w:spacing w:val="80"/>
        </w:rPr>
        <w:t> </w:t>
      </w:r>
      <w:r>
        <w:rPr/>
        <w:t>glucose. This means that the effect of </w:t>
      </w:r>
      <w:r>
        <w:rPr>
          <w:i/>
        </w:rPr>
        <w:t>Mucuna pruriens </w:t>
      </w:r>
      <w:r>
        <w:rPr/>
        <w:t>was better if they</w:t>
      </w:r>
      <w:r>
        <w:rPr>
          <w:spacing w:val="-4"/>
        </w:rPr>
        <w:t> </w:t>
      </w:r>
      <w:r>
        <w:rPr/>
        <w:t>were given for a longer duration. Thus, to derive maximum therapeutic advantage from these plants in diabetic patients, treatment should be continued for a long duration.</w:t>
      </w:r>
    </w:p>
    <w:p>
      <w:pPr>
        <w:pStyle w:val="BodyText"/>
        <w:spacing w:line="360" w:lineRule="auto" w:before="1"/>
        <w:ind w:left="678" w:right="992" w:firstLine="741"/>
        <w:jc w:val="both"/>
      </w:pPr>
      <w:r>
        <w:rPr/>
        <w:t>The results of the antihyperglycaemic investigations show that </w:t>
      </w:r>
      <w:r>
        <w:rPr>
          <w:i/>
        </w:rPr>
        <w:t>M. pruriens </w:t>
      </w:r>
      <w:r>
        <w:rPr/>
        <w:t>can be even more effective as an antidiabetic agent than an orthodox medicine like</w:t>
      </w:r>
      <w:r>
        <w:rPr>
          <w:spacing w:val="40"/>
        </w:rPr>
        <w:t> </w:t>
      </w:r>
      <w:r>
        <w:rPr/>
        <w:t>glibenclamide. This is in consistent with the works of Bhaskar </w:t>
      </w:r>
      <w:r>
        <w:rPr>
          <w:i/>
        </w:rPr>
        <w:t>et al</w:t>
      </w:r>
      <w:r>
        <w:rPr/>
        <w:t>., (2008); Warrier </w:t>
      </w:r>
      <w:r>
        <w:rPr>
          <w:i/>
        </w:rPr>
        <w:t>et</w:t>
      </w:r>
      <w:r>
        <w:rPr>
          <w:i/>
          <w:spacing w:val="40"/>
        </w:rPr>
        <w:t> </w:t>
      </w:r>
      <w:r>
        <w:rPr>
          <w:i/>
        </w:rPr>
        <w:t>al</w:t>
      </w:r>
      <w:r>
        <w:rPr/>
        <w:t>., (1996); Grover </w:t>
      </w:r>
      <w:r>
        <w:rPr>
          <w:i/>
        </w:rPr>
        <w:t>et al</w:t>
      </w:r>
      <w:r>
        <w:rPr/>
        <w:t>., (2001); Grover </w:t>
      </w:r>
      <w:r>
        <w:rPr>
          <w:i/>
        </w:rPr>
        <w:t>et al</w:t>
      </w:r>
      <w:r>
        <w:rPr/>
        <w:t>., (2002) and Akhtar </w:t>
      </w:r>
      <w:r>
        <w:rPr>
          <w:i/>
        </w:rPr>
        <w:t>et al</w:t>
      </w:r>
      <w:r>
        <w:rPr/>
        <w:t>., (1990). Furthermore, during the past few years some of the new bioactive drugs isolated from hypoglycaemic plants showed antidiabetic activity with more efficacy than oral hypoglycaemic agents used in clinical therapy (Shabana </w:t>
      </w:r>
      <w:r>
        <w:rPr>
          <w:i/>
        </w:rPr>
        <w:t>et al</w:t>
      </w:r>
      <w:r>
        <w:rPr/>
        <w:t>., 1990; Ramon – Ramos </w:t>
      </w:r>
      <w:r>
        <w:rPr>
          <w:i/>
        </w:rPr>
        <w:t>et al</w:t>
      </w:r>
      <w:r>
        <w:rPr/>
        <w:t>., 1991; Skim </w:t>
      </w:r>
      <w:r>
        <w:rPr>
          <w:i/>
        </w:rPr>
        <w:t>et al</w:t>
      </w:r>
      <w:r>
        <w:rPr/>
        <w:t>., 1999 and Jaouhari </w:t>
      </w:r>
      <w:r>
        <w:rPr>
          <w:i/>
        </w:rPr>
        <w:t>et al</w:t>
      </w:r>
      <w:r>
        <w:rPr/>
        <w:t>., 2000).</w:t>
      </w:r>
    </w:p>
    <w:p>
      <w:pPr>
        <w:pStyle w:val="BodyText"/>
        <w:spacing w:line="360" w:lineRule="auto"/>
        <w:ind w:left="678" w:right="994" w:firstLine="720"/>
        <w:jc w:val="both"/>
      </w:pPr>
      <w:r>
        <w:rPr/>
        <w:t>It is clearly evident that alloxan administration caused the significant increase in the blood glucose level in 72 hour from 77.5 to 461.9 mg/dL in chronic investigation and from 74.4 to 455.3 mg/dL in acute investigation, (p &lt; 0.05) in rats. The extract of the</w:t>
      </w:r>
      <w:r>
        <w:rPr>
          <w:spacing w:val="40"/>
        </w:rPr>
        <w:t> </w:t>
      </w:r>
      <w:r>
        <w:rPr/>
        <w:t>seeds</w:t>
      </w:r>
      <w:r>
        <w:rPr>
          <w:spacing w:val="65"/>
        </w:rPr>
        <w:t> </w:t>
      </w:r>
      <w:r>
        <w:rPr/>
        <w:t>of</w:t>
      </w:r>
      <w:r>
        <w:rPr>
          <w:spacing w:val="70"/>
        </w:rPr>
        <w:t> </w:t>
      </w:r>
      <w:r>
        <w:rPr/>
        <w:t>showed</w:t>
      </w:r>
      <w:r>
        <w:rPr>
          <w:spacing w:val="70"/>
        </w:rPr>
        <w:t> </w:t>
      </w:r>
      <w:r>
        <w:rPr/>
        <w:t>significant</w:t>
      </w:r>
      <w:r>
        <w:rPr>
          <w:spacing w:val="68"/>
        </w:rPr>
        <w:t> </w:t>
      </w:r>
      <w:r>
        <w:rPr/>
        <w:t>effect</w:t>
      </w:r>
      <w:r>
        <w:rPr>
          <w:spacing w:val="68"/>
        </w:rPr>
        <w:t> </w:t>
      </w:r>
      <w:r>
        <w:rPr/>
        <w:t>compared</w:t>
      </w:r>
      <w:r>
        <w:rPr>
          <w:spacing w:val="71"/>
        </w:rPr>
        <w:t> </w:t>
      </w:r>
      <w:r>
        <w:rPr/>
        <w:t>with</w:t>
      </w:r>
      <w:r>
        <w:rPr>
          <w:spacing w:val="68"/>
        </w:rPr>
        <w:t> </w:t>
      </w:r>
      <w:r>
        <w:rPr/>
        <w:t>respective</w:t>
      </w:r>
      <w:r>
        <w:rPr>
          <w:spacing w:val="67"/>
        </w:rPr>
        <w:t> </w:t>
      </w:r>
      <w:r>
        <w:rPr/>
        <w:t>diabetic</w:t>
      </w:r>
      <w:r>
        <w:rPr>
          <w:spacing w:val="69"/>
        </w:rPr>
        <w:t> </w:t>
      </w:r>
      <w:r>
        <w:rPr/>
        <w:t>control</w:t>
      </w:r>
      <w:r>
        <w:rPr>
          <w:spacing w:val="71"/>
        </w:rPr>
        <w:t> </w:t>
      </w:r>
      <w:r>
        <w:rPr>
          <w:spacing w:val="-2"/>
        </w:rPr>
        <w:t>group,</w:t>
      </w:r>
    </w:p>
    <w:p>
      <w:pPr>
        <w:spacing w:after="0" w:line="360" w:lineRule="auto"/>
        <w:jc w:val="both"/>
        <w:sectPr>
          <w:pgSz w:w="12240" w:h="15840"/>
          <w:pgMar w:header="0" w:footer="1056" w:top="1340" w:bottom="1240" w:left="1420" w:right="420"/>
        </w:sectPr>
      </w:pPr>
    </w:p>
    <w:p>
      <w:pPr>
        <w:pStyle w:val="BodyText"/>
        <w:spacing w:line="360" w:lineRule="auto" w:before="72"/>
        <w:ind w:left="678" w:right="1000"/>
        <w:jc w:val="both"/>
        <w:rPr>
          <w:i/>
        </w:rPr>
      </w:pPr>
      <w:r>
        <w:rPr/>
        <mc:AlternateContent>
          <mc:Choice Requires="wps">
            <w:drawing>
              <wp:anchor distT="0" distB="0" distL="0" distR="0" allowOverlap="1" layoutInCell="1" locked="0" behindDoc="1" simplePos="0" relativeHeight="483034624">
                <wp:simplePos x="0" y="0"/>
                <wp:positionH relativeFrom="page">
                  <wp:posOffset>-1402226</wp:posOffset>
                </wp:positionH>
                <wp:positionV relativeFrom="page">
                  <wp:posOffset>4612234</wp:posOffset>
                </wp:positionV>
                <wp:extent cx="10685780" cy="9144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1856;rotation:306" type="#_x0000_t136" fillcolor="#ff5400" stroked="f">
                <o:extrusion v:ext="view" autorotationcenter="t"/>
                <v:textpath style="font-family:&quot;Arial MT&quot;;font-size:72pt;v-text-kern:t;mso-text-shadow:auto" string="UNIVERSITY OF IBADAN"/>
                <w10:wrap type="none"/>
              </v:shape>
            </w:pict>
          </mc:Fallback>
        </mc:AlternateContent>
      </w:r>
      <w:r>
        <w:rPr/>
        <w:t>decreased the blood glucose level at all the doses administered. Decrease in blood glucose level indicates antidiabetic effect of the ethanol extract of </w:t>
      </w:r>
      <w:r>
        <w:rPr>
          <w:i/>
        </w:rPr>
        <w:t>M. pruriens.</w:t>
      </w:r>
    </w:p>
    <w:p>
      <w:pPr>
        <w:pStyle w:val="BodyText"/>
        <w:spacing w:line="360" w:lineRule="auto" w:before="1"/>
        <w:ind w:left="678" w:right="992" w:firstLine="720"/>
        <w:jc w:val="both"/>
      </w:pPr>
      <w:r>
        <w:rPr/>
        <w:t>Alloxan exerts its diabetic action when it administered parenterally. The action of Alloxan in pancreas is preceded by its rapid uptake by the β-cells. Rapid uptake by insulinsecreting cells has been proposed to be one of the important features determining alloxan diabetogenicity. Another aspect concerns the formation of reactive oxygen</w:t>
      </w:r>
      <w:r>
        <w:rPr>
          <w:spacing w:val="40"/>
        </w:rPr>
        <w:t> </w:t>
      </w:r>
      <w:r>
        <w:rPr/>
        <w:t>species. The studies show that the oral administration of ethanol extract of the seeds of </w:t>
      </w:r>
      <w:r>
        <w:rPr>
          <w:i/>
        </w:rPr>
        <w:t>M. pruriens </w:t>
      </w:r>
      <w:r>
        <w:rPr/>
        <w:t>decreased blood glucose level in diabetic rats. It is known that diabetes could be one</w:t>
      </w:r>
      <w:r>
        <w:rPr>
          <w:spacing w:val="-1"/>
        </w:rPr>
        <w:t> </w:t>
      </w:r>
      <w:r>
        <w:rPr/>
        <w:t>of</w:t>
      </w:r>
      <w:r>
        <w:rPr>
          <w:spacing w:val="-1"/>
        </w:rPr>
        <w:t> </w:t>
      </w:r>
      <w:r>
        <w:rPr/>
        <w:t>the non-communicable</w:t>
      </w:r>
      <w:r>
        <w:rPr>
          <w:spacing w:val="-1"/>
        </w:rPr>
        <w:t> </w:t>
      </w:r>
      <w:r>
        <w:rPr/>
        <w:t>diseases as a result of</w:t>
      </w:r>
      <w:r>
        <w:rPr>
          <w:spacing w:val="-1"/>
        </w:rPr>
        <w:t> </w:t>
      </w:r>
      <w:r>
        <w:rPr/>
        <w:t>the</w:t>
      </w:r>
      <w:r>
        <w:rPr>
          <w:spacing w:val="-1"/>
        </w:rPr>
        <w:t> </w:t>
      </w:r>
      <w:r>
        <w:rPr/>
        <w:t>free radical scavengers</w:t>
      </w:r>
      <w:r>
        <w:rPr>
          <w:spacing w:val="-1"/>
        </w:rPr>
        <w:t> </w:t>
      </w:r>
      <w:r>
        <w:rPr/>
        <w:t>destroying vital organs of which the pancreas is included. It can be said, however that any plants that possess antioxidant properties could be investigated for a possible anti-diabetic properties (Majekodunmi and Odeku, 2011).</w:t>
      </w:r>
    </w:p>
    <w:p>
      <w:pPr>
        <w:pStyle w:val="BodyText"/>
        <w:spacing w:line="360" w:lineRule="auto" w:before="1"/>
        <w:ind w:left="678" w:right="990" w:firstLine="720"/>
        <w:jc w:val="both"/>
      </w:pPr>
      <w:r>
        <w:rPr/>
        <w:t>To gain an understanding of the mechanism(s) by which </w:t>
      </w:r>
      <w:r>
        <w:rPr>
          <w:i/>
        </w:rPr>
        <w:t>M. pruriens </w:t>
      </w:r>
      <w:r>
        <w:rPr/>
        <w:t>elicits its hypoglycemic activity, various biochemical parameters were evaluated following (chronic (72 day) treatment in rats. It has been demonstrated that insulin deficiency in diabetes mellitus leads to a variety of derangement in metabolic and regulatory process, which in turn leads to accumulation of lipid such as cholesterol and triglycerides and LDL and decrease the level of HDL in diabetic patients (Al Rowais, 2002; Grover </w:t>
      </w:r>
      <w:r>
        <w:rPr>
          <w:i/>
        </w:rPr>
        <w:t>et al</w:t>
      </w:r>
      <w:r>
        <w:rPr/>
        <w:t>., 2001; Leiweng Xiang </w:t>
      </w:r>
      <w:r>
        <w:rPr>
          <w:i/>
        </w:rPr>
        <w:t>et al</w:t>
      </w:r>
      <w:r>
        <w:rPr/>
        <w:t>., 2007; Nathan </w:t>
      </w:r>
      <w:r>
        <w:rPr>
          <w:i/>
        </w:rPr>
        <w:t>et al</w:t>
      </w:r>
      <w:r>
        <w:rPr/>
        <w:t>., 2005; Baynes &amp; Thorpe, 1997; Rathi </w:t>
      </w:r>
      <w:r>
        <w:rPr>
          <w:i/>
        </w:rPr>
        <w:t>et al</w:t>
      </w:r>
      <w:r>
        <w:rPr/>
        <w:t>., 2002; Yamini &amp; Anil, 2001). The abnormal high concentration of serum lipids in the diabetic rats is due mainly to increase in the mobilization of free fatty acids from the peripheral</w:t>
      </w:r>
      <w:r>
        <w:rPr>
          <w:spacing w:val="-3"/>
        </w:rPr>
        <w:t> </w:t>
      </w:r>
      <w:r>
        <w:rPr/>
        <w:t>fats</w:t>
      </w:r>
      <w:r>
        <w:rPr>
          <w:spacing w:val="-3"/>
        </w:rPr>
        <w:t> </w:t>
      </w:r>
      <w:r>
        <w:rPr/>
        <w:t>depots</w:t>
      </w:r>
      <w:r>
        <w:rPr>
          <w:spacing w:val="-1"/>
        </w:rPr>
        <w:t> </w:t>
      </w:r>
      <w:r>
        <w:rPr/>
        <w:t>for</w:t>
      </w:r>
      <w:r>
        <w:rPr>
          <w:spacing w:val="-3"/>
        </w:rPr>
        <w:t> </w:t>
      </w:r>
      <w:r>
        <w:rPr/>
        <w:t>breakdown</w:t>
      </w:r>
      <w:r>
        <w:rPr>
          <w:spacing w:val="-2"/>
        </w:rPr>
        <w:t> </w:t>
      </w:r>
      <w:r>
        <w:rPr/>
        <w:t>so</w:t>
      </w:r>
      <w:r>
        <w:rPr>
          <w:spacing w:val="-3"/>
        </w:rPr>
        <w:t> </w:t>
      </w:r>
      <w:r>
        <w:rPr/>
        <w:t>as</w:t>
      </w:r>
      <w:r>
        <w:rPr>
          <w:spacing w:val="-3"/>
        </w:rPr>
        <w:t> </w:t>
      </w:r>
      <w:r>
        <w:rPr/>
        <w:t>to</w:t>
      </w:r>
      <w:r>
        <w:rPr>
          <w:spacing w:val="-3"/>
        </w:rPr>
        <w:t> </w:t>
      </w:r>
      <w:r>
        <w:rPr/>
        <w:t>nourish</w:t>
      </w:r>
      <w:r>
        <w:rPr>
          <w:spacing w:val="-3"/>
        </w:rPr>
        <w:t> </w:t>
      </w:r>
      <w:r>
        <w:rPr/>
        <w:t>the</w:t>
      </w:r>
      <w:r>
        <w:rPr>
          <w:spacing w:val="-1"/>
        </w:rPr>
        <w:t> </w:t>
      </w:r>
      <w:r>
        <w:rPr/>
        <w:t>various</w:t>
      </w:r>
      <w:r>
        <w:rPr>
          <w:spacing w:val="-3"/>
        </w:rPr>
        <w:t> </w:t>
      </w:r>
      <w:r>
        <w:rPr/>
        <w:t>cells. In</w:t>
      </w:r>
      <w:r>
        <w:rPr>
          <w:spacing w:val="-3"/>
        </w:rPr>
        <w:t> </w:t>
      </w:r>
      <w:r>
        <w:rPr/>
        <w:t>the</w:t>
      </w:r>
      <w:r>
        <w:rPr>
          <w:spacing w:val="-4"/>
        </w:rPr>
        <w:t> </w:t>
      </w:r>
      <w:r>
        <w:rPr/>
        <w:t>present</w:t>
      </w:r>
      <w:r>
        <w:rPr>
          <w:spacing w:val="-3"/>
        </w:rPr>
        <w:t> </w:t>
      </w:r>
      <w:r>
        <w:rPr/>
        <w:t>study the effect of ethanol extract of </w:t>
      </w:r>
      <w:r>
        <w:rPr>
          <w:i/>
        </w:rPr>
        <w:t>M. pruriens </w:t>
      </w:r>
      <w:r>
        <w:rPr/>
        <w:t>on the hyperlipedimic level of the rats is dose </w:t>
      </w:r>
      <w:r>
        <w:rPr>
          <w:spacing w:val="-2"/>
        </w:rPr>
        <w:t>related.</w:t>
      </w:r>
    </w:p>
    <w:p>
      <w:pPr>
        <w:pStyle w:val="BodyText"/>
        <w:spacing w:line="360" w:lineRule="auto"/>
        <w:ind w:left="678" w:right="998" w:firstLine="720"/>
        <w:jc w:val="both"/>
      </w:pPr>
      <w:r>
        <w:rPr/>
        <w:t>It is clearly evident from our results that alloxan caused significant elevation of serum markers, Cholestrol (174.0 mg/dL), Triglyceride (63.83 mg/dL), LDL (144.5 mg/dL), BUN (39.33 mg/dL) and Creatinine (mg/dL). This is in agreement with the with the findings of Sharma </w:t>
      </w:r>
      <w:r>
        <w:rPr>
          <w:i/>
        </w:rPr>
        <w:t>et al., </w:t>
      </w:r>
      <w:r>
        <w:rPr/>
        <w:t>1996 who reported that hypercholesterolemia and hypertriglyceridemia occur in alloxan diabetic rats. The marked hyperlipidemia that characterizes the diabetic state may therefore be regarded as a consequence of the uninhibited</w:t>
      </w:r>
      <w:r>
        <w:rPr>
          <w:spacing w:val="54"/>
        </w:rPr>
        <w:t> </w:t>
      </w:r>
      <w:r>
        <w:rPr/>
        <w:t>actions</w:t>
      </w:r>
      <w:r>
        <w:rPr>
          <w:spacing w:val="56"/>
        </w:rPr>
        <w:t> </w:t>
      </w:r>
      <w:r>
        <w:rPr/>
        <w:t>of</w:t>
      </w:r>
      <w:r>
        <w:rPr>
          <w:spacing w:val="57"/>
        </w:rPr>
        <w:t> </w:t>
      </w:r>
      <w:r>
        <w:rPr/>
        <w:t>lipolytic</w:t>
      </w:r>
      <w:r>
        <w:rPr>
          <w:spacing w:val="56"/>
        </w:rPr>
        <w:t> </w:t>
      </w:r>
      <w:r>
        <w:rPr/>
        <w:t>hormones</w:t>
      </w:r>
      <w:r>
        <w:rPr>
          <w:spacing w:val="56"/>
        </w:rPr>
        <w:t> </w:t>
      </w:r>
      <w:r>
        <w:rPr/>
        <w:t>on</w:t>
      </w:r>
      <w:r>
        <w:rPr>
          <w:spacing w:val="56"/>
        </w:rPr>
        <w:t> </w:t>
      </w:r>
      <w:r>
        <w:rPr/>
        <w:t>the</w:t>
      </w:r>
      <w:r>
        <w:rPr>
          <w:spacing w:val="55"/>
        </w:rPr>
        <w:t> </w:t>
      </w:r>
      <w:r>
        <w:rPr/>
        <w:t>fat</w:t>
      </w:r>
      <w:r>
        <w:rPr>
          <w:spacing w:val="57"/>
        </w:rPr>
        <w:t> </w:t>
      </w:r>
      <w:r>
        <w:rPr/>
        <w:t>depots</w:t>
      </w:r>
      <w:r>
        <w:rPr>
          <w:spacing w:val="59"/>
        </w:rPr>
        <w:t> </w:t>
      </w:r>
      <w:r>
        <w:rPr/>
        <w:t>((Hardman</w:t>
      </w:r>
      <w:r>
        <w:rPr>
          <w:spacing w:val="56"/>
        </w:rPr>
        <w:t> </w:t>
      </w:r>
      <w:r>
        <w:rPr/>
        <w:t>and</w:t>
      </w:r>
      <w:r>
        <w:rPr>
          <w:spacing w:val="59"/>
        </w:rPr>
        <w:t> </w:t>
      </w:r>
      <w:r>
        <w:rPr>
          <w:spacing w:val="-2"/>
        </w:rPr>
        <w:t>Limberd,</w:t>
      </w:r>
    </w:p>
    <w:p>
      <w:pPr>
        <w:spacing w:after="0" w:line="360" w:lineRule="auto"/>
        <w:jc w:val="both"/>
        <w:sectPr>
          <w:pgSz w:w="12240" w:h="15840"/>
          <w:pgMar w:header="0" w:footer="1056" w:top="1340" w:bottom="1240" w:left="1420" w:right="420"/>
        </w:sectPr>
      </w:pPr>
    </w:p>
    <w:p>
      <w:pPr>
        <w:pStyle w:val="BodyText"/>
        <w:spacing w:line="360" w:lineRule="auto" w:before="72"/>
        <w:ind w:left="678" w:right="993"/>
        <w:jc w:val="both"/>
      </w:pPr>
      <w:r>
        <w:rPr/>
        <mc:AlternateContent>
          <mc:Choice Requires="wps">
            <w:drawing>
              <wp:anchor distT="0" distB="0" distL="0" distR="0" allowOverlap="1" layoutInCell="1" locked="0" behindDoc="1" simplePos="0" relativeHeight="483035136">
                <wp:simplePos x="0" y="0"/>
                <wp:positionH relativeFrom="page">
                  <wp:posOffset>-1402226</wp:posOffset>
                </wp:positionH>
                <wp:positionV relativeFrom="page">
                  <wp:posOffset>4612234</wp:posOffset>
                </wp:positionV>
                <wp:extent cx="10685780" cy="9144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1344;rotation:306" type="#_x0000_t136" fillcolor="#ff5400" stroked="f">
                <o:extrusion v:ext="view" autorotationcenter="t"/>
                <v:textpath style="font-family:&quot;Arial MT&quot;;font-size:72pt;v-text-kern:t;mso-text-shadow:auto" string="UNIVERSITY OF IBADAN"/>
                <w10:wrap type="none"/>
              </v:shape>
            </w:pict>
          </mc:Fallback>
        </mc:AlternateContent>
      </w:r>
      <w:r>
        <w:rPr/>
        <w:t>2001). In contrast ,the groups treated with ethanol extract of </w:t>
      </w:r>
      <w:r>
        <w:rPr>
          <w:i/>
        </w:rPr>
        <w:t>M. pruriens </w:t>
      </w:r>
      <w:r>
        <w:rPr/>
        <w:t>at the doses of once daily for 12 week reduced all the lipid components such as cholesterol, triglyceride, LDL, and BUN, creatinine and increased the level of HDL in the serum of rat in a dose - related manner. The more prominent effect being reduction in LDL which is a known triggering factor for coronary occlusion. HDL is a protective cholesterol. Considering </w:t>
      </w:r>
      <w:r>
        <w:rPr>
          <w:i/>
        </w:rPr>
        <w:t>M. prurien</w:t>
      </w:r>
      <w:r>
        <w:rPr/>
        <w:t>‘s effect on the lipid components, it can be assumed to be</w:t>
      </w:r>
      <w:r>
        <w:rPr>
          <w:spacing w:val="40"/>
        </w:rPr>
        <w:t> </w:t>
      </w:r>
      <w:r>
        <w:rPr/>
        <w:t>potential hypolipidemic agent, which will be a great advantage both in diabetic condition as well as the associated atherosclerosis or hyperlipidemic conditions.</w:t>
      </w:r>
    </w:p>
    <w:p>
      <w:pPr>
        <w:pStyle w:val="BodyText"/>
        <w:spacing w:line="360" w:lineRule="auto" w:before="1"/>
        <w:ind w:left="678" w:right="992" w:firstLine="720"/>
        <w:jc w:val="both"/>
      </w:pPr>
      <w:r>
        <w:rPr/>
        <w:t>This study also evaluated the toxicological effects of the extract of </w:t>
      </w:r>
      <w:r>
        <w:rPr>
          <w:i/>
        </w:rPr>
        <w:t>Mucuna pruriens </w:t>
      </w:r>
      <w:r>
        <w:rPr/>
        <w:t>seeds using its effect on liver enzymes and serum bilirubin (total and direct) of white albino Wistar rats in the laboratory. The tests conducted were Total Bilirubin (TB), Direct Bilirubin (DB), Serum Aspartate Amino Transaminase (AST), Alanine Amino Transaminase (ALT), and Alkaline Phosphatase (ALP). The liver function tests revealed that the serum AST, ALT, ALP as well as the total and direct</w:t>
      </w:r>
      <w:r>
        <w:rPr>
          <w:spacing w:val="40"/>
        </w:rPr>
        <w:t> </w:t>
      </w:r>
      <w:r>
        <w:rPr/>
        <w:t>bilirubin were significantly (P &lt; 0.05) increased in the rats that were administered the doses in a dose depended fashion when compared to the diabetic control. ALT, AST and ALP levels are mainly indicators of reduced protein synthesis. Also the liver enzymes and serum bilirubin (total and direct) of the rats that received different amount of the dose of </w:t>
      </w:r>
      <w:r>
        <w:rPr>
          <w:i/>
        </w:rPr>
        <w:t>M. pruriens </w:t>
      </w:r>
      <w:r>
        <w:rPr/>
        <w:t>seed extract were significantly (P &lt; 0.05) increased when compared to the negative control group. In all the experiments, the level of the liver enzymes and serum bilirubin decreased with increase in the dose of drug administered. The increase in serum insulin levels suggested that </w:t>
      </w:r>
      <w:r>
        <w:rPr>
          <w:i/>
        </w:rPr>
        <w:t>M. pruriens </w:t>
      </w:r>
      <w:r>
        <w:rPr/>
        <w:t>like glibenclamide enhances the secretion of insulin from the beta cells of the islets of Langerhans. Further, </w:t>
      </w:r>
      <w:r>
        <w:rPr>
          <w:i/>
        </w:rPr>
        <w:t>M. prurien </w:t>
      </w:r>
      <w:r>
        <w:rPr/>
        <w:t>has the ability to restore the protein breakdown and enhance the glycogenesis process in the liver of diabetic rats.</w:t>
      </w:r>
    </w:p>
    <w:p>
      <w:pPr>
        <w:pStyle w:val="BodyText"/>
        <w:spacing w:line="360" w:lineRule="auto"/>
        <w:ind w:left="678" w:right="994" w:firstLine="720"/>
        <w:jc w:val="both"/>
      </w:pPr>
      <w:r>
        <w:rPr/>
        <w:t>Histopathological studies revealed that </w:t>
      </w:r>
      <w:r>
        <w:rPr>
          <w:i/>
        </w:rPr>
        <w:t>M. prurien </w:t>
      </w:r>
      <w:r>
        <w:rPr/>
        <w:t>and glibenclamide significantly improved</w:t>
      </w:r>
      <w:r>
        <w:rPr>
          <w:spacing w:val="-2"/>
        </w:rPr>
        <w:t> </w:t>
      </w:r>
      <w:r>
        <w:rPr/>
        <w:t>the</w:t>
      </w:r>
      <w:r>
        <w:rPr>
          <w:spacing w:val="-2"/>
        </w:rPr>
        <w:t> </w:t>
      </w:r>
      <w:r>
        <w:rPr/>
        <w:t>histological</w:t>
      </w:r>
      <w:r>
        <w:rPr>
          <w:spacing w:val="-2"/>
        </w:rPr>
        <w:t> </w:t>
      </w:r>
      <w:r>
        <w:rPr/>
        <w:t>architecture</w:t>
      </w:r>
      <w:r>
        <w:rPr>
          <w:spacing w:val="-2"/>
        </w:rPr>
        <w:t> </w:t>
      </w:r>
      <w:r>
        <w:rPr/>
        <w:t>of</w:t>
      </w:r>
      <w:r>
        <w:rPr>
          <w:spacing w:val="-2"/>
        </w:rPr>
        <w:t> </w:t>
      </w:r>
      <w:r>
        <w:rPr/>
        <w:t>the</w:t>
      </w:r>
      <w:r>
        <w:rPr>
          <w:spacing w:val="-2"/>
        </w:rPr>
        <w:t> </w:t>
      </w:r>
      <w:r>
        <w:rPr/>
        <w:t>islets</w:t>
      </w:r>
      <w:r>
        <w:rPr>
          <w:spacing w:val="-2"/>
        </w:rPr>
        <w:t> </w:t>
      </w:r>
      <w:r>
        <w:rPr/>
        <w:t>of</w:t>
      </w:r>
      <w:r>
        <w:rPr>
          <w:spacing w:val="-1"/>
        </w:rPr>
        <w:t> </w:t>
      </w:r>
      <w:r>
        <w:rPr/>
        <w:t>Langerhans, the</w:t>
      </w:r>
      <w:r>
        <w:rPr>
          <w:spacing w:val="-2"/>
        </w:rPr>
        <w:t> </w:t>
      </w:r>
      <w:r>
        <w:rPr/>
        <w:t>liver</w:t>
      </w:r>
      <w:r>
        <w:rPr>
          <w:spacing w:val="-1"/>
        </w:rPr>
        <w:t> </w:t>
      </w:r>
      <w:r>
        <w:rPr/>
        <w:t>and</w:t>
      </w:r>
      <w:r>
        <w:rPr>
          <w:spacing w:val="-2"/>
        </w:rPr>
        <w:t> </w:t>
      </w:r>
      <w:r>
        <w:rPr/>
        <w:t>the</w:t>
      </w:r>
      <w:r>
        <w:rPr>
          <w:spacing w:val="-1"/>
        </w:rPr>
        <w:t> </w:t>
      </w:r>
      <w:r>
        <w:rPr/>
        <w:t>kidney. The groups treated with </w:t>
      </w:r>
      <w:r>
        <w:rPr>
          <w:i/>
        </w:rPr>
        <w:t>M. pruriens </w:t>
      </w:r>
      <w:r>
        <w:rPr/>
        <w:t>and glibenclamide showed greater persistence of the islets of Langerhans and lesser degree of necrotic changes as compared to the untreated alloxan diabetic rats. Hence, it may be tentatively summarized that the possible</w:t>
      </w:r>
      <w:r>
        <w:rPr>
          <w:spacing w:val="40"/>
        </w:rPr>
        <w:t> </w:t>
      </w:r>
      <w:r>
        <w:rPr/>
        <w:t>mechanism (s) by which </w:t>
      </w:r>
      <w:r>
        <w:rPr>
          <w:i/>
        </w:rPr>
        <w:t>M. pruriens </w:t>
      </w:r>
      <w:r>
        <w:rPr/>
        <w:t>brings about the antihyperglycaemic action may be through</w:t>
      </w:r>
      <w:r>
        <w:rPr>
          <w:spacing w:val="44"/>
        </w:rPr>
        <w:t> </w:t>
      </w:r>
      <w:r>
        <w:rPr/>
        <w:t>potentiation</w:t>
      </w:r>
      <w:r>
        <w:rPr>
          <w:spacing w:val="47"/>
        </w:rPr>
        <w:t> </w:t>
      </w:r>
      <w:r>
        <w:rPr/>
        <w:t>of</w:t>
      </w:r>
      <w:r>
        <w:rPr>
          <w:spacing w:val="49"/>
        </w:rPr>
        <w:t> </w:t>
      </w:r>
      <w:r>
        <w:rPr/>
        <w:t>pancreatic</w:t>
      </w:r>
      <w:r>
        <w:rPr>
          <w:spacing w:val="45"/>
        </w:rPr>
        <w:t> </w:t>
      </w:r>
      <w:r>
        <w:rPr/>
        <w:t>secretion</w:t>
      </w:r>
      <w:r>
        <w:rPr>
          <w:spacing w:val="47"/>
        </w:rPr>
        <w:t> </w:t>
      </w:r>
      <w:r>
        <w:rPr/>
        <w:t>of</w:t>
      </w:r>
      <w:r>
        <w:rPr>
          <w:spacing w:val="46"/>
        </w:rPr>
        <w:t> </w:t>
      </w:r>
      <w:r>
        <w:rPr/>
        <w:t>insulin</w:t>
      </w:r>
      <w:r>
        <w:rPr>
          <w:spacing w:val="47"/>
        </w:rPr>
        <w:t> </w:t>
      </w:r>
      <w:r>
        <w:rPr/>
        <w:t>from</w:t>
      </w:r>
      <w:r>
        <w:rPr>
          <w:spacing w:val="48"/>
        </w:rPr>
        <w:t> </w:t>
      </w:r>
      <w:r>
        <w:rPr/>
        <w:t>the</w:t>
      </w:r>
      <w:r>
        <w:rPr>
          <w:spacing w:val="46"/>
        </w:rPr>
        <w:t> </w:t>
      </w:r>
      <w:r>
        <w:rPr/>
        <w:t>intact</w:t>
      </w:r>
      <w:r>
        <w:rPr>
          <w:spacing w:val="48"/>
        </w:rPr>
        <w:t> </w:t>
      </w:r>
      <w:r>
        <w:rPr/>
        <w:t>β-cells</w:t>
      </w:r>
      <w:r>
        <w:rPr>
          <w:spacing w:val="47"/>
        </w:rPr>
        <w:t> </w:t>
      </w:r>
      <w:r>
        <w:rPr/>
        <w:t>of</w:t>
      </w:r>
      <w:r>
        <w:rPr>
          <w:spacing w:val="47"/>
        </w:rPr>
        <w:t> </w:t>
      </w:r>
      <w:r>
        <w:rPr>
          <w:spacing w:val="-2"/>
        </w:rPr>
        <w:t>islets</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jc w:val="both"/>
      </w:pPr>
      <w:r>
        <w:rPr/>
        <mc:AlternateContent>
          <mc:Choice Requires="wps">
            <w:drawing>
              <wp:anchor distT="0" distB="0" distL="0" distR="0" allowOverlap="1" layoutInCell="1" locked="0" behindDoc="1" simplePos="0" relativeHeight="483035648">
                <wp:simplePos x="0" y="0"/>
                <wp:positionH relativeFrom="page">
                  <wp:posOffset>-1402226</wp:posOffset>
                </wp:positionH>
                <wp:positionV relativeFrom="page">
                  <wp:posOffset>4612234</wp:posOffset>
                </wp:positionV>
                <wp:extent cx="10685780" cy="9144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0832;rotation:306" type="#_x0000_t136" fillcolor="#ff5400" stroked="f">
                <o:extrusion v:ext="view" autorotationcenter="t"/>
                <v:textpath style="font-family:&quot;Arial MT&quot;;font-size:72pt;v-text-kern:t;mso-text-shadow:auto" string="UNIVERSITY OF IBADAN"/>
                <w10:wrap type="none"/>
              </v:shape>
            </w:pict>
          </mc:Fallback>
        </mc:AlternateContent>
      </w:r>
      <w:r>
        <w:rPr/>
        <w:t>(which may be evidenced by the perceived increased level of insulin in diabetic rats</w:t>
      </w:r>
      <w:r>
        <w:rPr>
          <w:spacing w:val="40"/>
        </w:rPr>
        <w:t> </w:t>
      </w:r>
      <w:r>
        <w:rPr/>
        <w:t>treated with </w:t>
      </w:r>
      <w:r>
        <w:rPr>
          <w:i/>
        </w:rPr>
        <w:t>M. pruriens </w:t>
      </w:r>
      <w:r>
        <w:rPr/>
        <w:t>and glibenclamide) coupled with extra-pancreatic mechanisms like decreased glycogenolysis and enhanced glycogenesis by the liver and/or enhanced transport of blood glucose to peripheral tissues. </w:t>
      </w:r>
      <w:r>
        <w:rPr>
          <w:i/>
        </w:rPr>
        <w:t>M. pruriens</w:t>
      </w:r>
      <w:r>
        <w:rPr/>
        <w:t>‘s direct effect on the regeneration of the islet of pancreas was also evidenced by the restoration of the architecture of the islets of Langerhans in histopathological studies. With such an evidence,</w:t>
      </w:r>
      <w:r>
        <w:rPr>
          <w:spacing w:val="-1"/>
        </w:rPr>
        <w:t> </w:t>
      </w:r>
      <w:r>
        <w:rPr/>
        <w:t>it</w:t>
      </w:r>
      <w:r>
        <w:rPr>
          <w:spacing w:val="-1"/>
        </w:rPr>
        <w:t> </w:t>
      </w:r>
      <w:r>
        <w:rPr/>
        <w:t>is</w:t>
      </w:r>
      <w:r>
        <w:rPr>
          <w:spacing w:val="-1"/>
        </w:rPr>
        <w:t> </w:t>
      </w:r>
      <w:r>
        <w:rPr/>
        <w:t>possible</w:t>
      </w:r>
      <w:r>
        <w:rPr>
          <w:spacing w:val="-3"/>
        </w:rPr>
        <w:t> </w:t>
      </w:r>
      <w:r>
        <w:rPr/>
        <w:t>to</w:t>
      </w:r>
      <w:r>
        <w:rPr>
          <w:spacing w:val="-4"/>
        </w:rPr>
        <w:t> </w:t>
      </w:r>
      <w:r>
        <w:rPr/>
        <w:t>assume</w:t>
      </w:r>
      <w:r>
        <w:rPr>
          <w:spacing w:val="-2"/>
        </w:rPr>
        <w:t> </w:t>
      </w:r>
      <w:r>
        <w:rPr/>
        <w:t>that</w:t>
      </w:r>
      <w:r>
        <w:rPr>
          <w:spacing w:val="-1"/>
        </w:rPr>
        <w:t> </w:t>
      </w:r>
      <w:r>
        <w:rPr/>
        <w:t>MP</w:t>
      </w:r>
      <w:r>
        <w:rPr>
          <w:spacing w:val="-1"/>
        </w:rPr>
        <w:t> </w:t>
      </w:r>
      <w:r>
        <w:rPr/>
        <w:t>might</w:t>
      </w:r>
      <w:r>
        <w:rPr>
          <w:spacing w:val="-1"/>
        </w:rPr>
        <w:t> </w:t>
      </w:r>
      <w:r>
        <w:rPr/>
        <w:t>stimulate</w:t>
      </w:r>
      <w:r>
        <w:rPr>
          <w:spacing w:val="-2"/>
        </w:rPr>
        <w:t> </w:t>
      </w:r>
      <w:r>
        <w:rPr/>
        <w:t>the</w:t>
      </w:r>
      <w:r>
        <w:rPr>
          <w:spacing w:val="-2"/>
        </w:rPr>
        <w:t> </w:t>
      </w:r>
      <w:r>
        <w:rPr/>
        <w:t>secretion</w:t>
      </w:r>
      <w:r>
        <w:rPr>
          <w:spacing w:val="-1"/>
        </w:rPr>
        <w:t> </w:t>
      </w:r>
      <w:r>
        <w:rPr/>
        <w:t>of</w:t>
      </w:r>
      <w:r>
        <w:rPr>
          <w:spacing w:val="-2"/>
        </w:rPr>
        <w:t> </w:t>
      </w:r>
      <w:r>
        <w:rPr/>
        <w:t>insulin</w:t>
      </w:r>
      <w:r>
        <w:rPr>
          <w:spacing w:val="-1"/>
        </w:rPr>
        <w:t> </w:t>
      </w:r>
      <w:r>
        <w:rPr/>
        <w:t>from</w:t>
      </w:r>
      <w:r>
        <w:rPr>
          <w:spacing w:val="-1"/>
        </w:rPr>
        <w:t> </w:t>
      </w:r>
      <w:r>
        <w:rPr/>
        <w:t>the beta cells by a mechanism similar to that of oral hypoglycaemic agents (like sulphonylureas) i.e.</w:t>
      </w:r>
      <w:r>
        <w:rPr>
          <w:spacing w:val="40"/>
        </w:rPr>
        <w:t> </w:t>
      </w:r>
      <w:r>
        <w:rPr/>
        <w:t>by depolarisation of islet membrane which consequently alters the change in ion flux (Grodsky </w:t>
      </w:r>
      <w:r>
        <w:rPr>
          <w:i/>
        </w:rPr>
        <w:t>et al</w:t>
      </w:r>
      <w:r>
        <w:rPr/>
        <w:t>., 1977) or affecting receptors responsible for the recognition of insulin secretagogues (Hellman </w:t>
      </w:r>
      <w:r>
        <w:rPr>
          <w:i/>
        </w:rPr>
        <w:t>et al</w:t>
      </w:r>
      <w:r>
        <w:rPr/>
        <w:t>., 1973). These mechanism(s) have been accepted as a paradigm for the action of all insulin releasing agents (Nafisa </w:t>
      </w:r>
      <w:r>
        <w:rPr>
          <w:i/>
        </w:rPr>
        <w:t>et al</w:t>
      </w:r>
      <w:r>
        <w:rPr/>
        <w:t>., </w:t>
      </w:r>
      <w:r>
        <w:rPr>
          <w:spacing w:val="-2"/>
        </w:rPr>
        <w:t>2007).</w:t>
      </w:r>
    </w:p>
    <w:p>
      <w:pPr>
        <w:pStyle w:val="BodyText"/>
        <w:tabs>
          <w:tab w:pos="1267" w:val="left" w:leader="none"/>
          <w:tab w:pos="2431" w:val="left" w:leader="none"/>
          <w:tab w:pos="3397" w:val="left" w:leader="none"/>
          <w:tab w:pos="4025" w:val="left" w:leader="none"/>
          <w:tab w:pos="4551" w:val="left" w:leader="none"/>
          <w:tab w:pos="5438" w:val="left" w:leader="none"/>
          <w:tab w:pos="5949" w:val="left" w:leader="none"/>
          <w:tab w:pos="7258" w:val="left" w:leader="none"/>
          <w:tab w:pos="8328" w:val="left" w:leader="none"/>
        </w:tabs>
        <w:spacing w:line="360" w:lineRule="auto" w:before="1"/>
        <w:ind w:left="678" w:right="988" w:firstLine="720"/>
        <w:jc w:val="right"/>
      </w:pPr>
      <w:r>
        <w:rPr/>
        <w:t>When a plant extract has been found to be safe, efficacious and non toxic the next thing</w:t>
      </w:r>
      <w:r>
        <w:rPr>
          <w:spacing w:val="22"/>
        </w:rPr>
        <w:t> </w:t>
      </w:r>
      <w:r>
        <w:rPr/>
        <w:t>is</w:t>
      </w:r>
      <w:r>
        <w:rPr>
          <w:spacing w:val="25"/>
        </w:rPr>
        <w:t> </w:t>
      </w:r>
      <w:r>
        <w:rPr/>
        <w:t>how</w:t>
      </w:r>
      <w:r>
        <w:rPr>
          <w:spacing w:val="26"/>
        </w:rPr>
        <w:t> </w:t>
      </w:r>
      <w:r>
        <w:rPr/>
        <w:t>it</w:t>
      </w:r>
      <w:r>
        <w:rPr>
          <w:spacing w:val="25"/>
        </w:rPr>
        <w:t> </w:t>
      </w:r>
      <w:r>
        <w:rPr/>
        <w:t>can</w:t>
      </w:r>
      <w:r>
        <w:rPr>
          <w:spacing w:val="25"/>
        </w:rPr>
        <w:t> </w:t>
      </w:r>
      <w:r>
        <w:rPr/>
        <w:t>be</w:t>
      </w:r>
      <w:r>
        <w:rPr>
          <w:spacing w:val="24"/>
        </w:rPr>
        <w:t> </w:t>
      </w:r>
      <w:r>
        <w:rPr/>
        <w:t>standardized</w:t>
      </w:r>
      <w:r>
        <w:rPr>
          <w:spacing w:val="25"/>
        </w:rPr>
        <w:t> </w:t>
      </w:r>
      <w:r>
        <w:rPr/>
        <w:t>into</w:t>
      </w:r>
      <w:r>
        <w:rPr>
          <w:spacing w:val="27"/>
        </w:rPr>
        <w:t> </w:t>
      </w:r>
      <w:r>
        <w:rPr/>
        <w:t>an</w:t>
      </w:r>
      <w:r>
        <w:rPr>
          <w:spacing w:val="25"/>
        </w:rPr>
        <w:t> </w:t>
      </w:r>
      <w:r>
        <w:rPr/>
        <w:t>adequate</w:t>
      </w:r>
      <w:r>
        <w:rPr>
          <w:spacing w:val="24"/>
        </w:rPr>
        <w:t> </w:t>
      </w:r>
      <w:r>
        <w:rPr/>
        <w:t>dosage</w:t>
      </w:r>
      <w:r>
        <w:rPr>
          <w:spacing w:val="26"/>
        </w:rPr>
        <w:t> </w:t>
      </w:r>
      <w:r>
        <w:rPr/>
        <w:t>form</w:t>
      </w:r>
      <w:r>
        <w:rPr>
          <w:spacing w:val="25"/>
        </w:rPr>
        <w:t> </w:t>
      </w:r>
      <w:r>
        <w:rPr/>
        <w:t>and</w:t>
      </w:r>
      <w:r>
        <w:rPr>
          <w:spacing w:val="27"/>
        </w:rPr>
        <w:t> </w:t>
      </w:r>
      <w:r>
        <w:rPr/>
        <w:t>which</w:t>
      </w:r>
      <w:r>
        <w:rPr>
          <w:spacing w:val="24"/>
        </w:rPr>
        <w:t> </w:t>
      </w:r>
      <w:r>
        <w:rPr/>
        <w:t>method</w:t>
      </w:r>
      <w:r>
        <w:rPr>
          <w:spacing w:val="25"/>
        </w:rPr>
        <w:t> </w:t>
      </w:r>
      <w:r>
        <w:rPr/>
        <w:t>of production</w:t>
      </w:r>
      <w:r>
        <w:rPr>
          <w:spacing w:val="63"/>
        </w:rPr>
        <w:t> </w:t>
      </w:r>
      <w:r>
        <w:rPr/>
        <w:t>or</w:t>
      </w:r>
      <w:r>
        <w:rPr>
          <w:spacing w:val="63"/>
        </w:rPr>
        <w:t> </w:t>
      </w:r>
      <w:r>
        <w:rPr/>
        <w:t>nature</w:t>
      </w:r>
      <w:r>
        <w:rPr>
          <w:spacing w:val="64"/>
        </w:rPr>
        <w:t> </w:t>
      </w:r>
      <w:r>
        <w:rPr/>
        <w:t>of</w:t>
      </w:r>
      <w:r>
        <w:rPr>
          <w:spacing w:val="63"/>
        </w:rPr>
        <w:t> </w:t>
      </w:r>
      <w:r>
        <w:rPr/>
        <w:t>excipient</w:t>
      </w:r>
      <w:r>
        <w:rPr>
          <w:spacing w:val="64"/>
        </w:rPr>
        <w:t> </w:t>
      </w:r>
      <w:r>
        <w:rPr/>
        <w:t>will</w:t>
      </w:r>
      <w:r>
        <w:rPr>
          <w:spacing w:val="64"/>
        </w:rPr>
        <w:t> </w:t>
      </w:r>
      <w:r>
        <w:rPr/>
        <w:t>be</w:t>
      </w:r>
      <w:r>
        <w:rPr>
          <w:spacing w:val="63"/>
        </w:rPr>
        <w:t> </w:t>
      </w:r>
      <w:r>
        <w:rPr/>
        <w:t>most</w:t>
      </w:r>
      <w:r>
        <w:rPr>
          <w:spacing w:val="62"/>
        </w:rPr>
        <w:t> </w:t>
      </w:r>
      <w:r>
        <w:rPr/>
        <w:t>ideal</w:t>
      </w:r>
      <w:r>
        <w:rPr>
          <w:spacing w:val="64"/>
        </w:rPr>
        <w:t> </w:t>
      </w:r>
      <w:r>
        <w:rPr/>
        <w:t>since</w:t>
      </w:r>
      <w:r>
        <w:rPr>
          <w:spacing w:val="62"/>
        </w:rPr>
        <w:t> </w:t>
      </w:r>
      <w:r>
        <w:rPr/>
        <w:t>the</w:t>
      </w:r>
      <w:r>
        <w:rPr>
          <w:spacing w:val="63"/>
        </w:rPr>
        <w:t> </w:t>
      </w:r>
      <w:r>
        <w:rPr/>
        <w:t>ultimate</w:t>
      </w:r>
      <w:r>
        <w:rPr>
          <w:spacing w:val="63"/>
        </w:rPr>
        <w:t> </w:t>
      </w:r>
      <w:r>
        <w:rPr/>
        <w:t>goal</w:t>
      </w:r>
      <w:r>
        <w:rPr>
          <w:spacing w:val="64"/>
        </w:rPr>
        <w:t> </w:t>
      </w:r>
      <w:r>
        <w:rPr/>
        <w:t>of</w:t>
      </w:r>
      <w:r>
        <w:rPr>
          <w:spacing w:val="63"/>
        </w:rPr>
        <w:t> </w:t>
      </w:r>
      <w:r>
        <w:rPr/>
        <w:t>our investigation</w:t>
      </w:r>
      <w:r>
        <w:rPr>
          <w:spacing w:val="-1"/>
        </w:rPr>
        <w:t> </w:t>
      </w:r>
      <w:r>
        <w:rPr/>
        <w:t>is</w:t>
      </w:r>
      <w:r>
        <w:rPr>
          <w:spacing w:val="-1"/>
        </w:rPr>
        <w:t> </w:t>
      </w:r>
      <w:r>
        <w:rPr/>
        <w:t>to</w:t>
      </w:r>
      <w:r>
        <w:rPr>
          <w:spacing w:val="-1"/>
        </w:rPr>
        <w:t> </w:t>
      </w:r>
      <w:r>
        <w:rPr/>
        <w:t>produce</w:t>
      </w:r>
      <w:r>
        <w:rPr>
          <w:spacing w:val="-2"/>
        </w:rPr>
        <w:t> </w:t>
      </w:r>
      <w:r>
        <w:rPr/>
        <w:t>an alternative,</w:t>
      </w:r>
      <w:r>
        <w:rPr>
          <w:spacing w:val="-1"/>
        </w:rPr>
        <w:t> </w:t>
      </w:r>
      <w:r>
        <w:rPr/>
        <w:t>safe, efficacious and</w:t>
      </w:r>
      <w:r>
        <w:rPr>
          <w:spacing w:val="-1"/>
        </w:rPr>
        <w:t> </w:t>
      </w:r>
      <w:r>
        <w:rPr/>
        <w:t>cheap anti-diabetic</w:t>
      </w:r>
      <w:r>
        <w:rPr>
          <w:spacing w:val="-2"/>
        </w:rPr>
        <w:t> </w:t>
      </w:r>
      <w:r>
        <w:rPr/>
        <w:t>drug. In spite of their efficacy</w:t>
      </w:r>
      <w:r>
        <w:rPr>
          <w:spacing w:val="-3"/>
        </w:rPr>
        <w:t> </w:t>
      </w:r>
      <w:r>
        <w:rPr/>
        <w:t>herbal medicinal products have been widely criticized due to lack of standardization and good presentation (Majekodunmi </w:t>
      </w:r>
      <w:r>
        <w:rPr>
          <w:i/>
        </w:rPr>
        <w:t>et al</w:t>
      </w:r>
      <w:r>
        <w:rPr/>
        <w:t>., 2007). It is well known that</w:t>
      </w:r>
      <w:r>
        <w:rPr>
          <w:spacing w:val="80"/>
        </w:rPr>
        <w:t> </w:t>
      </w:r>
      <w:r>
        <w:rPr/>
        <w:t>tablet</w:t>
      </w:r>
      <w:r>
        <w:rPr>
          <w:spacing w:val="80"/>
        </w:rPr>
        <w:t> </w:t>
      </w:r>
      <w:r>
        <w:rPr/>
        <w:t>manufacture</w:t>
      </w:r>
      <w:r>
        <w:rPr>
          <w:spacing w:val="80"/>
        </w:rPr>
        <w:t> </w:t>
      </w:r>
      <w:r>
        <w:rPr/>
        <w:t>through</w:t>
      </w:r>
      <w:r>
        <w:rPr>
          <w:spacing w:val="80"/>
        </w:rPr>
        <w:t> </w:t>
      </w:r>
      <w:r>
        <w:rPr/>
        <w:t>direct</w:t>
      </w:r>
      <w:r>
        <w:rPr>
          <w:spacing w:val="80"/>
        </w:rPr>
        <w:t> </w:t>
      </w:r>
      <w:r>
        <w:rPr/>
        <w:t>compression</w:t>
      </w:r>
      <w:r>
        <w:rPr>
          <w:spacing w:val="80"/>
        </w:rPr>
        <w:t> </w:t>
      </w:r>
      <w:r>
        <w:rPr/>
        <w:t>offers</w:t>
      </w:r>
      <w:r>
        <w:rPr>
          <w:spacing w:val="80"/>
        </w:rPr>
        <w:t> </w:t>
      </w:r>
      <w:r>
        <w:rPr/>
        <w:t>many</w:t>
      </w:r>
      <w:r>
        <w:rPr>
          <w:spacing w:val="80"/>
        </w:rPr>
        <w:t> </w:t>
      </w:r>
      <w:r>
        <w:rPr/>
        <w:t>advantages</w:t>
      </w:r>
      <w:r>
        <w:rPr>
          <w:spacing w:val="80"/>
        </w:rPr>
        <w:t> </w:t>
      </w:r>
      <w:r>
        <w:rPr/>
        <w:t>over</w:t>
      </w:r>
      <w:r>
        <w:rPr>
          <w:spacing w:val="80"/>
        </w:rPr>
        <w:t> </w:t>
      </w:r>
      <w:r>
        <w:rPr/>
        <w:t>other methods (Shangraw,</w:t>
      </w:r>
      <w:r>
        <w:rPr>
          <w:spacing w:val="-1"/>
        </w:rPr>
        <w:t> </w:t>
      </w:r>
      <w:r>
        <w:rPr/>
        <w:t>1990). However,</w:t>
      </w:r>
      <w:r>
        <w:rPr>
          <w:spacing w:val="-1"/>
        </w:rPr>
        <w:t> </w:t>
      </w:r>
      <w:r>
        <w:rPr/>
        <w:t>when a</w:t>
      </w:r>
      <w:r>
        <w:rPr>
          <w:spacing w:val="-1"/>
        </w:rPr>
        <w:t> </w:t>
      </w:r>
      <w:r>
        <w:rPr/>
        <w:t>dry</w:t>
      </w:r>
      <w:r>
        <w:rPr>
          <w:spacing w:val="-5"/>
        </w:rPr>
        <w:t> </w:t>
      </w:r>
      <w:r>
        <w:rPr/>
        <w:t>plant extract is</w:t>
      </w:r>
      <w:r>
        <w:rPr>
          <w:spacing w:val="-2"/>
        </w:rPr>
        <w:t> </w:t>
      </w:r>
      <w:r>
        <w:rPr/>
        <w:t>incorporated</w:t>
      </w:r>
      <w:r>
        <w:rPr>
          <w:spacing w:val="-1"/>
        </w:rPr>
        <w:t> </w:t>
      </w:r>
      <w:r>
        <w:rPr/>
        <w:t>as an active component,</w:t>
      </w:r>
      <w:r>
        <w:rPr>
          <w:spacing w:val="24"/>
        </w:rPr>
        <w:t> </w:t>
      </w:r>
      <w:r>
        <w:rPr/>
        <w:t>it</w:t>
      </w:r>
      <w:r>
        <w:rPr>
          <w:spacing w:val="24"/>
        </w:rPr>
        <w:t> </w:t>
      </w:r>
      <w:r>
        <w:rPr/>
        <w:t>is</w:t>
      </w:r>
      <w:r>
        <w:rPr>
          <w:spacing w:val="24"/>
        </w:rPr>
        <w:t> </w:t>
      </w:r>
      <w:r>
        <w:rPr/>
        <w:t>necessary to</w:t>
      </w:r>
      <w:r>
        <w:rPr>
          <w:spacing w:val="24"/>
        </w:rPr>
        <w:t> </w:t>
      </w:r>
      <w:r>
        <w:rPr/>
        <w:t>bear</w:t>
      </w:r>
      <w:r>
        <w:rPr>
          <w:spacing w:val="23"/>
        </w:rPr>
        <w:t> </w:t>
      </w:r>
      <w:r>
        <w:rPr/>
        <w:t>in</w:t>
      </w:r>
      <w:r>
        <w:rPr>
          <w:spacing w:val="24"/>
        </w:rPr>
        <w:t> </w:t>
      </w:r>
      <w:r>
        <w:rPr/>
        <w:t>mind</w:t>
      </w:r>
      <w:r>
        <w:rPr>
          <w:spacing w:val="24"/>
        </w:rPr>
        <w:t> </w:t>
      </w:r>
      <w:r>
        <w:rPr/>
        <w:t>some</w:t>
      </w:r>
      <w:r>
        <w:rPr>
          <w:spacing w:val="21"/>
        </w:rPr>
        <w:t> </w:t>
      </w:r>
      <w:r>
        <w:rPr/>
        <w:t>considerations:</w:t>
      </w:r>
      <w:r>
        <w:rPr>
          <w:spacing w:val="24"/>
        </w:rPr>
        <w:t> </w:t>
      </w:r>
      <w:r>
        <w:rPr/>
        <w:t>the</w:t>
      </w:r>
      <w:r>
        <w:rPr>
          <w:spacing w:val="23"/>
        </w:rPr>
        <w:t> </w:t>
      </w:r>
      <w:r>
        <w:rPr/>
        <w:t>quality of</w:t>
      </w:r>
      <w:r>
        <w:rPr>
          <w:spacing w:val="23"/>
        </w:rPr>
        <w:t> </w:t>
      </w:r>
      <w:r>
        <w:rPr/>
        <w:t>the</w:t>
      </w:r>
      <w:r>
        <w:rPr>
          <w:spacing w:val="23"/>
        </w:rPr>
        <w:t> </w:t>
      </w:r>
      <w:r>
        <w:rPr/>
        <w:t>plant material should be guaranteed from a botanical, chemical and sanitary point of view. The components of the formulation, like excipients and the active compounds, have to possess some</w:t>
      </w:r>
      <w:r>
        <w:rPr>
          <w:spacing w:val="34"/>
        </w:rPr>
        <w:t> </w:t>
      </w:r>
      <w:r>
        <w:rPr/>
        <w:t>characteristics</w:t>
      </w:r>
      <w:r>
        <w:rPr>
          <w:spacing w:val="35"/>
        </w:rPr>
        <w:t> </w:t>
      </w:r>
      <w:r>
        <w:rPr/>
        <w:t>referred</w:t>
      </w:r>
      <w:r>
        <w:rPr>
          <w:spacing w:val="35"/>
        </w:rPr>
        <w:t> </w:t>
      </w:r>
      <w:r>
        <w:rPr/>
        <w:t>mainly</w:t>
      </w:r>
      <w:r>
        <w:rPr>
          <w:spacing w:val="32"/>
        </w:rPr>
        <w:t> </w:t>
      </w:r>
      <w:r>
        <w:rPr/>
        <w:t>as</w:t>
      </w:r>
      <w:r>
        <w:rPr>
          <w:spacing w:val="35"/>
        </w:rPr>
        <w:t> </w:t>
      </w:r>
      <w:r>
        <w:rPr/>
        <w:t>flowability,</w:t>
      </w:r>
      <w:r>
        <w:rPr>
          <w:spacing w:val="37"/>
        </w:rPr>
        <w:t> </w:t>
      </w:r>
      <w:r>
        <w:rPr/>
        <w:t>compactability</w:t>
      </w:r>
      <w:r>
        <w:rPr>
          <w:spacing w:val="32"/>
        </w:rPr>
        <w:t> </w:t>
      </w:r>
      <w:r>
        <w:rPr/>
        <w:t>and</w:t>
      </w:r>
      <w:r>
        <w:rPr>
          <w:spacing w:val="37"/>
        </w:rPr>
        <w:t> </w:t>
      </w:r>
      <w:r>
        <w:rPr/>
        <w:t>compressibility, and</w:t>
      </w:r>
      <w:r>
        <w:rPr>
          <w:spacing w:val="-1"/>
        </w:rPr>
        <w:t> </w:t>
      </w:r>
      <w:r>
        <w:rPr/>
        <w:t>the</w:t>
      </w:r>
      <w:r>
        <w:rPr>
          <w:spacing w:val="-1"/>
        </w:rPr>
        <w:t> </w:t>
      </w:r>
      <w:r>
        <w:rPr/>
        <w:t>design</w:t>
      </w:r>
      <w:r>
        <w:rPr>
          <w:spacing w:val="-1"/>
        </w:rPr>
        <w:t> </w:t>
      </w:r>
      <w:r>
        <w:rPr/>
        <w:t>of</w:t>
      </w:r>
      <w:r>
        <w:rPr>
          <w:spacing w:val="-1"/>
        </w:rPr>
        <w:t> </w:t>
      </w:r>
      <w:r>
        <w:rPr/>
        <w:t>the</w:t>
      </w:r>
      <w:r>
        <w:rPr>
          <w:spacing w:val="-3"/>
        </w:rPr>
        <w:t> </w:t>
      </w:r>
      <w:r>
        <w:rPr/>
        <w:t>formulation</w:t>
      </w:r>
      <w:r>
        <w:rPr>
          <w:spacing w:val="-1"/>
        </w:rPr>
        <w:t> </w:t>
      </w:r>
      <w:r>
        <w:rPr/>
        <w:t>must</w:t>
      </w:r>
      <w:r>
        <w:rPr>
          <w:spacing w:val="-1"/>
        </w:rPr>
        <w:t> </w:t>
      </w:r>
      <w:r>
        <w:rPr/>
        <w:t>satisfy</w:t>
      </w:r>
      <w:r>
        <w:rPr>
          <w:spacing w:val="-9"/>
        </w:rPr>
        <w:t> </w:t>
      </w:r>
      <w:r>
        <w:rPr/>
        <w:t>predetermined</w:t>
      </w:r>
      <w:r>
        <w:rPr>
          <w:spacing w:val="-1"/>
        </w:rPr>
        <w:t> </w:t>
      </w:r>
      <w:r>
        <w:rPr/>
        <w:t>biopharmaceutical</w:t>
      </w:r>
      <w:r>
        <w:rPr>
          <w:spacing w:val="-1"/>
        </w:rPr>
        <w:t> </w:t>
      </w:r>
      <w:r>
        <w:rPr/>
        <w:t>standards. </w:t>
      </w:r>
      <w:r>
        <w:rPr>
          <w:spacing w:val="-4"/>
        </w:rPr>
        <w:t>Dry</w:t>
      </w:r>
      <w:r>
        <w:rPr/>
        <w:tab/>
      </w:r>
      <w:r>
        <w:rPr>
          <w:spacing w:val="-2"/>
        </w:rPr>
        <w:t>powdered</w:t>
      </w:r>
      <w:r>
        <w:rPr/>
        <w:tab/>
      </w:r>
      <w:r>
        <w:rPr>
          <w:spacing w:val="-2"/>
        </w:rPr>
        <w:t>extracts</w:t>
      </w:r>
      <w:r>
        <w:rPr/>
        <w:tab/>
      </w:r>
      <w:r>
        <w:rPr>
          <w:spacing w:val="-4"/>
        </w:rPr>
        <w:t>may</w:t>
      </w:r>
      <w:r>
        <w:rPr/>
        <w:tab/>
      </w:r>
      <w:r>
        <w:rPr>
          <w:spacing w:val="-4"/>
        </w:rPr>
        <w:t>not</w:t>
      </w:r>
      <w:r>
        <w:rPr/>
        <w:tab/>
      </w:r>
      <w:r>
        <w:rPr>
          <w:spacing w:val="-2"/>
        </w:rPr>
        <w:t>exhibit</w:t>
      </w:r>
      <w:r>
        <w:rPr/>
        <w:tab/>
      </w:r>
      <w:r>
        <w:rPr>
          <w:spacing w:val="-4"/>
        </w:rPr>
        <w:t>the</w:t>
      </w:r>
      <w:r>
        <w:rPr/>
        <w:tab/>
      </w:r>
      <w:r>
        <w:rPr>
          <w:spacing w:val="-2"/>
        </w:rPr>
        <w:t>appropriate</w:t>
      </w:r>
      <w:r>
        <w:rPr/>
        <w:tab/>
      </w:r>
      <w:r>
        <w:rPr>
          <w:spacing w:val="-2"/>
        </w:rPr>
        <w:t>rheology</w:t>
      </w:r>
      <w:r>
        <w:rPr/>
        <w:tab/>
      </w:r>
      <w:r>
        <w:rPr>
          <w:spacing w:val="-4"/>
        </w:rPr>
        <w:t>and </w:t>
      </w:r>
      <w:r>
        <w:rPr/>
        <w:t>compressibility required</w:t>
      </w:r>
      <w:r>
        <w:rPr>
          <w:spacing w:val="31"/>
        </w:rPr>
        <w:t> </w:t>
      </w:r>
      <w:r>
        <w:rPr/>
        <w:t>to be processed by direct compression. Numerous reports have</w:t>
      </w:r>
      <w:r>
        <w:rPr>
          <w:spacing w:val="40"/>
        </w:rPr>
        <w:t> </w:t>
      </w:r>
      <w:r>
        <w:rPr/>
        <w:t>addressed techniques to solve this kind of problems, such as wet greanulation with non-</w:t>
      </w:r>
      <w:r>
        <w:rPr>
          <w:spacing w:val="80"/>
        </w:rPr>
        <w:t> </w:t>
      </w:r>
      <w:r>
        <w:rPr/>
        <w:t>aqueous</w:t>
      </w:r>
      <w:r>
        <w:rPr>
          <w:spacing w:val="40"/>
        </w:rPr>
        <w:t> </w:t>
      </w:r>
      <w:r>
        <w:rPr/>
        <w:t>solvents,</w:t>
      </w:r>
      <w:r>
        <w:rPr>
          <w:spacing w:val="40"/>
        </w:rPr>
        <w:t> </w:t>
      </w:r>
      <w:r>
        <w:rPr/>
        <w:t>direct</w:t>
      </w:r>
      <w:r>
        <w:rPr>
          <w:spacing w:val="40"/>
        </w:rPr>
        <w:t> </w:t>
      </w:r>
      <w:r>
        <w:rPr/>
        <w:t>compression</w:t>
      </w:r>
      <w:r>
        <w:rPr>
          <w:spacing w:val="40"/>
        </w:rPr>
        <w:t> </w:t>
      </w:r>
      <w:r>
        <w:rPr/>
        <w:t>of</w:t>
      </w:r>
      <w:r>
        <w:rPr>
          <w:spacing w:val="40"/>
        </w:rPr>
        <w:t> </w:t>
      </w:r>
      <w:r>
        <w:rPr/>
        <w:t>spray</w:t>
      </w:r>
      <w:r>
        <w:rPr>
          <w:spacing w:val="40"/>
        </w:rPr>
        <w:t> </w:t>
      </w:r>
      <w:r>
        <w:rPr/>
        <w:t>dried</w:t>
      </w:r>
      <w:r>
        <w:rPr>
          <w:spacing w:val="40"/>
        </w:rPr>
        <w:t> </w:t>
      </w:r>
      <w:r>
        <w:rPr/>
        <w:t>extracts,</w:t>
      </w:r>
      <w:r>
        <w:rPr>
          <w:spacing w:val="40"/>
        </w:rPr>
        <w:t> </w:t>
      </w:r>
      <w:r>
        <w:rPr/>
        <w:t>and</w:t>
      </w:r>
      <w:r>
        <w:rPr>
          <w:spacing w:val="40"/>
        </w:rPr>
        <w:t> </w:t>
      </w:r>
      <w:r>
        <w:rPr/>
        <w:t>selection</w:t>
      </w:r>
      <w:r>
        <w:rPr>
          <w:spacing w:val="40"/>
        </w:rPr>
        <w:t> </w:t>
      </w:r>
      <w:r>
        <w:rPr/>
        <w:t>of</w:t>
      </w:r>
      <w:r>
        <w:rPr>
          <w:spacing w:val="40"/>
        </w:rPr>
        <w:t> </w:t>
      </w:r>
      <w:r>
        <w:rPr/>
        <w:t>suitable excipients</w:t>
      </w:r>
      <w:r>
        <w:rPr>
          <w:spacing w:val="22"/>
        </w:rPr>
        <w:t> </w:t>
      </w:r>
      <w:r>
        <w:rPr/>
        <w:t>for</w:t>
      </w:r>
      <w:r>
        <w:rPr>
          <w:spacing w:val="19"/>
        </w:rPr>
        <w:t> </w:t>
      </w:r>
      <w:r>
        <w:rPr/>
        <w:t>the</w:t>
      </w:r>
      <w:r>
        <w:rPr>
          <w:spacing w:val="23"/>
        </w:rPr>
        <w:t> </w:t>
      </w:r>
      <w:r>
        <w:rPr/>
        <w:t>formulation</w:t>
      </w:r>
      <w:r>
        <w:rPr>
          <w:spacing w:val="21"/>
        </w:rPr>
        <w:t> </w:t>
      </w:r>
      <w:r>
        <w:rPr/>
        <w:t>of</w:t>
      </w:r>
      <w:r>
        <w:rPr>
          <w:spacing w:val="20"/>
        </w:rPr>
        <w:t> </w:t>
      </w:r>
      <w:r>
        <w:rPr/>
        <w:t>dry</w:t>
      </w:r>
      <w:r>
        <w:rPr>
          <w:spacing w:val="16"/>
        </w:rPr>
        <w:t> </w:t>
      </w:r>
      <w:r>
        <w:rPr/>
        <w:t>plant</w:t>
      </w:r>
      <w:r>
        <w:rPr>
          <w:spacing w:val="23"/>
        </w:rPr>
        <w:t> </w:t>
      </w:r>
      <w:r>
        <w:rPr/>
        <w:t>extract</w:t>
      </w:r>
      <w:r>
        <w:rPr>
          <w:spacing w:val="21"/>
        </w:rPr>
        <w:t> </w:t>
      </w:r>
      <w:r>
        <w:rPr/>
        <w:t>in</w:t>
      </w:r>
      <w:r>
        <w:rPr>
          <w:spacing w:val="21"/>
        </w:rPr>
        <w:t> </w:t>
      </w:r>
      <w:r>
        <w:rPr/>
        <w:t>direct</w:t>
      </w:r>
      <w:r>
        <w:rPr>
          <w:spacing w:val="24"/>
        </w:rPr>
        <w:t> </w:t>
      </w:r>
      <w:r>
        <w:rPr/>
        <w:t>compression</w:t>
      </w:r>
      <w:r>
        <w:rPr>
          <w:spacing w:val="21"/>
        </w:rPr>
        <w:t> </w:t>
      </w:r>
      <w:r>
        <w:rPr/>
        <w:t>tablets</w:t>
      </w:r>
      <w:r>
        <w:rPr>
          <w:spacing w:val="22"/>
        </w:rPr>
        <w:t> </w:t>
      </w:r>
      <w:r>
        <w:rPr>
          <w:spacing w:val="-2"/>
        </w:rPr>
        <w:t>(Plazier-</w:t>
      </w:r>
    </w:p>
    <w:p>
      <w:pPr>
        <w:spacing w:after="0" w:line="360" w:lineRule="auto"/>
        <w:jc w:val="right"/>
        <w:sectPr>
          <w:pgSz w:w="12240" w:h="15840"/>
          <w:pgMar w:header="0" w:footer="1056" w:top="1340" w:bottom="1240" w:left="1420" w:right="420"/>
        </w:sectPr>
      </w:pPr>
    </w:p>
    <w:p>
      <w:pPr>
        <w:pStyle w:val="BodyText"/>
        <w:spacing w:line="360" w:lineRule="auto" w:before="72"/>
        <w:ind w:left="678" w:right="997"/>
        <w:jc w:val="both"/>
      </w:pPr>
      <w:r>
        <w:rPr/>
        <mc:AlternateContent>
          <mc:Choice Requires="wps">
            <w:drawing>
              <wp:anchor distT="0" distB="0" distL="0" distR="0" allowOverlap="1" layoutInCell="1" locked="0" behindDoc="1" simplePos="0" relativeHeight="483036160">
                <wp:simplePos x="0" y="0"/>
                <wp:positionH relativeFrom="page">
                  <wp:posOffset>-1402226</wp:posOffset>
                </wp:positionH>
                <wp:positionV relativeFrom="page">
                  <wp:posOffset>4612234</wp:posOffset>
                </wp:positionV>
                <wp:extent cx="10685780" cy="9144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80320;rotation:306" type="#_x0000_t136" fillcolor="#ff5400" stroked="f">
                <o:extrusion v:ext="view" autorotationcenter="t"/>
                <v:textpath style="font-family:&quot;Arial MT&quot;;font-size:72pt;v-text-kern:t;mso-text-shadow:auto" string="UNIVERSITY OF IBADAN"/>
                <w10:wrap type="none"/>
              </v:shape>
            </w:pict>
          </mc:Fallback>
        </mc:AlternateContent>
      </w:r>
      <w:r>
        <w:rPr/>
        <w:t>Vercamen and Bruwier, 1986: Diaz </w:t>
      </w:r>
      <w:r>
        <w:rPr>
          <w:i/>
        </w:rPr>
        <w:t>et al</w:t>
      </w:r>
      <w:r>
        <w:rPr/>
        <w:t>., 1996: Renoux </w:t>
      </w:r>
      <w:r>
        <w:rPr>
          <w:i/>
        </w:rPr>
        <w:t>et al</w:t>
      </w:r>
      <w:r>
        <w:rPr/>
        <w:t>., 1996). However, few studies such as our own have aimed at eliciting dry plant extracts of good flowability and </w:t>
      </w:r>
      <w:r>
        <w:rPr>
          <w:spacing w:val="-2"/>
        </w:rPr>
        <w:t>compactibility.</w:t>
      </w:r>
    </w:p>
    <w:p>
      <w:pPr>
        <w:pStyle w:val="BodyText"/>
        <w:spacing w:line="360" w:lineRule="auto"/>
        <w:ind w:left="678" w:right="994" w:firstLine="720"/>
        <w:jc w:val="both"/>
      </w:pPr>
      <w:r>
        <w:rPr/>
        <w:t>The rheological properties of dry plant extract of </w:t>
      </w:r>
      <w:r>
        <w:rPr>
          <w:i/>
        </w:rPr>
        <w:t>Mucuna pruriens </w:t>
      </w:r>
      <w:r>
        <w:rPr/>
        <w:t>is important to determine the extract‘s flowability and compressibility and these were assayed</w:t>
      </w:r>
      <w:r>
        <w:rPr>
          <w:spacing w:val="40"/>
        </w:rPr>
        <w:t> </w:t>
      </w:r>
      <w:r>
        <w:rPr/>
        <w:t>considering density, angle of repose and Hausner ratio. These results are similar to those obtained from other species (Palma </w:t>
      </w:r>
      <w:r>
        <w:rPr>
          <w:i/>
        </w:rPr>
        <w:t>et al</w:t>
      </w:r>
      <w:r>
        <w:rPr/>
        <w:t>., 1999).</w:t>
      </w:r>
      <w:r>
        <w:rPr>
          <w:spacing w:val="-1"/>
        </w:rPr>
        <w:t> </w:t>
      </w:r>
      <w:r>
        <w:rPr/>
        <w:t>The dry</w:t>
      </w:r>
      <w:r>
        <w:rPr>
          <w:spacing w:val="-1"/>
        </w:rPr>
        <w:t> </w:t>
      </w:r>
      <w:r>
        <w:rPr/>
        <w:t>extract of </w:t>
      </w:r>
      <w:r>
        <w:rPr>
          <w:i/>
        </w:rPr>
        <w:t>M. pruriens </w:t>
      </w:r>
      <w:r>
        <w:rPr/>
        <w:t>possesses suitable rheological properties and compressibility, permitting its use in direct</w:t>
      </w:r>
      <w:r>
        <w:rPr>
          <w:spacing w:val="40"/>
        </w:rPr>
        <w:t> </w:t>
      </w:r>
      <w:r>
        <w:rPr/>
        <w:t>compression technology. The relatively low values of Hausner ratio and normal angles of repose observed for extract; Avicel, Cellactose and lactose denote their ability to flow.</w:t>
      </w:r>
      <w:r>
        <w:rPr>
          <w:spacing w:val="40"/>
        </w:rPr>
        <w:t> </w:t>
      </w:r>
      <w:r>
        <w:rPr/>
        <w:t>The</w:t>
      </w:r>
      <w:r>
        <w:rPr>
          <w:spacing w:val="-1"/>
        </w:rPr>
        <w:t> </w:t>
      </w:r>
      <w:r>
        <w:rPr/>
        <w:t>excipients selected, microcrystalline</w:t>
      </w:r>
      <w:r>
        <w:rPr>
          <w:spacing w:val="-1"/>
        </w:rPr>
        <w:t> </w:t>
      </w:r>
      <w:r>
        <w:rPr/>
        <w:t>cellulose (Avicel), Cellactose (Wade</w:t>
      </w:r>
      <w:r>
        <w:rPr>
          <w:spacing w:val="-1"/>
        </w:rPr>
        <w:t> </w:t>
      </w:r>
      <w:r>
        <w:rPr/>
        <w:t>and Weller, 1994), α-lactose monohydrate (Wade and Weller, 1994) possess defined physical- mechanical properties (Alderborn and Nystron, 1996) which may be transferred to the formulation according</w:t>
      </w:r>
      <w:r>
        <w:rPr>
          <w:spacing w:val="-3"/>
        </w:rPr>
        <w:t> </w:t>
      </w:r>
      <w:r>
        <w:rPr/>
        <w:t>to the</w:t>
      </w:r>
      <w:r>
        <w:rPr>
          <w:spacing w:val="-1"/>
        </w:rPr>
        <w:t> </w:t>
      </w:r>
      <w:r>
        <w:rPr/>
        <w:t>rates in which they</w:t>
      </w:r>
      <w:r>
        <w:rPr>
          <w:spacing w:val="-5"/>
        </w:rPr>
        <w:t> </w:t>
      </w:r>
      <w:r>
        <w:rPr/>
        <w:t>occur. Cellulose</w:t>
      </w:r>
      <w:r>
        <w:rPr>
          <w:spacing w:val="-1"/>
        </w:rPr>
        <w:t> </w:t>
      </w:r>
      <w:r>
        <w:rPr/>
        <w:t>and its combination with lactose</w:t>
      </w:r>
      <w:r>
        <w:rPr>
          <w:spacing w:val="-1"/>
        </w:rPr>
        <w:t> </w:t>
      </w:r>
      <w:r>
        <w:rPr/>
        <w:t>(Cellactose)</w:t>
      </w:r>
      <w:r>
        <w:rPr>
          <w:spacing w:val="-1"/>
        </w:rPr>
        <w:t> </w:t>
      </w:r>
      <w:r>
        <w:rPr/>
        <w:t>has</w:t>
      </w:r>
      <w:r>
        <w:rPr>
          <w:spacing w:val="-1"/>
        </w:rPr>
        <w:t> </w:t>
      </w:r>
      <w:r>
        <w:rPr/>
        <w:t>the</w:t>
      </w:r>
      <w:r>
        <w:rPr>
          <w:spacing w:val="-2"/>
        </w:rPr>
        <w:t> </w:t>
      </w:r>
      <w:r>
        <w:rPr/>
        <w:t>highest</w:t>
      </w:r>
      <w:r>
        <w:rPr>
          <w:spacing w:val="-1"/>
        </w:rPr>
        <w:t> </w:t>
      </w:r>
      <w:r>
        <w:rPr/>
        <w:t>density.</w:t>
      </w:r>
      <w:r>
        <w:rPr>
          <w:spacing w:val="-1"/>
        </w:rPr>
        <w:t> </w:t>
      </w:r>
      <w:r>
        <w:rPr/>
        <w:t>But</w:t>
      </w:r>
      <w:r>
        <w:rPr>
          <w:spacing w:val="-1"/>
        </w:rPr>
        <w:t> </w:t>
      </w:r>
      <w:r>
        <w:rPr/>
        <w:t>when</w:t>
      </w:r>
      <w:r>
        <w:rPr>
          <w:spacing w:val="-1"/>
        </w:rPr>
        <w:t> </w:t>
      </w:r>
      <w:r>
        <w:rPr/>
        <w:t>this</w:t>
      </w:r>
      <w:r>
        <w:rPr>
          <w:spacing w:val="-1"/>
        </w:rPr>
        <w:t> </w:t>
      </w:r>
      <w:r>
        <w:rPr/>
        <w:t>excipient</w:t>
      </w:r>
      <w:r>
        <w:rPr>
          <w:spacing w:val="-1"/>
        </w:rPr>
        <w:t> </w:t>
      </w:r>
      <w:r>
        <w:rPr/>
        <w:t>is</w:t>
      </w:r>
      <w:r>
        <w:rPr>
          <w:spacing w:val="-1"/>
        </w:rPr>
        <w:t> </w:t>
      </w:r>
      <w:r>
        <w:rPr/>
        <w:t>replaced</w:t>
      </w:r>
      <w:r>
        <w:rPr>
          <w:spacing w:val="-1"/>
        </w:rPr>
        <w:t> </w:t>
      </w:r>
      <w:r>
        <w:rPr/>
        <w:t>by</w:t>
      </w:r>
      <w:r>
        <w:rPr>
          <w:spacing w:val="-6"/>
        </w:rPr>
        <w:t> </w:t>
      </w:r>
      <w:r>
        <w:rPr/>
        <w:t>lactose, a</w:t>
      </w:r>
      <w:r>
        <w:rPr>
          <w:spacing w:val="-1"/>
        </w:rPr>
        <w:t> </w:t>
      </w:r>
      <w:r>
        <w:rPr/>
        <w:t>significant reduction of</w:t>
      </w:r>
      <w:r>
        <w:rPr>
          <w:spacing w:val="-1"/>
        </w:rPr>
        <w:t> </w:t>
      </w:r>
      <w:r>
        <w:rPr/>
        <w:t>density</w:t>
      </w:r>
      <w:r>
        <w:rPr>
          <w:spacing w:val="-8"/>
        </w:rPr>
        <w:t> </w:t>
      </w:r>
      <w:r>
        <w:rPr/>
        <w:t>(BD</w:t>
      </w:r>
      <w:r>
        <w:rPr>
          <w:spacing w:val="-1"/>
        </w:rPr>
        <w:t> </w:t>
      </w:r>
      <w:r>
        <w:rPr/>
        <w:t>and TD)</w:t>
      </w:r>
      <w:r>
        <w:rPr>
          <w:spacing w:val="-2"/>
        </w:rPr>
        <w:t> </w:t>
      </w:r>
      <w:r>
        <w:rPr/>
        <w:t>in the</w:t>
      </w:r>
      <w:r>
        <w:rPr>
          <w:spacing w:val="-1"/>
        </w:rPr>
        <w:t> </w:t>
      </w:r>
      <w:r>
        <w:rPr/>
        <w:t>powder</w:t>
      </w:r>
      <w:r>
        <w:rPr>
          <w:spacing w:val="-1"/>
        </w:rPr>
        <w:t> </w:t>
      </w:r>
      <w:r>
        <w:rPr/>
        <w:t>mixture</w:t>
      </w:r>
      <w:r>
        <w:rPr>
          <w:spacing w:val="-2"/>
        </w:rPr>
        <w:t> </w:t>
      </w:r>
      <w:r>
        <w:rPr/>
        <w:t>is</w:t>
      </w:r>
      <w:r>
        <w:rPr>
          <w:spacing w:val="-2"/>
        </w:rPr>
        <w:t> </w:t>
      </w:r>
      <w:r>
        <w:rPr/>
        <w:t>observed. The</w:t>
      </w:r>
      <w:r>
        <w:rPr>
          <w:spacing w:val="-2"/>
        </w:rPr>
        <w:t> </w:t>
      </w:r>
      <w:r>
        <w:rPr/>
        <w:t>use of directly compressible fillers and diluents such as Avicel and Cellactose produced good quality tablets without prior manipulation.</w:t>
      </w:r>
    </w:p>
    <w:p>
      <w:pPr>
        <w:pStyle w:val="BodyText"/>
        <w:spacing w:line="360" w:lineRule="auto" w:before="2"/>
        <w:ind w:left="678" w:right="992" w:firstLine="720"/>
        <w:jc w:val="both"/>
      </w:pPr>
      <w:r>
        <w:rPr/>
        <w:t>The tablets were compressed at the specified weight (500mg). The maximum weight variation of the tablets was ± 1.71%, which falls within the acceptable weight variation range of ± 5%, hence the tablets of all the batches passed the weight variation </w:t>
      </w:r>
      <w:r>
        <w:rPr>
          <w:spacing w:val="-2"/>
        </w:rPr>
        <w:t>test.</w:t>
      </w:r>
    </w:p>
    <w:p>
      <w:pPr>
        <w:pStyle w:val="BodyText"/>
        <w:spacing w:line="360" w:lineRule="auto" w:before="121"/>
        <w:ind w:left="678" w:right="991" w:firstLine="720"/>
        <w:jc w:val="both"/>
      </w:pPr>
      <w:r>
        <w:rPr/>
        <w:t>With respect to compression behaviour, the influence of compression forces (CF) on the crushing strength, friability</w:t>
      </w:r>
      <w:r>
        <w:rPr>
          <w:spacing w:val="-3"/>
        </w:rPr>
        <w:t> </w:t>
      </w:r>
      <w:r>
        <w:rPr/>
        <w:t>and disintegration time of the tablets was shown. When the</w:t>
      </w:r>
      <w:r>
        <w:rPr>
          <w:spacing w:val="-2"/>
        </w:rPr>
        <w:t> </w:t>
      </w:r>
      <w:r>
        <w:rPr/>
        <w:t>compression</w:t>
      </w:r>
      <w:r>
        <w:rPr>
          <w:spacing w:val="-2"/>
        </w:rPr>
        <w:t> </w:t>
      </w:r>
      <w:r>
        <w:rPr/>
        <w:t>force</w:t>
      </w:r>
      <w:r>
        <w:rPr>
          <w:spacing w:val="-1"/>
        </w:rPr>
        <w:t> </w:t>
      </w:r>
      <w:r>
        <w:rPr/>
        <w:t>is</w:t>
      </w:r>
      <w:r>
        <w:rPr>
          <w:spacing w:val="-1"/>
        </w:rPr>
        <w:t> </w:t>
      </w:r>
      <w:r>
        <w:rPr/>
        <w:t>increased</w:t>
      </w:r>
      <w:r>
        <w:rPr>
          <w:spacing w:val="-2"/>
        </w:rPr>
        <w:t> </w:t>
      </w:r>
      <w:r>
        <w:rPr/>
        <w:t>from</w:t>
      </w:r>
      <w:r>
        <w:rPr>
          <w:spacing w:val="-2"/>
        </w:rPr>
        <w:t> </w:t>
      </w:r>
      <w:r>
        <w:rPr/>
        <w:t>5kN</w:t>
      </w:r>
      <w:r>
        <w:rPr>
          <w:spacing w:val="-1"/>
        </w:rPr>
        <w:t> </w:t>
      </w:r>
      <w:r>
        <w:rPr/>
        <w:t>to</w:t>
      </w:r>
      <w:r>
        <w:rPr>
          <w:spacing w:val="-2"/>
        </w:rPr>
        <w:t> </w:t>
      </w:r>
      <w:r>
        <w:rPr/>
        <w:t>10</w:t>
      </w:r>
      <w:r>
        <w:rPr>
          <w:spacing w:val="-1"/>
        </w:rPr>
        <w:t> </w:t>
      </w:r>
      <w:r>
        <w:rPr/>
        <w:t>kN,</w:t>
      </w:r>
      <w:r>
        <w:rPr>
          <w:spacing w:val="-2"/>
        </w:rPr>
        <w:t> </w:t>
      </w:r>
      <w:r>
        <w:rPr/>
        <w:t>an</w:t>
      </w:r>
      <w:r>
        <w:rPr>
          <w:spacing w:val="-2"/>
        </w:rPr>
        <w:t> </w:t>
      </w:r>
      <w:r>
        <w:rPr/>
        <w:t>increase</w:t>
      </w:r>
      <w:r>
        <w:rPr>
          <w:spacing w:val="-3"/>
        </w:rPr>
        <w:t> </w:t>
      </w:r>
      <w:r>
        <w:rPr/>
        <w:t>in</w:t>
      </w:r>
      <w:r>
        <w:rPr>
          <w:spacing w:val="-2"/>
        </w:rPr>
        <w:t> </w:t>
      </w:r>
      <w:r>
        <w:rPr/>
        <w:t>the</w:t>
      </w:r>
      <w:r>
        <w:rPr>
          <w:spacing w:val="-1"/>
        </w:rPr>
        <w:t> </w:t>
      </w:r>
      <w:r>
        <w:rPr/>
        <w:t>crushing</w:t>
      </w:r>
      <w:r>
        <w:rPr>
          <w:spacing w:val="-5"/>
        </w:rPr>
        <w:t> </w:t>
      </w:r>
      <w:r>
        <w:rPr/>
        <w:t>strength of the tablet was observed. This increase in crushing strength was more remarkable with formulations containing Avicel and Cellactose because these excipients are very compressible materials. Crushing strength for tablets produced by drug without diluents, Avicel and Cellactose was in the range of 3.3 to 4.1kg/cm², which falls above the limit of not less than 3.0 kg/cm², while MP tablets containing lactose did not.</w:t>
      </w:r>
    </w:p>
    <w:p>
      <w:pPr>
        <w:spacing w:after="0" w:line="360" w:lineRule="auto"/>
        <w:jc w:val="both"/>
        <w:sectPr>
          <w:pgSz w:w="12240" w:h="15840"/>
          <w:pgMar w:header="0" w:footer="1056" w:top="1340" w:bottom="1240" w:left="1420" w:right="420"/>
        </w:sectPr>
      </w:pPr>
    </w:p>
    <w:p>
      <w:pPr>
        <w:pStyle w:val="BodyText"/>
        <w:spacing w:line="360" w:lineRule="auto" w:before="72"/>
        <w:ind w:left="678" w:right="994" w:firstLine="720"/>
        <w:jc w:val="both"/>
      </w:pPr>
      <w:r>
        <w:rPr/>
        <mc:AlternateContent>
          <mc:Choice Requires="wps">
            <w:drawing>
              <wp:anchor distT="0" distB="0" distL="0" distR="0" allowOverlap="1" layoutInCell="1" locked="0" behindDoc="1" simplePos="0" relativeHeight="483036672">
                <wp:simplePos x="0" y="0"/>
                <wp:positionH relativeFrom="page">
                  <wp:posOffset>-1402226</wp:posOffset>
                </wp:positionH>
                <wp:positionV relativeFrom="page">
                  <wp:posOffset>4612234</wp:posOffset>
                </wp:positionV>
                <wp:extent cx="10685780" cy="9144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9808;rotation:306" type="#_x0000_t136" fillcolor="#ff5400" stroked="f">
                <o:extrusion v:ext="view" autorotationcenter="t"/>
                <v:textpath style="font-family:&quot;Arial MT&quot;;font-size:72pt;v-text-kern:t;mso-text-shadow:auto" string="UNIVERSITY OF IBADAN"/>
                <w10:wrap type="none"/>
              </v:shape>
            </w:pict>
          </mc:Fallback>
        </mc:AlternateContent>
      </w:r>
      <w:r>
        <w:rPr/>
        <w:t>The ranking of crushing strength values for tablets prepared by direct compression using Avicel, Cellactose and lactose are: Cellactose &gt; Avicel &gt; Lactose. None of the tablets had friability value more than 0.90%.</w:t>
      </w:r>
    </w:p>
    <w:p>
      <w:pPr>
        <w:pStyle w:val="BodyText"/>
        <w:spacing w:line="360" w:lineRule="auto" w:before="120"/>
        <w:ind w:left="678" w:right="992" w:firstLine="720"/>
        <w:jc w:val="both"/>
      </w:pPr>
      <w:r>
        <w:rPr/>
        <w:t>There seemed to be not much difference in properties of tablets produced by</w:t>
      </w:r>
      <w:r>
        <w:rPr>
          <w:spacing w:val="-3"/>
        </w:rPr>
        <w:t> </w:t>
      </w:r>
      <w:r>
        <w:rPr/>
        <w:t>direct compression and wet granulation methods. Tablets formed from granules generally had a lower crushing strength than tablets produced by direct compression. The crushing strength data suggests that the increase in the compaction force (i.e. densification) during the granulation reduces the strength of the compacted material. This reduction can be attributed to the material‘s ability to undergo plastic deformation, which ability was dissipitated during the granulation process (Freitag and Kleinebude, 2003; Bultmann, 2002; Mitrevej, 1996; Kochhar </w:t>
      </w:r>
      <w:r>
        <w:rPr>
          <w:i/>
        </w:rPr>
        <w:t>et al</w:t>
      </w:r>
      <w:r>
        <w:rPr/>
        <w:t>., 1995). </w:t>
      </w:r>
      <w:r>
        <w:rPr>
          <w:i/>
        </w:rPr>
        <w:t>M. pruriens </w:t>
      </w:r>
      <w:r>
        <w:rPr/>
        <w:t>tablets containing</w:t>
      </w:r>
      <w:r>
        <w:rPr>
          <w:spacing w:val="-1"/>
        </w:rPr>
        <w:t> </w:t>
      </w:r>
      <w:r>
        <w:rPr/>
        <w:t>PVP as binder was less friable than tablets containing corn starch. For tablets produced by wet granulation, crushing strength of the tablets of all batches was in the range of 3.1 to 3.5kg/cm²,</w:t>
      </w:r>
      <w:r>
        <w:rPr>
          <w:spacing w:val="-1"/>
        </w:rPr>
        <w:t> </w:t>
      </w:r>
      <w:r>
        <w:rPr/>
        <w:t>which</w:t>
      </w:r>
      <w:r>
        <w:rPr>
          <w:spacing w:val="-1"/>
        </w:rPr>
        <w:t> </w:t>
      </w:r>
      <w:r>
        <w:rPr/>
        <w:t>falls</w:t>
      </w:r>
      <w:r>
        <w:rPr>
          <w:spacing w:val="-1"/>
        </w:rPr>
        <w:t> </w:t>
      </w:r>
      <w:r>
        <w:rPr/>
        <w:t>above</w:t>
      </w:r>
      <w:r>
        <w:rPr>
          <w:spacing w:val="-2"/>
        </w:rPr>
        <w:t> </w:t>
      </w:r>
      <w:r>
        <w:rPr/>
        <w:t>the</w:t>
      </w:r>
      <w:r>
        <w:rPr>
          <w:spacing w:val="-2"/>
        </w:rPr>
        <w:t> </w:t>
      </w:r>
      <w:r>
        <w:rPr/>
        <w:t>limit</w:t>
      </w:r>
      <w:r>
        <w:rPr>
          <w:spacing w:val="-1"/>
        </w:rPr>
        <w:t> </w:t>
      </w:r>
      <w:r>
        <w:rPr/>
        <w:t>of</w:t>
      </w:r>
      <w:r>
        <w:rPr>
          <w:spacing w:val="-2"/>
        </w:rPr>
        <w:t> </w:t>
      </w:r>
      <w:r>
        <w:rPr/>
        <w:t>not</w:t>
      </w:r>
      <w:r>
        <w:rPr>
          <w:spacing w:val="-3"/>
        </w:rPr>
        <w:t> </w:t>
      </w:r>
      <w:r>
        <w:rPr/>
        <w:t>less</w:t>
      </w:r>
      <w:r>
        <w:rPr>
          <w:spacing w:val="-1"/>
        </w:rPr>
        <w:t> </w:t>
      </w:r>
      <w:r>
        <w:rPr/>
        <w:t>than</w:t>
      </w:r>
      <w:r>
        <w:rPr>
          <w:spacing w:val="-1"/>
        </w:rPr>
        <w:t> </w:t>
      </w:r>
      <w:r>
        <w:rPr/>
        <w:t>3.0</w:t>
      </w:r>
      <w:r>
        <w:rPr>
          <w:spacing w:val="-1"/>
        </w:rPr>
        <w:t> </w:t>
      </w:r>
      <w:r>
        <w:rPr/>
        <w:t>kg/cm².</w:t>
      </w:r>
      <w:r>
        <w:rPr>
          <w:spacing w:val="-1"/>
        </w:rPr>
        <w:t> </w:t>
      </w:r>
      <w:r>
        <w:rPr/>
        <w:t>The</w:t>
      </w:r>
      <w:r>
        <w:rPr>
          <w:spacing w:val="-3"/>
        </w:rPr>
        <w:t> </w:t>
      </w:r>
      <w:r>
        <w:rPr/>
        <w:t>tablets produced</w:t>
      </w:r>
      <w:r>
        <w:rPr>
          <w:spacing w:val="-1"/>
        </w:rPr>
        <w:t> </w:t>
      </w:r>
      <w:r>
        <w:rPr/>
        <w:t>by wet granulation disintegrated within 11 minutes 17 seconds. PVP is a binder with high cohesive tendency but of low viscosity. It can as well acts as a disintegrant and this may alter the rate and extent of the drug release.</w:t>
      </w:r>
    </w:p>
    <w:p>
      <w:pPr>
        <w:pStyle w:val="BodyText"/>
        <w:spacing w:line="360" w:lineRule="auto" w:before="121"/>
        <w:ind w:left="678" w:right="992" w:firstLine="720"/>
        <w:jc w:val="both"/>
      </w:pPr>
      <w:r>
        <w:rPr/>
        <w:t>The various tablets exhibited varying dissolution profiles due in part to differences in the compression pressures and binder concentration. </w:t>
      </w:r>
      <w:r>
        <w:rPr>
          <w:i/>
        </w:rPr>
        <w:t>M. pruriens </w:t>
      </w:r>
      <w:r>
        <w:rPr/>
        <w:t>tablets containing</w:t>
      </w:r>
      <w:r>
        <w:rPr>
          <w:spacing w:val="80"/>
        </w:rPr>
        <w:t> </w:t>
      </w:r>
      <w:r>
        <w:rPr/>
        <w:t>PVP dissolved faster than </w:t>
      </w:r>
      <w:r>
        <w:rPr>
          <w:i/>
        </w:rPr>
        <w:t>M. pruriens </w:t>
      </w:r>
      <w:r>
        <w:rPr/>
        <w:t>tablets containing corn starch. Concerning the disintegration times of the tablets, much difference was observed between direct compression and wet granulation. For all the cases, the disintegration times increased significantly when the compression force was increased. In addition, as the binder concentration increased, the disintegration time increased as well.</w:t>
      </w:r>
    </w:p>
    <w:p>
      <w:pPr>
        <w:pStyle w:val="BodyText"/>
        <w:spacing w:line="360" w:lineRule="auto" w:before="119"/>
        <w:ind w:left="678" w:right="993" w:firstLine="720"/>
        <w:jc w:val="both"/>
      </w:pPr>
      <w:r>
        <w:rPr/>
        <w:t>Generally, the values of k</w:t>
      </w:r>
      <w:r>
        <w:rPr>
          <w:vertAlign w:val="subscript"/>
        </w:rPr>
        <w:t>1</w:t>
      </w:r>
      <w:r>
        <w:rPr>
          <w:spacing w:val="-8"/>
          <w:vertAlign w:val="baseline"/>
        </w:rPr>
        <w:t> </w:t>
      </w:r>
      <w:r>
        <w:rPr>
          <w:vertAlign w:val="baseline"/>
        </w:rPr>
        <w:t>and k</w:t>
      </w:r>
      <w:r>
        <w:rPr>
          <w:vertAlign w:val="subscript"/>
        </w:rPr>
        <w:t>2</w:t>
      </w:r>
      <w:r>
        <w:rPr>
          <w:vertAlign w:val="baseline"/>
        </w:rPr>
        <w:t> for tablets prepared by direct compression were lower than their corresponding values for tablets prepared by wet granulation implying a faster dissolution rate of the drug after t</w:t>
      </w:r>
      <w:r>
        <w:rPr>
          <w:vertAlign w:val="subscript"/>
        </w:rPr>
        <w:t>1</w:t>
      </w:r>
      <w:r>
        <w:rPr>
          <w:vertAlign w:val="baseline"/>
        </w:rPr>
        <w:t>. This could be expected as tablets prepared by direct compression disintegrated fater than tablets prepared by wet granulation.</w:t>
      </w:r>
    </w:p>
    <w:p>
      <w:pPr>
        <w:pStyle w:val="BodyText"/>
        <w:spacing w:line="360" w:lineRule="auto" w:before="121"/>
        <w:ind w:left="678" w:right="996" w:firstLine="720"/>
        <w:jc w:val="both"/>
      </w:pPr>
      <w:r>
        <w:rPr/>
        <w:t>The results of the elimination of glucose kinetics are in good agreement with the hypothesis</w:t>
      </w:r>
      <w:r>
        <w:rPr>
          <w:spacing w:val="6"/>
        </w:rPr>
        <w:t> </w:t>
      </w:r>
      <w:r>
        <w:rPr/>
        <w:t>that</w:t>
      </w:r>
      <w:r>
        <w:rPr>
          <w:spacing w:val="9"/>
        </w:rPr>
        <w:t> </w:t>
      </w:r>
      <w:r>
        <w:rPr/>
        <w:t>the</w:t>
      </w:r>
      <w:r>
        <w:rPr>
          <w:spacing w:val="7"/>
        </w:rPr>
        <w:t> </w:t>
      </w:r>
      <w:r>
        <w:rPr/>
        <w:t>elimination</w:t>
      </w:r>
      <w:r>
        <w:rPr>
          <w:spacing w:val="9"/>
        </w:rPr>
        <w:t> </w:t>
      </w:r>
      <w:r>
        <w:rPr/>
        <w:t>of</w:t>
      </w:r>
      <w:r>
        <w:rPr>
          <w:spacing w:val="7"/>
        </w:rPr>
        <w:t> </w:t>
      </w:r>
      <w:r>
        <w:rPr/>
        <w:t>glucose</w:t>
      </w:r>
      <w:r>
        <w:rPr>
          <w:spacing w:val="8"/>
        </w:rPr>
        <w:t> </w:t>
      </w:r>
      <w:r>
        <w:rPr/>
        <w:t>from</w:t>
      </w:r>
      <w:r>
        <w:rPr>
          <w:spacing w:val="8"/>
        </w:rPr>
        <w:t> </w:t>
      </w:r>
      <w:r>
        <w:rPr/>
        <w:t>the</w:t>
      </w:r>
      <w:r>
        <w:rPr>
          <w:spacing w:val="8"/>
        </w:rPr>
        <w:t> </w:t>
      </w:r>
      <w:r>
        <w:rPr/>
        <w:t>blood</w:t>
      </w:r>
      <w:r>
        <w:rPr>
          <w:spacing w:val="8"/>
        </w:rPr>
        <w:t> </w:t>
      </w:r>
      <w:r>
        <w:rPr/>
        <w:t>takes</w:t>
      </w:r>
      <w:r>
        <w:rPr>
          <w:spacing w:val="8"/>
        </w:rPr>
        <w:t> </w:t>
      </w:r>
      <w:r>
        <w:rPr/>
        <w:t>place</w:t>
      </w:r>
      <w:r>
        <w:rPr>
          <w:spacing w:val="8"/>
        </w:rPr>
        <w:t> </w:t>
      </w:r>
      <w:r>
        <w:rPr/>
        <w:t>at</w:t>
      </w:r>
      <w:r>
        <w:rPr>
          <w:spacing w:val="8"/>
        </w:rPr>
        <w:t> </w:t>
      </w:r>
      <w:r>
        <w:rPr/>
        <w:t>the</w:t>
      </w:r>
      <w:r>
        <w:rPr>
          <w:spacing w:val="8"/>
        </w:rPr>
        <w:t> </w:t>
      </w:r>
      <w:r>
        <w:rPr/>
        <w:t>rate</w:t>
      </w:r>
      <w:r>
        <w:rPr>
          <w:spacing w:val="8"/>
        </w:rPr>
        <w:t> </w:t>
      </w:r>
      <w:r>
        <w:rPr/>
        <w:t>of</w:t>
      </w:r>
      <w:r>
        <w:rPr>
          <w:spacing w:val="7"/>
        </w:rPr>
        <w:t> </w:t>
      </w:r>
      <w:r>
        <w:rPr/>
        <w:t>a</w:t>
      </w:r>
      <w:r>
        <w:rPr>
          <w:spacing w:val="8"/>
        </w:rPr>
        <w:t> </w:t>
      </w:r>
      <w:r>
        <w:rPr>
          <w:spacing w:val="-2"/>
        </w:rPr>
        <w:t>first-</w:t>
      </w:r>
    </w:p>
    <w:p>
      <w:pPr>
        <w:spacing w:after="0" w:line="360" w:lineRule="auto"/>
        <w:jc w:val="both"/>
        <w:sectPr>
          <w:pgSz w:w="12240" w:h="15840"/>
          <w:pgMar w:header="0" w:footer="1056" w:top="1340" w:bottom="1240" w:left="1420" w:right="420"/>
        </w:sectPr>
      </w:pPr>
    </w:p>
    <w:p>
      <w:pPr>
        <w:pStyle w:val="BodyText"/>
        <w:spacing w:line="360" w:lineRule="auto" w:before="72"/>
        <w:ind w:left="678" w:right="995"/>
        <w:jc w:val="both"/>
      </w:pPr>
      <w:r>
        <w:rPr/>
        <mc:AlternateContent>
          <mc:Choice Requires="wps">
            <w:drawing>
              <wp:anchor distT="0" distB="0" distL="0" distR="0" allowOverlap="1" layoutInCell="1" locked="0" behindDoc="1" simplePos="0" relativeHeight="483037184">
                <wp:simplePos x="0" y="0"/>
                <wp:positionH relativeFrom="page">
                  <wp:posOffset>-1402226</wp:posOffset>
                </wp:positionH>
                <wp:positionV relativeFrom="page">
                  <wp:posOffset>4612234</wp:posOffset>
                </wp:positionV>
                <wp:extent cx="10685780" cy="9144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9296;rotation:306" type="#_x0000_t136" fillcolor="#ff5400" stroked="f">
                <o:extrusion v:ext="view" autorotationcenter="t"/>
                <v:textpath style="font-family:&quot;Arial MT&quot;;font-size:72pt;v-text-kern:t;mso-text-shadow:auto" string="UNIVERSITY OF IBADAN"/>
                <w10:wrap type="none"/>
              </v:shape>
            </w:pict>
          </mc:Fallback>
        </mc:AlternateContent>
      </w:r>
      <w:r>
        <w:rPr/>
        <w:t>order reaction (Jokipii</w:t>
      </w:r>
      <w:r>
        <w:rPr>
          <w:spacing w:val="-1"/>
        </w:rPr>
        <w:t> </w:t>
      </w:r>
      <w:r>
        <w:rPr/>
        <w:t>and Turpeinen, 1954). One quantity</w:t>
      </w:r>
      <w:r>
        <w:rPr>
          <w:spacing w:val="-6"/>
        </w:rPr>
        <w:t> </w:t>
      </w:r>
      <w:r>
        <w:rPr/>
        <w:t>of physiological significance is k, the elimination kinetic</w:t>
      </w:r>
      <w:r>
        <w:rPr>
          <w:spacing w:val="-1"/>
        </w:rPr>
        <w:t> </w:t>
      </w:r>
      <w:r>
        <w:rPr/>
        <w:t>rate constant which is the best single index of the capacity</w:t>
      </w:r>
      <w:r>
        <w:rPr>
          <w:spacing w:val="-3"/>
        </w:rPr>
        <w:t> </w:t>
      </w:r>
      <w:r>
        <w:rPr/>
        <w:t>of the organism to eliminate glucose from the blood. The elimination rate constant, k, indicates the fraction of glucose which is eliminated per unit time. The effects of </w:t>
      </w:r>
      <w:r>
        <w:rPr>
          <w:i/>
        </w:rPr>
        <w:t>Mucuna pruriens </w:t>
      </w:r>
      <w:r>
        <w:rPr/>
        <w:t>extract</w:t>
      </w:r>
      <w:r>
        <w:rPr>
          <w:spacing w:val="-3"/>
        </w:rPr>
        <w:t> </w:t>
      </w:r>
      <w:r>
        <w:rPr/>
        <w:t>tablets</w:t>
      </w:r>
      <w:r>
        <w:rPr>
          <w:spacing w:val="-3"/>
        </w:rPr>
        <w:t> </w:t>
      </w:r>
      <w:r>
        <w:rPr/>
        <w:t>were</w:t>
      </w:r>
      <w:r>
        <w:rPr>
          <w:spacing w:val="-3"/>
        </w:rPr>
        <w:t> </w:t>
      </w:r>
      <w:r>
        <w:rPr/>
        <w:t>evaluated</w:t>
      </w:r>
      <w:r>
        <w:rPr>
          <w:spacing w:val="-3"/>
        </w:rPr>
        <w:t> </w:t>
      </w:r>
      <w:r>
        <w:rPr/>
        <w:t>on</w:t>
      </w:r>
      <w:r>
        <w:rPr>
          <w:spacing w:val="-1"/>
        </w:rPr>
        <w:t> </w:t>
      </w:r>
      <w:r>
        <w:rPr/>
        <w:t>glucose</w:t>
      </w:r>
      <w:r>
        <w:rPr>
          <w:spacing w:val="-5"/>
        </w:rPr>
        <w:t> </w:t>
      </w:r>
      <w:r>
        <w:rPr/>
        <w:t>level</w:t>
      </w:r>
      <w:r>
        <w:rPr>
          <w:spacing w:val="-3"/>
        </w:rPr>
        <w:t> </w:t>
      </w:r>
      <w:r>
        <w:rPr/>
        <w:t>in</w:t>
      </w:r>
      <w:r>
        <w:rPr>
          <w:spacing w:val="-3"/>
        </w:rPr>
        <w:t> </w:t>
      </w:r>
      <w:r>
        <w:rPr/>
        <w:t>rabbits</w:t>
      </w:r>
      <w:r>
        <w:rPr>
          <w:spacing w:val="-3"/>
        </w:rPr>
        <w:t> </w:t>
      </w:r>
      <w:r>
        <w:rPr/>
        <w:t>after</w:t>
      </w:r>
      <w:r>
        <w:rPr>
          <w:spacing w:val="-5"/>
        </w:rPr>
        <w:t> </w:t>
      </w:r>
      <w:r>
        <w:rPr/>
        <w:t>induction</w:t>
      </w:r>
      <w:r>
        <w:rPr>
          <w:spacing w:val="-3"/>
        </w:rPr>
        <w:t> </w:t>
      </w:r>
      <w:r>
        <w:rPr/>
        <w:t>of</w:t>
      </w:r>
      <w:r>
        <w:rPr>
          <w:spacing w:val="-2"/>
        </w:rPr>
        <w:t> </w:t>
      </w:r>
      <w:r>
        <w:rPr/>
        <w:t>diabetics.</w:t>
      </w:r>
      <w:r>
        <w:rPr>
          <w:spacing w:val="-3"/>
        </w:rPr>
        <w:t> </w:t>
      </w:r>
      <w:r>
        <w:rPr/>
        <w:t>Thus, at the time of commencement and during treatment, the glucose kinetics was analogous to those following the intravenous bolus drugs.</w:t>
      </w:r>
      <w:r>
        <w:rPr>
          <w:spacing w:val="40"/>
        </w:rPr>
        <w:t> </w:t>
      </w:r>
      <w:r>
        <w:rPr/>
        <w:t>`</w:t>
      </w:r>
    </w:p>
    <w:p>
      <w:pPr>
        <w:pStyle w:val="BodyText"/>
        <w:spacing w:line="360" w:lineRule="auto"/>
        <w:ind w:left="678" w:right="996" w:firstLine="720"/>
        <w:jc w:val="both"/>
      </w:pPr>
      <w:r>
        <w:rPr/>
        <w:t>There was a significant (p &lt; 0.05) increase on the rate constant of tablets prepared by direct compression compared to tablets prepared by wet granulation </w:t>
      </w:r>
      <w:r>
        <w:rPr>
          <w:i/>
        </w:rPr>
        <w:t>in vivo </w:t>
      </w:r>
      <w:r>
        <w:rPr/>
        <w:t>which implied a faster dissolution as obtained in the </w:t>
      </w:r>
      <w:r>
        <w:rPr>
          <w:i/>
        </w:rPr>
        <w:t>in vitro </w:t>
      </w:r>
      <w:r>
        <w:rPr/>
        <w:t>dissolution profile meaning that the bioavailability of the drug in wet granulation was not as high as tablet prepared by direct compression.</w:t>
      </w:r>
      <w:r>
        <w:rPr>
          <w:spacing w:val="40"/>
        </w:rPr>
        <w:t> </w:t>
      </w:r>
      <w:r>
        <w:rPr/>
        <w:t>In other words, tablets prepared by direct compression had more bioavailability than tablets prepared by wet granulation.</w:t>
      </w:r>
    </w:p>
    <w:p>
      <w:pPr>
        <w:spacing w:after="0" w:line="360" w:lineRule="auto"/>
        <w:jc w:val="both"/>
        <w:sectPr>
          <w:pgSz w:w="12240" w:h="15840"/>
          <w:pgMar w:header="0" w:footer="1056" w:top="1340" w:bottom="1240" w:left="1420" w:right="420"/>
        </w:sectPr>
      </w:pPr>
    </w:p>
    <w:p>
      <w:pPr>
        <w:pStyle w:val="Heading2"/>
        <w:spacing w:line="482" w:lineRule="auto" w:before="147"/>
        <w:ind w:left="3248" w:right="3565"/>
        <w:jc w:val="center"/>
      </w:pPr>
      <w:r>
        <w:rPr/>
        <mc:AlternateContent>
          <mc:Choice Requires="wps">
            <w:drawing>
              <wp:anchor distT="0" distB="0" distL="0" distR="0" allowOverlap="1" layoutInCell="1" locked="0" behindDoc="1" simplePos="0" relativeHeight="483037696">
                <wp:simplePos x="0" y="0"/>
                <wp:positionH relativeFrom="page">
                  <wp:posOffset>-1402226</wp:posOffset>
                </wp:positionH>
                <wp:positionV relativeFrom="page">
                  <wp:posOffset>4612234</wp:posOffset>
                </wp:positionV>
                <wp:extent cx="10685780" cy="9144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8784;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01" w:id="132"/>
      <w:r>
        <w:rPr/>
        <w:t>CHAPTER</w:t>
      </w:r>
      <w:r>
        <w:rPr>
          <w:spacing w:val="-15"/>
        </w:rPr>
        <w:t> </w:t>
      </w:r>
      <w:r>
        <w:rPr/>
        <w:t>SEVEN </w:t>
      </w:r>
      <w:bookmarkEnd w:id="132"/>
      <w:r>
        <w:rPr>
          <w:spacing w:val="-2"/>
        </w:rPr>
        <w:t>CONCLUSION</w:t>
      </w:r>
    </w:p>
    <w:p>
      <w:pPr>
        <w:pStyle w:val="BodyText"/>
        <w:spacing w:line="360" w:lineRule="auto" w:before="268"/>
        <w:ind w:left="678" w:right="994" w:firstLine="780"/>
        <w:jc w:val="both"/>
      </w:pPr>
      <w:r>
        <w:rPr/>
        <w:t>The studies of the antidiabetic potential of the ethanolic extract of </w:t>
      </w:r>
      <w:r>
        <w:rPr>
          <w:i/>
        </w:rPr>
        <w:t>Mucuna pruriens </w:t>
      </w:r>
      <w:r>
        <w:rPr/>
        <w:t>seed and its tablet formulation have led to the following conclusions:</w:t>
      </w:r>
    </w:p>
    <w:p>
      <w:pPr>
        <w:pStyle w:val="ListParagraph"/>
        <w:numPr>
          <w:ilvl w:val="0"/>
          <w:numId w:val="45"/>
        </w:numPr>
        <w:tabs>
          <w:tab w:pos="1218" w:val="left" w:leader="none"/>
          <w:tab w:pos="1236" w:val="left" w:leader="none"/>
        </w:tabs>
        <w:spacing w:line="360" w:lineRule="auto" w:before="0" w:after="0"/>
        <w:ind w:left="1218" w:right="996" w:hanging="180"/>
        <w:jc w:val="both"/>
        <w:rPr>
          <w:sz w:val="24"/>
        </w:rPr>
      </w:pPr>
      <w:r>
        <w:rPr>
          <w:sz w:val="24"/>
        </w:rPr>
        <w:tab/>
        <w:t>The administration of the various doses of ethanolic seed extract of </w:t>
      </w:r>
      <w:r>
        <w:rPr>
          <w:i/>
          <w:sz w:val="24"/>
        </w:rPr>
        <w:t>Mucuna</w:t>
      </w:r>
      <w:r>
        <w:rPr>
          <w:i/>
          <w:spacing w:val="40"/>
          <w:sz w:val="24"/>
        </w:rPr>
        <w:t> </w:t>
      </w:r>
      <w:r>
        <w:rPr>
          <w:i/>
          <w:sz w:val="24"/>
        </w:rPr>
        <w:t>pruriens </w:t>
      </w:r>
      <w:r>
        <w:rPr>
          <w:sz w:val="24"/>
        </w:rPr>
        <w:t>led to the dose-dependent reduction in the blood glucose level in both acute and chronic administrations more</w:t>
      </w:r>
      <w:r>
        <w:rPr>
          <w:spacing w:val="-1"/>
          <w:sz w:val="24"/>
        </w:rPr>
        <w:t> </w:t>
      </w:r>
      <w:r>
        <w:rPr>
          <w:sz w:val="24"/>
        </w:rPr>
        <w:t>effectively</w:t>
      </w:r>
      <w:r>
        <w:rPr>
          <w:spacing w:val="-4"/>
          <w:sz w:val="24"/>
        </w:rPr>
        <w:t> </w:t>
      </w:r>
      <w:r>
        <w:rPr>
          <w:sz w:val="24"/>
        </w:rPr>
        <w:t>than that observed for</w:t>
      </w:r>
      <w:r>
        <w:rPr>
          <w:spacing w:val="-1"/>
          <w:sz w:val="24"/>
        </w:rPr>
        <w:t> </w:t>
      </w:r>
      <w:r>
        <w:rPr>
          <w:sz w:val="24"/>
        </w:rPr>
        <w:t>glibenclamide as a standard drug.</w:t>
      </w:r>
      <w:r>
        <w:rPr>
          <w:spacing w:val="40"/>
          <w:sz w:val="24"/>
        </w:rPr>
        <w:t> </w:t>
      </w:r>
      <w:r>
        <w:rPr>
          <w:sz w:val="24"/>
        </w:rPr>
        <w:t>Acute toxicity studies showed that the extract was relatively safe except at high doses when some adverse effects were observed although no death was recorded. Oral administration of </w:t>
      </w:r>
      <w:r>
        <w:rPr>
          <w:i/>
          <w:sz w:val="24"/>
        </w:rPr>
        <w:t>M. pruriens </w:t>
      </w:r>
      <w:r>
        <w:rPr>
          <w:sz w:val="24"/>
        </w:rPr>
        <w:t>ethanolic seed extract also reduced the weight loss associated with diabetes.</w:t>
      </w:r>
    </w:p>
    <w:p>
      <w:pPr>
        <w:pStyle w:val="ListParagraph"/>
        <w:numPr>
          <w:ilvl w:val="0"/>
          <w:numId w:val="45"/>
        </w:numPr>
        <w:tabs>
          <w:tab w:pos="1398" w:val="left" w:leader="none"/>
        </w:tabs>
        <w:spacing w:line="360" w:lineRule="auto" w:before="199" w:after="0"/>
        <w:ind w:left="1398" w:right="992" w:hanging="360"/>
        <w:jc w:val="both"/>
        <w:rPr>
          <w:sz w:val="24"/>
        </w:rPr>
      </w:pPr>
      <w:r>
        <w:rPr>
          <w:sz w:val="24"/>
        </w:rPr>
        <w:t>The biochemical and haematological investigations of the blood and histopathological examinations of the liver, pancreas and kidney of the rats carried out after the antidiabetic investigations showed that </w:t>
      </w:r>
      <w:r>
        <w:rPr>
          <w:i/>
          <w:sz w:val="24"/>
        </w:rPr>
        <w:t>M. pruriens </w:t>
      </w:r>
      <w:r>
        <w:rPr>
          <w:sz w:val="24"/>
        </w:rPr>
        <w:t>ethanol seed extract has both hepato-protective and cholesterol reducing activities comparable</w:t>
      </w:r>
      <w:r>
        <w:rPr>
          <w:spacing w:val="40"/>
          <w:sz w:val="24"/>
        </w:rPr>
        <w:t> </w:t>
      </w:r>
      <w:r>
        <w:rPr>
          <w:sz w:val="24"/>
        </w:rPr>
        <w:t>to glibenclamide in diabetic rats and could be useful for the treatment of hepatic and kidney damage arising from diabetes mellitus. These studies clearly support the traditional use of the plant for the treatment of diabetes.</w:t>
      </w:r>
    </w:p>
    <w:p>
      <w:pPr>
        <w:pStyle w:val="ListParagraph"/>
        <w:numPr>
          <w:ilvl w:val="0"/>
          <w:numId w:val="45"/>
        </w:numPr>
        <w:tabs>
          <w:tab w:pos="1398" w:val="left" w:leader="none"/>
        </w:tabs>
        <w:spacing w:line="360" w:lineRule="auto" w:before="2" w:after="0"/>
        <w:ind w:left="1398" w:right="994" w:hanging="360"/>
        <w:jc w:val="both"/>
        <w:rPr>
          <w:sz w:val="24"/>
        </w:rPr>
      </w:pPr>
      <w:r>
        <w:rPr>
          <w:sz w:val="24"/>
        </w:rPr>
        <w:t>The mechanical properties of </w:t>
      </w:r>
      <w:r>
        <w:rPr>
          <w:i/>
          <w:sz w:val="24"/>
        </w:rPr>
        <w:t>M. pruriens </w:t>
      </w:r>
      <w:r>
        <w:rPr>
          <w:sz w:val="24"/>
        </w:rPr>
        <w:t>tablets prepared by direct compression were found to depend on the diluent type and compression pressure applied for </w:t>
      </w:r>
      <w:r>
        <w:rPr>
          <w:spacing w:val="-2"/>
          <w:sz w:val="24"/>
        </w:rPr>
        <w:t>compaction.</w:t>
      </w:r>
    </w:p>
    <w:p>
      <w:pPr>
        <w:pStyle w:val="ListParagraph"/>
        <w:numPr>
          <w:ilvl w:val="0"/>
          <w:numId w:val="45"/>
        </w:numPr>
        <w:tabs>
          <w:tab w:pos="1398" w:val="left" w:leader="none"/>
        </w:tabs>
        <w:spacing w:line="360" w:lineRule="auto" w:before="0" w:after="0"/>
        <w:ind w:left="1398" w:right="1003" w:hanging="360"/>
        <w:jc w:val="both"/>
        <w:rPr>
          <w:sz w:val="24"/>
        </w:rPr>
      </w:pPr>
      <w:r>
        <w:rPr>
          <w:sz w:val="24"/>
        </w:rPr>
        <w:t>Generally, binder type, concentration and compression pressure affected the mechanical properties of the tablets produced by wet granulation.</w:t>
      </w:r>
    </w:p>
    <w:p>
      <w:pPr>
        <w:pStyle w:val="ListParagraph"/>
        <w:numPr>
          <w:ilvl w:val="0"/>
          <w:numId w:val="45"/>
        </w:numPr>
        <w:tabs>
          <w:tab w:pos="1398" w:val="left" w:leader="none"/>
        </w:tabs>
        <w:spacing w:line="360" w:lineRule="auto" w:before="0" w:after="0"/>
        <w:ind w:left="1398" w:right="996" w:hanging="360"/>
        <w:jc w:val="both"/>
        <w:rPr>
          <w:sz w:val="24"/>
        </w:rPr>
      </w:pPr>
      <w:r>
        <w:rPr>
          <w:sz w:val="24"/>
        </w:rPr>
        <w:t>Generally, tablets prepared by</w:t>
      </w:r>
      <w:r>
        <w:rPr>
          <w:spacing w:val="-2"/>
          <w:sz w:val="24"/>
        </w:rPr>
        <w:t> </w:t>
      </w:r>
      <w:r>
        <w:rPr>
          <w:sz w:val="24"/>
        </w:rPr>
        <w:t>direct compression possessed better mechanical and release properties than tablets prepared by wet granulation as they possessed acceptable bond strengths and faster disintegration times. The disintegration time and dissolution rates of the tablets prepared by direct compression increased with increase</w:t>
      </w:r>
      <w:r>
        <w:rPr>
          <w:spacing w:val="35"/>
          <w:sz w:val="24"/>
        </w:rPr>
        <w:t> </w:t>
      </w:r>
      <w:r>
        <w:rPr>
          <w:sz w:val="24"/>
        </w:rPr>
        <w:t>in</w:t>
      </w:r>
      <w:r>
        <w:rPr>
          <w:spacing w:val="37"/>
          <w:sz w:val="24"/>
        </w:rPr>
        <w:t> </w:t>
      </w:r>
      <w:r>
        <w:rPr>
          <w:sz w:val="24"/>
        </w:rPr>
        <w:t>binder</w:t>
      </w:r>
      <w:r>
        <w:rPr>
          <w:spacing w:val="35"/>
          <w:sz w:val="24"/>
        </w:rPr>
        <w:t> </w:t>
      </w:r>
      <w:r>
        <w:rPr>
          <w:sz w:val="24"/>
        </w:rPr>
        <w:t>concentration</w:t>
      </w:r>
      <w:r>
        <w:rPr>
          <w:spacing w:val="36"/>
          <w:sz w:val="24"/>
        </w:rPr>
        <w:t> </w:t>
      </w:r>
      <w:r>
        <w:rPr>
          <w:sz w:val="24"/>
        </w:rPr>
        <w:t>and</w:t>
      </w:r>
      <w:r>
        <w:rPr>
          <w:spacing w:val="36"/>
          <w:sz w:val="24"/>
        </w:rPr>
        <w:t> </w:t>
      </w:r>
      <w:r>
        <w:rPr>
          <w:sz w:val="24"/>
        </w:rPr>
        <w:t>compression</w:t>
      </w:r>
      <w:r>
        <w:rPr>
          <w:spacing w:val="36"/>
          <w:sz w:val="24"/>
        </w:rPr>
        <w:t> </w:t>
      </w:r>
      <w:r>
        <w:rPr>
          <w:sz w:val="24"/>
        </w:rPr>
        <w:t>pressure.</w:t>
      </w:r>
      <w:r>
        <w:rPr>
          <w:spacing w:val="36"/>
          <w:sz w:val="24"/>
        </w:rPr>
        <w:t> </w:t>
      </w:r>
      <w:r>
        <w:rPr>
          <w:sz w:val="24"/>
        </w:rPr>
        <w:t>Tablets</w:t>
      </w:r>
      <w:r>
        <w:rPr>
          <w:spacing w:val="36"/>
          <w:sz w:val="24"/>
        </w:rPr>
        <w:t> </w:t>
      </w:r>
      <w:r>
        <w:rPr>
          <w:sz w:val="24"/>
        </w:rPr>
        <w:t>prepared</w:t>
      </w:r>
      <w:r>
        <w:rPr>
          <w:spacing w:val="36"/>
          <w:sz w:val="24"/>
        </w:rPr>
        <w:t> </w:t>
      </w:r>
      <w:r>
        <w:rPr>
          <w:sz w:val="24"/>
        </w:rPr>
        <w:t>by</w:t>
      </w:r>
    </w:p>
    <w:p>
      <w:pPr>
        <w:spacing w:after="0" w:line="360" w:lineRule="auto"/>
        <w:jc w:val="both"/>
        <w:rPr>
          <w:sz w:val="24"/>
        </w:rPr>
        <w:sectPr>
          <w:pgSz w:w="12240" w:h="15840"/>
          <w:pgMar w:header="0" w:footer="1056" w:top="1820" w:bottom="1240" w:left="1420" w:right="420"/>
        </w:sectPr>
      </w:pPr>
    </w:p>
    <w:p>
      <w:pPr>
        <w:pStyle w:val="BodyText"/>
        <w:spacing w:line="360" w:lineRule="auto" w:before="72"/>
        <w:ind w:left="1398" w:right="996"/>
        <w:jc w:val="both"/>
      </w:pPr>
      <w:r>
        <w:rPr/>
        <mc:AlternateContent>
          <mc:Choice Requires="wps">
            <w:drawing>
              <wp:anchor distT="0" distB="0" distL="0" distR="0" allowOverlap="1" layoutInCell="1" locked="0" behindDoc="1" simplePos="0" relativeHeight="483038208">
                <wp:simplePos x="0" y="0"/>
                <wp:positionH relativeFrom="page">
                  <wp:posOffset>-1402226</wp:posOffset>
                </wp:positionH>
                <wp:positionV relativeFrom="page">
                  <wp:posOffset>4612234</wp:posOffset>
                </wp:positionV>
                <wp:extent cx="10685780" cy="91440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8272;rotation:306" type="#_x0000_t136" fillcolor="#ff5400" stroked="f">
                <o:extrusion v:ext="view" autorotationcenter="t"/>
                <v:textpath style="font-family:&quot;Arial MT&quot;;font-size:72pt;v-text-kern:t;mso-text-shadow:auto" string="UNIVERSITY OF IBADAN"/>
                <w10:wrap type="none"/>
              </v:shape>
            </w:pict>
          </mc:Fallback>
        </mc:AlternateContent>
      </w:r>
      <w:r>
        <w:rPr/>
        <w:t>direct compression using Avicel and Cellactose produced better tablets with adequate bond strength to withstand the rigours of handling during manufacture, packaging and use and at the same time released the active compound(s) for bilologic action.</w:t>
      </w:r>
    </w:p>
    <w:p>
      <w:pPr>
        <w:pStyle w:val="ListParagraph"/>
        <w:numPr>
          <w:ilvl w:val="0"/>
          <w:numId w:val="45"/>
        </w:numPr>
        <w:tabs>
          <w:tab w:pos="1398" w:val="left" w:leader="none"/>
        </w:tabs>
        <w:spacing w:line="360" w:lineRule="auto" w:before="1" w:after="0"/>
        <w:ind w:left="1398" w:right="991" w:hanging="360"/>
        <w:jc w:val="both"/>
        <w:rPr>
          <w:sz w:val="24"/>
        </w:rPr>
      </w:pPr>
      <w:r>
        <w:rPr>
          <w:sz w:val="24"/>
        </w:rPr>
        <w:t>The elimination of glucose in rabbits was found to undergo a first order rate kinetics and the elimination of </w:t>
      </w:r>
      <w:r>
        <w:rPr>
          <w:i/>
          <w:sz w:val="24"/>
        </w:rPr>
        <w:t>Mucuna pruriens </w:t>
      </w:r>
      <w:r>
        <w:rPr>
          <w:sz w:val="24"/>
        </w:rPr>
        <w:t>tablets was comparable to that of glibenclamide tablets.</w:t>
      </w:r>
    </w:p>
    <w:p>
      <w:pPr>
        <w:spacing w:after="0" w:line="360" w:lineRule="auto"/>
        <w:jc w:val="both"/>
        <w:rPr>
          <w:sz w:val="24"/>
        </w:rPr>
        <w:sectPr>
          <w:pgSz w:w="12240" w:h="15840"/>
          <w:pgMar w:header="0" w:footer="1056" w:top="1340" w:bottom="1240" w:left="1420" w:right="420"/>
        </w:sectPr>
      </w:pPr>
    </w:p>
    <w:p>
      <w:pPr>
        <w:pStyle w:val="Heading2"/>
        <w:spacing w:before="77"/>
        <w:ind w:left="0" w:right="320"/>
        <w:jc w:val="center"/>
      </w:pPr>
      <w:r>
        <w:rPr/>
        <mc:AlternateContent>
          <mc:Choice Requires="wps">
            <w:drawing>
              <wp:anchor distT="0" distB="0" distL="0" distR="0" allowOverlap="1" layoutInCell="1" locked="0" behindDoc="1" simplePos="0" relativeHeight="483038720">
                <wp:simplePos x="0" y="0"/>
                <wp:positionH relativeFrom="page">
                  <wp:posOffset>-1402226</wp:posOffset>
                </wp:positionH>
                <wp:positionV relativeFrom="page">
                  <wp:posOffset>4612234</wp:posOffset>
                </wp:positionV>
                <wp:extent cx="10685780" cy="91440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7760;rotation:306" type="#_x0000_t136" fillcolor="#ff5400" stroked="f">
                <o:extrusion v:ext="view" autorotationcenter="t"/>
                <v:textpath style="font-family:&quot;Arial MT&quot;;font-size:72pt;v-text-kern:t;mso-text-shadow:auto" string="UNIVERSITY OF IBADAN"/>
                <w10:wrap type="none"/>
              </v:shape>
            </w:pict>
          </mc:Fallback>
        </mc:AlternateContent>
      </w:r>
      <w:bookmarkStart w:name="_TOC_250000" w:id="133"/>
      <w:bookmarkEnd w:id="133"/>
      <w:r>
        <w:rPr>
          <w:spacing w:val="-2"/>
        </w:rPr>
        <w:t>REFERENCES</w:t>
      </w:r>
    </w:p>
    <w:p>
      <w:pPr>
        <w:pStyle w:val="BodyText"/>
        <w:spacing w:before="130"/>
        <w:rPr>
          <w:b/>
        </w:rPr>
      </w:pPr>
    </w:p>
    <w:p>
      <w:pPr>
        <w:pStyle w:val="BodyText"/>
        <w:ind w:left="1530" w:right="1041" w:hanging="852"/>
      </w:pPr>
      <w:r>
        <w:rPr/>
        <w:t>A.O.A.C. (1980): Official methods of analysis, 13</w:t>
      </w:r>
      <w:r>
        <w:rPr>
          <w:vertAlign w:val="superscript"/>
        </w:rPr>
        <w:t>th</w:t>
      </w:r>
      <w:r>
        <w:rPr>
          <w:vertAlign w:val="baseline"/>
        </w:rPr>
        <w:t> ed. Association of official Analytical Chemist, Washington D.C. 376 - 384</w:t>
      </w:r>
    </w:p>
    <w:p>
      <w:pPr>
        <w:spacing w:before="240"/>
        <w:ind w:left="1530" w:right="992" w:hanging="852"/>
        <w:jc w:val="both"/>
        <w:rPr>
          <w:sz w:val="24"/>
        </w:rPr>
      </w:pPr>
      <w:r>
        <w:rPr>
          <w:sz w:val="24"/>
        </w:rPr>
        <w:t>Achrekar, S., Kaklij, G.S., Pote, M.S., Kelkar, S.M. (1991): Hypoglycaemic activity of </w:t>
      </w:r>
      <w:r>
        <w:rPr>
          <w:i/>
          <w:sz w:val="24"/>
        </w:rPr>
        <w:t>Eugenia jambolana </w:t>
      </w:r>
      <w:r>
        <w:rPr>
          <w:sz w:val="24"/>
        </w:rPr>
        <w:t>and </w:t>
      </w:r>
      <w:r>
        <w:rPr>
          <w:i/>
          <w:sz w:val="24"/>
        </w:rPr>
        <w:t>Ficus bengalensis</w:t>
      </w:r>
      <w:r>
        <w:rPr>
          <w:sz w:val="24"/>
        </w:rPr>
        <w:t>: Mechanism of action</w:t>
      </w:r>
      <w:r>
        <w:rPr>
          <w:i/>
          <w:sz w:val="24"/>
        </w:rPr>
        <w:t>. </w:t>
      </w:r>
      <w:r>
        <w:rPr>
          <w:sz w:val="24"/>
        </w:rPr>
        <w:t>J. </w:t>
      </w:r>
      <w:r>
        <w:rPr>
          <w:i/>
          <w:sz w:val="24"/>
        </w:rPr>
        <w:t>In vivo</w:t>
      </w:r>
      <w:r>
        <w:rPr>
          <w:sz w:val="24"/>
        </w:rPr>
        <w:t>, </w:t>
      </w:r>
      <w:r>
        <w:rPr>
          <w:b/>
          <w:sz w:val="24"/>
        </w:rPr>
        <w:t>5</w:t>
      </w:r>
      <w:r>
        <w:rPr>
          <w:sz w:val="24"/>
        </w:rPr>
        <w:t>: </w:t>
      </w:r>
      <w:r>
        <w:rPr>
          <w:spacing w:val="-2"/>
          <w:sz w:val="24"/>
        </w:rPr>
        <w:t>143-147.</w:t>
      </w:r>
    </w:p>
    <w:p>
      <w:pPr>
        <w:pStyle w:val="BodyText"/>
        <w:spacing w:before="5"/>
      </w:pPr>
    </w:p>
    <w:p>
      <w:pPr>
        <w:pStyle w:val="BodyText"/>
        <w:ind w:left="678"/>
      </w:pPr>
      <w:r>
        <w:rPr/>
        <w:t>ADA</w:t>
      </w:r>
      <w:r>
        <w:rPr>
          <w:spacing w:val="-3"/>
        </w:rPr>
        <w:t> </w:t>
      </w:r>
      <w:r>
        <w:rPr/>
        <w:t>(American</w:t>
      </w:r>
      <w:r>
        <w:rPr>
          <w:spacing w:val="-1"/>
        </w:rPr>
        <w:t> </w:t>
      </w:r>
      <w:r>
        <w:rPr/>
        <w:t>Diabetes</w:t>
      </w:r>
      <w:r>
        <w:rPr>
          <w:spacing w:val="-1"/>
        </w:rPr>
        <w:t> </w:t>
      </w:r>
      <w:r>
        <w:rPr/>
        <w:t>Association).</w:t>
      </w:r>
      <w:r>
        <w:rPr>
          <w:spacing w:val="1"/>
        </w:rPr>
        <w:t> </w:t>
      </w:r>
      <w:r>
        <w:rPr/>
        <w:t>(1985):</w:t>
      </w:r>
      <w:r>
        <w:rPr>
          <w:spacing w:val="-1"/>
        </w:rPr>
        <w:t> </w:t>
      </w:r>
      <w:r>
        <w:rPr/>
        <w:t>Responsible</w:t>
      </w:r>
      <w:r>
        <w:rPr>
          <w:spacing w:val="-1"/>
        </w:rPr>
        <w:t> </w:t>
      </w:r>
      <w:r>
        <w:rPr/>
        <w:t>use</w:t>
      </w:r>
      <w:r>
        <w:rPr>
          <w:spacing w:val="-2"/>
        </w:rPr>
        <w:t> </w:t>
      </w:r>
      <w:r>
        <w:rPr/>
        <w:t>of</w:t>
      </w:r>
      <w:r>
        <w:rPr>
          <w:spacing w:val="-1"/>
        </w:rPr>
        <w:t> </w:t>
      </w:r>
      <w:r>
        <w:rPr/>
        <w:t>animals</w:t>
      </w:r>
      <w:r>
        <w:rPr>
          <w:spacing w:val="-1"/>
        </w:rPr>
        <w:t> </w:t>
      </w:r>
      <w:r>
        <w:rPr/>
        <w:t>in </w:t>
      </w:r>
      <w:r>
        <w:rPr>
          <w:spacing w:val="-2"/>
        </w:rPr>
        <w:t>research.</w:t>
      </w:r>
    </w:p>
    <w:p>
      <w:pPr>
        <w:spacing w:before="0"/>
        <w:ind w:left="1669" w:right="0" w:firstLine="0"/>
        <w:jc w:val="left"/>
        <w:rPr>
          <w:sz w:val="24"/>
        </w:rPr>
      </w:pPr>
      <w:r>
        <w:rPr>
          <w:i/>
          <w:sz w:val="24"/>
        </w:rPr>
        <w:t>Diabetes</w:t>
      </w:r>
      <w:r>
        <w:rPr>
          <w:i/>
          <w:spacing w:val="-1"/>
          <w:sz w:val="24"/>
        </w:rPr>
        <w:t> </w:t>
      </w:r>
      <w:r>
        <w:rPr>
          <w:b/>
          <w:spacing w:val="-2"/>
          <w:sz w:val="24"/>
        </w:rPr>
        <w:t>34</w:t>
      </w:r>
      <w:r>
        <w:rPr>
          <w:spacing w:val="-2"/>
          <w:sz w:val="24"/>
        </w:rPr>
        <w:t>:714.</w:t>
      </w:r>
    </w:p>
    <w:p>
      <w:pPr>
        <w:pStyle w:val="BodyText"/>
        <w:spacing w:before="5"/>
      </w:pPr>
    </w:p>
    <w:p>
      <w:pPr>
        <w:pStyle w:val="BodyText"/>
        <w:ind w:left="1530" w:right="995" w:hanging="852"/>
        <w:jc w:val="both"/>
      </w:pPr>
      <w:r>
        <w:rPr/>
        <w:t>Adebayo, A.S. and Itiola, O.A. (1998): Evaluation of breadfruit and cocoyam starches as exodisintegrants in a paracetamol tablet formulation. </w:t>
      </w:r>
      <w:r>
        <w:rPr>
          <w:i/>
        </w:rPr>
        <w:t>Pharm. Pharmacol. Commun. </w:t>
      </w:r>
      <w:r>
        <w:rPr>
          <w:b/>
        </w:rPr>
        <w:t>4</w:t>
      </w:r>
      <w:r>
        <w:rPr/>
        <w:t>: 385 - 389.</w:t>
      </w:r>
    </w:p>
    <w:p>
      <w:pPr>
        <w:spacing w:before="241"/>
        <w:ind w:left="1530" w:right="991" w:hanging="852"/>
        <w:jc w:val="both"/>
        <w:rPr>
          <w:sz w:val="24"/>
        </w:rPr>
      </w:pPr>
      <w:r>
        <w:rPr>
          <w:sz w:val="24"/>
        </w:rPr>
        <w:t>Adebowale, K. O. and Lawal, O. S. (2003a): Foaming, gelation and electrophoretic characteristics of </w:t>
      </w:r>
      <w:r>
        <w:rPr>
          <w:i/>
          <w:sz w:val="24"/>
        </w:rPr>
        <w:t>Mucuna </w:t>
      </w:r>
      <w:r>
        <w:rPr>
          <w:sz w:val="24"/>
        </w:rPr>
        <w:t>bean (</w:t>
      </w:r>
      <w:r>
        <w:rPr>
          <w:i/>
          <w:sz w:val="24"/>
        </w:rPr>
        <w:t>Mucuna pruriens</w:t>
      </w:r>
      <w:r>
        <w:rPr>
          <w:sz w:val="24"/>
        </w:rPr>
        <w:t>) protein concentrates. </w:t>
      </w:r>
      <w:r>
        <w:rPr>
          <w:i/>
          <w:sz w:val="24"/>
        </w:rPr>
        <w:t>Food Chemistry </w:t>
      </w:r>
      <w:r>
        <w:rPr>
          <w:b/>
          <w:sz w:val="24"/>
        </w:rPr>
        <w:t>83</w:t>
      </w:r>
      <w:r>
        <w:rPr>
          <w:sz w:val="24"/>
        </w:rPr>
        <w:t>: 237-246.</w:t>
      </w:r>
    </w:p>
    <w:p>
      <w:pPr>
        <w:pStyle w:val="BodyText"/>
        <w:spacing w:before="240"/>
      </w:pPr>
    </w:p>
    <w:p>
      <w:pPr>
        <w:spacing w:line="240" w:lineRule="auto" w:before="0"/>
        <w:ind w:left="1671" w:right="997" w:hanging="994"/>
        <w:jc w:val="both"/>
        <w:rPr>
          <w:sz w:val="24"/>
        </w:rPr>
      </w:pPr>
      <w:r>
        <w:rPr>
          <w:sz w:val="24"/>
        </w:rPr>
        <w:t>Ahmed, T., Adeghate, E., Sharma, A. K., Pallot, D. J., Singh, J. (1991): Effect of </w:t>
      </w:r>
      <w:r>
        <w:rPr>
          <w:i/>
          <w:sz w:val="24"/>
        </w:rPr>
        <w:t>Momordica charantia </w:t>
      </w:r>
      <w:r>
        <w:rPr>
          <w:sz w:val="24"/>
        </w:rPr>
        <w:t>fruit juice on islet of morphology in the pancreas of the streptozotocin diabetic rat. </w:t>
      </w:r>
      <w:r>
        <w:rPr>
          <w:i/>
          <w:sz w:val="24"/>
        </w:rPr>
        <w:t>Diabetes Res. Clin. Pract. </w:t>
      </w:r>
      <w:r>
        <w:rPr>
          <w:b/>
          <w:sz w:val="24"/>
        </w:rPr>
        <w:t>40</w:t>
      </w:r>
      <w:r>
        <w:rPr>
          <w:sz w:val="24"/>
        </w:rPr>
        <w:t>: 145 – 151.</w:t>
      </w:r>
    </w:p>
    <w:p>
      <w:pPr>
        <w:pStyle w:val="BodyText"/>
        <w:spacing w:before="238"/>
        <w:ind w:left="678"/>
        <w:rPr>
          <w:i/>
        </w:rPr>
      </w:pPr>
      <w:r>
        <w:rPr/>
        <w:t>Akhtar, M.</w:t>
      </w:r>
      <w:r>
        <w:rPr>
          <w:spacing w:val="3"/>
        </w:rPr>
        <w:t> </w:t>
      </w:r>
      <w:r>
        <w:rPr/>
        <w:t>S,</w:t>
      </w:r>
      <w:r>
        <w:rPr>
          <w:spacing w:val="3"/>
        </w:rPr>
        <w:t> </w:t>
      </w:r>
      <w:r>
        <w:rPr/>
        <w:t>Qureshi,</w:t>
      </w:r>
      <w:r>
        <w:rPr>
          <w:spacing w:val="6"/>
        </w:rPr>
        <w:t> </w:t>
      </w:r>
      <w:r>
        <w:rPr/>
        <w:t>A.</w:t>
      </w:r>
      <w:r>
        <w:rPr>
          <w:spacing w:val="3"/>
        </w:rPr>
        <w:t> </w:t>
      </w:r>
      <w:r>
        <w:rPr/>
        <w:t>O.,</w:t>
      </w:r>
      <w:r>
        <w:rPr>
          <w:spacing w:val="5"/>
        </w:rPr>
        <w:t> </w:t>
      </w:r>
      <w:r>
        <w:rPr/>
        <w:t>Igbai,</w:t>
      </w:r>
      <w:r>
        <w:rPr>
          <w:spacing w:val="5"/>
        </w:rPr>
        <w:t> </w:t>
      </w:r>
      <w:r>
        <w:rPr/>
        <w:t>J</w:t>
      </w:r>
      <w:r>
        <w:rPr>
          <w:spacing w:val="5"/>
        </w:rPr>
        <w:t> </w:t>
      </w:r>
      <w:r>
        <w:rPr/>
        <w:t>(1990):</w:t>
      </w:r>
      <w:r>
        <w:rPr>
          <w:spacing w:val="3"/>
        </w:rPr>
        <w:t> </w:t>
      </w:r>
      <w:r>
        <w:rPr/>
        <w:t>Antidiabetic</w:t>
      </w:r>
      <w:r>
        <w:rPr>
          <w:spacing w:val="2"/>
        </w:rPr>
        <w:t> </w:t>
      </w:r>
      <w:r>
        <w:rPr/>
        <w:t>evaluation</w:t>
      </w:r>
      <w:r>
        <w:rPr>
          <w:spacing w:val="4"/>
        </w:rPr>
        <w:t> </w:t>
      </w:r>
      <w:r>
        <w:rPr/>
        <w:t>of</w:t>
      </w:r>
      <w:r>
        <w:rPr>
          <w:spacing w:val="11"/>
        </w:rPr>
        <w:t> </w:t>
      </w:r>
      <w:r>
        <w:rPr>
          <w:i/>
        </w:rPr>
        <w:t>Mucuna</w:t>
      </w:r>
      <w:r>
        <w:rPr>
          <w:i/>
          <w:spacing w:val="4"/>
        </w:rPr>
        <w:t> </w:t>
      </w:r>
      <w:r>
        <w:rPr>
          <w:i/>
          <w:spacing w:val="-2"/>
        </w:rPr>
        <w:t>pruriens</w:t>
      </w:r>
    </w:p>
    <w:p>
      <w:pPr>
        <w:spacing w:before="0"/>
        <w:ind w:left="1671" w:right="0" w:firstLine="0"/>
        <w:jc w:val="left"/>
        <w:rPr>
          <w:sz w:val="24"/>
        </w:rPr>
      </w:pPr>
      <w:r>
        <w:rPr>
          <w:sz w:val="24"/>
        </w:rPr>
        <w:t>Linn</w:t>
      </w:r>
      <w:r>
        <w:rPr>
          <w:spacing w:val="-1"/>
          <w:sz w:val="24"/>
        </w:rPr>
        <w:t> </w:t>
      </w:r>
      <w:r>
        <w:rPr>
          <w:sz w:val="24"/>
        </w:rPr>
        <w:t>seed.</w:t>
      </w:r>
      <w:r>
        <w:rPr>
          <w:spacing w:val="-1"/>
          <w:sz w:val="24"/>
        </w:rPr>
        <w:t> </w:t>
      </w:r>
      <w:r>
        <w:rPr>
          <w:i/>
          <w:sz w:val="24"/>
        </w:rPr>
        <w:t>Journal</w:t>
      </w:r>
      <w:r>
        <w:rPr>
          <w:i/>
          <w:spacing w:val="-1"/>
          <w:sz w:val="24"/>
        </w:rPr>
        <w:t> </w:t>
      </w:r>
      <w:r>
        <w:rPr>
          <w:i/>
          <w:sz w:val="24"/>
        </w:rPr>
        <w:t>of</w:t>
      </w:r>
      <w:r>
        <w:rPr>
          <w:i/>
          <w:spacing w:val="-1"/>
          <w:sz w:val="24"/>
        </w:rPr>
        <w:t> </w:t>
      </w:r>
      <w:r>
        <w:rPr>
          <w:i/>
          <w:sz w:val="24"/>
        </w:rPr>
        <w:t>Pak.</w:t>
      </w:r>
      <w:r>
        <w:rPr>
          <w:i/>
          <w:spacing w:val="-1"/>
          <w:sz w:val="24"/>
        </w:rPr>
        <w:t> </w:t>
      </w:r>
      <w:r>
        <w:rPr>
          <w:i/>
          <w:sz w:val="24"/>
        </w:rPr>
        <w:t>Med.</w:t>
      </w:r>
      <w:r>
        <w:rPr>
          <w:i/>
          <w:spacing w:val="-1"/>
          <w:sz w:val="24"/>
        </w:rPr>
        <w:t> </w:t>
      </w:r>
      <w:r>
        <w:rPr>
          <w:i/>
          <w:sz w:val="24"/>
        </w:rPr>
        <w:t>Associ. </w:t>
      </w:r>
      <w:r>
        <w:rPr>
          <w:b/>
          <w:sz w:val="24"/>
        </w:rPr>
        <w:t>40</w:t>
      </w:r>
      <w:r>
        <w:rPr>
          <w:sz w:val="24"/>
        </w:rPr>
        <w:t>: 147-</w:t>
      </w:r>
      <w:r>
        <w:rPr>
          <w:spacing w:val="-4"/>
          <w:sz w:val="24"/>
        </w:rPr>
        <w:t>150.</w:t>
      </w:r>
    </w:p>
    <w:p>
      <w:pPr>
        <w:pStyle w:val="BodyText"/>
        <w:spacing w:line="276" w:lineRule="auto" w:before="242"/>
        <w:ind w:left="1758" w:right="993" w:hanging="1080"/>
        <w:jc w:val="both"/>
      </w:pPr>
      <w:r>
        <w:rPr/>
        <w:t>Alarcon-Aguilar, F. J., Roman-Ramos, R., Perez-Gutierrez, S., </w:t>
      </w:r>
      <w:r>
        <w:rPr>
          <w:i/>
        </w:rPr>
        <w:t>et al</w:t>
      </w:r>
      <w:r>
        <w:rPr/>
        <w:t>. (1998): Study of the antihyperglycaemic effect of plants used as antidiabetics. </w:t>
      </w:r>
      <w:r>
        <w:rPr>
          <w:i/>
        </w:rPr>
        <w:t>J Ethnopharmacol</w:t>
      </w:r>
      <w:r>
        <w:rPr/>
        <w:t>. </w:t>
      </w:r>
      <w:r>
        <w:rPr>
          <w:b/>
        </w:rPr>
        <w:t>61</w:t>
      </w:r>
      <w:r>
        <w:rPr/>
        <w:t>: 101-110.</w:t>
      </w:r>
    </w:p>
    <w:p>
      <w:pPr>
        <w:pStyle w:val="BodyText"/>
        <w:spacing w:before="241"/>
        <w:ind w:left="678"/>
      </w:pPr>
      <w:r>
        <w:rPr/>
        <w:t>Alderborn,</w:t>
      </w:r>
      <w:r>
        <w:rPr>
          <w:spacing w:val="-4"/>
        </w:rPr>
        <w:t> </w:t>
      </w:r>
      <w:r>
        <w:rPr/>
        <w:t>G.,</w:t>
      </w:r>
      <w:r>
        <w:rPr>
          <w:spacing w:val="-1"/>
        </w:rPr>
        <w:t> </w:t>
      </w:r>
      <w:r>
        <w:rPr/>
        <w:t>Nystro¨</w:t>
      </w:r>
      <w:r>
        <w:rPr>
          <w:spacing w:val="1"/>
        </w:rPr>
        <w:t> </w:t>
      </w:r>
      <w:r>
        <w:rPr/>
        <w:t>n,</w:t>
      </w:r>
      <w:r>
        <w:rPr>
          <w:spacing w:val="-1"/>
        </w:rPr>
        <w:t> </w:t>
      </w:r>
      <w:r>
        <w:rPr/>
        <w:t>C.,</w:t>
      </w:r>
      <w:r>
        <w:rPr>
          <w:spacing w:val="-2"/>
        </w:rPr>
        <w:t> </w:t>
      </w:r>
      <w:r>
        <w:rPr/>
        <w:t>1996.</w:t>
      </w:r>
      <w:r>
        <w:rPr>
          <w:spacing w:val="-1"/>
        </w:rPr>
        <w:t> </w:t>
      </w:r>
      <w:r>
        <w:rPr/>
        <w:t>Pharmaceutical</w:t>
      </w:r>
      <w:r>
        <w:rPr>
          <w:spacing w:val="-2"/>
        </w:rPr>
        <w:t> </w:t>
      </w:r>
      <w:r>
        <w:rPr/>
        <w:t>Powder</w:t>
      </w:r>
      <w:r>
        <w:rPr>
          <w:spacing w:val="1"/>
        </w:rPr>
        <w:t> </w:t>
      </w:r>
      <w:r>
        <w:rPr/>
        <w:t>Compaction</w:t>
      </w:r>
      <w:r>
        <w:rPr>
          <w:spacing w:val="-1"/>
        </w:rPr>
        <w:t> </w:t>
      </w:r>
      <w:r>
        <w:rPr>
          <w:spacing w:val="-2"/>
        </w:rPr>
        <w:t>Technology.</w:t>
      </w:r>
    </w:p>
    <w:p>
      <w:pPr>
        <w:pStyle w:val="BodyText"/>
        <w:spacing w:before="41"/>
        <w:ind w:left="1758"/>
      </w:pPr>
      <w:r>
        <w:rPr/>
        <w:t>Marcel</w:t>
      </w:r>
      <w:r>
        <w:rPr>
          <w:spacing w:val="-2"/>
        </w:rPr>
        <w:t> </w:t>
      </w:r>
      <w:r>
        <w:rPr/>
        <w:t>Dekker, New</w:t>
      </w:r>
      <w:r>
        <w:rPr>
          <w:spacing w:val="-1"/>
        </w:rPr>
        <w:t> </w:t>
      </w:r>
      <w:r>
        <w:rPr/>
        <w:t>York</w:t>
      </w:r>
      <w:r>
        <w:rPr>
          <w:spacing w:val="-1"/>
        </w:rPr>
        <w:t> </w:t>
      </w:r>
      <w:r>
        <w:rPr/>
        <w:t>and </w:t>
      </w:r>
      <w:r>
        <w:rPr>
          <w:spacing w:val="-2"/>
        </w:rPr>
        <w:t>Basel.</w:t>
      </w:r>
    </w:p>
    <w:p>
      <w:pPr>
        <w:pStyle w:val="BodyText"/>
        <w:spacing w:before="5"/>
      </w:pPr>
    </w:p>
    <w:p>
      <w:pPr>
        <w:spacing w:before="0"/>
        <w:ind w:left="1671" w:right="997" w:hanging="994"/>
        <w:jc w:val="both"/>
        <w:rPr>
          <w:sz w:val="24"/>
        </w:rPr>
      </w:pPr>
      <w:r>
        <w:rPr>
          <w:sz w:val="24"/>
        </w:rPr>
        <w:t>Ali, L., Azad-Khan, A.K., Hassan, Z., </w:t>
      </w:r>
      <w:r>
        <w:rPr>
          <w:i/>
          <w:sz w:val="24"/>
        </w:rPr>
        <w:t>et al. </w:t>
      </w:r>
      <w:r>
        <w:rPr>
          <w:sz w:val="24"/>
        </w:rPr>
        <w:t>(1995): Characterization of the hypoglycemic effects of </w:t>
      </w:r>
      <w:r>
        <w:rPr>
          <w:i/>
          <w:sz w:val="24"/>
        </w:rPr>
        <w:t>Trigonella foecum graecum </w:t>
      </w:r>
      <w:r>
        <w:rPr>
          <w:sz w:val="24"/>
        </w:rPr>
        <w:t>seed. </w:t>
      </w:r>
      <w:r>
        <w:rPr>
          <w:i/>
          <w:sz w:val="24"/>
        </w:rPr>
        <w:t>Planta Med</w:t>
      </w:r>
      <w:r>
        <w:rPr>
          <w:sz w:val="24"/>
        </w:rPr>
        <w:t>., </w:t>
      </w:r>
      <w:r>
        <w:rPr>
          <w:b/>
          <w:sz w:val="24"/>
        </w:rPr>
        <w:t>61</w:t>
      </w:r>
      <w:r>
        <w:rPr>
          <w:sz w:val="24"/>
        </w:rPr>
        <w:t>: 101-110.</w:t>
      </w:r>
    </w:p>
    <w:p>
      <w:pPr>
        <w:pStyle w:val="BodyText"/>
        <w:spacing w:before="240"/>
        <w:ind w:left="1530" w:right="1003" w:hanging="852"/>
        <w:jc w:val="both"/>
      </w:pPr>
      <w:r>
        <w:rPr/>
        <w:t>Allain, C.C., Poon, L.S., Chanm, C.S., Richmound, W., Fu, P.C. (1974): Enzymatic determination of total serum cholesterol. </w:t>
      </w:r>
      <w:r>
        <w:rPr>
          <w:i/>
        </w:rPr>
        <w:t>Clin Chem</w:t>
      </w:r>
      <w:r>
        <w:rPr/>
        <w:t>. </w:t>
      </w:r>
      <w:r>
        <w:rPr>
          <w:b/>
        </w:rPr>
        <w:t>20</w:t>
      </w:r>
      <w:r>
        <w:rPr/>
        <w:t>: 470-475.</w:t>
      </w:r>
    </w:p>
    <w:p>
      <w:pPr>
        <w:pStyle w:val="BodyText"/>
        <w:spacing w:before="240"/>
        <w:ind w:left="1530" w:right="994" w:hanging="852"/>
        <w:jc w:val="both"/>
      </w:pPr>
      <w:r>
        <w:rPr/>
        <w:t>Al-Rowais,</w:t>
      </w:r>
      <w:r>
        <w:rPr>
          <w:spacing w:val="-3"/>
        </w:rPr>
        <w:t> </w:t>
      </w:r>
      <w:r>
        <w:rPr/>
        <w:t>N.A.</w:t>
      </w:r>
      <w:r>
        <w:rPr>
          <w:spacing w:val="-2"/>
        </w:rPr>
        <w:t> </w:t>
      </w:r>
      <w:r>
        <w:rPr/>
        <w:t>(2002):</w:t>
      </w:r>
      <w:r>
        <w:rPr>
          <w:spacing w:val="-1"/>
        </w:rPr>
        <w:t> </w:t>
      </w:r>
      <w:r>
        <w:rPr/>
        <w:t>Herbal</w:t>
      </w:r>
      <w:r>
        <w:rPr>
          <w:spacing w:val="-3"/>
        </w:rPr>
        <w:t> </w:t>
      </w:r>
      <w:r>
        <w:rPr/>
        <w:t>medicine</w:t>
      </w:r>
      <w:r>
        <w:rPr>
          <w:spacing w:val="-4"/>
        </w:rPr>
        <w:t> </w:t>
      </w:r>
      <w:r>
        <w:rPr/>
        <w:t>in</w:t>
      </w:r>
      <w:r>
        <w:rPr>
          <w:spacing w:val="-3"/>
        </w:rPr>
        <w:t> </w:t>
      </w:r>
      <w:r>
        <w:rPr/>
        <w:t>the</w:t>
      </w:r>
      <w:r>
        <w:rPr>
          <w:spacing w:val="-2"/>
        </w:rPr>
        <w:t> </w:t>
      </w:r>
      <w:r>
        <w:rPr/>
        <w:t>treatment of</w:t>
      </w:r>
      <w:r>
        <w:rPr>
          <w:spacing w:val="-3"/>
        </w:rPr>
        <w:t> </w:t>
      </w:r>
      <w:r>
        <w:rPr/>
        <w:t>diabetes</w:t>
      </w:r>
      <w:r>
        <w:rPr>
          <w:spacing w:val="-3"/>
        </w:rPr>
        <w:t> </w:t>
      </w:r>
      <w:r>
        <w:rPr/>
        <w:t>mellitus;</w:t>
      </w:r>
      <w:r>
        <w:rPr>
          <w:spacing w:val="-1"/>
        </w:rPr>
        <w:t> </w:t>
      </w:r>
      <w:r>
        <w:rPr>
          <w:i/>
        </w:rPr>
        <w:t>Saudi</w:t>
      </w:r>
      <w:r>
        <w:rPr>
          <w:i/>
          <w:spacing w:val="-3"/>
        </w:rPr>
        <w:t> </w:t>
      </w:r>
      <w:r>
        <w:rPr>
          <w:i/>
        </w:rPr>
        <w:t>Med J</w:t>
      </w:r>
      <w:r>
        <w:rPr/>
        <w:t>., </w:t>
      </w:r>
      <w:r>
        <w:rPr>
          <w:b/>
        </w:rPr>
        <w:t>23</w:t>
      </w:r>
      <w:r>
        <w:rPr/>
        <w:t>: 1327-1331.</w:t>
      </w:r>
    </w:p>
    <w:p>
      <w:pPr>
        <w:pStyle w:val="BodyText"/>
        <w:spacing w:before="240"/>
        <w:ind w:left="1671" w:right="996" w:hanging="994"/>
        <w:jc w:val="both"/>
      </w:pPr>
      <w:r>
        <w:rPr/>
        <w:t>Andersen, A.R, Christiansen, J.S Andersen, J.K, Kreine,r S, Deckert, T. (1983): Diabetic nephropathy in Type 1 (insulin dependent) diabetes: an epidemiological study. </w:t>
      </w:r>
      <w:r>
        <w:rPr>
          <w:i/>
        </w:rPr>
        <w:t>Diabetologia</w:t>
      </w:r>
      <w:r>
        <w:rPr/>
        <w:t>, </w:t>
      </w:r>
      <w:r>
        <w:rPr>
          <w:b/>
        </w:rPr>
        <w:t>25</w:t>
      </w:r>
      <w:r>
        <w:rPr/>
        <w:t>: 496-501</w:t>
      </w:r>
    </w:p>
    <w:p>
      <w:pPr>
        <w:spacing w:after="0"/>
        <w:jc w:val="both"/>
        <w:sectPr>
          <w:pgSz w:w="12240" w:h="15840"/>
          <w:pgMar w:header="0" w:footer="1056" w:top="1340" w:bottom="1240" w:left="1420" w:right="420"/>
        </w:sectPr>
      </w:pPr>
    </w:p>
    <w:p>
      <w:pPr>
        <w:pStyle w:val="BodyText"/>
        <w:spacing w:before="70"/>
        <w:ind w:left="1758" w:right="997" w:hanging="1080"/>
      </w:pPr>
      <w:r>
        <w:rPr/>
        <mc:AlternateContent>
          <mc:Choice Requires="wps">
            <w:drawing>
              <wp:anchor distT="0" distB="0" distL="0" distR="0" allowOverlap="1" layoutInCell="1" locked="0" behindDoc="1" simplePos="0" relativeHeight="483039232">
                <wp:simplePos x="0" y="0"/>
                <wp:positionH relativeFrom="page">
                  <wp:posOffset>-1402226</wp:posOffset>
                </wp:positionH>
                <wp:positionV relativeFrom="page">
                  <wp:posOffset>4612234</wp:posOffset>
                </wp:positionV>
                <wp:extent cx="10685780" cy="91440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7248;rotation:306" type="#_x0000_t136" fillcolor="#ff5400" stroked="f">
                <o:extrusion v:ext="view" autorotationcenter="t"/>
                <v:textpath style="font-family:&quot;Arial MT&quot;;font-size:72pt;v-text-kern:t;mso-text-shadow:auto" string="UNIVERSITY OF IBADAN"/>
                <w10:wrap type="none"/>
              </v:shape>
            </w:pict>
          </mc:Fallback>
        </mc:AlternateContent>
      </w:r>
      <w:r>
        <w:rPr/>
        <w:t>Armstrong,</w:t>
      </w:r>
      <w:r>
        <w:rPr>
          <w:spacing w:val="37"/>
        </w:rPr>
        <w:t> </w:t>
      </w:r>
      <w:r>
        <w:rPr/>
        <w:t>N.A.</w:t>
      </w:r>
      <w:r>
        <w:rPr>
          <w:spacing w:val="37"/>
        </w:rPr>
        <w:t> </w:t>
      </w:r>
      <w:r>
        <w:rPr/>
        <w:t>(1989):</w:t>
      </w:r>
      <w:r>
        <w:rPr>
          <w:spacing w:val="38"/>
        </w:rPr>
        <w:t> </w:t>
      </w:r>
      <w:r>
        <w:rPr/>
        <w:t>Time-dependent</w:t>
      </w:r>
      <w:r>
        <w:rPr>
          <w:spacing w:val="38"/>
        </w:rPr>
        <w:t> </w:t>
      </w:r>
      <w:r>
        <w:rPr/>
        <w:t>factors</w:t>
      </w:r>
      <w:r>
        <w:rPr>
          <w:spacing w:val="38"/>
        </w:rPr>
        <w:t> </w:t>
      </w:r>
      <w:r>
        <w:rPr/>
        <w:t>involved</w:t>
      </w:r>
      <w:r>
        <w:rPr>
          <w:spacing w:val="37"/>
        </w:rPr>
        <w:t> </w:t>
      </w:r>
      <w:r>
        <w:rPr/>
        <w:t>in</w:t>
      </w:r>
      <w:r>
        <w:rPr>
          <w:spacing w:val="38"/>
        </w:rPr>
        <w:t> </w:t>
      </w:r>
      <w:r>
        <w:rPr/>
        <w:t>powder</w:t>
      </w:r>
      <w:r>
        <w:rPr>
          <w:spacing w:val="37"/>
        </w:rPr>
        <w:t> </w:t>
      </w:r>
      <w:r>
        <w:rPr/>
        <w:t>compression</w:t>
      </w:r>
      <w:r>
        <w:rPr>
          <w:spacing w:val="37"/>
        </w:rPr>
        <w:t> </w:t>
      </w:r>
      <w:r>
        <w:rPr/>
        <w:t>and tablet manufacture. </w:t>
      </w:r>
      <w:r>
        <w:rPr>
          <w:i/>
        </w:rPr>
        <w:t>Int. J. Pharm</w:t>
      </w:r>
      <w:r>
        <w:rPr/>
        <w:t>. </w:t>
      </w:r>
      <w:r>
        <w:rPr>
          <w:b/>
        </w:rPr>
        <w:t>49</w:t>
      </w:r>
      <w:r>
        <w:rPr/>
        <w:t>, 1–13.</w:t>
      </w:r>
    </w:p>
    <w:p>
      <w:pPr>
        <w:pStyle w:val="BodyText"/>
      </w:pPr>
    </w:p>
    <w:p>
      <w:pPr>
        <w:pStyle w:val="BodyText"/>
        <w:spacing w:before="1"/>
        <w:ind w:left="1530" w:right="992" w:hanging="824"/>
        <w:jc w:val="both"/>
      </w:pPr>
      <w:r>
        <w:rPr/>
        <w:t>Ashok, K, Gaurav, R, Vinod, K, Dhatwalia, G, Gaurav, S. (2009): Phytochemical screening of Mucuna seeds and exploit in opposition to pathogenic microbes. </w:t>
      </w:r>
      <w:r>
        <w:rPr>
          <w:i/>
        </w:rPr>
        <w:t>J. Biol. Environ</w:t>
      </w:r>
      <w:r>
        <w:rPr/>
        <w:t>. </w:t>
      </w:r>
      <w:r>
        <w:rPr>
          <w:i/>
        </w:rPr>
        <w:t>Sci</w:t>
      </w:r>
      <w:r>
        <w:rPr/>
        <w:t>., </w:t>
      </w:r>
      <w:r>
        <w:rPr>
          <w:b/>
        </w:rPr>
        <w:t>3</w:t>
      </w:r>
      <w:r>
        <w:rPr/>
        <w:t>(9): 71-76.</w:t>
      </w:r>
    </w:p>
    <w:p>
      <w:pPr>
        <w:pStyle w:val="BodyText"/>
        <w:spacing w:before="276"/>
        <w:ind w:left="1530" w:right="993" w:hanging="852"/>
        <w:jc w:val="both"/>
      </w:pPr>
      <w:r>
        <w:rPr>
          <w:color w:val="221F1F"/>
        </w:rPr>
        <w:t>Asplin, I, Galasko, G, Larner, J. (1993): Chiro-inositol deficiency</w:t>
      </w:r>
      <w:r>
        <w:rPr>
          <w:color w:val="221F1F"/>
          <w:spacing w:val="-2"/>
        </w:rPr>
        <w:t> </w:t>
      </w:r>
      <w:r>
        <w:rPr>
          <w:color w:val="221F1F"/>
        </w:rPr>
        <w:t>and insulin resistance: a comparison of the chiro-inositoland myo-inositol-containing insulin mediators isolated from urine, hemodialysate and muscle of control and type II diabetic subjects. </w:t>
      </w:r>
      <w:r>
        <w:rPr>
          <w:i/>
          <w:color w:val="221F1F"/>
        </w:rPr>
        <w:t>Proc Natl Acad Sci </w:t>
      </w:r>
      <w:r>
        <w:rPr>
          <w:color w:val="221F1F"/>
        </w:rPr>
        <w:t>USA </w:t>
      </w:r>
      <w:r>
        <w:rPr>
          <w:b/>
          <w:color w:val="221F1F"/>
        </w:rPr>
        <w:t>90</w:t>
      </w:r>
      <w:r>
        <w:rPr>
          <w:color w:val="221F1F"/>
        </w:rPr>
        <w:t>: 5924–5928.</w:t>
      </w:r>
    </w:p>
    <w:p>
      <w:pPr>
        <w:pStyle w:val="BodyText"/>
        <w:spacing w:before="276"/>
        <w:ind w:left="1669" w:right="997" w:hanging="992"/>
      </w:pPr>
      <w:r>
        <w:rPr/>
        <w:t>Augusti, K.T., Rajisuan, Cherian, D.S., Sheeta, C.G. and Nair, C.R. (1994): Effect of leucopelargonin</w:t>
      </w:r>
      <w:r>
        <w:rPr>
          <w:spacing w:val="-5"/>
        </w:rPr>
        <w:t> </w:t>
      </w:r>
      <w:r>
        <w:rPr/>
        <w:t>derived</w:t>
      </w:r>
      <w:r>
        <w:rPr>
          <w:spacing w:val="-3"/>
        </w:rPr>
        <w:t> </w:t>
      </w:r>
      <w:r>
        <w:rPr/>
        <w:t>from</w:t>
      </w:r>
      <w:r>
        <w:rPr>
          <w:spacing w:val="-3"/>
        </w:rPr>
        <w:t> </w:t>
      </w:r>
      <w:r>
        <w:rPr>
          <w:i/>
        </w:rPr>
        <w:t>Ficus</w:t>
      </w:r>
      <w:r>
        <w:rPr>
          <w:i/>
          <w:spacing w:val="-5"/>
        </w:rPr>
        <w:t> </w:t>
      </w:r>
      <w:r>
        <w:rPr>
          <w:i/>
        </w:rPr>
        <w:t>bengalensis</w:t>
      </w:r>
      <w:r>
        <w:rPr>
          <w:i/>
          <w:spacing w:val="-4"/>
        </w:rPr>
        <w:t> </w:t>
      </w:r>
      <w:r>
        <w:rPr/>
        <w:t>(Linn.)</w:t>
      </w:r>
      <w:r>
        <w:rPr>
          <w:spacing w:val="-5"/>
        </w:rPr>
        <w:t> </w:t>
      </w:r>
      <w:r>
        <w:rPr/>
        <w:t>on</w:t>
      </w:r>
      <w:r>
        <w:rPr>
          <w:spacing w:val="-5"/>
        </w:rPr>
        <w:t> </w:t>
      </w:r>
      <w:r>
        <w:rPr/>
        <w:t>diabetic</w:t>
      </w:r>
      <w:r>
        <w:rPr>
          <w:spacing w:val="-6"/>
        </w:rPr>
        <w:t> </w:t>
      </w:r>
      <w:r>
        <w:rPr/>
        <w:t>dogs.</w:t>
      </w:r>
      <w:r>
        <w:rPr>
          <w:spacing w:val="-3"/>
        </w:rPr>
        <w:t> </w:t>
      </w:r>
      <w:r>
        <w:rPr>
          <w:i/>
        </w:rPr>
        <w:t>Ind.</w:t>
      </w:r>
      <w:r>
        <w:rPr>
          <w:i/>
          <w:spacing w:val="-5"/>
        </w:rPr>
        <w:t> </w:t>
      </w:r>
      <w:r>
        <w:rPr>
          <w:i/>
        </w:rPr>
        <w:t>J</w:t>
      </w:r>
      <w:r>
        <w:rPr/>
        <w:t>. </w:t>
      </w:r>
      <w:r>
        <w:rPr>
          <w:i/>
        </w:rPr>
        <w:t>Med. Res</w:t>
      </w:r>
      <w:r>
        <w:rPr/>
        <w:t>., 99: 82-86</w:t>
      </w:r>
    </w:p>
    <w:p>
      <w:pPr>
        <w:pStyle w:val="BodyText"/>
      </w:pPr>
    </w:p>
    <w:p>
      <w:pPr>
        <w:pStyle w:val="BodyText"/>
        <w:ind w:left="1578" w:right="1041" w:hanging="900"/>
      </w:pPr>
      <w:r>
        <w:rPr/>
        <w:t>Augusti,</w:t>
      </w:r>
      <w:r>
        <w:rPr>
          <w:spacing w:val="-3"/>
        </w:rPr>
        <w:t> </w:t>
      </w:r>
      <w:r>
        <w:rPr/>
        <w:t>K.</w:t>
      </w:r>
      <w:r>
        <w:rPr>
          <w:spacing w:val="-3"/>
        </w:rPr>
        <w:t> </w:t>
      </w:r>
      <w:r>
        <w:rPr/>
        <w:t>T.,</w:t>
      </w:r>
      <w:r>
        <w:rPr>
          <w:spacing w:val="-3"/>
        </w:rPr>
        <w:t> </w:t>
      </w:r>
      <w:r>
        <w:rPr/>
        <w:t>Sheela,</w:t>
      </w:r>
      <w:r>
        <w:rPr>
          <w:spacing w:val="-3"/>
        </w:rPr>
        <w:t> </w:t>
      </w:r>
      <w:r>
        <w:rPr/>
        <w:t>C.</w:t>
      </w:r>
      <w:r>
        <w:rPr>
          <w:spacing w:val="-3"/>
        </w:rPr>
        <w:t> </w:t>
      </w:r>
      <w:r>
        <w:rPr/>
        <w:t>G.</w:t>
      </w:r>
      <w:r>
        <w:rPr>
          <w:spacing w:val="-3"/>
        </w:rPr>
        <w:t> </w:t>
      </w:r>
      <w:r>
        <w:rPr/>
        <w:t>(1996):</w:t>
      </w:r>
      <w:r>
        <w:rPr>
          <w:spacing w:val="-3"/>
        </w:rPr>
        <w:t> </w:t>
      </w:r>
      <w:r>
        <w:rPr/>
        <w:t>Antiperoxide</w:t>
      </w:r>
      <w:r>
        <w:rPr>
          <w:spacing w:val="-3"/>
        </w:rPr>
        <w:t> </w:t>
      </w:r>
      <w:r>
        <w:rPr/>
        <w:t>effect</w:t>
      </w:r>
      <w:r>
        <w:rPr>
          <w:spacing w:val="-3"/>
        </w:rPr>
        <w:t> </w:t>
      </w:r>
      <w:r>
        <w:rPr/>
        <w:t>of</w:t>
      </w:r>
      <w:r>
        <w:rPr>
          <w:spacing w:val="-3"/>
        </w:rPr>
        <w:t> </w:t>
      </w:r>
      <w:r>
        <w:rPr/>
        <w:t>Sallyl -</w:t>
      </w:r>
      <w:r>
        <w:rPr>
          <w:spacing w:val="-4"/>
        </w:rPr>
        <w:t> </w:t>
      </w:r>
      <w:r>
        <w:rPr/>
        <w:t>cystein</w:t>
      </w:r>
      <w:r>
        <w:rPr>
          <w:spacing w:val="-1"/>
        </w:rPr>
        <w:t> </w:t>
      </w:r>
      <w:r>
        <w:rPr/>
        <w:t>sulfoxide,</w:t>
      </w:r>
      <w:r>
        <w:rPr>
          <w:spacing w:val="-3"/>
        </w:rPr>
        <w:t> </w:t>
      </w:r>
      <w:r>
        <w:rPr/>
        <w:t>an insulin secretagogue in diabetic rats. </w:t>
      </w:r>
      <w:r>
        <w:rPr>
          <w:i/>
        </w:rPr>
        <w:t>Experientia</w:t>
      </w:r>
      <w:r>
        <w:rPr/>
        <w:t>; </w:t>
      </w:r>
      <w:r>
        <w:rPr>
          <w:b/>
        </w:rPr>
        <w:t>52</w:t>
      </w:r>
      <w:r>
        <w:rPr/>
        <w:t>: 115-120.</w:t>
      </w:r>
    </w:p>
    <w:p>
      <w:pPr>
        <w:pStyle w:val="BodyText"/>
        <w:spacing w:before="240"/>
      </w:pPr>
    </w:p>
    <w:p>
      <w:pPr>
        <w:pStyle w:val="BodyText"/>
        <w:ind w:left="1671" w:right="999" w:hanging="994"/>
        <w:jc w:val="both"/>
      </w:pPr>
      <w:r>
        <w:rPr/>
        <w:t>Babu, P.S. and Srinivasan, K. (1997):</w:t>
      </w:r>
      <w:r>
        <w:rPr>
          <w:spacing w:val="40"/>
        </w:rPr>
        <w:t> </w:t>
      </w:r>
      <w:r>
        <w:rPr/>
        <w:t>Influence of dietary capsaicin and onion on the metabolic abnormalities associated with streptozotocin induced diabetes mellitus. </w:t>
      </w:r>
      <w:r>
        <w:rPr>
          <w:i/>
        </w:rPr>
        <w:t>Mol Cell Biochem., </w:t>
      </w:r>
      <w:r>
        <w:rPr>
          <w:b/>
        </w:rPr>
        <w:t>175</w:t>
      </w:r>
      <w:r>
        <w:rPr/>
        <w:t>: 49-57.</w:t>
      </w:r>
    </w:p>
    <w:p>
      <w:pPr>
        <w:pStyle w:val="BodyText"/>
        <w:spacing w:before="7"/>
      </w:pPr>
    </w:p>
    <w:p>
      <w:pPr>
        <w:pStyle w:val="BodyText"/>
        <w:spacing w:line="237" w:lineRule="auto" w:before="1"/>
        <w:ind w:left="1758" w:right="1041" w:hanging="1080"/>
      </w:pPr>
      <w:r>
        <w:rPr/>
        <w:t>Babu, V. (2002): Anti-hyperglycemic activity</w:t>
      </w:r>
      <w:r>
        <w:rPr>
          <w:spacing w:val="-3"/>
        </w:rPr>
        <w:t> </w:t>
      </w:r>
      <w:r>
        <w:rPr/>
        <w:t>of Cassia kleinii leaf extract in glucose fed normal</w:t>
      </w:r>
      <w:r>
        <w:rPr>
          <w:spacing w:val="-4"/>
        </w:rPr>
        <w:t> </w:t>
      </w:r>
      <w:r>
        <w:rPr/>
        <w:t>rats</w:t>
      </w:r>
      <w:r>
        <w:rPr>
          <w:spacing w:val="-4"/>
        </w:rPr>
        <w:t> </w:t>
      </w:r>
      <w:r>
        <w:rPr/>
        <w:t>and</w:t>
      </w:r>
      <w:r>
        <w:rPr>
          <w:spacing w:val="-4"/>
        </w:rPr>
        <w:t> </w:t>
      </w:r>
      <w:r>
        <w:rPr/>
        <w:t>alloxan-induced</w:t>
      </w:r>
      <w:r>
        <w:rPr>
          <w:spacing w:val="-4"/>
        </w:rPr>
        <w:t> </w:t>
      </w:r>
      <w:r>
        <w:rPr/>
        <w:t>diabetic</w:t>
      </w:r>
      <w:r>
        <w:rPr>
          <w:spacing w:val="-3"/>
        </w:rPr>
        <w:t> </w:t>
      </w:r>
      <w:r>
        <w:rPr/>
        <w:t>rats.</w:t>
      </w:r>
      <w:r>
        <w:rPr>
          <w:spacing w:val="-3"/>
        </w:rPr>
        <w:t> </w:t>
      </w:r>
      <w:r>
        <w:rPr>
          <w:i/>
        </w:rPr>
        <w:t>Indian</w:t>
      </w:r>
      <w:r>
        <w:rPr>
          <w:i/>
          <w:spacing w:val="-4"/>
        </w:rPr>
        <w:t> </w:t>
      </w:r>
      <w:r>
        <w:rPr>
          <w:i/>
        </w:rPr>
        <w:t>J</w:t>
      </w:r>
      <w:r>
        <w:rPr>
          <w:i/>
          <w:spacing w:val="-5"/>
        </w:rPr>
        <w:t> </w:t>
      </w:r>
      <w:r>
        <w:rPr>
          <w:i/>
        </w:rPr>
        <w:t>Pharmacol</w:t>
      </w:r>
      <w:r>
        <w:rPr/>
        <w:t>;</w:t>
      </w:r>
      <w:r>
        <w:rPr>
          <w:spacing w:val="-4"/>
        </w:rPr>
        <w:t> </w:t>
      </w:r>
      <w:r>
        <w:rPr>
          <w:b/>
        </w:rPr>
        <w:t>34</w:t>
      </w:r>
      <w:r>
        <w:rPr/>
        <w:t>:409-15.</w:t>
      </w:r>
    </w:p>
    <w:p>
      <w:pPr>
        <w:pStyle w:val="BodyText"/>
        <w:spacing w:before="6"/>
      </w:pPr>
    </w:p>
    <w:p>
      <w:pPr>
        <w:pStyle w:val="BodyText"/>
        <w:ind w:left="1530" w:right="994" w:hanging="852"/>
        <w:jc w:val="both"/>
      </w:pPr>
      <w:r>
        <w:rPr/>
        <w:t>Ballard, D. J., Humphrey, L.L, Melton, L.J. </w:t>
      </w:r>
      <w:r>
        <w:rPr>
          <w:i/>
        </w:rPr>
        <w:t>et al</w:t>
      </w:r>
      <w:r>
        <w:rPr/>
        <w:t>. (1998): Epidemiology of persistent proteinuria in type 11 diabetes mellitus: population-based study in Rochester, Minnesota, </w:t>
      </w:r>
      <w:r>
        <w:rPr>
          <w:i/>
        </w:rPr>
        <w:t>Diabetes</w:t>
      </w:r>
      <w:r>
        <w:rPr/>
        <w:t>; </w:t>
      </w:r>
      <w:r>
        <w:rPr>
          <w:b/>
        </w:rPr>
        <w:t>25</w:t>
      </w:r>
      <w:r>
        <w:rPr/>
        <w:t>: 496-412.</w:t>
      </w:r>
    </w:p>
    <w:p>
      <w:pPr>
        <w:pStyle w:val="BodyText"/>
        <w:spacing w:before="240"/>
        <w:ind w:left="1530" w:right="996" w:hanging="852"/>
        <w:jc w:val="both"/>
      </w:pPr>
      <w:r>
        <w:rPr/>
        <w:t>Banker, G.S and Anderson, N.R, (1986): Tablets: In: The Theory and Practice of</w:t>
      </w:r>
      <w:r>
        <w:rPr>
          <w:spacing w:val="40"/>
        </w:rPr>
        <w:t> </w:t>
      </w:r>
      <w:r>
        <w:rPr/>
        <w:t>Industrial Pharmacy, Lachman, L., Lieberman, H.A. and Kanig, J.L. (Eds) 3</w:t>
      </w:r>
      <w:r>
        <w:rPr>
          <w:vertAlign w:val="superscript"/>
        </w:rPr>
        <w:t>rd</w:t>
      </w:r>
      <w:r>
        <w:rPr>
          <w:vertAlign w:val="baseline"/>
        </w:rPr>
        <w:t> edition, Lea &amp; Febiger, Philadelphia, pp. 301-323.</w:t>
      </w:r>
    </w:p>
    <w:p>
      <w:pPr>
        <w:pStyle w:val="BodyText"/>
        <w:spacing w:before="240"/>
        <w:ind w:left="1671" w:right="999" w:hanging="994"/>
        <w:jc w:val="both"/>
      </w:pPr>
      <w:r>
        <w:rPr/>
        <w:t>Bannerman, R, Burton J and Wen-Chieh, C (1983): Traditional Medicine and Health Care Coverage, A Reader for Health Administrator and Practitioners, Geneva: World Health organization.</w:t>
      </w:r>
    </w:p>
    <w:p>
      <w:pPr>
        <w:pStyle w:val="BodyText"/>
        <w:spacing w:before="241"/>
        <w:ind w:left="1530" w:right="992" w:hanging="852"/>
        <w:jc w:val="both"/>
      </w:pPr>
      <w:r>
        <w:rPr/>
        <w:t>Bansal, R., Ahmad, N., Kidwai. J.R. (1980): Alloxan-glucose interaction: effect of incorporation of 14C-leucine into pancreatic islets of rats. </w:t>
      </w:r>
      <w:r>
        <w:rPr>
          <w:i/>
        </w:rPr>
        <w:t>Acta Diabetol Lat </w:t>
      </w:r>
      <w:r>
        <w:rPr>
          <w:b/>
        </w:rPr>
        <w:t>17</w:t>
      </w:r>
      <w:r>
        <w:rPr/>
        <w:t>: </w:t>
      </w:r>
      <w:r>
        <w:rPr>
          <w:spacing w:val="-2"/>
        </w:rPr>
        <w:t>135-143.</w:t>
      </w:r>
    </w:p>
    <w:p>
      <w:pPr>
        <w:pStyle w:val="BodyText"/>
        <w:spacing w:before="6"/>
      </w:pPr>
    </w:p>
    <w:p>
      <w:pPr>
        <w:pStyle w:val="BodyText"/>
        <w:spacing w:line="237" w:lineRule="auto" w:before="1"/>
        <w:ind w:left="1669" w:right="994" w:hanging="992"/>
      </w:pPr>
      <w:r>
        <w:rPr/>
        <w:t>Barker,</w:t>
      </w:r>
      <w:r>
        <w:rPr>
          <w:spacing w:val="-4"/>
        </w:rPr>
        <w:t> </w:t>
      </w:r>
      <w:r>
        <w:rPr/>
        <w:t>C.</w:t>
      </w:r>
      <w:r>
        <w:rPr>
          <w:spacing w:val="-4"/>
        </w:rPr>
        <w:t> </w:t>
      </w:r>
      <w:r>
        <w:rPr/>
        <w:t>F.</w:t>
      </w:r>
      <w:r>
        <w:rPr>
          <w:spacing w:val="-2"/>
        </w:rPr>
        <w:t> </w:t>
      </w:r>
      <w:r>
        <w:rPr/>
        <w:t>(1982):</w:t>
      </w:r>
      <w:r>
        <w:rPr>
          <w:spacing w:val="-4"/>
        </w:rPr>
        <w:t> </w:t>
      </w:r>
      <w:r>
        <w:rPr/>
        <w:t>Animal</w:t>
      </w:r>
      <w:r>
        <w:rPr>
          <w:spacing w:val="-4"/>
        </w:rPr>
        <w:t> </w:t>
      </w:r>
      <w:r>
        <w:rPr/>
        <w:t>models</w:t>
      </w:r>
      <w:r>
        <w:rPr>
          <w:spacing w:val="-4"/>
        </w:rPr>
        <w:t> </w:t>
      </w:r>
      <w:r>
        <w:rPr/>
        <w:t>of</w:t>
      </w:r>
      <w:r>
        <w:rPr>
          <w:spacing w:val="-4"/>
        </w:rPr>
        <w:t> </w:t>
      </w:r>
      <w:r>
        <w:rPr/>
        <w:t>diabetes</w:t>
      </w:r>
      <w:r>
        <w:rPr>
          <w:spacing w:val="-4"/>
        </w:rPr>
        <w:t> </w:t>
      </w:r>
      <w:r>
        <w:rPr/>
        <w:t>and</w:t>
      </w:r>
      <w:r>
        <w:rPr>
          <w:spacing w:val="-4"/>
        </w:rPr>
        <w:t> </w:t>
      </w:r>
      <w:r>
        <w:rPr/>
        <w:t>immunological</w:t>
      </w:r>
      <w:r>
        <w:rPr>
          <w:spacing w:val="-4"/>
        </w:rPr>
        <w:t> </w:t>
      </w:r>
      <w:r>
        <w:rPr/>
        <w:t>problems</w:t>
      </w:r>
      <w:r>
        <w:rPr>
          <w:spacing w:val="-4"/>
        </w:rPr>
        <w:t> </w:t>
      </w:r>
      <w:r>
        <w:rPr/>
        <w:t>with</w:t>
      </w:r>
      <w:r>
        <w:rPr>
          <w:spacing w:val="-4"/>
        </w:rPr>
        <w:t> </w:t>
      </w:r>
      <w:r>
        <w:rPr/>
        <w:t>islet allografts. Trans. Am. Soc. Artif. Intern. Organs 28: 691-699.</w:t>
      </w:r>
    </w:p>
    <w:p>
      <w:pPr>
        <w:spacing w:after="0" w:line="237" w:lineRule="auto"/>
        <w:sectPr>
          <w:pgSz w:w="12240" w:h="15840"/>
          <w:pgMar w:header="0" w:footer="1056" w:top="1340" w:bottom="1240" w:left="1420" w:right="420"/>
        </w:sectPr>
      </w:pPr>
    </w:p>
    <w:p>
      <w:pPr>
        <w:pStyle w:val="BodyText"/>
        <w:spacing w:before="70"/>
        <w:ind w:left="678"/>
      </w:pPr>
      <w:r>
        <w:rPr/>
        <mc:AlternateContent>
          <mc:Choice Requires="wps">
            <w:drawing>
              <wp:anchor distT="0" distB="0" distL="0" distR="0" allowOverlap="1" layoutInCell="1" locked="0" behindDoc="1" simplePos="0" relativeHeight="483039744">
                <wp:simplePos x="0" y="0"/>
                <wp:positionH relativeFrom="page">
                  <wp:posOffset>-1402226</wp:posOffset>
                </wp:positionH>
                <wp:positionV relativeFrom="page">
                  <wp:posOffset>4612234</wp:posOffset>
                </wp:positionV>
                <wp:extent cx="10685780" cy="91440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6736;rotation:306" type="#_x0000_t136" fillcolor="#ff5400" stroked="f">
                <o:extrusion v:ext="view" autorotationcenter="t"/>
                <v:textpath style="font-family:&quot;Arial MT&quot;;font-size:72pt;v-text-kern:t;mso-text-shadow:auto" string="UNIVERSITY OF IBADAN"/>
                <w10:wrap type="none"/>
              </v:shape>
            </w:pict>
          </mc:Fallback>
        </mc:AlternateContent>
      </w:r>
      <w:r>
        <w:rPr/>
        <w:t>Bartels,</w:t>
      </w:r>
      <w:r>
        <w:rPr>
          <w:spacing w:val="3"/>
        </w:rPr>
        <w:t> </w:t>
      </w:r>
      <w:r>
        <w:rPr/>
        <w:t>H.</w:t>
      </w:r>
      <w:r>
        <w:rPr>
          <w:spacing w:val="5"/>
        </w:rPr>
        <w:t> </w:t>
      </w:r>
      <w:r>
        <w:rPr/>
        <w:t>and</w:t>
      </w:r>
      <w:r>
        <w:rPr>
          <w:spacing w:val="5"/>
        </w:rPr>
        <w:t> </w:t>
      </w:r>
      <w:r>
        <w:rPr/>
        <w:t>Boehmer,</w:t>
      </w:r>
      <w:r>
        <w:rPr>
          <w:spacing w:val="5"/>
        </w:rPr>
        <w:t> </w:t>
      </w:r>
      <w:r>
        <w:rPr/>
        <w:t>M.</w:t>
      </w:r>
      <w:r>
        <w:rPr>
          <w:spacing w:val="6"/>
        </w:rPr>
        <w:t> </w:t>
      </w:r>
      <w:r>
        <w:rPr/>
        <w:t>(1971):</w:t>
      </w:r>
      <w:r>
        <w:rPr>
          <w:spacing w:val="5"/>
        </w:rPr>
        <w:t> </w:t>
      </w:r>
      <w:r>
        <w:rPr/>
        <w:t>Microdetermination</w:t>
      </w:r>
      <w:r>
        <w:rPr>
          <w:spacing w:val="4"/>
        </w:rPr>
        <w:t> </w:t>
      </w:r>
      <w:r>
        <w:rPr/>
        <w:t>of</w:t>
      </w:r>
      <w:r>
        <w:rPr>
          <w:spacing w:val="5"/>
        </w:rPr>
        <w:t> </w:t>
      </w:r>
      <w:r>
        <w:rPr/>
        <w:t>creatinine.</w:t>
      </w:r>
      <w:r>
        <w:rPr>
          <w:spacing w:val="11"/>
        </w:rPr>
        <w:t> </w:t>
      </w:r>
      <w:r>
        <w:rPr>
          <w:i/>
        </w:rPr>
        <w:t>Clin.</w:t>
      </w:r>
      <w:r>
        <w:rPr>
          <w:i/>
          <w:spacing w:val="71"/>
        </w:rPr>
        <w:t> </w:t>
      </w:r>
      <w:r>
        <w:rPr>
          <w:i/>
        </w:rPr>
        <w:t>Chim.</w:t>
      </w:r>
      <w:r>
        <w:rPr>
          <w:i/>
          <w:spacing w:val="5"/>
        </w:rPr>
        <w:t> </w:t>
      </w:r>
      <w:r>
        <w:rPr>
          <w:i/>
          <w:spacing w:val="-2"/>
        </w:rPr>
        <w:t>Acta</w:t>
      </w:r>
      <w:r>
        <w:rPr>
          <w:spacing w:val="-2"/>
        </w:rPr>
        <w:t>;</w:t>
      </w:r>
    </w:p>
    <w:p>
      <w:pPr>
        <w:pStyle w:val="BodyText"/>
        <w:ind w:left="1530"/>
      </w:pPr>
      <w:r>
        <w:rPr>
          <w:b/>
        </w:rPr>
        <w:t>32</w:t>
      </w:r>
      <w:r>
        <w:rPr/>
        <w:t>:</w:t>
      </w:r>
      <w:r>
        <w:rPr>
          <w:spacing w:val="-1"/>
        </w:rPr>
        <w:t> </w:t>
      </w:r>
      <w:r>
        <w:rPr/>
        <w:t>81-</w:t>
      </w:r>
      <w:r>
        <w:rPr>
          <w:spacing w:val="-5"/>
        </w:rPr>
        <w:t>85.</w:t>
      </w:r>
    </w:p>
    <w:p>
      <w:pPr>
        <w:pStyle w:val="BodyText"/>
        <w:spacing w:before="240"/>
        <w:ind w:left="678"/>
      </w:pPr>
      <w:r>
        <w:rPr/>
        <w:t>Barter,</w:t>
      </w:r>
      <w:r>
        <w:rPr>
          <w:spacing w:val="12"/>
        </w:rPr>
        <w:t> </w:t>
      </w:r>
      <w:r>
        <w:rPr/>
        <w:t>P.</w:t>
      </w:r>
      <w:r>
        <w:rPr>
          <w:spacing w:val="15"/>
        </w:rPr>
        <w:t> </w:t>
      </w:r>
      <w:r>
        <w:rPr/>
        <w:t>J.,</w:t>
      </w:r>
      <w:r>
        <w:rPr>
          <w:spacing w:val="15"/>
        </w:rPr>
        <w:t> </w:t>
      </w:r>
      <w:r>
        <w:rPr/>
        <w:t>Nicholls,</w:t>
      </w:r>
      <w:r>
        <w:rPr>
          <w:spacing w:val="15"/>
        </w:rPr>
        <w:t> </w:t>
      </w:r>
      <w:r>
        <w:rPr/>
        <w:t>S.,</w:t>
      </w:r>
      <w:r>
        <w:rPr>
          <w:spacing w:val="15"/>
        </w:rPr>
        <w:t> </w:t>
      </w:r>
      <w:r>
        <w:rPr/>
        <w:t>Rye,</w:t>
      </w:r>
      <w:r>
        <w:rPr>
          <w:spacing w:val="15"/>
        </w:rPr>
        <w:t> </w:t>
      </w:r>
      <w:r>
        <w:rPr/>
        <w:t>K.</w:t>
      </w:r>
      <w:r>
        <w:rPr>
          <w:spacing w:val="15"/>
        </w:rPr>
        <w:t> </w:t>
      </w:r>
      <w:r>
        <w:rPr/>
        <w:t>A.,</w:t>
      </w:r>
      <w:r>
        <w:rPr>
          <w:spacing w:val="18"/>
        </w:rPr>
        <w:t> </w:t>
      </w:r>
      <w:r>
        <w:rPr/>
        <w:t>Anantharamaiah,</w:t>
      </w:r>
      <w:r>
        <w:rPr>
          <w:spacing w:val="15"/>
        </w:rPr>
        <w:t> </w:t>
      </w:r>
      <w:r>
        <w:rPr/>
        <w:t>G.</w:t>
      </w:r>
      <w:r>
        <w:rPr>
          <w:spacing w:val="16"/>
        </w:rPr>
        <w:t> </w:t>
      </w:r>
      <w:r>
        <w:rPr/>
        <w:t>M.,</w:t>
      </w:r>
      <w:r>
        <w:rPr>
          <w:spacing w:val="15"/>
        </w:rPr>
        <w:t> </w:t>
      </w:r>
      <w:r>
        <w:rPr/>
        <w:t>Navab,</w:t>
      </w:r>
      <w:r>
        <w:rPr>
          <w:spacing w:val="15"/>
        </w:rPr>
        <w:t> </w:t>
      </w:r>
      <w:r>
        <w:rPr/>
        <w:t>M.,</w:t>
      </w:r>
      <w:r>
        <w:rPr>
          <w:spacing w:val="17"/>
        </w:rPr>
        <w:t> </w:t>
      </w:r>
      <w:r>
        <w:rPr/>
        <w:t>Fogelman,</w:t>
      </w:r>
      <w:r>
        <w:rPr>
          <w:spacing w:val="15"/>
        </w:rPr>
        <w:t> </w:t>
      </w:r>
      <w:r>
        <w:rPr>
          <w:spacing w:val="-5"/>
        </w:rPr>
        <w:t>A.</w:t>
      </w:r>
    </w:p>
    <w:p>
      <w:pPr>
        <w:spacing w:before="1"/>
        <w:ind w:left="1671" w:right="706" w:firstLine="0"/>
        <w:jc w:val="left"/>
        <w:rPr>
          <w:sz w:val="24"/>
        </w:rPr>
      </w:pPr>
      <w:r>
        <w:rPr>
          <w:sz w:val="24"/>
        </w:rPr>
        <w:t>M.</w:t>
      </w:r>
      <w:r>
        <w:rPr>
          <w:spacing w:val="32"/>
          <w:sz w:val="24"/>
        </w:rPr>
        <w:t> </w:t>
      </w:r>
      <w:r>
        <w:rPr>
          <w:sz w:val="24"/>
        </w:rPr>
        <w:t>(2004):</w:t>
      </w:r>
      <w:r>
        <w:rPr>
          <w:spacing w:val="32"/>
          <w:sz w:val="24"/>
        </w:rPr>
        <w:t> </w:t>
      </w:r>
      <w:r>
        <w:rPr>
          <w:sz w:val="24"/>
        </w:rPr>
        <w:t>Antiinflammatory</w:t>
      </w:r>
      <w:r>
        <w:rPr>
          <w:spacing w:val="32"/>
          <w:sz w:val="24"/>
        </w:rPr>
        <w:t> </w:t>
      </w:r>
      <w:r>
        <w:rPr>
          <w:sz w:val="24"/>
        </w:rPr>
        <w:t>properties</w:t>
      </w:r>
      <w:r>
        <w:rPr>
          <w:spacing w:val="32"/>
          <w:sz w:val="24"/>
        </w:rPr>
        <w:t> </w:t>
      </w:r>
      <w:r>
        <w:rPr>
          <w:sz w:val="24"/>
        </w:rPr>
        <w:t>of</w:t>
      </w:r>
      <w:r>
        <w:rPr>
          <w:spacing w:val="34"/>
          <w:sz w:val="24"/>
        </w:rPr>
        <w:t> </w:t>
      </w:r>
      <w:r>
        <w:rPr>
          <w:sz w:val="24"/>
        </w:rPr>
        <w:t>HDL.</w:t>
      </w:r>
      <w:r>
        <w:rPr>
          <w:spacing w:val="34"/>
          <w:sz w:val="24"/>
        </w:rPr>
        <w:t> </w:t>
      </w:r>
      <w:r>
        <w:rPr>
          <w:i/>
          <w:sz w:val="24"/>
        </w:rPr>
        <w:t>Circulatory</w:t>
      </w:r>
      <w:r>
        <w:rPr>
          <w:i/>
          <w:spacing w:val="32"/>
          <w:sz w:val="24"/>
        </w:rPr>
        <w:t> </w:t>
      </w:r>
      <w:r>
        <w:rPr>
          <w:i/>
          <w:sz w:val="24"/>
        </w:rPr>
        <w:t>Res</w:t>
      </w:r>
      <w:r>
        <w:rPr>
          <w:sz w:val="24"/>
        </w:rPr>
        <w:t>.;</w:t>
      </w:r>
      <w:r>
        <w:rPr>
          <w:spacing w:val="33"/>
          <w:sz w:val="24"/>
        </w:rPr>
        <w:t> </w:t>
      </w:r>
      <w:r>
        <w:rPr>
          <w:b/>
          <w:sz w:val="24"/>
        </w:rPr>
        <w:t>95</w:t>
      </w:r>
      <w:r>
        <w:rPr>
          <w:sz w:val="24"/>
        </w:rPr>
        <w:t>:</w:t>
      </w:r>
      <w:r>
        <w:rPr>
          <w:spacing w:val="35"/>
          <w:sz w:val="24"/>
        </w:rPr>
        <w:t> </w:t>
      </w:r>
      <w:r>
        <w:rPr>
          <w:sz w:val="24"/>
        </w:rPr>
        <w:t>764</w:t>
      </w:r>
      <w:r>
        <w:rPr>
          <w:spacing w:val="33"/>
          <w:sz w:val="24"/>
        </w:rPr>
        <w:t> </w:t>
      </w:r>
      <w:r>
        <w:rPr>
          <w:sz w:val="24"/>
        </w:rPr>
        <w:t>- </w:t>
      </w:r>
      <w:r>
        <w:rPr>
          <w:spacing w:val="-4"/>
          <w:sz w:val="24"/>
        </w:rPr>
        <w:t>772</w:t>
      </w:r>
    </w:p>
    <w:p>
      <w:pPr>
        <w:spacing w:before="240"/>
        <w:ind w:left="1671" w:right="997" w:hanging="994"/>
        <w:jc w:val="both"/>
        <w:rPr>
          <w:sz w:val="24"/>
        </w:rPr>
      </w:pPr>
      <w:r>
        <w:rPr>
          <w:sz w:val="24"/>
        </w:rPr>
        <w:t>Basch, W.E, Gabardi, S and Ulbricht, C. (2003): Musa sapientum, </w:t>
      </w:r>
      <w:r>
        <w:rPr>
          <w:i/>
          <w:sz w:val="24"/>
        </w:rPr>
        <w:t>Am J Health-Syst Pharm</w:t>
      </w:r>
      <w:r>
        <w:rPr>
          <w:sz w:val="24"/>
        </w:rPr>
        <w:t>. Vol. </w:t>
      </w:r>
      <w:r>
        <w:rPr>
          <w:b/>
          <w:sz w:val="24"/>
        </w:rPr>
        <w:t>60</w:t>
      </w:r>
      <w:r>
        <w:rPr>
          <w:sz w:val="24"/>
        </w:rPr>
        <w:t>.</w:t>
      </w:r>
    </w:p>
    <w:p>
      <w:pPr>
        <w:spacing w:before="240"/>
        <w:ind w:left="1530" w:right="992" w:hanging="852"/>
        <w:jc w:val="both"/>
        <w:rPr>
          <w:sz w:val="24"/>
        </w:rPr>
      </w:pPr>
      <w:r>
        <w:rPr>
          <w:sz w:val="24"/>
        </w:rPr>
        <w:t>Baynes, J.W. and Thorpe, S.R. (1997): The role of oxidative in diabetic</w:t>
      </w:r>
      <w:r>
        <w:rPr>
          <w:spacing w:val="40"/>
          <w:sz w:val="24"/>
        </w:rPr>
        <w:t> </w:t>
      </w:r>
      <w:r>
        <w:rPr>
          <w:sz w:val="24"/>
        </w:rPr>
        <w:t>complications. </w:t>
      </w:r>
      <w:r>
        <w:rPr>
          <w:i/>
          <w:sz w:val="24"/>
        </w:rPr>
        <w:t>J. Curr. Opin. Endocrinol</w:t>
      </w:r>
      <w:r>
        <w:rPr>
          <w:sz w:val="24"/>
        </w:rPr>
        <w:t>., </w:t>
      </w:r>
      <w:r>
        <w:rPr>
          <w:b/>
          <w:sz w:val="24"/>
        </w:rPr>
        <w:t>3</w:t>
      </w:r>
      <w:r>
        <w:rPr>
          <w:sz w:val="24"/>
        </w:rPr>
        <w:t>: 277-284</w:t>
      </w:r>
    </w:p>
    <w:p>
      <w:pPr>
        <w:pStyle w:val="BodyText"/>
        <w:spacing w:before="4"/>
      </w:pPr>
    </w:p>
    <w:p>
      <w:pPr>
        <w:pStyle w:val="BodyText"/>
        <w:spacing w:line="275" w:lineRule="exact"/>
        <w:ind w:left="678"/>
        <w:rPr>
          <w:i/>
        </w:rPr>
      </w:pPr>
      <w:r>
        <w:rPr/>
        <w:t>Bell,</w:t>
      </w:r>
      <w:r>
        <w:rPr>
          <w:spacing w:val="-1"/>
        </w:rPr>
        <w:t> </w:t>
      </w:r>
      <w:r>
        <w:rPr/>
        <w:t>R.</w:t>
      </w:r>
      <w:r>
        <w:rPr>
          <w:spacing w:val="-1"/>
        </w:rPr>
        <w:t> </w:t>
      </w:r>
      <w:r>
        <w:rPr/>
        <w:t>H.</w:t>
      </w:r>
      <w:r>
        <w:rPr>
          <w:spacing w:val="-1"/>
        </w:rPr>
        <w:t> </w:t>
      </w:r>
      <w:r>
        <w:rPr/>
        <w:t>(1983):</w:t>
      </w:r>
      <w:r>
        <w:rPr>
          <w:spacing w:val="-1"/>
        </w:rPr>
        <w:t> </w:t>
      </w:r>
      <w:r>
        <w:rPr/>
        <w:t>Animal models</w:t>
      </w:r>
      <w:r>
        <w:rPr>
          <w:spacing w:val="-1"/>
        </w:rPr>
        <w:t> </w:t>
      </w:r>
      <w:r>
        <w:rPr/>
        <w:t>of</w:t>
      </w:r>
      <w:r>
        <w:rPr>
          <w:spacing w:val="-1"/>
        </w:rPr>
        <w:t> </w:t>
      </w:r>
      <w:r>
        <w:rPr/>
        <w:t>diabetes</w:t>
      </w:r>
      <w:r>
        <w:rPr>
          <w:spacing w:val="-1"/>
        </w:rPr>
        <w:t> </w:t>
      </w:r>
      <w:r>
        <w:rPr/>
        <w:t>mellitus: physiology</w:t>
      </w:r>
      <w:r>
        <w:rPr>
          <w:spacing w:val="-3"/>
        </w:rPr>
        <w:t> </w:t>
      </w:r>
      <w:r>
        <w:rPr/>
        <w:t>and</w:t>
      </w:r>
      <w:r>
        <w:rPr>
          <w:spacing w:val="-1"/>
        </w:rPr>
        <w:t> </w:t>
      </w:r>
      <w:r>
        <w:rPr/>
        <w:t>pathology. </w:t>
      </w:r>
      <w:r>
        <w:rPr>
          <w:i/>
        </w:rPr>
        <w:t>J</w:t>
      </w:r>
      <w:r>
        <w:rPr>
          <w:i/>
          <w:spacing w:val="-1"/>
        </w:rPr>
        <w:t> </w:t>
      </w:r>
      <w:r>
        <w:rPr>
          <w:i/>
          <w:spacing w:val="-2"/>
        </w:rPr>
        <w:t>Surg.</w:t>
      </w:r>
    </w:p>
    <w:p>
      <w:pPr>
        <w:spacing w:line="275" w:lineRule="exact" w:before="0"/>
        <w:ind w:left="1669" w:right="0" w:firstLine="0"/>
        <w:jc w:val="left"/>
        <w:rPr>
          <w:sz w:val="24"/>
        </w:rPr>
      </w:pPr>
      <w:r>
        <w:rPr>
          <w:i/>
          <w:sz w:val="24"/>
        </w:rPr>
        <w:t>Res</w:t>
      </w:r>
      <w:r>
        <w:rPr>
          <w:sz w:val="24"/>
        </w:rPr>
        <w:t>,</w:t>
      </w:r>
      <w:r>
        <w:rPr>
          <w:i/>
          <w:sz w:val="24"/>
        </w:rPr>
        <w:t>35</w:t>
      </w:r>
      <w:r>
        <w:rPr>
          <w:sz w:val="24"/>
        </w:rPr>
        <w:t>,</w:t>
      </w:r>
      <w:r>
        <w:rPr>
          <w:spacing w:val="-3"/>
          <w:sz w:val="24"/>
        </w:rPr>
        <w:t> </w:t>
      </w:r>
      <w:r>
        <w:rPr>
          <w:sz w:val="24"/>
        </w:rPr>
        <w:t>433-</w:t>
      </w:r>
      <w:r>
        <w:rPr>
          <w:spacing w:val="-5"/>
          <w:sz w:val="24"/>
        </w:rPr>
        <w:t>60.</w:t>
      </w:r>
    </w:p>
    <w:p>
      <w:pPr>
        <w:pStyle w:val="BodyText"/>
        <w:spacing w:before="5"/>
      </w:pPr>
    </w:p>
    <w:p>
      <w:pPr>
        <w:pStyle w:val="BodyText"/>
        <w:ind w:left="1530" w:right="992" w:hanging="836"/>
        <w:jc w:val="both"/>
      </w:pPr>
      <w:r>
        <w:rPr/>
        <w:t>Bhaskar Anusha, Vidhya V.G. and Ramya M. (2008): Hypoglycaemic effect of Mucuna pruriens seed extract on normal and streptozotocin-diabetic rats. </w:t>
      </w:r>
      <w:r>
        <w:rPr>
          <w:i/>
        </w:rPr>
        <w:t>J. of Phytoteraphy </w:t>
      </w:r>
      <w:r>
        <w:rPr>
          <w:b/>
        </w:rPr>
        <w:t>79</w:t>
      </w:r>
      <w:r>
        <w:rPr/>
        <w:t>: p. 539-543.</w:t>
      </w:r>
    </w:p>
    <w:p>
      <w:pPr>
        <w:pStyle w:val="BodyText"/>
        <w:spacing w:before="240"/>
        <w:ind w:left="1671" w:right="993" w:hanging="994"/>
        <w:jc w:val="both"/>
      </w:pPr>
      <w:r>
        <w:rPr/>
        <w:t>Bilous, R..W, Mauer, S. M, Sutherland, D. E. R., Steffes, M.W. (1989): Mean glomerular volume and rate of development of diabetic nephropathy. </w:t>
      </w:r>
      <w:r>
        <w:rPr>
          <w:i/>
        </w:rPr>
        <w:t>Diabetes</w:t>
      </w:r>
      <w:r>
        <w:rPr/>
        <w:t>; </w:t>
      </w:r>
      <w:r>
        <w:rPr>
          <w:b/>
        </w:rPr>
        <w:t>38</w:t>
      </w:r>
      <w:r>
        <w:rPr/>
        <w:t>:1142- </w:t>
      </w:r>
      <w:r>
        <w:rPr>
          <w:spacing w:val="-2"/>
        </w:rPr>
        <w:t>1147.</w:t>
      </w:r>
    </w:p>
    <w:p>
      <w:pPr>
        <w:spacing w:before="240"/>
        <w:ind w:left="1671" w:right="997" w:hanging="994"/>
        <w:jc w:val="both"/>
        <w:rPr>
          <w:sz w:val="24"/>
        </w:rPr>
      </w:pPr>
      <w:r>
        <w:rPr>
          <w:sz w:val="24"/>
        </w:rPr>
        <w:t>Biswas,</w:t>
      </w:r>
      <w:r>
        <w:rPr>
          <w:spacing w:val="-3"/>
          <w:sz w:val="24"/>
        </w:rPr>
        <w:t> </w:t>
      </w:r>
      <w:r>
        <w:rPr>
          <w:sz w:val="24"/>
        </w:rPr>
        <w:t>T.K,</w:t>
      </w:r>
      <w:r>
        <w:rPr>
          <w:spacing w:val="-1"/>
          <w:sz w:val="24"/>
        </w:rPr>
        <w:t> </w:t>
      </w:r>
      <w:r>
        <w:rPr>
          <w:sz w:val="24"/>
        </w:rPr>
        <w:t>Bandyopadhyay,S,</w:t>
      </w:r>
      <w:r>
        <w:rPr>
          <w:spacing w:val="40"/>
          <w:sz w:val="24"/>
        </w:rPr>
        <w:t> </w:t>
      </w:r>
      <w:r>
        <w:rPr>
          <w:sz w:val="24"/>
        </w:rPr>
        <w:t>Mukherjee,B, Mukherjee, B</w:t>
      </w:r>
      <w:r>
        <w:rPr>
          <w:spacing w:val="-2"/>
          <w:sz w:val="24"/>
        </w:rPr>
        <w:t> </w:t>
      </w:r>
      <w:r>
        <w:rPr>
          <w:sz w:val="24"/>
        </w:rPr>
        <w:t>and</w:t>
      </w:r>
      <w:r>
        <w:rPr>
          <w:spacing w:val="-2"/>
          <w:sz w:val="24"/>
        </w:rPr>
        <w:t> </w:t>
      </w:r>
      <w:r>
        <w:rPr>
          <w:sz w:val="24"/>
        </w:rPr>
        <w:t>Sengupta,</w:t>
      </w:r>
      <w:r>
        <w:rPr>
          <w:spacing w:val="-2"/>
          <w:sz w:val="24"/>
        </w:rPr>
        <w:t> </w:t>
      </w:r>
      <w:r>
        <w:rPr>
          <w:sz w:val="24"/>
        </w:rPr>
        <w:t>B. R.</w:t>
      </w:r>
      <w:r>
        <w:rPr>
          <w:spacing w:val="-2"/>
          <w:sz w:val="24"/>
        </w:rPr>
        <w:t> </w:t>
      </w:r>
      <w:r>
        <w:rPr>
          <w:sz w:val="24"/>
        </w:rPr>
        <w:t>(1997): Oral hypoglycemic effect of </w:t>
      </w:r>
      <w:r>
        <w:rPr>
          <w:i/>
          <w:sz w:val="24"/>
        </w:rPr>
        <w:t>Caesalpinia bonducella</w:t>
      </w:r>
      <w:r>
        <w:rPr>
          <w:sz w:val="24"/>
        </w:rPr>
        <w:t>, Int. </w:t>
      </w:r>
      <w:r>
        <w:rPr>
          <w:i/>
          <w:sz w:val="24"/>
        </w:rPr>
        <w:t>J. of Pharmacognosy </w:t>
      </w:r>
      <w:r>
        <w:rPr>
          <w:b/>
          <w:sz w:val="24"/>
        </w:rPr>
        <w:t>35</w:t>
      </w:r>
      <w:r>
        <w:rPr>
          <w:sz w:val="24"/>
        </w:rPr>
        <w:t>: pp. 261–264.</w:t>
      </w:r>
    </w:p>
    <w:p>
      <w:pPr>
        <w:spacing w:before="241"/>
        <w:ind w:left="1671" w:right="1002" w:hanging="994"/>
        <w:jc w:val="both"/>
        <w:rPr>
          <w:sz w:val="24"/>
        </w:rPr>
      </w:pPr>
      <w:r>
        <w:rPr>
          <w:sz w:val="24"/>
        </w:rPr>
        <w:t>Boquist, L., Nelson, L., Lorentzon, R. (1983): Uptake of labelled alloxan in mouse organs and mitochondria </w:t>
      </w:r>
      <w:r>
        <w:rPr>
          <w:i/>
          <w:sz w:val="24"/>
        </w:rPr>
        <w:t>in vivo </w:t>
      </w:r>
      <w:r>
        <w:rPr>
          <w:sz w:val="24"/>
        </w:rPr>
        <w:t>and </w:t>
      </w:r>
      <w:r>
        <w:rPr>
          <w:i/>
          <w:sz w:val="24"/>
        </w:rPr>
        <w:t>in vitro</w:t>
      </w:r>
      <w:r>
        <w:rPr>
          <w:sz w:val="24"/>
        </w:rPr>
        <w:t>. </w:t>
      </w:r>
      <w:r>
        <w:rPr>
          <w:i/>
          <w:sz w:val="24"/>
        </w:rPr>
        <w:t>Endocrinology </w:t>
      </w:r>
      <w:r>
        <w:rPr>
          <w:b/>
          <w:sz w:val="24"/>
        </w:rPr>
        <w:t>113</w:t>
      </w:r>
      <w:r>
        <w:rPr>
          <w:sz w:val="24"/>
        </w:rPr>
        <w:t>: 943-948.</w:t>
      </w:r>
    </w:p>
    <w:p>
      <w:pPr>
        <w:pStyle w:val="BodyText"/>
        <w:spacing w:before="240"/>
        <w:ind w:left="1530" w:right="1000" w:hanging="852"/>
        <w:jc w:val="both"/>
      </w:pPr>
      <w:r>
        <w:rPr/>
        <w:t>Bravo, L. (1998): Polyphenols: chemistry, dietary sources, metabolism and nutritional significance. </w:t>
      </w:r>
      <w:r>
        <w:rPr>
          <w:i/>
        </w:rPr>
        <w:t>Nutrition Review </w:t>
      </w:r>
      <w:r>
        <w:rPr>
          <w:b/>
        </w:rPr>
        <w:t>56</w:t>
      </w:r>
      <w:r>
        <w:rPr/>
        <w:t>: 317-333.</w:t>
      </w:r>
    </w:p>
    <w:p>
      <w:pPr>
        <w:pStyle w:val="BodyText"/>
      </w:pPr>
    </w:p>
    <w:p>
      <w:pPr>
        <w:pStyle w:val="BodyText"/>
        <w:ind w:left="1758" w:right="997" w:hanging="1080"/>
      </w:pPr>
      <w:r>
        <w:rPr/>
        <w:t>Brinker, F.J., (1998): Herb Contraindictions and Drug Interactions: With Appendices Addressing Specific Conditions and Medicines. 2nd Edn., Eclectic Medical British Pharmacopoeia (1980): Ash value, Acid Insoluble Water Soluble, Extractive</w:t>
      </w:r>
      <w:r>
        <w:rPr>
          <w:spacing w:val="-6"/>
        </w:rPr>
        <w:t> </w:t>
      </w:r>
      <w:r>
        <w:rPr/>
        <w:t>and</w:t>
      </w:r>
      <w:r>
        <w:rPr>
          <w:spacing w:val="-4"/>
        </w:rPr>
        <w:t> </w:t>
      </w:r>
      <w:r>
        <w:rPr/>
        <w:t>Alcohol</w:t>
      </w:r>
      <w:r>
        <w:rPr>
          <w:spacing w:val="-5"/>
        </w:rPr>
        <w:t> </w:t>
      </w:r>
      <w:r>
        <w:rPr/>
        <w:t>Extractive,</w:t>
      </w:r>
      <w:r>
        <w:rPr>
          <w:spacing w:val="-5"/>
        </w:rPr>
        <w:t> </w:t>
      </w:r>
      <w:r>
        <w:rPr/>
        <w:t>Vol.</w:t>
      </w:r>
      <w:r>
        <w:rPr>
          <w:spacing w:val="-3"/>
        </w:rPr>
        <w:t> </w:t>
      </w:r>
      <w:r>
        <w:rPr/>
        <w:t>II,</w:t>
      </w:r>
      <w:r>
        <w:rPr>
          <w:spacing w:val="-3"/>
        </w:rPr>
        <w:t> </w:t>
      </w:r>
      <w:r>
        <w:rPr/>
        <w:t>Appendix</w:t>
      </w:r>
      <w:r>
        <w:rPr>
          <w:spacing w:val="-3"/>
        </w:rPr>
        <w:t> </w:t>
      </w:r>
      <w:r>
        <w:rPr/>
        <w:t>XII,</w:t>
      </w:r>
      <w:r>
        <w:rPr>
          <w:spacing w:val="-5"/>
        </w:rPr>
        <w:t> </w:t>
      </w:r>
      <w:r>
        <w:rPr/>
        <w:t>Majesty‘s</w:t>
      </w:r>
      <w:r>
        <w:rPr>
          <w:spacing w:val="-6"/>
        </w:rPr>
        <w:t> </w:t>
      </w:r>
      <w:r>
        <w:rPr/>
        <w:t>Stationery Office, London, pp. 1276 - 1277.Publications, Oregon, USA.</w:t>
      </w:r>
    </w:p>
    <w:p>
      <w:pPr>
        <w:pStyle w:val="BodyText"/>
        <w:spacing w:before="241"/>
        <w:ind w:left="1671" w:right="994" w:hanging="994"/>
      </w:pPr>
      <w:r>
        <w:rPr/>
        <w:t>British</w:t>
      </w:r>
      <w:r>
        <w:rPr>
          <w:spacing w:val="40"/>
        </w:rPr>
        <w:t> </w:t>
      </w:r>
      <w:r>
        <w:rPr/>
        <w:t>Pharmacopoeia</w:t>
      </w:r>
      <w:r>
        <w:rPr>
          <w:spacing w:val="40"/>
        </w:rPr>
        <w:t> </w:t>
      </w:r>
      <w:r>
        <w:rPr/>
        <w:t>(1998):</w:t>
      </w:r>
      <w:r>
        <w:rPr>
          <w:spacing w:val="40"/>
        </w:rPr>
        <w:t> </w:t>
      </w:r>
      <w:r>
        <w:rPr/>
        <w:t>Friability</w:t>
      </w:r>
      <w:r>
        <w:rPr>
          <w:spacing w:val="40"/>
        </w:rPr>
        <w:t> </w:t>
      </w:r>
      <w:r>
        <w:rPr/>
        <w:t>of</w:t>
      </w:r>
      <w:r>
        <w:rPr>
          <w:spacing w:val="40"/>
        </w:rPr>
        <w:t> </w:t>
      </w:r>
      <w:r>
        <w:rPr/>
        <w:t>Uncoated</w:t>
      </w:r>
      <w:r>
        <w:rPr>
          <w:spacing w:val="40"/>
        </w:rPr>
        <w:t> </w:t>
      </w:r>
      <w:r>
        <w:rPr/>
        <w:t>Tablets.</w:t>
      </w:r>
      <w:r>
        <w:rPr>
          <w:spacing w:val="40"/>
        </w:rPr>
        <w:t> </w:t>
      </w:r>
      <w:r>
        <w:rPr/>
        <w:t>Her</w:t>
      </w:r>
      <w:r>
        <w:rPr>
          <w:spacing w:val="40"/>
        </w:rPr>
        <w:t> </w:t>
      </w:r>
      <w:r>
        <w:rPr/>
        <w:t>Majesty</w:t>
      </w:r>
      <w:r>
        <w:rPr>
          <w:spacing w:val="40"/>
        </w:rPr>
        <w:t> </w:t>
      </w:r>
      <w:r>
        <w:rPr/>
        <w:t>Stationery Office, London, A262.</w:t>
      </w:r>
    </w:p>
    <w:p>
      <w:pPr>
        <w:pStyle w:val="BodyText"/>
        <w:spacing w:before="240"/>
        <w:ind w:left="1671" w:right="994" w:hanging="994"/>
      </w:pPr>
      <w:r>
        <w:rPr/>
        <w:t>British Pharmacopoeia (1998): Resistance to Crushing of Tablets. Her Majesty Stationery Office, London, A 262.</w:t>
      </w:r>
    </w:p>
    <w:p>
      <w:pPr>
        <w:pStyle w:val="BodyText"/>
        <w:spacing w:before="242"/>
        <w:ind w:left="678"/>
      </w:pPr>
      <w:r>
        <w:rPr/>
        <w:t>British</w:t>
      </w:r>
      <w:r>
        <w:rPr>
          <w:spacing w:val="-3"/>
        </w:rPr>
        <w:t> </w:t>
      </w:r>
      <w:r>
        <w:rPr/>
        <w:t>Standard</w:t>
      </w:r>
      <w:r>
        <w:rPr>
          <w:spacing w:val="-3"/>
        </w:rPr>
        <w:t> </w:t>
      </w:r>
      <w:r>
        <w:rPr/>
        <w:t>1460,</w:t>
      </w:r>
      <w:r>
        <w:rPr>
          <w:spacing w:val="-1"/>
        </w:rPr>
        <w:t> </w:t>
      </w:r>
      <w:r>
        <w:rPr/>
        <w:t>British</w:t>
      </w:r>
      <w:r>
        <w:rPr>
          <w:spacing w:val="-2"/>
        </w:rPr>
        <w:t> </w:t>
      </w:r>
      <w:r>
        <w:rPr/>
        <w:t>Standard</w:t>
      </w:r>
      <w:r>
        <w:rPr>
          <w:spacing w:val="-2"/>
        </w:rPr>
        <w:t> </w:t>
      </w:r>
      <w:r>
        <w:rPr/>
        <w:t>Institution,</w:t>
      </w:r>
      <w:r>
        <w:rPr>
          <w:spacing w:val="-1"/>
        </w:rPr>
        <w:t> </w:t>
      </w:r>
      <w:r>
        <w:rPr/>
        <w:t>London,</w:t>
      </w:r>
      <w:r>
        <w:rPr>
          <w:spacing w:val="-2"/>
        </w:rPr>
        <w:t> 1970.</w:t>
      </w:r>
    </w:p>
    <w:p>
      <w:pPr>
        <w:spacing w:after="0"/>
        <w:sectPr>
          <w:pgSz w:w="12240" w:h="15840"/>
          <w:pgMar w:header="0" w:footer="1056" w:top="1340" w:bottom="1240" w:left="1420" w:right="420"/>
        </w:sectPr>
      </w:pPr>
    </w:p>
    <w:p>
      <w:pPr>
        <w:pStyle w:val="BodyText"/>
        <w:spacing w:line="276" w:lineRule="auto" w:before="72"/>
        <w:ind w:left="1669" w:right="998" w:hanging="992"/>
        <w:jc w:val="both"/>
      </w:pPr>
      <w:r>
        <w:rPr/>
        <mc:AlternateContent>
          <mc:Choice Requires="wps">
            <w:drawing>
              <wp:anchor distT="0" distB="0" distL="0" distR="0" allowOverlap="1" layoutInCell="1" locked="0" behindDoc="1" simplePos="0" relativeHeight="483040256">
                <wp:simplePos x="0" y="0"/>
                <wp:positionH relativeFrom="page">
                  <wp:posOffset>-1402226</wp:posOffset>
                </wp:positionH>
                <wp:positionV relativeFrom="page">
                  <wp:posOffset>4612234</wp:posOffset>
                </wp:positionV>
                <wp:extent cx="10685780" cy="91440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6224;rotation:306" type="#_x0000_t136" fillcolor="#ff5400" stroked="f">
                <o:extrusion v:ext="view" autorotationcenter="t"/>
                <v:textpath style="font-family:&quot;Arial MT&quot;;font-size:72pt;v-text-kern:t;mso-text-shadow:auto" string="UNIVERSITY OF IBADAN"/>
                <w10:wrap type="none"/>
              </v:shape>
            </w:pict>
          </mc:Fallback>
        </mc:AlternateContent>
      </w:r>
      <w:r>
        <w:rPr/>
        <w:t>Bultmann, J.M. (2002): Multiple compaction of microcrystalline cellulose in a roller compactor. </w:t>
      </w:r>
      <w:r>
        <w:rPr>
          <w:i/>
        </w:rPr>
        <w:t>Eur J Pharm Biopharm</w:t>
      </w:r>
      <w:r>
        <w:rPr/>
        <w:t>. 54, p 59-64.</w:t>
      </w:r>
    </w:p>
    <w:p>
      <w:pPr>
        <w:pStyle w:val="BodyText"/>
        <w:ind w:left="1671" w:right="995" w:hanging="994"/>
        <w:jc w:val="both"/>
      </w:pPr>
      <w:r>
        <w:rPr/>
        <w:t>Caius, J.</w:t>
      </w:r>
      <w:r>
        <w:rPr>
          <w:spacing w:val="-2"/>
        </w:rPr>
        <w:t> </w:t>
      </w:r>
      <w:r>
        <w:rPr/>
        <w:t>F. (1989): The</w:t>
      </w:r>
      <w:r>
        <w:rPr>
          <w:spacing w:val="-1"/>
        </w:rPr>
        <w:t> </w:t>
      </w:r>
      <w:r>
        <w:rPr/>
        <w:t>Medicinal and Poisonous Legumes of India. Scientific</w:t>
      </w:r>
      <w:r>
        <w:rPr>
          <w:spacing w:val="-1"/>
        </w:rPr>
        <w:t> </w:t>
      </w:r>
      <w:r>
        <w:rPr/>
        <w:t>Publishers, Jodhpur, India, 70-71.</w:t>
      </w:r>
    </w:p>
    <w:p>
      <w:pPr>
        <w:pStyle w:val="BodyText"/>
        <w:spacing w:before="237"/>
      </w:pPr>
    </w:p>
    <w:p>
      <w:pPr>
        <w:pStyle w:val="BodyText"/>
        <w:ind w:left="1671" w:right="999" w:hanging="994"/>
        <w:jc w:val="both"/>
      </w:pPr>
      <w:r>
        <w:rPr/>
        <w:t>Canal, J. R., Torres, M. D., Romero, A., Perez, C. A. (2000): Chloroform extract obtained from a decoction of </w:t>
      </w:r>
      <w:r>
        <w:rPr>
          <w:i/>
        </w:rPr>
        <w:t>Ficus carica </w:t>
      </w:r>
      <w:r>
        <w:rPr/>
        <w:t>leaves improves the cholesterolaemic status of rats with streptozotocin-induced diabetes. </w:t>
      </w:r>
      <w:r>
        <w:rPr>
          <w:i/>
        </w:rPr>
        <w:t>Acta Physiol Hung</w:t>
      </w:r>
      <w:r>
        <w:rPr/>
        <w:t>, </w:t>
      </w:r>
      <w:r>
        <w:rPr>
          <w:b/>
        </w:rPr>
        <w:t>87</w:t>
      </w:r>
      <w:r>
        <w:rPr/>
        <w:t>: 71-76.</w:t>
      </w:r>
    </w:p>
    <w:p>
      <w:pPr>
        <w:spacing w:before="240"/>
        <w:ind w:left="1671" w:right="996" w:hanging="994"/>
        <w:jc w:val="both"/>
        <w:rPr>
          <w:sz w:val="24"/>
        </w:rPr>
      </w:pPr>
      <w:r>
        <w:rPr>
          <w:sz w:val="24"/>
        </w:rPr>
        <w:t>Castro, V.R., (1998): Chromium in a series of </w:t>
      </w:r>
      <w:r>
        <w:rPr>
          <w:i/>
          <w:sz w:val="24"/>
        </w:rPr>
        <w:t>Portuguese </w:t>
      </w:r>
      <w:r>
        <w:rPr>
          <w:sz w:val="24"/>
        </w:rPr>
        <w:t>plants used in the herbal treatment of diabetes. </w:t>
      </w:r>
      <w:r>
        <w:rPr>
          <w:i/>
          <w:sz w:val="24"/>
        </w:rPr>
        <w:t>Biol. Trace Element Res</w:t>
      </w:r>
      <w:r>
        <w:rPr>
          <w:sz w:val="24"/>
        </w:rPr>
        <w:t>., </w:t>
      </w:r>
      <w:r>
        <w:rPr>
          <w:b/>
          <w:sz w:val="24"/>
        </w:rPr>
        <w:t>62</w:t>
      </w:r>
      <w:r>
        <w:rPr>
          <w:sz w:val="24"/>
        </w:rPr>
        <w:t>: 101-106.</w:t>
      </w:r>
    </w:p>
    <w:p>
      <w:pPr>
        <w:pStyle w:val="BodyText"/>
        <w:spacing w:before="241"/>
        <w:ind w:left="1671" w:right="992" w:hanging="994"/>
        <w:jc w:val="both"/>
      </w:pPr>
      <w:r>
        <w:rPr/>
        <w:t>Chakrabarti, S., Biswas, T.K., Rokeya, B., Mosihuzzaman, M., Ali, L., Nahar, N. and Mukherjee,</w:t>
      </w:r>
      <w:r>
        <w:rPr>
          <w:spacing w:val="-1"/>
        </w:rPr>
        <w:t> </w:t>
      </w:r>
      <w:r>
        <w:rPr/>
        <w:t>B.</w:t>
      </w:r>
      <w:r>
        <w:rPr>
          <w:spacing w:val="-3"/>
        </w:rPr>
        <w:t> </w:t>
      </w:r>
      <w:r>
        <w:rPr/>
        <w:t>(2003):</w:t>
      </w:r>
      <w:r>
        <w:rPr>
          <w:spacing w:val="-4"/>
        </w:rPr>
        <w:t> </w:t>
      </w:r>
      <w:r>
        <w:rPr/>
        <w:t>Advanced</w:t>
      </w:r>
      <w:r>
        <w:rPr>
          <w:spacing w:val="-3"/>
        </w:rPr>
        <w:t> </w:t>
      </w:r>
      <w:r>
        <w:rPr/>
        <w:t>studies</w:t>
      </w:r>
      <w:r>
        <w:rPr>
          <w:spacing w:val="-3"/>
        </w:rPr>
        <w:t> </w:t>
      </w:r>
      <w:r>
        <w:rPr/>
        <w:t>on</w:t>
      </w:r>
      <w:r>
        <w:rPr>
          <w:spacing w:val="-3"/>
        </w:rPr>
        <w:t> </w:t>
      </w:r>
      <w:r>
        <w:rPr/>
        <w:t>hypoglycemic</w:t>
      </w:r>
      <w:r>
        <w:rPr>
          <w:spacing w:val="-4"/>
        </w:rPr>
        <w:t> </w:t>
      </w:r>
      <w:r>
        <w:rPr/>
        <w:t>effect</w:t>
      </w:r>
      <w:r>
        <w:rPr>
          <w:spacing w:val="-3"/>
        </w:rPr>
        <w:t> </w:t>
      </w:r>
      <w:r>
        <w:rPr/>
        <w:t>of </w:t>
      </w:r>
      <w:r>
        <w:rPr>
          <w:i/>
        </w:rPr>
        <w:t>Caesalpinia bonducella </w:t>
      </w:r>
      <w:r>
        <w:rPr/>
        <w:t>F. in type 1 and 2 diabetes in Long-Evans rats, </w:t>
      </w:r>
      <w:r>
        <w:rPr>
          <w:i/>
        </w:rPr>
        <w:t>J. of Ethnopharmacology</w:t>
      </w:r>
      <w:r>
        <w:rPr>
          <w:i/>
          <w:spacing w:val="40"/>
        </w:rPr>
        <w:t> </w:t>
      </w:r>
      <w:r>
        <w:rPr>
          <w:b/>
        </w:rPr>
        <w:t>84</w:t>
      </w:r>
      <w:r>
        <w:rPr/>
        <w:t>:</w:t>
      </w:r>
      <w:r>
        <w:rPr>
          <w:spacing w:val="40"/>
        </w:rPr>
        <w:t> </w:t>
      </w:r>
      <w:r>
        <w:rPr/>
        <w:t>pp. 41–46.</w:t>
      </w:r>
    </w:p>
    <w:p>
      <w:pPr>
        <w:spacing w:before="240"/>
        <w:ind w:left="1671" w:right="992" w:hanging="994"/>
        <w:jc w:val="both"/>
        <w:rPr>
          <w:sz w:val="24"/>
        </w:rPr>
      </w:pPr>
      <w:r>
        <w:rPr>
          <w:sz w:val="24"/>
        </w:rPr>
        <w:t>Chandra, M and Jayakar, B. (2010): Formulation and evaluation of herbal tablets containing</w:t>
      </w:r>
      <w:r>
        <w:rPr>
          <w:spacing w:val="-2"/>
          <w:sz w:val="24"/>
        </w:rPr>
        <w:t> </w:t>
      </w:r>
      <w:r>
        <w:rPr>
          <w:i/>
          <w:sz w:val="24"/>
        </w:rPr>
        <w:t>Ipomea</w:t>
      </w:r>
      <w:r>
        <w:rPr>
          <w:i/>
          <w:spacing w:val="-1"/>
          <w:sz w:val="24"/>
        </w:rPr>
        <w:t> </w:t>
      </w:r>
      <w:r>
        <w:rPr>
          <w:i/>
          <w:sz w:val="24"/>
        </w:rPr>
        <w:t>digitata </w:t>
      </w:r>
      <w:r>
        <w:rPr>
          <w:sz w:val="24"/>
        </w:rPr>
        <w:t>Linn.</w:t>
      </w:r>
      <w:r>
        <w:rPr>
          <w:spacing w:val="-1"/>
          <w:sz w:val="24"/>
        </w:rPr>
        <w:t> </w:t>
      </w:r>
      <w:r>
        <w:rPr>
          <w:sz w:val="24"/>
        </w:rPr>
        <w:t>Extract. </w:t>
      </w:r>
      <w:r>
        <w:rPr>
          <w:i/>
          <w:sz w:val="24"/>
        </w:rPr>
        <w:t>Int.</w:t>
      </w:r>
      <w:r>
        <w:rPr>
          <w:i/>
          <w:spacing w:val="-2"/>
          <w:sz w:val="24"/>
        </w:rPr>
        <w:t> </w:t>
      </w:r>
      <w:r>
        <w:rPr>
          <w:i/>
          <w:sz w:val="24"/>
        </w:rPr>
        <w:t>J.</w:t>
      </w:r>
      <w:r>
        <w:rPr>
          <w:i/>
          <w:spacing w:val="-1"/>
          <w:sz w:val="24"/>
        </w:rPr>
        <w:t> </w:t>
      </w:r>
      <w:r>
        <w:rPr>
          <w:i/>
          <w:sz w:val="24"/>
        </w:rPr>
        <w:t>Pharm.</w:t>
      </w:r>
      <w:r>
        <w:rPr>
          <w:i/>
          <w:spacing w:val="-2"/>
          <w:sz w:val="24"/>
        </w:rPr>
        <w:t> </w:t>
      </w:r>
      <w:r>
        <w:rPr>
          <w:i/>
          <w:sz w:val="24"/>
        </w:rPr>
        <w:t>Sci.</w:t>
      </w:r>
      <w:r>
        <w:rPr>
          <w:i/>
          <w:spacing w:val="-1"/>
          <w:sz w:val="24"/>
        </w:rPr>
        <w:t> </w:t>
      </w:r>
      <w:r>
        <w:rPr>
          <w:i/>
          <w:sz w:val="24"/>
        </w:rPr>
        <w:t>Rev &amp;</w:t>
      </w:r>
      <w:r>
        <w:rPr>
          <w:i/>
          <w:spacing w:val="-8"/>
          <w:sz w:val="24"/>
        </w:rPr>
        <w:t> </w:t>
      </w:r>
      <w:r>
        <w:rPr>
          <w:i/>
          <w:sz w:val="24"/>
        </w:rPr>
        <w:t>Res</w:t>
      </w:r>
      <w:r>
        <w:rPr>
          <w:sz w:val="24"/>
        </w:rPr>
        <w:t>.</w:t>
      </w:r>
      <w:r>
        <w:rPr>
          <w:spacing w:val="-1"/>
          <w:sz w:val="24"/>
        </w:rPr>
        <w:t> </w:t>
      </w:r>
      <w:r>
        <w:rPr>
          <w:b/>
          <w:sz w:val="24"/>
        </w:rPr>
        <w:t>21</w:t>
      </w:r>
      <w:r>
        <w:rPr>
          <w:sz w:val="24"/>
        </w:rPr>
        <w:t>:</w:t>
      </w:r>
      <w:r>
        <w:rPr>
          <w:spacing w:val="-1"/>
          <w:sz w:val="24"/>
        </w:rPr>
        <w:t> </w:t>
      </w:r>
      <w:r>
        <w:rPr>
          <w:sz w:val="24"/>
        </w:rPr>
        <w:t>343 – 346.</w:t>
      </w:r>
    </w:p>
    <w:p>
      <w:pPr>
        <w:pStyle w:val="BodyText"/>
        <w:spacing w:before="240"/>
        <w:ind w:right="323"/>
        <w:jc w:val="center"/>
      </w:pPr>
      <w:r>
        <w:rPr/>
        <w:t>Chattopadhyay,</w:t>
      </w:r>
      <w:r>
        <w:rPr>
          <w:spacing w:val="55"/>
          <w:w w:val="150"/>
        </w:rPr>
        <w:t> </w:t>
      </w:r>
      <w:r>
        <w:rPr/>
        <w:t>R.</w:t>
      </w:r>
      <w:r>
        <w:rPr>
          <w:spacing w:val="58"/>
          <w:w w:val="150"/>
        </w:rPr>
        <w:t> </w:t>
      </w:r>
      <w:r>
        <w:rPr/>
        <w:t>R.</w:t>
      </w:r>
      <w:r>
        <w:rPr>
          <w:spacing w:val="55"/>
          <w:w w:val="150"/>
        </w:rPr>
        <w:t> </w:t>
      </w:r>
      <w:r>
        <w:rPr/>
        <w:t>(1996):</w:t>
      </w:r>
      <w:r>
        <w:rPr>
          <w:spacing w:val="57"/>
          <w:w w:val="150"/>
        </w:rPr>
        <w:t> </w:t>
      </w:r>
      <w:r>
        <w:rPr/>
        <w:t>Possible</w:t>
      </w:r>
      <w:r>
        <w:rPr>
          <w:spacing w:val="55"/>
          <w:w w:val="150"/>
        </w:rPr>
        <w:t> </w:t>
      </w:r>
      <w:r>
        <w:rPr/>
        <w:t>mechanism</w:t>
      </w:r>
      <w:r>
        <w:rPr>
          <w:spacing w:val="56"/>
          <w:w w:val="150"/>
        </w:rPr>
        <w:t> </w:t>
      </w:r>
      <w:r>
        <w:rPr/>
        <w:t>of</w:t>
      </w:r>
      <w:r>
        <w:rPr>
          <w:spacing w:val="55"/>
          <w:w w:val="150"/>
        </w:rPr>
        <w:t> </w:t>
      </w:r>
      <w:r>
        <w:rPr/>
        <w:t>antihyperglycaemic</w:t>
      </w:r>
      <w:r>
        <w:rPr>
          <w:spacing w:val="54"/>
          <w:w w:val="150"/>
        </w:rPr>
        <w:t> </w:t>
      </w:r>
      <w:r>
        <w:rPr/>
        <w:t>effect</w:t>
      </w:r>
      <w:r>
        <w:rPr>
          <w:spacing w:val="57"/>
          <w:w w:val="150"/>
        </w:rPr>
        <w:t> </w:t>
      </w:r>
      <w:r>
        <w:rPr>
          <w:spacing w:val="-5"/>
        </w:rPr>
        <w:t>of</w:t>
      </w:r>
    </w:p>
    <w:p>
      <w:pPr>
        <w:spacing w:before="0"/>
        <w:ind w:left="1530" w:right="0" w:firstLine="0"/>
        <w:jc w:val="left"/>
        <w:rPr>
          <w:sz w:val="24"/>
        </w:rPr>
      </w:pPr>
      <w:r>
        <w:rPr>
          <w:i/>
          <w:sz w:val="24"/>
        </w:rPr>
        <w:t>Azadirachta</w:t>
      </w:r>
      <w:r>
        <w:rPr>
          <w:i/>
          <w:spacing w:val="-2"/>
          <w:sz w:val="24"/>
        </w:rPr>
        <w:t> </w:t>
      </w:r>
      <w:r>
        <w:rPr>
          <w:i/>
          <w:sz w:val="24"/>
        </w:rPr>
        <w:t>indica</w:t>
      </w:r>
      <w:r>
        <w:rPr>
          <w:i/>
          <w:spacing w:val="-1"/>
          <w:sz w:val="24"/>
        </w:rPr>
        <w:t> </w:t>
      </w:r>
      <w:r>
        <w:rPr>
          <w:sz w:val="24"/>
        </w:rPr>
        <w:t>leaf</w:t>
      </w:r>
      <w:r>
        <w:rPr>
          <w:spacing w:val="-2"/>
          <w:sz w:val="24"/>
        </w:rPr>
        <w:t> </w:t>
      </w:r>
      <w:r>
        <w:rPr>
          <w:sz w:val="24"/>
        </w:rPr>
        <w:t>extract,</w:t>
      </w:r>
      <w:r>
        <w:rPr>
          <w:spacing w:val="-1"/>
          <w:sz w:val="24"/>
        </w:rPr>
        <w:t> </w:t>
      </w:r>
      <w:r>
        <w:rPr>
          <w:sz w:val="24"/>
        </w:rPr>
        <w:t>part IV.</w:t>
      </w:r>
      <w:r>
        <w:rPr>
          <w:spacing w:val="-1"/>
          <w:sz w:val="24"/>
        </w:rPr>
        <w:t> </w:t>
      </w:r>
      <w:r>
        <w:rPr>
          <w:i/>
          <w:sz w:val="24"/>
        </w:rPr>
        <w:t>Gen</w:t>
      </w:r>
      <w:r>
        <w:rPr>
          <w:i/>
          <w:spacing w:val="-2"/>
          <w:sz w:val="24"/>
        </w:rPr>
        <w:t> </w:t>
      </w:r>
      <w:r>
        <w:rPr>
          <w:i/>
          <w:sz w:val="24"/>
        </w:rPr>
        <w:t>Pharmacol</w:t>
      </w:r>
      <w:r>
        <w:rPr>
          <w:sz w:val="24"/>
        </w:rPr>
        <w:t>.,</w:t>
      </w:r>
      <w:r>
        <w:rPr>
          <w:spacing w:val="-1"/>
          <w:sz w:val="24"/>
        </w:rPr>
        <w:t> </w:t>
      </w:r>
      <w:r>
        <w:rPr>
          <w:b/>
          <w:sz w:val="24"/>
        </w:rPr>
        <w:t>27</w:t>
      </w:r>
      <w:r>
        <w:rPr>
          <w:sz w:val="24"/>
        </w:rPr>
        <w:t>:</w:t>
      </w:r>
      <w:r>
        <w:rPr>
          <w:spacing w:val="-1"/>
          <w:sz w:val="24"/>
        </w:rPr>
        <w:t> </w:t>
      </w:r>
      <w:r>
        <w:rPr>
          <w:sz w:val="24"/>
        </w:rPr>
        <w:t>431-</w:t>
      </w:r>
      <w:r>
        <w:rPr>
          <w:spacing w:val="-4"/>
          <w:sz w:val="24"/>
        </w:rPr>
        <w:t>434.</w:t>
      </w:r>
    </w:p>
    <w:p>
      <w:pPr>
        <w:pStyle w:val="BodyText"/>
        <w:spacing w:before="240"/>
        <w:ind w:right="326"/>
        <w:jc w:val="center"/>
      </w:pPr>
      <w:r>
        <w:rPr/>
        <w:t>Chattopadhyay,</w:t>
      </w:r>
      <w:r>
        <w:rPr>
          <w:spacing w:val="55"/>
          <w:w w:val="150"/>
        </w:rPr>
        <w:t> </w:t>
      </w:r>
      <w:r>
        <w:rPr/>
        <w:t>R.</w:t>
      </w:r>
      <w:r>
        <w:rPr>
          <w:spacing w:val="55"/>
          <w:w w:val="150"/>
        </w:rPr>
        <w:t> </w:t>
      </w:r>
      <w:r>
        <w:rPr/>
        <w:t>R.</w:t>
      </w:r>
      <w:r>
        <w:rPr>
          <w:spacing w:val="56"/>
          <w:w w:val="150"/>
        </w:rPr>
        <w:t> </w:t>
      </w:r>
      <w:r>
        <w:rPr/>
        <w:t>(1999):</w:t>
      </w:r>
      <w:r>
        <w:rPr>
          <w:spacing w:val="55"/>
          <w:w w:val="150"/>
        </w:rPr>
        <w:t> </w:t>
      </w:r>
      <w:r>
        <w:rPr/>
        <w:t>Possible</w:t>
      </w:r>
      <w:r>
        <w:rPr>
          <w:spacing w:val="56"/>
          <w:w w:val="150"/>
        </w:rPr>
        <w:t> </w:t>
      </w:r>
      <w:r>
        <w:rPr/>
        <w:t>mechanism</w:t>
      </w:r>
      <w:r>
        <w:rPr>
          <w:spacing w:val="56"/>
          <w:w w:val="150"/>
        </w:rPr>
        <w:t> </w:t>
      </w:r>
      <w:r>
        <w:rPr/>
        <w:t>of</w:t>
      </w:r>
      <w:r>
        <w:rPr>
          <w:spacing w:val="55"/>
          <w:w w:val="150"/>
        </w:rPr>
        <w:t> </w:t>
      </w:r>
      <w:r>
        <w:rPr/>
        <w:t>antihyperglycaemic</w:t>
      </w:r>
      <w:r>
        <w:rPr>
          <w:spacing w:val="54"/>
          <w:w w:val="150"/>
        </w:rPr>
        <w:t> </w:t>
      </w:r>
      <w:r>
        <w:rPr/>
        <w:t>effect</w:t>
      </w:r>
      <w:r>
        <w:rPr>
          <w:spacing w:val="57"/>
          <w:w w:val="150"/>
        </w:rPr>
        <w:t> </w:t>
      </w:r>
      <w:r>
        <w:rPr>
          <w:spacing w:val="-5"/>
        </w:rPr>
        <w:t>of</w:t>
      </w:r>
    </w:p>
    <w:p>
      <w:pPr>
        <w:spacing w:before="1"/>
        <w:ind w:left="1530" w:right="0" w:firstLine="0"/>
        <w:jc w:val="left"/>
        <w:rPr>
          <w:sz w:val="24"/>
        </w:rPr>
      </w:pPr>
      <w:r>
        <w:rPr>
          <w:i/>
          <w:sz w:val="24"/>
        </w:rPr>
        <w:t>Azadirachta</w:t>
      </w:r>
      <w:r>
        <w:rPr>
          <w:i/>
          <w:spacing w:val="-3"/>
          <w:sz w:val="24"/>
        </w:rPr>
        <w:t> </w:t>
      </w:r>
      <w:r>
        <w:rPr>
          <w:i/>
          <w:sz w:val="24"/>
        </w:rPr>
        <w:t>indica</w:t>
      </w:r>
      <w:r>
        <w:rPr>
          <w:i/>
          <w:spacing w:val="-1"/>
          <w:sz w:val="24"/>
        </w:rPr>
        <w:t> </w:t>
      </w:r>
      <w:r>
        <w:rPr>
          <w:sz w:val="24"/>
        </w:rPr>
        <w:t>leaf</w:t>
      </w:r>
      <w:r>
        <w:rPr>
          <w:spacing w:val="-1"/>
          <w:sz w:val="24"/>
        </w:rPr>
        <w:t> </w:t>
      </w:r>
      <w:r>
        <w:rPr>
          <w:sz w:val="24"/>
        </w:rPr>
        <w:t>extract, part</w:t>
      </w:r>
      <w:r>
        <w:rPr>
          <w:spacing w:val="-1"/>
          <w:sz w:val="24"/>
        </w:rPr>
        <w:t> </w:t>
      </w:r>
      <w:r>
        <w:rPr>
          <w:sz w:val="24"/>
        </w:rPr>
        <w:t>V. </w:t>
      </w:r>
      <w:r>
        <w:rPr>
          <w:i/>
          <w:sz w:val="24"/>
        </w:rPr>
        <w:t>J.</w:t>
      </w:r>
      <w:r>
        <w:rPr>
          <w:i/>
          <w:spacing w:val="59"/>
          <w:sz w:val="24"/>
        </w:rPr>
        <w:t> </w:t>
      </w:r>
      <w:r>
        <w:rPr>
          <w:i/>
          <w:sz w:val="24"/>
        </w:rPr>
        <w:t>Ethnopharmacol.,</w:t>
      </w:r>
      <w:r>
        <w:rPr>
          <w:i/>
          <w:spacing w:val="-1"/>
          <w:sz w:val="24"/>
        </w:rPr>
        <w:t> </w:t>
      </w:r>
      <w:r>
        <w:rPr>
          <w:b/>
          <w:sz w:val="24"/>
        </w:rPr>
        <w:t>67</w:t>
      </w:r>
      <w:r>
        <w:rPr>
          <w:sz w:val="24"/>
        </w:rPr>
        <w:t>: 373-</w:t>
      </w:r>
      <w:r>
        <w:rPr>
          <w:spacing w:val="-4"/>
          <w:sz w:val="24"/>
        </w:rPr>
        <w:t>376.</w:t>
      </w:r>
    </w:p>
    <w:p>
      <w:pPr>
        <w:pStyle w:val="BodyText"/>
        <w:spacing w:before="240"/>
        <w:ind w:left="1671" w:right="998" w:hanging="994"/>
        <w:jc w:val="both"/>
      </w:pPr>
      <w:r>
        <w:rPr/>
        <w:t>Chaturvedi, V. C., Shrivastava, R. and Upreti, R. K. (2004): Viral infections and trace elements: A complex interaction. Current Science </w:t>
      </w:r>
      <w:r>
        <w:rPr>
          <w:b/>
        </w:rPr>
        <w:t>87</w:t>
      </w:r>
      <w:r>
        <w:rPr/>
        <w:t>: 1536-1554.</w:t>
      </w:r>
    </w:p>
    <w:p>
      <w:pPr>
        <w:pStyle w:val="BodyText"/>
        <w:spacing w:before="240"/>
        <w:ind w:left="1671" w:right="1000" w:hanging="994"/>
        <w:jc w:val="both"/>
      </w:pPr>
      <w:r>
        <w:rPr/>
        <w:t>Cheeke, P. R. (1996): Biological effects of feed and forage saponins and their impacts on animal production. In: Saponins Used in Food and Agriculture (Editors, Waller G. and Yamasaki K.), Plenum Press, New York, 377-385.</w:t>
      </w:r>
    </w:p>
    <w:p>
      <w:pPr>
        <w:pStyle w:val="BodyText"/>
        <w:spacing w:before="240"/>
        <w:ind w:left="1671" w:right="996" w:hanging="994"/>
        <w:jc w:val="both"/>
      </w:pPr>
      <w:r>
        <w:rPr/>
        <w:t>Chen, M. D., Lin, P. Y, Tsou, C. T., Wang, J. J., Lin, W. H. (1995): Effects of Valsartan, mycophenolate mofetil trail and nuclear factor-kB expression in the kidneys of diabetic rats. </w:t>
      </w:r>
      <w:r>
        <w:rPr>
          <w:i/>
        </w:rPr>
        <w:t>J. of Biol Trace Elements Res</w:t>
      </w:r>
      <w:r>
        <w:rPr/>
        <w:t>. </w:t>
      </w:r>
      <w:r>
        <w:rPr>
          <w:b/>
        </w:rPr>
        <w:t>50</w:t>
      </w:r>
      <w:r>
        <w:rPr/>
        <w:t>: p.119.</w:t>
      </w:r>
    </w:p>
    <w:p>
      <w:pPr>
        <w:spacing w:before="241"/>
        <w:ind w:left="1530" w:right="992" w:hanging="852"/>
        <w:jc w:val="both"/>
        <w:rPr>
          <w:sz w:val="24"/>
        </w:rPr>
      </w:pPr>
      <w:r>
        <w:rPr>
          <w:sz w:val="24"/>
        </w:rPr>
        <w:t>Cherian, S. and Augusti, K.T. (1993): Antidiabetic effects of glycoside of Leucopelargonidin isolated from </w:t>
      </w:r>
      <w:r>
        <w:rPr>
          <w:i/>
          <w:sz w:val="24"/>
        </w:rPr>
        <w:t>Ficus bengalensis </w:t>
      </w:r>
      <w:r>
        <w:rPr>
          <w:sz w:val="24"/>
        </w:rPr>
        <w:t>Linn. </w:t>
      </w:r>
      <w:r>
        <w:rPr>
          <w:i/>
          <w:sz w:val="24"/>
        </w:rPr>
        <w:t>Indian J Exp Biol. </w:t>
      </w:r>
      <w:r>
        <w:rPr>
          <w:b/>
          <w:sz w:val="24"/>
        </w:rPr>
        <w:t>31</w:t>
      </w:r>
      <w:r>
        <w:rPr>
          <w:sz w:val="24"/>
        </w:rPr>
        <w:t>: </w:t>
      </w:r>
      <w:r>
        <w:rPr>
          <w:spacing w:val="-2"/>
          <w:sz w:val="24"/>
        </w:rPr>
        <w:t>26-29.</w:t>
      </w:r>
    </w:p>
    <w:p>
      <w:pPr>
        <w:spacing w:before="240"/>
        <w:ind w:left="1671" w:right="994" w:hanging="994"/>
        <w:jc w:val="both"/>
        <w:rPr>
          <w:sz w:val="24"/>
        </w:rPr>
      </w:pPr>
      <w:r>
        <w:rPr>
          <w:sz w:val="24"/>
        </w:rPr>
        <w:t>Cherian, S., Kumar, R.V., Augusti, K.T., Kidwai, J.R. (1992): Antidiabetic effects of glycoside of pelargonidin isolated from the bark of </w:t>
      </w:r>
      <w:r>
        <w:rPr>
          <w:i/>
          <w:sz w:val="24"/>
        </w:rPr>
        <w:t>Ficus bengalensis </w:t>
      </w:r>
      <w:r>
        <w:rPr>
          <w:sz w:val="24"/>
        </w:rPr>
        <w:t>Linn</w:t>
      </w:r>
      <w:r>
        <w:rPr>
          <w:i/>
          <w:sz w:val="24"/>
        </w:rPr>
        <w:t>. Indian J. Exp Biol</w:t>
      </w:r>
      <w:r>
        <w:rPr>
          <w:sz w:val="24"/>
        </w:rPr>
        <w:t>. </w:t>
      </w:r>
      <w:r>
        <w:rPr>
          <w:b/>
          <w:sz w:val="24"/>
        </w:rPr>
        <w:t>29</w:t>
      </w:r>
      <w:r>
        <w:rPr>
          <w:sz w:val="24"/>
        </w:rPr>
        <w:t>: 380-382.</w:t>
      </w:r>
    </w:p>
    <w:p>
      <w:pPr>
        <w:spacing w:after="0"/>
        <w:jc w:val="both"/>
        <w:rPr>
          <w:sz w:val="24"/>
        </w:rPr>
        <w:sectPr>
          <w:pgSz w:w="12240" w:h="15840"/>
          <w:pgMar w:header="0" w:footer="1056" w:top="1340" w:bottom="1240" w:left="1420" w:right="420"/>
        </w:sectPr>
      </w:pPr>
    </w:p>
    <w:p>
      <w:pPr>
        <w:pStyle w:val="BodyText"/>
        <w:tabs>
          <w:tab w:pos="7655" w:val="left" w:leader="none"/>
        </w:tabs>
        <w:spacing w:before="70"/>
        <w:ind w:right="240"/>
        <w:jc w:val="center"/>
      </w:pPr>
      <w:r>
        <w:rPr/>
        <mc:AlternateContent>
          <mc:Choice Requires="wps">
            <w:drawing>
              <wp:anchor distT="0" distB="0" distL="0" distR="0" allowOverlap="1" layoutInCell="1" locked="0" behindDoc="1" simplePos="0" relativeHeight="483040768">
                <wp:simplePos x="0" y="0"/>
                <wp:positionH relativeFrom="page">
                  <wp:posOffset>-1402226</wp:posOffset>
                </wp:positionH>
                <wp:positionV relativeFrom="page">
                  <wp:posOffset>4612234</wp:posOffset>
                </wp:positionV>
                <wp:extent cx="10685780" cy="91440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5712;rotation:306" type="#_x0000_t136" fillcolor="#ff5400" stroked="f">
                <o:extrusion v:ext="view" autorotationcenter="t"/>
                <v:textpath style="font-family:&quot;Arial MT&quot;;font-size:72pt;v-text-kern:t;mso-text-shadow:auto" string="UNIVERSITY OF IBADAN"/>
                <w10:wrap type="none"/>
              </v:shape>
            </w:pict>
          </mc:Fallback>
        </mc:AlternateContent>
      </w:r>
      <w:r>
        <w:rPr/>
        <w:t>Cox,</w:t>
      </w:r>
      <w:r>
        <w:rPr>
          <w:spacing w:val="22"/>
        </w:rPr>
        <w:t> </w:t>
      </w:r>
      <w:r>
        <w:rPr/>
        <w:t>P.</w:t>
      </w:r>
      <w:r>
        <w:rPr>
          <w:spacing w:val="24"/>
        </w:rPr>
        <w:t> </w:t>
      </w:r>
      <w:r>
        <w:rPr/>
        <w:t>A.</w:t>
      </w:r>
      <w:r>
        <w:rPr>
          <w:spacing w:val="23"/>
        </w:rPr>
        <w:t> </w:t>
      </w:r>
      <w:r>
        <w:rPr/>
        <w:t>and</w:t>
      </w:r>
      <w:r>
        <w:rPr>
          <w:spacing w:val="23"/>
        </w:rPr>
        <w:t> </w:t>
      </w:r>
      <w:r>
        <w:rPr/>
        <w:t>Balick,</w:t>
      </w:r>
      <w:r>
        <w:rPr>
          <w:spacing w:val="23"/>
        </w:rPr>
        <w:t> </w:t>
      </w:r>
      <w:r>
        <w:rPr/>
        <w:t>M.</w:t>
      </w:r>
      <w:r>
        <w:rPr>
          <w:spacing w:val="26"/>
        </w:rPr>
        <w:t> </w:t>
      </w:r>
      <w:r>
        <w:rPr/>
        <w:t>J.</w:t>
      </w:r>
      <w:r>
        <w:rPr>
          <w:spacing w:val="22"/>
        </w:rPr>
        <w:t> </w:t>
      </w:r>
      <w:r>
        <w:rPr/>
        <w:t>(1994):</w:t>
      </w:r>
      <w:r>
        <w:rPr>
          <w:spacing w:val="23"/>
        </w:rPr>
        <w:t> </w:t>
      </w:r>
      <w:r>
        <w:rPr/>
        <w:t>The</w:t>
      </w:r>
      <w:r>
        <w:rPr>
          <w:spacing w:val="22"/>
        </w:rPr>
        <w:t> </w:t>
      </w:r>
      <w:r>
        <w:rPr/>
        <w:t>Ethnobotanical</w:t>
      </w:r>
      <w:r>
        <w:rPr>
          <w:spacing w:val="24"/>
        </w:rPr>
        <w:t> </w:t>
      </w:r>
      <w:r>
        <w:rPr/>
        <w:t>approach</w:t>
      </w:r>
      <w:r>
        <w:rPr>
          <w:spacing w:val="25"/>
        </w:rPr>
        <w:t> </w:t>
      </w:r>
      <w:r>
        <w:rPr/>
        <w:t>to</w:t>
      </w:r>
      <w:r>
        <w:rPr>
          <w:spacing w:val="26"/>
        </w:rPr>
        <w:t> </w:t>
      </w:r>
      <w:r>
        <w:rPr>
          <w:spacing w:val="-4"/>
        </w:rPr>
        <w:t>drug</w:t>
      </w:r>
      <w:r>
        <w:rPr/>
        <w:tab/>
      </w:r>
      <w:r>
        <w:rPr>
          <w:spacing w:val="-2"/>
        </w:rPr>
        <w:t>discovery.</w:t>
      </w:r>
    </w:p>
    <w:p>
      <w:pPr>
        <w:pStyle w:val="BodyText"/>
        <w:ind w:left="1671"/>
      </w:pPr>
      <w:r>
        <w:rPr/>
        <w:t>Scientific</w:t>
      </w:r>
      <w:r>
        <w:rPr>
          <w:spacing w:val="-2"/>
        </w:rPr>
        <w:t> </w:t>
      </w:r>
      <w:r>
        <w:rPr/>
        <w:t>American,</w:t>
      </w:r>
      <w:r>
        <w:rPr>
          <w:spacing w:val="1"/>
        </w:rPr>
        <w:t> </w:t>
      </w:r>
      <w:r>
        <w:rPr>
          <w:b/>
        </w:rPr>
        <w:t>270</w:t>
      </w:r>
      <w:r>
        <w:rPr/>
        <w:t>: </w:t>
      </w:r>
      <w:r>
        <w:rPr>
          <w:spacing w:val="-5"/>
        </w:rPr>
        <w:t>60</w:t>
      </w:r>
    </w:p>
    <w:p>
      <w:pPr>
        <w:pStyle w:val="BodyText"/>
        <w:spacing w:before="240"/>
        <w:ind w:left="561" w:right="832"/>
        <w:jc w:val="center"/>
      </w:pPr>
      <w:r>
        <w:rPr/>
        <w:t>Dabis,</w:t>
      </w:r>
      <w:r>
        <w:rPr>
          <w:spacing w:val="40"/>
        </w:rPr>
        <w:t> </w:t>
      </w:r>
      <w:r>
        <w:rPr/>
        <w:t>G,</w:t>
      </w:r>
      <w:r>
        <w:rPr>
          <w:spacing w:val="40"/>
        </w:rPr>
        <w:t> </w:t>
      </w:r>
      <w:r>
        <w:rPr/>
        <w:t>Michon,</w:t>
      </w:r>
      <w:r>
        <w:rPr>
          <w:spacing w:val="40"/>
        </w:rPr>
        <w:t> </w:t>
      </w:r>
      <w:r>
        <w:rPr/>
        <w:t>D,</w:t>
      </w:r>
      <w:r>
        <w:rPr>
          <w:spacing w:val="40"/>
        </w:rPr>
        <w:t> </w:t>
      </w:r>
      <w:r>
        <w:rPr/>
        <w:t>Gazenav,</w:t>
      </w:r>
      <w:r>
        <w:rPr>
          <w:spacing w:val="40"/>
        </w:rPr>
        <w:t> </w:t>
      </w:r>
      <w:r>
        <w:rPr/>
        <w:t>J.,</w:t>
      </w:r>
      <w:r>
        <w:rPr>
          <w:spacing w:val="40"/>
        </w:rPr>
        <w:t> </w:t>
      </w:r>
      <w:r>
        <w:rPr/>
        <w:t>Ruffie</w:t>
      </w:r>
      <w:r>
        <w:rPr>
          <w:spacing w:val="40"/>
        </w:rPr>
        <w:t> </w:t>
      </w:r>
      <w:r>
        <w:rPr/>
        <w:t>A.</w:t>
      </w:r>
      <w:r>
        <w:rPr>
          <w:spacing w:val="40"/>
        </w:rPr>
        <w:t> </w:t>
      </w:r>
      <w:r>
        <w:rPr/>
        <w:t>(1984):</w:t>
      </w:r>
      <w:r>
        <w:rPr>
          <w:spacing w:val="40"/>
        </w:rPr>
        <w:t> </w:t>
      </w:r>
      <w:r>
        <w:rPr/>
        <w:t>Hypoglycemic</w:t>
      </w:r>
      <w:r>
        <w:rPr>
          <w:spacing w:val="40"/>
        </w:rPr>
        <w:t> </w:t>
      </w:r>
      <w:r>
        <w:rPr/>
        <w:t>effect</w:t>
      </w:r>
      <w:r>
        <w:rPr>
          <w:spacing w:val="40"/>
        </w:rPr>
        <w:t> </w:t>
      </w:r>
      <w:r>
        <w:rPr/>
        <w:t>of</w:t>
      </w:r>
      <w:r>
        <w:rPr>
          <w:spacing w:val="40"/>
        </w:rPr>
        <w:t> </w:t>
      </w:r>
      <w:r>
        <w:rPr/>
        <w:t>Sueda fruticosa in streptozotocin- induced diabetic rats. </w:t>
      </w:r>
      <w:r>
        <w:rPr>
          <w:i/>
        </w:rPr>
        <w:t>La vie medicale </w:t>
      </w:r>
      <w:r>
        <w:rPr>
          <w:b/>
        </w:rPr>
        <w:t>8</w:t>
      </w:r>
      <w:r>
        <w:rPr/>
        <w:t>: p.277</w:t>
      </w:r>
    </w:p>
    <w:p>
      <w:pPr>
        <w:pStyle w:val="BodyText"/>
        <w:spacing w:before="241"/>
        <w:ind w:right="274"/>
        <w:jc w:val="center"/>
      </w:pPr>
      <w:r>
        <w:rPr/>
        <w:t>Day,</w:t>
      </w:r>
      <w:r>
        <w:rPr>
          <w:spacing w:val="64"/>
        </w:rPr>
        <w:t> </w:t>
      </w:r>
      <w:r>
        <w:rPr/>
        <w:t>C.,</w:t>
      </w:r>
      <w:r>
        <w:rPr>
          <w:spacing w:val="65"/>
        </w:rPr>
        <w:t> </w:t>
      </w:r>
      <w:r>
        <w:rPr/>
        <w:t>Cartwright,</w:t>
      </w:r>
      <w:r>
        <w:rPr>
          <w:spacing w:val="65"/>
        </w:rPr>
        <w:t> </w:t>
      </w:r>
      <w:r>
        <w:rPr/>
        <w:t>T.,</w:t>
      </w:r>
      <w:r>
        <w:rPr>
          <w:spacing w:val="65"/>
        </w:rPr>
        <w:t> </w:t>
      </w:r>
      <w:r>
        <w:rPr/>
        <w:t>Provost,</w:t>
      </w:r>
      <w:r>
        <w:rPr>
          <w:spacing w:val="62"/>
        </w:rPr>
        <w:t> </w:t>
      </w:r>
      <w:r>
        <w:rPr/>
        <w:t>J.,</w:t>
      </w:r>
      <w:r>
        <w:rPr>
          <w:spacing w:val="65"/>
        </w:rPr>
        <w:t> </w:t>
      </w:r>
      <w:r>
        <w:rPr/>
        <w:t>Bailey,</w:t>
      </w:r>
      <w:r>
        <w:rPr>
          <w:spacing w:val="68"/>
        </w:rPr>
        <w:t> </w:t>
      </w:r>
      <w:r>
        <w:rPr/>
        <w:t>C.</w:t>
      </w:r>
      <w:r>
        <w:rPr>
          <w:spacing w:val="64"/>
        </w:rPr>
        <w:t> </w:t>
      </w:r>
      <w:r>
        <w:rPr/>
        <w:t>J.</w:t>
      </w:r>
      <w:r>
        <w:rPr>
          <w:spacing w:val="65"/>
        </w:rPr>
        <w:t> </w:t>
      </w:r>
      <w:r>
        <w:rPr/>
        <w:t>(1990):</w:t>
      </w:r>
      <w:r>
        <w:rPr>
          <w:spacing w:val="64"/>
        </w:rPr>
        <w:t> </w:t>
      </w:r>
      <w:r>
        <w:rPr/>
        <w:t>Hypoglycaemic</w:t>
      </w:r>
      <w:r>
        <w:rPr>
          <w:spacing w:val="65"/>
        </w:rPr>
        <w:t> </w:t>
      </w:r>
      <w:r>
        <w:rPr/>
        <w:t>effect</w:t>
      </w:r>
      <w:r>
        <w:rPr>
          <w:spacing w:val="66"/>
        </w:rPr>
        <w:t> </w:t>
      </w:r>
      <w:r>
        <w:rPr>
          <w:spacing w:val="-5"/>
        </w:rPr>
        <w:t>of</w:t>
      </w:r>
    </w:p>
    <w:p>
      <w:pPr>
        <w:spacing w:before="0"/>
        <w:ind w:left="1386" w:right="0" w:firstLine="0"/>
        <w:jc w:val="left"/>
        <w:rPr>
          <w:sz w:val="24"/>
        </w:rPr>
      </w:pPr>
      <w:r>
        <w:rPr>
          <w:i/>
          <w:sz w:val="24"/>
        </w:rPr>
        <w:t>Momordica</w:t>
      </w:r>
      <w:r>
        <w:rPr>
          <w:i/>
          <w:spacing w:val="-4"/>
          <w:sz w:val="24"/>
        </w:rPr>
        <w:t> </w:t>
      </w:r>
      <w:r>
        <w:rPr>
          <w:i/>
          <w:sz w:val="24"/>
        </w:rPr>
        <w:t>charantia </w:t>
      </w:r>
      <w:r>
        <w:rPr>
          <w:sz w:val="24"/>
        </w:rPr>
        <w:t>extracts.</w:t>
      </w:r>
      <w:r>
        <w:rPr>
          <w:spacing w:val="1"/>
          <w:sz w:val="24"/>
        </w:rPr>
        <w:t> </w:t>
      </w:r>
      <w:r>
        <w:rPr>
          <w:i/>
          <w:sz w:val="24"/>
        </w:rPr>
        <w:t>Planta</w:t>
      </w:r>
      <w:r>
        <w:rPr>
          <w:i/>
          <w:spacing w:val="-1"/>
          <w:sz w:val="24"/>
        </w:rPr>
        <w:t> </w:t>
      </w:r>
      <w:r>
        <w:rPr>
          <w:i/>
          <w:sz w:val="24"/>
        </w:rPr>
        <w:t>Med</w:t>
      </w:r>
      <w:r>
        <w:rPr>
          <w:sz w:val="24"/>
        </w:rPr>
        <w:t>.,</w:t>
      </w:r>
      <w:r>
        <w:rPr>
          <w:spacing w:val="-1"/>
          <w:sz w:val="24"/>
        </w:rPr>
        <w:t> </w:t>
      </w:r>
      <w:r>
        <w:rPr>
          <w:b/>
          <w:sz w:val="24"/>
        </w:rPr>
        <w:t>56</w:t>
      </w:r>
      <w:r>
        <w:rPr>
          <w:sz w:val="24"/>
        </w:rPr>
        <w:t>: 426-</w:t>
      </w:r>
      <w:r>
        <w:rPr>
          <w:spacing w:val="-4"/>
          <w:sz w:val="24"/>
        </w:rPr>
        <w:t>429.</w:t>
      </w:r>
    </w:p>
    <w:p>
      <w:pPr>
        <w:pStyle w:val="BodyText"/>
        <w:spacing w:before="240"/>
        <w:ind w:left="1578" w:right="1002" w:hanging="900"/>
        <w:jc w:val="both"/>
      </w:pPr>
      <w:r>
        <w:rPr/>
        <w:t>De Smet, P. A. and Brauwers, J. R. (1997): Pharmacokinetic evaluation of herbal remedies: basic introduction, applicability, current status and regulatory needs; </w:t>
      </w:r>
      <w:r>
        <w:rPr>
          <w:i/>
        </w:rPr>
        <w:t>Clinical Pharmacokinetics</w:t>
      </w:r>
      <w:r>
        <w:rPr/>
        <w:t>, Vol. </w:t>
      </w:r>
      <w:r>
        <w:rPr>
          <w:b/>
        </w:rPr>
        <w:t>32</w:t>
      </w:r>
      <w:r>
        <w:rPr/>
        <w:t>: pp. 427-436.</w:t>
      </w:r>
    </w:p>
    <w:p>
      <w:pPr>
        <w:pStyle w:val="BodyText"/>
        <w:spacing w:before="276"/>
        <w:ind w:left="1578" w:right="1679" w:hanging="900"/>
      </w:pPr>
      <w:r>
        <w:rPr/>
        <w:t>Deckert,</w:t>
      </w:r>
      <w:r>
        <w:rPr>
          <w:spacing w:val="-4"/>
        </w:rPr>
        <w:t> </w:t>
      </w:r>
      <w:r>
        <w:rPr/>
        <w:t>T.,</w:t>
      </w:r>
      <w:r>
        <w:rPr>
          <w:spacing w:val="-4"/>
        </w:rPr>
        <w:t> </w:t>
      </w:r>
      <w:r>
        <w:rPr/>
        <w:t>Poulsen,</w:t>
      </w:r>
      <w:r>
        <w:rPr>
          <w:spacing w:val="-4"/>
        </w:rPr>
        <w:t> </w:t>
      </w:r>
      <w:r>
        <w:rPr/>
        <w:t>J.</w:t>
      </w:r>
      <w:r>
        <w:rPr>
          <w:spacing w:val="-4"/>
        </w:rPr>
        <w:t> </w:t>
      </w:r>
      <w:r>
        <w:rPr/>
        <w:t>E.,</w:t>
      </w:r>
      <w:r>
        <w:rPr>
          <w:spacing w:val="-4"/>
        </w:rPr>
        <w:t> </w:t>
      </w:r>
      <w:r>
        <w:rPr/>
        <w:t>and</w:t>
      </w:r>
      <w:r>
        <w:rPr>
          <w:spacing w:val="-2"/>
        </w:rPr>
        <w:t> </w:t>
      </w:r>
      <w:r>
        <w:rPr/>
        <w:t>Larsen,</w:t>
      </w:r>
      <w:r>
        <w:rPr>
          <w:spacing w:val="-4"/>
        </w:rPr>
        <w:t> </w:t>
      </w:r>
      <w:r>
        <w:rPr/>
        <w:t>M.</w:t>
      </w:r>
      <w:r>
        <w:rPr>
          <w:spacing w:val="-2"/>
        </w:rPr>
        <w:t> </w:t>
      </w:r>
      <w:r>
        <w:rPr/>
        <w:t>(1978): Late</w:t>
      </w:r>
      <w:r>
        <w:rPr>
          <w:spacing w:val="-5"/>
        </w:rPr>
        <w:t> </w:t>
      </w:r>
      <w:r>
        <w:rPr/>
        <w:t>diabetic</w:t>
      </w:r>
      <w:r>
        <w:rPr>
          <w:spacing w:val="-5"/>
        </w:rPr>
        <w:t> </w:t>
      </w:r>
      <w:r>
        <w:rPr/>
        <w:t>manifestation</w:t>
      </w:r>
      <w:r>
        <w:rPr>
          <w:spacing w:val="-4"/>
        </w:rPr>
        <w:t> </w:t>
      </w:r>
      <w:r>
        <w:rPr/>
        <w:t>s</w:t>
      </w:r>
      <w:r>
        <w:rPr>
          <w:spacing w:val="-4"/>
        </w:rPr>
        <w:t> </w:t>
      </w:r>
      <w:r>
        <w:rPr/>
        <w:t>in pancreatogenic diabetes mellitus. </w:t>
      </w:r>
      <w:r>
        <w:rPr>
          <w:i/>
        </w:rPr>
        <w:t>Act Diabetol Lat </w:t>
      </w:r>
      <w:r>
        <w:rPr/>
        <w:t>15: 201 – 204.</w:t>
      </w:r>
    </w:p>
    <w:p>
      <w:pPr>
        <w:pStyle w:val="BodyText"/>
        <w:spacing w:before="240"/>
        <w:ind w:left="1671" w:right="994" w:hanging="994"/>
      </w:pPr>
      <w:r>
        <w:rPr/>
        <w:t>Dhar, M.L., Dhar, M.M., Dhawan, B.N., Mehrotra, B.N. and Ray, C. (1968): Screening</w:t>
      </w:r>
      <w:r>
        <w:rPr>
          <w:spacing w:val="-1"/>
        </w:rPr>
        <w:t> </w:t>
      </w:r>
      <w:r>
        <w:rPr/>
        <w:t>of Indian plants for biological activity, </w:t>
      </w:r>
      <w:r>
        <w:rPr>
          <w:i/>
        </w:rPr>
        <w:t>Indian J. of Exp Biol</w:t>
      </w:r>
      <w:r>
        <w:rPr/>
        <w:t>. </w:t>
      </w:r>
      <w:r>
        <w:rPr>
          <w:b/>
        </w:rPr>
        <w:t>6: </w:t>
      </w:r>
      <w:r>
        <w:rPr/>
        <w:t>p. 232.</w:t>
      </w:r>
    </w:p>
    <w:p>
      <w:pPr>
        <w:pStyle w:val="BodyText"/>
        <w:spacing w:line="276" w:lineRule="auto" w:before="243"/>
        <w:ind w:left="1758" w:right="994" w:hanging="1080"/>
        <w:jc w:val="both"/>
      </w:pPr>
      <w:r>
        <w:rPr/>
        <w:t>Diaz, L., Souto, C., Concheiro, A., Gomez-Amozy, L.M., Martinez-Pacheco, R.,(1986): . Evaluation of Eudragit E as excipient in tablets of dry plant extract. </w:t>
      </w:r>
      <w:r>
        <w:rPr>
          <w:i/>
        </w:rPr>
        <w:t>STP Pharma Sci</w:t>
      </w:r>
      <w:r>
        <w:rPr/>
        <w:t>. 2: p105-109.</w:t>
      </w:r>
    </w:p>
    <w:p>
      <w:pPr>
        <w:pStyle w:val="BodyText"/>
        <w:spacing w:before="236"/>
        <w:ind w:left="1530" w:right="997" w:hanging="852"/>
      </w:pPr>
      <w:r>
        <w:rPr/>
        <w:t>Donati</w:t>
      </w:r>
      <w:r>
        <w:rPr>
          <w:spacing w:val="-3"/>
        </w:rPr>
        <w:t> </w:t>
      </w:r>
      <w:r>
        <w:rPr/>
        <w:t>D.,</w:t>
      </w:r>
      <w:r>
        <w:rPr>
          <w:spacing w:val="-1"/>
        </w:rPr>
        <w:t> </w:t>
      </w:r>
      <w:r>
        <w:rPr/>
        <w:t>Lampariello, L.</w:t>
      </w:r>
      <w:r>
        <w:rPr>
          <w:spacing w:val="-3"/>
        </w:rPr>
        <w:t> </w:t>
      </w:r>
      <w:r>
        <w:rPr/>
        <w:t>R.,</w:t>
      </w:r>
      <w:r>
        <w:rPr>
          <w:spacing w:val="-3"/>
        </w:rPr>
        <w:t> </w:t>
      </w:r>
      <w:r>
        <w:rPr/>
        <w:t>Pagani,</w:t>
      </w:r>
      <w:r>
        <w:rPr>
          <w:spacing w:val="-2"/>
        </w:rPr>
        <w:t> </w:t>
      </w:r>
      <w:r>
        <w:rPr/>
        <w:t>R.,</w:t>
      </w:r>
      <w:r>
        <w:rPr>
          <w:spacing w:val="-3"/>
        </w:rPr>
        <w:t> </w:t>
      </w:r>
      <w:r>
        <w:rPr/>
        <w:t>Guerranti,</w:t>
      </w:r>
      <w:r>
        <w:rPr>
          <w:spacing w:val="-2"/>
        </w:rPr>
        <w:t> </w:t>
      </w:r>
      <w:r>
        <w:rPr/>
        <w:t>R.,</w:t>
      </w:r>
      <w:r>
        <w:rPr>
          <w:spacing w:val="-3"/>
        </w:rPr>
        <w:t> </w:t>
      </w:r>
      <w:r>
        <w:rPr/>
        <w:t>Cinci,</w:t>
      </w:r>
      <w:r>
        <w:rPr>
          <w:spacing w:val="-3"/>
        </w:rPr>
        <w:t> </w:t>
      </w:r>
      <w:r>
        <w:rPr/>
        <w:t>G.,</w:t>
      </w:r>
      <w:r>
        <w:rPr>
          <w:spacing w:val="-3"/>
        </w:rPr>
        <w:t> </w:t>
      </w:r>
      <w:r>
        <w:rPr/>
        <w:t>Marinello,</w:t>
      </w:r>
      <w:r>
        <w:rPr>
          <w:spacing w:val="-3"/>
        </w:rPr>
        <w:t> </w:t>
      </w:r>
      <w:r>
        <w:rPr/>
        <w:t>E.</w:t>
      </w:r>
      <w:r>
        <w:rPr>
          <w:spacing w:val="-3"/>
        </w:rPr>
        <w:t> </w:t>
      </w:r>
      <w:r>
        <w:rPr/>
        <w:t>(2005):</w:t>
      </w:r>
      <w:r>
        <w:rPr>
          <w:spacing w:val="-2"/>
        </w:rPr>
        <w:t> </w:t>
      </w:r>
      <w:r>
        <w:rPr>
          <w:i/>
        </w:rPr>
        <w:t>J. of Phyto Res. </w:t>
      </w:r>
      <w:r>
        <w:rPr>
          <w:b/>
        </w:rPr>
        <w:t>19</w:t>
      </w:r>
      <w:r>
        <w:rPr/>
        <w:t>: p.1057-1060</w:t>
      </w:r>
    </w:p>
    <w:p>
      <w:pPr>
        <w:pStyle w:val="BodyText"/>
        <w:spacing w:before="240"/>
        <w:ind w:left="1671" w:right="994" w:hanging="994"/>
        <w:jc w:val="both"/>
      </w:pPr>
      <w:r>
        <w:rPr/>
        <w:t>Doumas, B. T., Watson, W. A., and Biggs, H. G (1971): Albumin standards and the measurement of serum albumin with bromocresol green. </w:t>
      </w:r>
      <w:r>
        <w:rPr>
          <w:i/>
        </w:rPr>
        <w:t>Clin. Chin. Acta </w:t>
      </w:r>
      <w:r>
        <w:rPr>
          <w:b/>
        </w:rPr>
        <w:t>31</w:t>
      </w:r>
      <w:r>
        <w:rPr/>
        <w:t>: </w:t>
      </w:r>
      <w:r>
        <w:rPr>
          <w:spacing w:val="-2"/>
        </w:rPr>
        <w:t>87-89.</w:t>
      </w:r>
    </w:p>
    <w:p>
      <w:pPr>
        <w:pStyle w:val="BodyText"/>
        <w:spacing w:before="240"/>
      </w:pPr>
    </w:p>
    <w:p>
      <w:pPr>
        <w:pStyle w:val="BodyText"/>
        <w:ind w:left="1810" w:right="997" w:hanging="1133"/>
      </w:pPr>
      <w:r>
        <w:rPr/>
        <w:t>Dubey,</w:t>
      </w:r>
      <w:r>
        <w:rPr>
          <w:spacing w:val="27"/>
        </w:rPr>
        <w:t> </w:t>
      </w:r>
      <w:r>
        <w:rPr/>
        <w:t>G.</w:t>
      </w:r>
      <w:r>
        <w:rPr>
          <w:spacing w:val="27"/>
        </w:rPr>
        <w:t> </w:t>
      </w:r>
      <w:r>
        <w:rPr/>
        <w:t>P.,</w:t>
      </w:r>
      <w:r>
        <w:rPr>
          <w:spacing w:val="27"/>
        </w:rPr>
        <w:t> </w:t>
      </w:r>
      <w:r>
        <w:rPr/>
        <w:t>Dixit,</w:t>
      </w:r>
      <w:r>
        <w:rPr>
          <w:spacing w:val="25"/>
        </w:rPr>
        <w:t> </w:t>
      </w:r>
      <w:r>
        <w:rPr/>
        <w:t>S.</w:t>
      </w:r>
      <w:r>
        <w:rPr>
          <w:spacing w:val="23"/>
        </w:rPr>
        <w:t> </w:t>
      </w:r>
      <w:r>
        <w:rPr/>
        <w:t>P.,</w:t>
      </w:r>
      <w:r>
        <w:rPr>
          <w:spacing w:val="27"/>
        </w:rPr>
        <w:t> </w:t>
      </w:r>
      <w:r>
        <w:rPr/>
        <w:t>Singh,</w:t>
      </w:r>
      <w:r>
        <w:rPr>
          <w:spacing w:val="27"/>
        </w:rPr>
        <w:t> </w:t>
      </w:r>
      <w:r>
        <w:rPr/>
        <w:t>A.</w:t>
      </w:r>
      <w:r>
        <w:rPr>
          <w:spacing w:val="27"/>
        </w:rPr>
        <w:t> </w:t>
      </w:r>
      <w:r>
        <w:rPr/>
        <w:t>(1954):</w:t>
      </w:r>
      <w:r>
        <w:rPr>
          <w:spacing w:val="27"/>
        </w:rPr>
        <w:t> </w:t>
      </w:r>
      <w:r>
        <w:rPr/>
        <w:t>Alloxan</w:t>
      </w:r>
      <w:r>
        <w:rPr>
          <w:spacing w:val="32"/>
        </w:rPr>
        <w:t> </w:t>
      </w:r>
      <w:r>
        <w:rPr/>
        <w:t>–</w:t>
      </w:r>
      <w:r>
        <w:rPr>
          <w:spacing w:val="25"/>
        </w:rPr>
        <w:t> </w:t>
      </w:r>
      <w:r>
        <w:rPr/>
        <w:t>induced</w:t>
      </w:r>
      <w:r>
        <w:rPr>
          <w:spacing w:val="27"/>
        </w:rPr>
        <w:t> </w:t>
      </w:r>
      <w:r>
        <w:rPr/>
        <w:t>diabetes</w:t>
      </w:r>
      <w:r>
        <w:rPr>
          <w:spacing w:val="27"/>
        </w:rPr>
        <w:t> </w:t>
      </w:r>
      <w:r>
        <w:rPr/>
        <w:t>in</w:t>
      </w:r>
      <w:r>
        <w:rPr>
          <w:spacing w:val="28"/>
        </w:rPr>
        <w:t> </w:t>
      </w:r>
      <w:r>
        <w:rPr/>
        <w:t>rabbits</w:t>
      </w:r>
      <w:r>
        <w:rPr>
          <w:spacing w:val="28"/>
        </w:rPr>
        <w:t> </w:t>
      </w:r>
      <w:r>
        <w:rPr/>
        <w:t>and effect of an herbal formation D – 400, </w:t>
      </w:r>
      <w:r>
        <w:rPr>
          <w:i/>
        </w:rPr>
        <w:t>Indian J. Pharm</w:t>
      </w:r>
      <w:r>
        <w:rPr/>
        <w:t>. 26: 225 – 226.</w:t>
      </w:r>
    </w:p>
    <w:p>
      <w:pPr>
        <w:pStyle w:val="BodyText"/>
        <w:spacing w:before="240"/>
        <w:ind w:left="1810" w:right="1041" w:hanging="1133"/>
      </w:pPr>
      <w:r>
        <w:rPr/>
        <w:t>Dubois, H. F. W. and Bankauskaite, V. (2005): Type 2 diabetes programme in Europe. </w:t>
      </w:r>
      <w:r>
        <w:rPr>
          <w:i/>
        </w:rPr>
        <w:t>J</w:t>
      </w:r>
      <w:r>
        <w:rPr/>
        <w:t>. </w:t>
      </w:r>
      <w:r>
        <w:rPr>
          <w:i/>
        </w:rPr>
        <w:t>Euro Observer, </w:t>
      </w:r>
      <w:r>
        <w:rPr>
          <w:b/>
        </w:rPr>
        <w:t>7</w:t>
      </w:r>
      <w:r>
        <w:rPr/>
        <w:t>(2) 5-6.</w:t>
      </w:r>
    </w:p>
    <w:p>
      <w:pPr>
        <w:pStyle w:val="BodyText"/>
        <w:spacing w:before="240"/>
        <w:ind w:left="1810" w:right="997" w:hanging="1133"/>
      </w:pPr>
      <w:r>
        <w:rPr/>
        <w:t>Duke,</w:t>
      </w:r>
      <w:r>
        <w:rPr>
          <w:spacing w:val="37"/>
        </w:rPr>
        <w:t> </w:t>
      </w:r>
      <w:r>
        <w:rPr/>
        <w:t>J.</w:t>
      </w:r>
      <w:r>
        <w:rPr>
          <w:spacing w:val="37"/>
        </w:rPr>
        <w:t> </w:t>
      </w:r>
      <w:r>
        <w:rPr/>
        <w:t>A.</w:t>
      </w:r>
      <w:r>
        <w:rPr>
          <w:spacing w:val="37"/>
        </w:rPr>
        <w:t> </w:t>
      </w:r>
      <w:r>
        <w:rPr/>
        <w:t>(1981):</w:t>
      </w:r>
      <w:r>
        <w:rPr>
          <w:spacing w:val="37"/>
        </w:rPr>
        <w:t> </w:t>
      </w:r>
      <w:r>
        <w:rPr/>
        <w:t>Handbook</w:t>
      </w:r>
      <w:r>
        <w:rPr>
          <w:spacing w:val="37"/>
        </w:rPr>
        <w:t> </w:t>
      </w:r>
      <w:r>
        <w:rPr/>
        <w:t>of</w:t>
      </w:r>
      <w:r>
        <w:rPr>
          <w:spacing w:val="36"/>
        </w:rPr>
        <w:t> </w:t>
      </w:r>
      <w:r>
        <w:rPr/>
        <w:t>legumes</w:t>
      </w:r>
      <w:r>
        <w:rPr>
          <w:spacing w:val="37"/>
        </w:rPr>
        <w:t> </w:t>
      </w:r>
      <w:r>
        <w:rPr/>
        <w:t>of</w:t>
      </w:r>
      <w:r>
        <w:rPr>
          <w:spacing w:val="39"/>
        </w:rPr>
        <w:t> </w:t>
      </w:r>
      <w:r>
        <w:rPr/>
        <w:t>world</w:t>
      </w:r>
      <w:r>
        <w:rPr>
          <w:spacing w:val="38"/>
        </w:rPr>
        <w:t> </w:t>
      </w:r>
      <w:r>
        <w:rPr/>
        <w:t>economic</w:t>
      </w:r>
      <w:r>
        <w:rPr>
          <w:spacing w:val="36"/>
        </w:rPr>
        <w:t> </w:t>
      </w:r>
      <w:r>
        <w:rPr/>
        <w:t>importance.</w:t>
      </w:r>
      <w:r>
        <w:rPr>
          <w:spacing w:val="37"/>
        </w:rPr>
        <w:t> </w:t>
      </w:r>
      <w:r>
        <w:rPr/>
        <w:t>New</w:t>
      </w:r>
      <w:r>
        <w:rPr>
          <w:spacing w:val="37"/>
        </w:rPr>
        <w:t> </w:t>
      </w:r>
      <w:r>
        <w:rPr/>
        <w:t>York, Plenum press.</w:t>
      </w:r>
    </w:p>
    <w:p>
      <w:pPr>
        <w:pStyle w:val="BodyText"/>
        <w:spacing w:before="241"/>
        <w:ind w:left="1530" w:right="993" w:hanging="852"/>
        <w:jc w:val="both"/>
      </w:pPr>
      <w:r>
        <w:rPr/>
        <w:t>Ebelt, H., Peschke, D., Bromme, H.j., Morke, W., Blume, R., Peschke, E. (2000): Influence of melatonin on free radical-induced changes in rat pancreatic beta- cells in vitro. </w:t>
      </w:r>
      <w:r>
        <w:rPr>
          <w:i/>
        </w:rPr>
        <w:t>J Pineal Res </w:t>
      </w:r>
      <w:r>
        <w:rPr>
          <w:b/>
        </w:rPr>
        <w:t>28</w:t>
      </w:r>
      <w:r>
        <w:rPr/>
        <w:t>: 65-72.</w:t>
      </w:r>
    </w:p>
    <w:p>
      <w:pPr>
        <w:pStyle w:val="BodyText"/>
        <w:spacing w:before="240"/>
        <w:ind w:left="1578" w:right="993" w:hanging="900"/>
        <w:jc w:val="both"/>
      </w:pPr>
      <w:r>
        <w:rPr/>
        <w:t>Eberhart, M. S., Ogden, C., Engelgau, M., Cadwell, B., Hedley, A. A, Saydah, S. H. (2004): Prevalence of Overweight and Obesity Among Adults with Diagnosed Diabetes-United States, 1988-1994 and 1999-2002. Morbidity Mortality Weekly Rep. </w:t>
      </w:r>
      <w:r>
        <w:rPr>
          <w:b/>
        </w:rPr>
        <w:t>53</w:t>
      </w:r>
      <w:r>
        <w:rPr/>
        <w:t>(45): 1066-1068.</w:t>
      </w:r>
    </w:p>
    <w:p>
      <w:pPr>
        <w:spacing w:after="0"/>
        <w:jc w:val="both"/>
        <w:sectPr>
          <w:pgSz w:w="12240" w:h="15840"/>
          <w:pgMar w:header="0" w:footer="1056" w:top="1340" w:bottom="1240" w:left="1420" w:right="420"/>
        </w:sectPr>
      </w:pPr>
    </w:p>
    <w:p>
      <w:pPr>
        <w:pStyle w:val="BodyText"/>
        <w:spacing w:before="66"/>
        <w:ind w:left="678"/>
      </w:pPr>
      <w:r>
        <w:rPr/>
        <mc:AlternateContent>
          <mc:Choice Requires="wps">
            <w:drawing>
              <wp:anchor distT="0" distB="0" distL="0" distR="0" allowOverlap="1" layoutInCell="1" locked="0" behindDoc="1" simplePos="0" relativeHeight="483041280">
                <wp:simplePos x="0" y="0"/>
                <wp:positionH relativeFrom="page">
                  <wp:posOffset>-1402226</wp:posOffset>
                </wp:positionH>
                <wp:positionV relativeFrom="page">
                  <wp:posOffset>4612234</wp:posOffset>
                </wp:positionV>
                <wp:extent cx="10685780" cy="91440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5200;rotation:306" type="#_x0000_t136" fillcolor="#ff5400" stroked="f">
                <o:extrusion v:ext="view" autorotationcenter="t"/>
                <v:textpath style="font-family:&quot;Arial MT&quot;;font-size:72pt;v-text-kern:t;mso-text-shadow:auto" string="UNIVERSITY OF IBADAN"/>
                <w10:wrap type="none"/>
              </v:shape>
            </w:pict>
          </mc:Fallback>
        </mc:AlternateContent>
      </w:r>
      <w:r>
        <w:rPr/>
        <w:t>Ellenberg,</w:t>
      </w:r>
      <w:r>
        <w:rPr>
          <w:spacing w:val="-3"/>
        </w:rPr>
        <w:t> </w:t>
      </w:r>
      <w:r>
        <w:rPr/>
        <w:t>M.</w:t>
      </w:r>
      <w:r>
        <w:rPr>
          <w:spacing w:val="-1"/>
        </w:rPr>
        <w:t> </w:t>
      </w:r>
      <w:r>
        <w:rPr/>
        <w:t>(1974):</w:t>
      </w:r>
      <w:r>
        <w:rPr>
          <w:spacing w:val="-1"/>
        </w:rPr>
        <w:t> </w:t>
      </w:r>
      <w:r>
        <w:rPr/>
        <w:t>Diabetic</w:t>
      </w:r>
      <w:r>
        <w:rPr>
          <w:spacing w:val="-2"/>
        </w:rPr>
        <w:t> </w:t>
      </w:r>
      <w:r>
        <w:rPr/>
        <w:t>neuropathic</w:t>
      </w:r>
      <w:r>
        <w:rPr>
          <w:spacing w:val="-2"/>
        </w:rPr>
        <w:t> </w:t>
      </w:r>
      <w:r>
        <w:rPr/>
        <w:t>cachexia.</w:t>
      </w:r>
      <w:r>
        <w:rPr>
          <w:spacing w:val="2"/>
        </w:rPr>
        <w:t> </w:t>
      </w:r>
      <w:r>
        <w:rPr>
          <w:i/>
        </w:rPr>
        <w:t>Diabetes</w:t>
      </w:r>
      <w:r>
        <w:rPr>
          <w:i/>
          <w:spacing w:val="-2"/>
        </w:rPr>
        <w:t> </w:t>
      </w:r>
      <w:r>
        <w:rPr>
          <w:b/>
        </w:rPr>
        <w:t>23</w:t>
      </w:r>
      <w:r>
        <w:rPr/>
        <w:t>: 418-</w:t>
      </w:r>
      <w:r>
        <w:rPr>
          <w:spacing w:val="-4"/>
        </w:rPr>
        <w:t>423.</w:t>
      </w:r>
    </w:p>
    <w:p>
      <w:pPr>
        <w:pStyle w:val="BodyText"/>
      </w:pPr>
    </w:p>
    <w:p>
      <w:pPr>
        <w:pStyle w:val="BodyText"/>
        <w:ind w:left="1386" w:right="995" w:hanging="708"/>
        <w:jc w:val="both"/>
      </w:pPr>
      <w:r>
        <w:rPr/>
        <w:t>Esders, T. W. and Michrina, C. A. (1979): Purification and properties of L – alpha- glycerophosphate oxidase from </w:t>
      </w:r>
      <w:r>
        <w:rPr>
          <w:i/>
        </w:rPr>
        <w:t>Streptococcus faecium </w:t>
      </w:r>
      <w:r>
        <w:rPr/>
        <w:t>AJCC 12755. JBC, Vol. 254, issue 8, 2710 – 2715.</w:t>
      </w:r>
    </w:p>
    <w:p>
      <w:pPr>
        <w:pStyle w:val="BodyText"/>
      </w:pPr>
    </w:p>
    <w:p>
      <w:pPr>
        <w:spacing w:before="1"/>
        <w:ind w:left="1386" w:right="996" w:hanging="708"/>
        <w:jc w:val="both"/>
        <w:rPr>
          <w:sz w:val="24"/>
        </w:rPr>
      </w:pPr>
      <w:r>
        <w:rPr>
          <w:sz w:val="24"/>
        </w:rPr>
        <w:t>Esezobo, S. and Ambujam, V. (1982): An evaluation of starch obtained from plantain </w:t>
      </w:r>
      <w:r>
        <w:rPr>
          <w:i/>
          <w:sz w:val="24"/>
        </w:rPr>
        <w:t>Musa parasidisiaca </w:t>
      </w:r>
      <w:r>
        <w:rPr>
          <w:sz w:val="24"/>
        </w:rPr>
        <w:t>as binder and disintegrant for compressed tablets. </w:t>
      </w:r>
      <w:r>
        <w:rPr>
          <w:i/>
          <w:sz w:val="24"/>
        </w:rPr>
        <w:t>J. Pharm. Pharmacol</w:t>
      </w:r>
      <w:r>
        <w:rPr>
          <w:sz w:val="24"/>
        </w:rPr>
        <w:t>., </w:t>
      </w:r>
      <w:r>
        <w:rPr>
          <w:b/>
          <w:sz w:val="24"/>
        </w:rPr>
        <w:t>34</w:t>
      </w:r>
      <w:r>
        <w:rPr>
          <w:sz w:val="24"/>
        </w:rPr>
        <w:t>: 761 - 765.</w:t>
      </w:r>
    </w:p>
    <w:p>
      <w:pPr>
        <w:pStyle w:val="BodyText"/>
        <w:spacing w:before="239"/>
      </w:pPr>
    </w:p>
    <w:p>
      <w:pPr>
        <w:pStyle w:val="BodyText"/>
        <w:spacing w:before="1"/>
        <w:ind w:left="1386" w:right="994" w:hanging="708"/>
        <w:jc w:val="both"/>
      </w:pPr>
      <w:r>
        <w:rPr/>
        <w:t>Esezobo, S. and Pilpel, N. (1976): Some formulations factors affecting tensile strength, disintegration and dissolution of uncoated oxytetracycline tablets. </w:t>
      </w:r>
      <w:r>
        <w:rPr>
          <w:i/>
        </w:rPr>
        <w:t>J. Pharm</w:t>
      </w:r>
      <w:r>
        <w:rPr/>
        <w:t>. </w:t>
      </w:r>
      <w:r>
        <w:rPr>
          <w:i/>
        </w:rPr>
        <w:t>Pharmacol</w:t>
      </w:r>
      <w:r>
        <w:rPr/>
        <w:t>., </w:t>
      </w:r>
      <w:r>
        <w:rPr>
          <w:b/>
        </w:rPr>
        <w:t>28</w:t>
      </w:r>
      <w:r>
        <w:rPr/>
        <w:t>: 8 - 16.</w:t>
      </w:r>
    </w:p>
    <w:p>
      <w:pPr>
        <w:pStyle w:val="BodyText"/>
        <w:spacing w:before="240"/>
        <w:ind w:left="1530" w:right="1001" w:hanging="852"/>
        <w:jc w:val="both"/>
      </w:pPr>
      <w:r>
        <w:rPr/>
        <w:t>Esezobo, S. and Pilpel, N. (1977): Moisture and gelatin effects on the interparticle attractive</w:t>
      </w:r>
      <w:r>
        <w:rPr>
          <w:spacing w:val="3"/>
        </w:rPr>
        <w:t> </w:t>
      </w:r>
      <w:r>
        <w:rPr/>
        <w:t>forces</w:t>
      </w:r>
      <w:r>
        <w:rPr>
          <w:spacing w:val="7"/>
        </w:rPr>
        <w:t> </w:t>
      </w:r>
      <w:r>
        <w:rPr/>
        <w:t>and</w:t>
      </w:r>
      <w:r>
        <w:rPr>
          <w:spacing w:val="7"/>
        </w:rPr>
        <w:t> </w:t>
      </w:r>
      <w:r>
        <w:rPr/>
        <w:t>the</w:t>
      </w:r>
      <w:r>
        <w:rPr>
          <w:spacing w:val="6"/>
        </w:rPr>
        <w:t> </w:t>
      </w:r>
      <w:r>
        <w:rPr/>
        <w:t>compression</w:t>
      </w:r>
      <w:r>
        <w:rPr>
          <w:spacing w:val="7"/>
        </w:rPr>
        <w:t> </w:t>
      </w:r>
      <w:r>
        <w:rPr/>
        <w:t>behaviour</w:t>
      </w:r>
      <w:r>
        <w:rPr>
          <w:spacing w:val="7"/>
        </w:rPr>
        <w:t> </w:t>
      </w:r>
      <w:r>
        <w:rPr/>
        <w:t>of</w:t>
      </w:r>
      <w:r>
        <w:rPr>
          <w:spacing w:val="6"/>
        </w:rPr>
        <w:t> </w:t>
      </w:r>
      <w:r>
        <w:rPr/>
        <w:t>oxytetracycline</w:t>
      </w:r>
      <w:r>
        <w:rPr>
          <w:spacing w:val="73"/>
        </w:rPr>
        <w:t> </w:t>
      </w:r>
      <w:r>
        <w:rPr>
          <w:spacing w:val="-2"/>
        </w:rPr>
        <w:t>formulations.</w:t>
      </w:r>
    </w:p>
    <w:p>
      <w:pPr>
        <w:spacing w:before="0"/>
        <w:ind w:left="1530" w:right="0" w:firstLine="0"/>
        <w:jc w:val="left"/>
        <w:rPr>
          <w:sz w:val="24"/>
        </w:rPr>
      </w:pPr>
      <w:r>
        <w:rPr>
          <w:i/>
          <w:sz w:val="24"/>
        </w:rPr>
        <w:t>J.</w:t>
      </w:r>
      <w:r>
        <w:rPr>
          <w:i/>
          <w:spacing w:val="-1"/>
          <w:sz w:val="24"/>
        </w:rPr>
        <w:t> </w:t>
      </w:r>
      <w:r>
        <w:rPr>
          <w:i/>
          <w:sz w:val="24"/>
        </w:rPr>
        <w:t>Pharm. Pharmacol</w:t>
      </w:r>
      <w:r>
        <w:rPr>
          <w:sz w:val="24"/>
        </w:rPr>
        <w:t>., </w:t>
      </w:r>
      <w:r>
        <w:rPr>
          <w:b/>
          <w:sz w:val="24"/>
        </w:rPr>
        <w:t>29</w:t>
      </w:r>
      <w:r>
        <w:rPr>
          <w:sz w:val="24"/>
        </w:rPr>
        <w:t>: 75 -</w:t>
      </w:r>
      <w:r>
        <w:rPr>
          <w:spacing w:val="-1"/>
          <w:sz w:val="24"/>
        </w:rPr>
        <w:t> </w:t>
      </w:r>
      <w:r>
        <w:rPr>
          <w:spacing w:val="-5"/>
          <w:sz w:val="24"/>
        </w:rPr>
        <w:t>81.</w:t>
      </w:r>
    </w:p>
    <w:p>
      <w:pPr>
        <w:spacing w:before="240"/>
        <w:ind w:left="1578" w:right="994" w:hanging="900"/>
        <w:jc w:val="both"/>
        <w:rPr>
          <w:sz w:val="24"/>
        </w:rPr>
      </w:pPr>
      <w:r>
        <w:rPr>
          <w:sz w:val="24"/>
        </w:rPr>
        <w:t>Esimone,</w:t>
      </w:r>
      <w:r>
        <w:rPr>
          <w:spacing w:val="-9"/>
          <w:sz w:val="24"/>
        </w:rPr>
        <w:t> </w:t>
      </w:r>
      <w:r>
        <w:rPr>
          <w:sz w:val="24"/>
        </w:rPr>
        <w:t>C.O.,</w:t>
      </w:r>
      <w:r>
        <w:rPr>
          <w:spacing w:val="-9"/>
          <w:sz w:val="24"/>
        </w:rPr>
        <w:t> </w:t>
      </w:r>
      <w:r>
        <w:rPr>
          <w:sz w:val="24"/>
        </w:rPr>
        <w:t>Nwafor,</w:t>
      </w:r>
      <w:r>
        <w:rPr>
          <w:spacing w:val="-7"/>
          <w:sz w:val="24"/>
        </w:rPr>
        <w:t> </w:t>
      </w:r>
      <w:r>
        <w:rPr>
          <w:sz w:val="24"/>
        </w:rPr>
        <w:t>S.V.,</w:t>
      </w:r>
      <w:r>
        <w:rPr>
          <w:spacing w:val="-9"/>
          <w:sz w:val="24"/>
        </w:rPr>
        <w:t> </w:t>
      </w:r>
      <w:r>
        <w:rPr>
          <w:sz w:val="24"/>
        </w:rPr>
        <w:t>Okoli,</w:t>
      </w:r>
      <w:r>
        <w:rPr>
          <w:spacing w:val="-8"/>
          <w:sz w:val="24"/>
        </w:rPr>
        <w:t> </w:t>
      </w:r>
      <w:r>
        <w:rPr>
          <w:sz w:val="24"/>
        </w:rPr>
        <w:t>C.O</w:t>
      </w:r>
      <w:r>
        <w:rPr>
          <w:i/>
          <w:sz w:val="24"/>
        </w:rPr>
        <w:t>.</w:t>
      </w:r>
      <w:r>
        <w:rPr>
          <w:i/>
          <w:spacing w:val="-9"/>
          <w:sz w:val="24"/>
        </w:rPr>
        <w:t> </w:t>
      </w:r>
      <w:r>
        <w:rPr>
          <w:i/>
          <w:sz w:val="24"/>
        </w:rPr>
        <w:t>et</w:t>
      </w:r>
      <w:r>
        <w:rPr>
          <w:i/>
          <w:spacing w:val="-8"/>
          <w:sz w:val="24"/>
        </w:rPr>
        <w:t> </w:t>
      </w:r>
      <w:r>
        <w:rPr>
          <w:i/>
          <w:sz w:val="24"/>
        </w:rPr>
        <w:t>al</w:t>
      </w:r>
      <w:r>
        <w:rPr>
          <w:sz w:val="24"/>
        </w:rPr>
        <w:t>.,</w:t>
      </w:r>
      <w:r>
        <w:rPr>
          <w:spacing w:val="-9"/>
          <w:sz w:val="24"/>
        </w:rPr>
        <w:t> </w:t>
      </w:r>
      <w:r>
        <w:rPr>
          <w:sz w:val="24"/>
        </w:rPr>
        <w:t>(2002):</w:t>
      </w:r>
      <w:r>
        <w:rPr>
          <w:spacing w:val="-8"/>
          <w:sz w:val="24"/>
        </w:rPr>
        <w:t> </w:t>
      </w:r>
      <w:r>
        <w:rPr>
          <w:sz w:val="24"/>
        </w:rPr>
        <w:t>―</w:t>
      </w:r>
      <w:r>
        <w:rPr>
          <w:i/>
          <w:sz w:val="24"/>
        </w:rPr>
        <w:t>In</w:t>
      </w:r>
      <w:r>
        <w:rPr>
          <w:i/>
          <w:spacing w:val="-7"/>
          <w:sz w:val="24"/>
        </w:rPr>
        <w:t> </w:t>
      </w:r>
      <w:r>
        <w:rPr>
          <w:i/>
          <w:sz w:val="24"/>
        </w:rPr>
        <w:t>vivo</w:t>
      </w:r>
      <w:r>
        <w:rPr>
          <w:i/>
          <w:spacing w:val="-6"/>
          <w:sz w:val="24"/>
        </w:rPr>
        <w:t> </w:t>
      </w:r>
      <w:r>
        <w:rPr>
          <w:sz w:val="24"/>
        </w:rPr>
        <w:t>evaluation</w:t>
      </w:r>
      <w:r>
        <w:rPr>
          <w:spacing w:val="-9"/>
          <w:sz w:val="24"/>
        </w:rPr>
        <w:t> </w:t>
      </w:r>
      <w:r>
        <w:rPr>
          <w:sz w:val="24"/>
        </w:rPr>
        <w:t>of</w:t>
      </w:r>
      <w:r>
        <w:rPr>
          <w:spacing w:val="-9"/>
          <w:sz w:val="24"/>
        </w:rPr>
        <w:t> </w:t>
      </w:r>
      <w:r>
        <w:rPr>
          <w:sz w:val="24"/>
        </w:rPr>
        <w:t>interaction </w:t>
      </w:r>
      <w:r>
        <w:rPr>
          <w:w w:val="105"/>
          <w:sz w:val="24"/>
        </w:rPr>
        <w:t>between</w:t>
      </w:r>
      <w:r>
        <w:rPr>
          <w:w w:val="105"/>
          <w:sz w:val="24"/>
        </w:rPr>
        <w:t> aqueous</w:t>
      </w:r>
      <w:r>
        <w:rPr>
          <w:w w:val="105"/>
          <w:sz w:val="24"/>
        </w:rPr>
        <w:t> seed</w:t>
      </w:r>
      <w:r>
        <w:rPr>
          <w:w w:val="105"/>
          <w:sz w:val="24"/>
        </w:rPr>
        <w:t> extract</w:t>
      </w:r>
      <w:r>
        <w:rPr>
          <w:w w:val="105"/>
          <w:sz w:val="24"/>
        </w:rPr>
        <w:t> of</w:t>
      </w:r>
      <w:r>
        <w:rPr>
          <w:w w:val="105"/>
          <w:sz w:val="24"/>
        </w:rPr>
        <w:t> </w:t>
      </w:r>
      <w:r>
        <w:rPr>
          <w:i/>
          <w:w w:val="105"/>
          <w:sz w:val="24"/>
        </w:rPr>
        <w:t>Garcinia</w:t>
      </w:r>
      <w:r>
        <w:rPr>
          <w:i/>
          <w:w w:val="105"/>
          <w:sz w:val="24"/>
        </w:rPr>
        <w:t> kola</w:t>
      </w:r>
      <w:r>
        <w:rPr>
          <w:i/>
          <w:w w:val="105"/>
          <w:sz w:val="24"/>
        </w:rPr>
        <w:t> </w:t>
      </w:r>
      <w:r>
        <w:rPr>
          <w:w w:val="105"/>
          <w:sz w:val="24"/>
        </w:rPr>
        <w:t>Heckel</w:t>
      </w:r>
      <w:r>
        <w:rPr>
          <w:w w:val="105"/>
          <w:sz w:val="24"/>
        </w:rPr>
        <w:t> and</w:t>
      </w:r>
      <w:r>
        <w:rPr>
          <w:w w:val="105"/>
          <w:sz w:val="24"/>
        </w:rPr>
        <w:t> ciprofloxacin hydrochloride‖.,</w:t>
      </w:r>
      <w:r>
        <w:rPr>
          <w:spacing w:val="-16"/>
          <w:w w:val="105"/>
          <w:sz w:val="24"/>
        </w:rPr>
        <w:t> </w:t>
      </w:r>
      <w:r>
        <w:rPr>
          <w:i/>
          <w:w w:val="105"/>
          <w:sz w:val="24"/>
        </w:rPr>
        <w:t>American</w:t>
      </w:r>
      <w:r>
        <w:rPr>
          <w:i/>
          <w:spacing w:val="-16"/>
          <w:w w:val="105"/>
          <w:sz w:val="24"/>
        </w:rPr>
        <w:t> </w:t>
      </w:r>
      <w:r>
        <w:rPr>
          <w:i/>
          <w:w w:val="105"/>
          <w:sz w:val="24"/>
        </w:rPr>
        <w:t>Journal</w:t>
      </w:r>
      <w:r>
        <w:rPr>
          <w:i/>
          <w:spacing w:val="-16"/>
          <w:w w:val="105"/>
          <w:sz w:val="24"/>
        </w:rPr>
        <w:t> </w:t>
      </w:r>
      <w:r>
        <w:rPr>
          <w:i/>
          <w:w w:val="105"/>
          <w:sz w:val="24"/>
        </w:rPr>
        <w:t>of</w:t>
      </w:r>
      <w:r>
        <w:rPr>
          <w:i/>
          <w:spacing w:val="-15"/>
          <w:w w:val="105"/>
          <w:sz w:val="24"/>
        </w:rPr>
        <w:t> </w:t>
      </w:r>
      <w:r>
        <w:rPr>
          <w:i/>
          <w:w w:val="105"/>
          <w:sz w:val="24"/>
        </w:rPr>
        <w:t>Therapeutics</w:t>
      </w:r>
      <w:r>
        <w:rPr>
          <w:w w:val="105"/>
          <w:sz w:val="24"/>
        </w:rPr>
        <w:t>,</w:t>
      </w:r>
      <w:r>
        <w:rPr>
          <w:spacing w:val="-16"/>
          <w:w w:val="105"/>
          <w:sz w:val="24"/>
        </w:rPr>
        <w:t> </w:t>
      </w:r>
      <w:r>
        <w:rPr>
          <w:w w:val="105"/>
          <w:sz w:val="24"/>
        </w:rPr>
        <w:t>Vol.</w:t>
      </w:r>
      <w:r>
        <w:rPr>
          <w:spacing w:val="-16"/>
          <w:w w:val="105"/>
          <w:sz w:val="24"/>
        </w:rPr>
        <w:t> </w:t>
      </w:r>
      <w:r>
        <w:rPr>
          <w:w w:val="105"/>
          <w:sz w:val="24"/>
        </w:rPr>
        <w:t>9:</w:t>
      </w:r>
      <w:r>
        <w:rPr>
          <w:spacing w:val="-16"/>
          <w:w w:val="105"/>
          <w:sz w:val="24"/>
        </w:rPr>
        <w:t> </w:t>
      </w:r>
      <w:r>
        <w:rPr>
          <w:w w:val="105"/>
          <w:sz w:val="24"/>
        </w:rPr>
        <w:t>no</w:t>
      </w:r>
      <w:r>
        <w:rPr>
          <w:spacing w:val="-15"/>
          <w:w w:val="105"/>
          <w:sz w:val="24"/>
        </w:rPr>
        <w:t> </w:t>
      </w:r>
      <w:r>
        <w:rPr>
          <w:w w:val="105"/>
          <w:sz w:val="24"/>
        </w:rPr>
        <w:t>4,</w:t>
      </w:r>
      <w:r>
        <w:rPr>
          <w:spacing w:val="-16"/>
          <w:w w:val="105"/>
          <w:sz w:val="24"/>
        </w:rPr>
        <w:t> </w:t>
      </w:r>
      <w:r>
        <w:rPr>
          <w:w w:val="105"/>
          <w:sz w:val="24"/>
        </w:rPr>
        <w:t>pp.</w:t>
      </w:r>
      <w:r>
        <w:rPr>
          <w:spacing w:val="-16"/>
          <w:w w:val="105"/>
          <w:sz w:val="24"/>
        </w:rPr>
        <w:t> </w:t>
      </w:r>
      <w:r>
        <w:rPr>
          <w:w w:val="105"/>
          <w:sz w:val="24"/>
        </w:rPr>
        <w:t>275-280.</w:t>
      </w:r>
    </w:p>
    <w:p>
      <w:pPr>
        <w:pStyle w:val="BodyText"/>
        <w:spacing w:before="3"/>
        <w:ind w:left="1758"/>
        <w:jc w:val="both"/>
        <w:rPr>
          <w:i/>
        </w:rPr>
      </w:pPr>
      <w:r>
        <w:rPr/>
        <w:t>Evolution</w:t>
      </w:r>
      <w:r>
        <w:rPr>
          <w:spacing w:val="-3"/>
        </w:rPr>
        <w:t> </w:t>
      </w:r>
      <w:r>
        <w:rPr/>
        <w:t>of</w:t>
      </w:r>
      <w:r>
        <w:rPr>
          <w:spacing w:val="-1"/>
        </w:rPr>
        <w:t> </w:t>
      </w:r>
      <w:r>
        <w:rPr/>
        <w:t>wetting heat</w:t>
      </w:r>
      <w:r>
        <w:rPr>
          <w:spacing w:val="-1"/>
        </w:rPr>
        <w:t> </w:t>
      </w:r>
      <w:r>
        <w:rPr/>
        <w:t>and</w:t>
      </w:r>
      <w:r>
        <w:rPr>
          <w:spacing w:val="-1"/>
        </w:rPr>
        <w:t> </w:t>
      </w:r>
      <w:r>
        <w:rPr/>
        <w:t>its</w:t>
      </w:r>
      <w:r>
        <w:rPr>
          <w:spacing w:val="-1"/>
        </w:rPr>
        <w:t> </w:t>
      </w:r>
      <w:r>
        <w:rPr/>
        <w:t>relation</w:t>
      </w:r>
      <w:r>
        <w:rPr>
          <w:spacing w:val="-1"/>
        </w:rPr>
        <w:t> </w:t>
      </w:r>
      <w:r>
        <w:rPr/>
        <w:t>to</w:t>
      </w:r>
      <w:r>
        <w:rPr>
          <w:spacing w:val="-1"/>
        </w:rPr>
        <w:t> </w:t>
      </w:r>
      <w:r>
        <w:rPr/>
        <w:t>compressional</w:t>
      </w:r>
      <w:r>
        <w:rPr>
          <w:spacing w:val="-1"/>
        </w:rPr>
        <w:t> </w:t>
      </w:r>
      <w:r>
        <w:rPr/>
        <w:t>force.</w:t>
      </w:r>
      <w:r>
        <w:rPr>
          <w:spacing w:val="2"/>
        </w:rPr>
        <w:t> </w:t>
      </w:r>
      <w:r>
        <w:rPr>
          <w:i/>
          <w:spacing w:val="-2"/>
        </w:rPr>
        <w:t>Yakugaku</w:t>
      </w:r>
    </w:p>
    <w:p>
      <w:pPr>
        <w:pStyle w:val="BodyText"/>
        <w:spacing w:before="38"/>
        <w:rPr>
          <w:i/>
        </w:rPr>
      </w:pPr>
    </w:p>
    <w:p>
      <w:pPr>
        <w:pStyle w:val="BodyText"/>
        <w:ind w:left="1671" w:right="1125" w:hanging="994"/>
        <w:jc w:val="both"/>
      </w:pPr>
      <w:r>
        <w:rPr>
          <w:color w:val="221F1F"/>
        </w:rPr>
        <w:t>Foster, D.W. (1996): Diabetes mellitus. In Harrison‘s principles of Internal</w:t>
      </w:r>
      <w:r>
        <w:rPr>
          <w:color w:val="221F1F"/>
          <w:spacing w:val="40"/>
        </w:rPr>
        <w:t> </w:t>
      </w:r>
      <w:r>
        <w:rPr>
          <w:color w:val="221F1F"/>
        </w:rPr>
        <w:t>Medicine, Isselbacher</w:t>
      </w:r>
      <w:r>
        <w:rPr>
          <w:color w:val="221F1F"/>
          <w:spacing w:val="-4"/>
        </w:rPr>
        <w:t> </w:t>
      </w:r>
      <w:r>
        <w:rPr>
          <w:color w:val="221F1F"/>
        </w:rPr>
        <w:t>K.</w:t>
      </w:r>
      <w:r>
        <w:rPr>
          <w:color w:val="221F1F"/>
          <w:spacing w:val="-1"/>
        </w:rPr>
        <w:t> </w:t>
      </w:r>
      <w:r>
        <w:rPr>
          <w:color w:val="221F1F"/>
        </w:rPr>
        <w:t>J,</w:t>
      </w:r>
      <w:r>
        <w:rPr>
          <w:color w:val="221F1F"/>
          <w:spacing w:val="-1"/>
        </w:rPr>
        <w:t> </w:t>
      </w:r>
      <w:r>
        <w:rPr>
          <w:color w:val="221F1F"/>
        </w:rPr>
        <w:t>Brawnwald,</w:t>
      </w:r>
      <w:r>
        <w:rPr>
          <w:color w:val="221F1F"/>
          <w:spacing w:val="-1"/>
        </w:rPr>
        <w:t> </w:t>
      </w:r>
      <w:r>
        <w:rPr>
          <w:color w:val="221F1F"/>
        </w:rPr>
        <w:t>E,</w:t>
      </w:r>
      <w:r>
        <w:rPr>
          <w:color w:val="221F1F"/>
          <w:spacing w:val="-1"/>
        </w:rPr>
        <w:t> </w:t>
      </w:r>
      <w:r>
        <w:rPr>
          <w:color w:val="221F1F"/>
        </w:rPr>
        <w:t>Wilson,</w:t>
      </w:r>
      <w:r>
        <w:rPr>
          <w:color w:val="221F1F"/>
          <w:spacing w:val="-4"/>
        </w:rPr>
        <w:t> </w:t>
      </w:r>
      <w:r>
        <w:rPr>
          <w:color w:val="221F1F"/>
        </w:rPr>
        <w:t>J.D.,</w:t>
      </w:r>
      <w:r>
        <w:rPr>
          <w:color w:val="221F1F"/>
          <w:spacing w:val="-1"/>
        </w:rPr>
        <w:t> </w:t>
      </w:r>
      <w:r>
        <w:rPr>
          <w:color w:val="221F1F"/>
        </w:rPr>
        <w:t>Martin,</w:t>
      </w:r>
      <w:r>
        <w:rPr>
          <w:color w:val="221F1F"/>
          <w:spacing w:val="-1"/>
        </w:rPr>
        <w:t> </w:t>
      </w:r>
      <w:r>
        <w:rPr>
          <w:color w:val="221F1F"/>
        </w:rPr>
        <w:t>J.B.,</w:t>
      </w:r>
      <w:r>
        <w:rPr>
          <w:color w:val="221F1F"/>
          <w:spacing w:val="-1"/>
        </w:rPr>
        <w:t> </w:t>
      </w:r>
      <w:r>
        <w:rPr>
          <w:color w:val="221F1F"/>
        </w:rPr>
        <w:t>Fauci,</w:t>
      </w:r>
      <w:r>
        <w:rPr>
          <w:color w:val="221F1F"/>
          <w:spacing w:val="-1"/>
        </w:rPr>
        <w:t> </w:t>
      </w:r>
      <w:r>
        <w:rPr>
          <w:color w:val="221F1F"/>
        </w:rPr>
        <w:t>A.S.</w:t>
      </w:r>
      <w:r>
        <w:rPr>
          <w:color w:val="221F1F"/>
          <w:spacing w:val="-1"/>
        </w:rPr>
        <w:t> </w:t>
      </w:r>
      <w:r>
        <w:rPr>
          <w:color w:val="221F1F"/>
          <w:spacing w:val="-2"/>
        </w:rPr>
        <w:t>Kasper,</w:t>
      </w:r>
    </w:p>
    <w:p>
      <w:pPr>
        <w:pStyle w:val="BodyText"/>
        <w:spacing w:before="1"/>
        <w:ind w:left="1671"/>
      </w:pPr>
      <w:r>
        <w:rPr>
          <w:color w:val="221F1F"/>
        </w:rPr>
        <w:t>D.L</w:t>
      </w:r>
      <w:r>
        <w:rPr>
          <w:color w:val="221F1F"/>
          <w:spacing w:val="-4"/>
        </w:rPr>
        <w:t> </w:t>
      </w:r>
      <w:r>
        <w:rPr>
          <w:color w:val="221F1F"/>
        </w:rPr>
        <w:t>(eds.)</w:t>
      </w:r>
      <w:r>
        <w:rPr>
          <w:color w:val="221F1F"/>
          <w:spacing w:val="-1"/>
        </w:rPr>
        <w:t> </w:t>
      </w:r>
      <w:r>
        <w:rPr>
          <w:color w:val="221F1F"/>
        </w:rPr>
        <w:t>McGraw Hill:</w:t>
      </w:r>
      <w:r>
        <w:rPr>
          <w:color w:val="221F1F"/>
          <w:spacing w:val="-1"/>
        </w:rPr>
        <w:t> </w:t>
      </w:r>
      <w:r>
        <w:rPr>
          <w:color w:val="221F1F"/>
        </w:rPr>
        <w:t>New</w:t>
      </w:r>
      <w:r>
        <w:rPr>
          <w:color w:val="221F1F"/>
          <w:spacing w:val="-1"/>
        </w:rPr>
        <w:t> </w:t>
      </w:r>
      <w:r>
        <w:rPr>
          <w:color w:val="221F1F"/>
        </w:rPr>
        <w:t>York 1798-</w:t>
      </w:r>
      <w:r>
        <w:rPr>
          <w:color w:val="221F1F"/>
          <w:spacing w:val="-2"/>
        </w:rPr>
        <w:t>1981.</w:t>
      </w:r>
    </w:p>
    <w:p>
      <w:pPr>
        <w:pStyle w:val="BodyText"/>
        <w:spacing w:before="43"/>
      </w:pPr>
    </w:p>
    <w:p>
      <w:pPr>
        <w:pStyle w:val="BodyText"/>
        <w:spacing w:line="276" w:lineRule="auto"/>
        <w:ind w:left="1669" w:right="994" w:hanging="992"/>
        <w:jc w:val="both"/>
      </w:pPr>
      <w:r>
        <w:rPr/>
        <w:t>Freitag, F., Kleinebude, P. (2003): How do roll compaction/dry granulation affect the tablet behavior of inorganic materials? Comparison of four magnesium carbonates. </w:t>
      </w:r>
      <w:r>
        <w:rPr>
          <w:i/>
        </w:rPr>
        <w:t>Eur J Pharm Sci</w:t>
      </w:r>
      <w:r>
        <w:rPr/>
        <w:t>. 19, p 281-289.</w:t>
      </w:r>
    </w:p>
    <w:p>
      <w:pPr>
        <w:pStyle w:val="BodyText"/>
        <w:spacing w:before="274"/>
        <w:ind w:left="1758" w:right="999" w:hanging="1080"/>
        <w:jc w:val="both"/>
      </w:pPr>
      <w:r>
        <w:rPr/>
        <w:t>Friedewald, W .T., Levy, R. I., Fredrickson, D. S. (1972): Estimation of the concentration of</w:t>
      </w:r>
      <w:r>
        <w:rPr>
          <w:spacing w:val="-4"/>
        </w:rPr>
        <w:t> </w:t>
      </w:r>
      <w:r>
        <w:rPr/>
        <w:t>low-density</w:t>
      </w:r>
      <w:r>
        <w:rPr>
          <w:spacing w:val="-5"/>
        </w:rPr>
        <w:t> </w:t>
      </w:r>
      <w:r>
        <w:rPr/>
        <w:t>lipoprotein cholesterol in plasma, without use of the</w:t>
      </w:r>
      <w:r>
        <w:rPr>
          <w:spacing w:val="-2"/>
        </w:rPr>
        <w:t> preparative</w:t>
      </w:r>
    </w:p>
    <w:p>
      <w:pPr>
        <w:pStyle w:val="BodyText"/>
        <w:spacing w:before="240"/>
        <w:ind w:left="678"/>
      </w:pPr>
      <w:r>
        <w:rPr/>
        <w:t>Gayaraja,</w:t>
      </w:r>
      <w:r>
        <w:rPr>
          <w:spacing w:val="27"/>
        </w:rPr>
        <w:t>  </w:t>
      </w:r>
      <w:r>
        <w:rPr/>
        <w:t>S.,</w:t>
      </w:r>
      <w:r>
        <w:rPr>
          <w:spacing w:val="27"/>
        </w:rPr>
        <w:t>  </w:t>
      </w:r>
      <w:r>
        <w:rPr/>
        <w:t>Shinde,</w:t>
      </w:r>
      <w:r>
        <w:rPr>
          <w:spacing w:val="29"/>
        </w:rPr>
        <w:t>  </w:t>
      </w:r>
      <w:r>
        <w:rPr/>
        <w:t>S.</w:t>
      </w:r>
      <w:r>
        <w:rPr>
          <w:spacing w:val="28"/>
        </w:rPr>
        <w:t>  </w:t>
      </w:r>
      <w:r>
        <w:rPr/>
        <w:t>and</w:t>
      </w:r>
      <w:r>
        <w:rPr>
          <w:spacing w:val="28"/>
        </w:rPr>
        <w:t>  </w:t>
      </w:r>
      <w:r>
        <w:rPr/>
        <w:t>Agarwal,</w:t>
      </w:r>
      <w:r>
        <w:rPr>
          <w:spacing w:val="27"/>
        </w:rPr>
        <w:t>  </w:t>
      </w:r>
      <w:r>
        <w:rPr/>
        <w:t>S.L.</w:t>
      </w:r>
      <w:r>
        <w:rPr>
          <w:spacing w:val="29"/>
        </w:rPr>
        <w:t>  </w:t>
      </w:r>
      <w:r>
        <w:rPr/>
        <w:t>(1978):</w:t>
      </w:r>
      <w:r>
        <w:rPr>
          <w:spacing w:val="28"/>
        </w:rPr>
        <w:t>  </w:t>
      </w:r>
      <w:r>
        <w:rPr/>
        <w:t>Antiasthmatic</w:t>
      </w:r>
      <w:r>
        <w:rPr>
          <w:spacing w:val="28"/>
        </w:rPr>
        <w:t>  </w:t>
      </w:r>
      <w:r>
        <w:rPr/>
        <w:t>properties</w:t>
      </w:r>
      <w:r>
        <w:rPr>
          <w:spacing w:val="27"/>
        </w:rPr>
        <w:t>  </w:t>
      </w:r>
      <w:r>
        <w:rPr>
          <w:spacing w:val="-5"/>
        </w:rPr>
        <w:t>of</w:t>
      </w:r>
    </w:p>
    <w:p>
      <w:pPr>
        <w:spacing w:before="0"/>
        <w:ind w:left="1530" w:right="0" w:firstLine="0"/>
        <w:jc w:val="left"/>
        <w:rPr>
          <w:sz w:val="24"/>
        </w:rPr>
      </w:pPr>
      <w:r>
        <w:rPr>
          <w:i/>
          <w:sz w:val="24"/>
        </w:rPr>
        <w:t>Caesalpinia bonducella</w:t>
      </w:r>
      <w:r>
        <w:rPr>
          <w:i/>
          <w:spacing w:val="-1"/>
          <w:sz w:val="24"/>
        </w:rPr>
        <w:t> </w:t>
      </w:r>
      <w:r>
        <w:rPr>
          <w:sz w:val="24"/>
        </w:rPr>
        <w:t>leaves,</w:t>
      </w:r>
      <w:r>
        <w:rPr>
          <w:spacing w:val="-1"/>
          <w:sz w:val="24"/>
        </w:rPr>
        <w:t> </w:t>
      </w:r>
      <w:r>
        <w:rPr>
          <w:i/>
          <w:sz w:val="24"/>
        </w:rPr>
        <w:t>Indian J.</w:t>
      </w:r>
      <w:r>
        <w:rPr>
          <w:i/>
          <w:spacing w:val="-1"/>
          <w:sz w:val="24"/>
        </w:rPr>
        <w:t> </w:t>
      </w:r>
      <w:r>
        <w:rPr>
          <w:i/>
          <w:sz w:val="24"/>
        </w:rPr>
        <w:t>of</w:t>
      </w:r>
      <w:r>
        <w:rPr>
          <w:i/>
          <w:spacing w:val="-1"/>
          <w:sz w:val="24"/>
        </w:rPr>
        <w:t> </w:t>
      </w:r>
      <w:r>
        <w:rPr>
          <w:i/>
          <w:sz w:val="24"/>
        </w:rPr>
        <w:t>Pharmacy</w:t>
      </w:r>
      <w:r>
        <w:rPr>
          <w:i/>
          <w:spacing w:val="-2"/>
          <w:sz w:val="24"/>
        </w:rPr>
        <w:t> </w:t>
      </w:r>
      <w:r>
        <w:rPr>
          <w:b/>
          <w:sz w:val="24"/>
        </w:rPr>
        <w:t>10</w:t>
      </w:r>
      <w:r>
        <w:rPr>
          <w:sz w:val="24"/>
        </w:rPr>
        <w:t>:</w:t>
      </w:r>
      <w:r>
        <w:rPr>
          <w:spacing w:val="-1"/>
          <w:sz w:val="24"/>
        </w:rPr>
        <w:t> </w:t>
      </w:r>
      <w:r>
        <w:rPr>
          <w:sz w:val="24"/>
        </w:rPr>
        <w:t>p. </w:t>
      </w:r>
      <w:r>
        <w:rPr>
          <w:spacing w:val="-5"/>
          <w:sz w:val="24"/>
        </w:rPr>
        <w:t>86.</w:t>
      </w:r>
    </w:p>
    <w:p>
      <w:pPr>
        <w:pStyle w:val="BodyText"/>
        <w:spacing w:line="276" w:lineRule="auto" w:before="243"/>
        <w:ind w:left="1758" w:right="1085" w:hanging="1080"/>
        <w:jc w:val="both"/>
      </w:pPr>
      <w:r>
        <w:rPr/>
        <w:t>Gbolade,</w:t>
      </w:r>
      <w:r>
        <w:rPr>
          <w:spacing w:val="-4"/>
        </w:rPr>
        <w:t> </w:t>
      </w:r>
      <w:r>
        <w:rPr/>
        <w:t>A.A.</w:t>
      </w:r>
      <w:r>
        <w:rPr>
          <w:spacing w:val="-2"/>
        </w:rPr>
        <w:t> </w:t>
      </w:r>
      <w:r>
        <w:rPr/>
        <w:t>(2006):</w:t>
      </w:r>
      <w:r>
        <w:rPr>
          <w:spacing w:val="-2"/>
        </w:rPr>
        <w:t> </w:t>
      </w:r>
      <w:r>
        <w:rPr/>
        <w:t>Inventory</w:t>
      </w:r>
      <w:r>
        <w:rPr>
          <w:spacing w:val="-9"/>
        </w:rPr>
        <w:t> </w:t>
      </w:r>
      <w:r>
        <w:rPr/>
        <w:t>of</w:t>
      </w:r>
      <w:r>
        <w:rPr>
          <w:spacing w:val="-4"/>
        </w:rPr>
        <w:t> </w:t>
      </w:r>
      <w:r>
        <w:rPr/>
        <w:t>antidiabetic</w:t>
      </w:r>
      <w:r>
        <w:rPr>
          <w:spacing w:val="-5"/>
        </w:rPr>
        <w:t> </w:t>
      </w:r>
      <w:r>
        <w:rPr/>
        <w:t>plants</w:t>
      </w:r>
      <w:r>
        <w:rPr>
          <w:spacing w:val="-4"/>
        </w:rPr>
        <w:t> </w:t>
      </w:r>
      <w:r>
        <w:rPr/>
        <w:t>in</w:t>
      </w:r>
      <w:r>
        <w:rPr>
          <w:spacing w:val="-4"/>
        </w:rPr>
        <w:t> </w:t>
      </w:r>
      <w:r>
        <w:rPr/>
        <w:t>selected</w:t>
      </w:r>
      <w:r>
        <w:rPr>
          <w:spacing w:val="-4"/>
        </w:rPr>
        <w:t> </w:t>
      </w:r>
      <w:r>
        <w:rPr/>
        <w:t>districts</w:t>
      </w:r>
      <w:r>
        <w:rPr>
          <w:spacing w:val="-2"/>
        </w:rPr>
        <w:t> </w:t>
      </w:r>
      <w:r>
        <w:rPr/>
        <w:t>of</w:t>
      </w:r>
      <w:r>
        <w:rPr>
          <w:spacing w:val="-3"/>
        </w:rPr>
        <w:t> </w:t>
      </w:r>
      <w:r>
        <w:rPr/>
        <w:t>Lagos</w:t>
      </w:r>
      <w:r>
        <w:rPr>
          <w:spacing w:val="-4"/>
        </w:rPr>
        <w:t> </w:t>
      </w:r>
      <w:r>
        <w:rPr/>
        <w:t>State, Nigeria. </w:t>
      </w:r>
      <w:r>
        <w:rPr>
          <w:i/>
        </w:rPr>
        <w:t>J Ethnopharmacol., </w:t>
      </w:r>
      <w:r>
        <w:rPr>
          <w:b/>
        </w:rPr>
        <w:t>121: </w:t>
      </w:r>
      <w:r>
        <w:rPr/>
        <w:t>135-139.</w:t>
      </w:r>
    </w:p>
    <w:p>
      <w:pPr>
        <w:spacing w:before="237"/>
        <w:ind w:left="1530" w:right="991" w:hanging="852"/>
        <w:jc w:val="both"/>
        <w:rPr>
          <w:sz w:val="24"/>
        </w:rPr>
      </w:pPr>
      <w:r>
        <w:rPr>
          <w:sz w:val="24"/>
        </w:rPr>
        <w:t>Geetha, B. S., Mathew, B. C., Augusti, K. T. (1994): Hypoglycaemic effects of leucodelphinidin derivative isolated from </w:t>
      </w:r>
      <w:r>
        <w:rPr>
          <w:i/>
          <w:sz w:val="24"/>
        </w:rPr>
        <w:t>Ficus bengalensis </w:t>
      </w:r>
      <w:r>
        <w:rPr>
          <w:sz w:val="24"/>
        </w:rPr>
        <w:t>(Linn.). </w:t>
      </w:r>
      <w:r>
        <w:rPr>
          <w:i/>
          <w:sz w:val="24"/>
        </w:rPr>
        <w:t>Indian J Physiol Pharmacol., </w:t>
      </w:r>
      <w:r>
        <w:rPr>
          <w:b/>
          <w:sz w:val="24"/>
        </w:rPr>
        <w:t>38</w:t>
      </w:r>
      <w:r>
        <w:rPr>
          <w:sz w:val="24"/>
        </w:rPr>
        <w:t>: 220-222.</w:t>
      </w:r>
    </w:p>
    <w:p>
      <w:pPr>
        <w:spacing w:after="0"/>
        <w:jc w:val="both"/>
        <w:rPr>
          <w:sz w:val="24"/>
        </w:rPr>
        <w:sectPr>
          <w:pgSz w:w="12240" w:h="15840"/>
          <w:pgMar w:header="0" w:footer="1056" w:top="1620" w:bottom="1240" w:left="1420" w:right="420"/>
        </w:sectPr>
      </w:pPr>
    </w:p>
    <w:p>
      <w:pPr>
        <w:pStyle w:val="BodyText"/>
        <w:spacing w:before="70"/>
        <w:ind w:left="678"/>
      </w:pPr>
      <w:r>
        <w:rPr/>
        <mc:AlternateContent>
          <mc:Choice Requires="wps">
            <w:drawing>
              <wp:anchor distT="0" distB="0" distL="0" distR="0" allowOverlap="1" layoutInCell="1" locked="0" behindDoc="1" simplePos="0" relativeHeight="483041792">
                <wp:simplePos x="0" y="0"/>
                <wp:positionH relativeFrom="page">
                  <wp:posOffset>-1402226</wp:posOffset>
                </wp:positionH>
                <wp:positionV relativeFrom="page">
                  <wp:posOffset>4612234</wp:posOffset>
                </wp:positionV>
                <wp:extent cx="10685780" cy="9144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4688;rotation:306" type="#_x0000_t136" fillcolor="#ff5400" stroked="f">
                <o:extrusion v:ext="view" autorotationcenter="t"/>
                <v:textpath style="font-family:&quot;Arial MT&quot;;font-size:72pt;v-text-kern:t;mso-text-shadow:auto" string="UNIVERSITY OF IBADAN"/>
                <w10:wrap type="none"/>
              </v:shape>
            </w:pict>
          </mc:Fallback>
        </mc:AlternateContent>
      </w:r>
      <w:r>
        <w:rPr/>
        <w:t>Gelati,</w:t>
      </w:r>
      <w:r>
        <w:rPr>
          <w:spacing w:val="-3"/>
        </w:rPr>
        <w:t> </w:t>
      </w:r>
      <w:r>
        <w:rPr/>
        <w:t>K. N.</w:t>
      </w:r>
      <w:r>
        <w:rPr>
          <w:spacing w:val="-1"/>
        </w:rPr>
        <w:t> </w:t>
      </w:r>
      <w:r>
        <w:rPr/>
        <w:t>(1979):</w:t>
      </w:r>
      <w:r>
        <w:rPr>
          <w:spacing w:val="1"/>
        </w:rPr>
        <w:t> </w:t>
      </w:r>
      <w:r>
        <w:rPr/>
        <w:t>Diabetic</w:t>
      </w:r>
      <w:r>
        <w:rPr>
          <w:spacing w:val="-1"/>
        </w:rPr>
        <w:t> </w:t>
      </w:r>
      <w:r>
        <w:rPr/>
        <w:t>relinopathy</w:t>
      </w:r>
      <w:r>
        <w:rPr>
          <w:spacing w:val="-5"/>
        </w:rPr>
        <w:t> </w:t>
      </w:r>
      <w:r>
        <w:rPr/>
        <w:t>in Spontaneous Animal</w:t>
      </w:r>
      <w:r>
        <w:rPr>
          <w:spacing w:val="-1"/>
        </w:rPr>
        <w:t> </w:t>
      </w:r>
      <w:r>
        <w:rPr/>
        <w:t>Models of </w:t>
      </w:r>
      <w:r>
        <w:rPr>
          <w:spacing w:val="-2"/>
        </w:rPr>
        <w:t>Human</w:t>
      </w:r>
    </w:p>
    <w:p>
      <w:pPr>
        <w:pStyle w:val="BodyText"/>
        <w:ind w:left="1669"/>
      </w:pPr>
      <w:r>
        <w:rPr>
          <w:i/>
        </w:rPr>
        <w:t>Diseases</w:t>
      </w:r>
      <w:r>
        <w:rPr/>
        <w:t>,</w:t>
      </w:r>
      <w:r>
        <w:rPr>
          <w:spacing w:val="-1"/>
        </w:rPr>
        <w:t> </w:t>
      </w:r>
      <w:r>
        <w:rPr/>
        <w:t>vol.</w:t>
      </w:r>
      <w:r>
        <w:rPr>
          <w:spacing w:val="-1"/>
        </w:rPr>
        <w:t> </w:t>
      </w:r>
      <w:r>
        <w:rPr>
          <w:b/>
        </w:rPr>
        <w:t>I</w:t>
      </w:r>
      <w:r>
        <w:rPr/>
        <w:t>,</w:t>
      </w:r>
      <w:r>
        <w:rPr>
          <w:spacing w:val="-1"/>
        </w:rPr>
        <w:t> </w:t>
      </w:r>
      <w:r>
        <w:rPr/>
        <w:t>New York:</w:t>
      </w:r>
      <w:r>
        <w:rPr>
          <w:spacing w:val="-1"/>
        </w:rPr>
        <w:t> </w:t>
      </w:r>
      <w:r>
        <w:rPr/>
        <w:t>Academic</w:t>
      </w:r>
      <w:r>
        <w:rPr>
          <w:spacing w:val="-2"/>
        </w:rPr>
        <w:t> </w:t>
      </w:r>
      <w:r>
        <w:rPr/>
        <w:t>Press. Pp.</w:t>
      </w:r>
      <w:r>
        <w:rPr>
          <w:spacing w:val="-1"/>
        </w:rPr>
        <w:t> </w:t>
      </w:r>
      <w:r>
        <w:rPr/>
        <w:t>177-</w:t>
      </w:r>
      <w:r>
        <w:rPr>
          <w:spacing w:val="-5"/>
        </w:rPr>
        <w:t>178</w:t>
      </w:r>
    </w:p>
    <w:p>
      <w:pPr>
        <w:pStyle w:val="BodyText"/>
        <w:spacing w:before="3"/>
      </w:pPr>
    </w:p>
    <w:p>
      <w:pPr>
        <w:pStyle w:val="BodyText"/>
        <w:ind w:left="1758" w:right="1433" w:hanging="1080"/>
      </w:pPr>
      <w:r>
        <w:rPr/>
        <w:t>Gelati,</w:t>
      </w:r>
      <w:r>
        <w:rPr>
          <w:spacing w:val="-4"/>
        </w:rPr>
        <w:t> </w:t>
      </w:r>
      <w:r>
        <w:rPr/>
        <w:t>K.</w:t>
      </w:r>
      <w:r>
        <w:rPr>
          <w:spacing w:val="-4"/>
        </w:rPr>
        <w:t> </w:t>
      </w:r>
      <w:r>
        <w:rPr/>
        <w:t>N.</w:t>
      </w:r>
      <w:r>
        <w:rPr>
          <w:spacing w:val="-4"/>
        </w:rPr>
        <w:t> </w:t>
      </w:r>
      <w:r>
        <w:rPr/>
        <w:t>(1979):</w:t>
      </w:r>
      <w:r>
        <w:rPr>
          <w:spacing w:val="-3"/>
        </w:rPr>
        <w:t> </w:t>
      </w:r>
      <w:r>
        <w:rPr/>
        <w:t>Diabetic</w:t>
      </w:r>
      <w:r>
        <w:rPr>
          <w:spacing w:val="-5"/>
        </w:rPr>
        <w:t> </w:t>
      </w:r>
      <w:r>
        <w:rPr/>
        <w:t>relinopathy</w:t>
      </w:r>
      <w:r>
        <w:rPr>
          <w:spacing w:val="-9"/>
        </w:rPr>
        <w:t> </w:t>
      </w:r>
      <w:r>
        <w:rPr/>
        <w:t>in</w:t>
      </w:r>
      <w:r>
        <w:rPr>
          <w:spacing w:val="-4"/>
        </w:rPr>
        <w:t> </w:t>
      </w:r>
      <w:r>
        <w:rPr/>
        <w:t>Spontaneous</w:t>
      </w:r>
      <w:r>
        <w:rPr>
          <w:spacing w:val="-4"/>
        </w:rPr>
        <w:t> </w:t>
      </w:r>
      <w:r>
        <w:rPr/>
        <w:t>Animal</w:t>
      </w:r>
      <w:r>
        <w:rPr>
          <w:spacing w:val="-4"/>
        </w:rPr>
        <w:t> </w:t>
      </w:r>
      <w:r>
        <w:rPr/>
        <w:t>Models</w:t>
      </w:r>
      <w:r>
        <w:rPr>
          <w:spacing w:val="-4"/>
        </w:rPr>
        <w:t> </w:t>
      </w:r>
      <w:r>
        <w:rPr/>
        <w:t>of</w:t>
      </w:r>
      <w:r>
        <w:rPr>
          <w:spacing w:val="-4"/>
        </w:rPr>
        <w:t> </w:t>
      </w:r>
      <w:r>
        <w:rPr/>
        <w:t>Human Diseases, vol. </w:t>
      </w:r>
      <w:r>
        <w:rPr>
          <w:b/>
        </w:rPr>
        <w:t>I</w:t>
      </w:r>
      <w:r>
        <w:rPr/>
        <w:t>, New York: Academic Press. Pp. 177-178</w:t>
      </w:r>
    </w:p>
    <w:p>
      <w:pPr>
        <w:pStyle w:val="BodyText"/>
        <w:spacing w:before="5"/>
      </w:pPr>
    </w:p>
    <w:p>
      <w:pPr>
        <w:spacing w:before="0"/>
        <w:ind w:left="1671" w:right="994" w:hanging="934"/>
        <w:jc w:val="left"/>
        <w:rPr>
          <w:sz w:val="24"/>
        </w:rPr>
      </w:pPr>
      <w:r>
        <w:rPr>
          <w:sz w:val="24"/>
        </w:rPr>
        <w:t>Ghosal,</w:t>
      </w:r>
      <w:r>
        <w:rPr>
          <w:spacing w:val="40"/>
          <w:sz w:val="24"/>
        </w:rPr>
        <w:t> </w:t>
      </w:r>
      <w:r>
        <w:rPr>
          <w:sz w:val="24"/>
        </w:rPr>
        <w:t>S.,</w:t>
      </w:r>
      <w:r>
        <w:rPr>
          <w:spacing w:val="39"/>
          <w:sz w:val="24"/>
        </w:rPr>
        <w:t> </w:t>
      </w:r>
      <w:r>
        <w:rPr>
          <w:sz w:val="24"/>
        </w:rPr>
        <w:t>Singh,</w:t>
      </w:r>
      <w:r>
        <w:rPr>
          <w:spacing w:val="40"/>
          <w:sz w:val="24"/>
        </w:rPr>
        <w:t> </w:t>
      </w:r>
      <w:r>
        <w:rPr>
          <w:sz w:val="24"/>
        </w:rPr>
        <w:t>S.</w:t>
      </w:r>
      <w:r>
        <w:rPr>
          <w:spacing w:val="40"/>
          <w:sz w:val="24"/>
        </w:rPr>
        <w:t> </w:t>
      </w:r>
      <w:r>
        <w:rPr>
          <w:sz w:val="24"/>
        </w:rPr>
        <w:t>and</w:t>
      </w:r>
      <w:r>
        <w:rPr>
          <w:spacing w:val="39"/>
          <w:sz w:val="24"/>
        </w:rPr>
        <w:t> </w:t>
      </w:r>
      <w:r>
        <w:rPr>
          <w:sz w:val="24"/>
        </w:rPr>
        <w:t>Bhattacharya,</w:t>
      </w:r>
      <w:r>
        <w:rPr>
          <w:spacing w:val="39"/>
          <w:sz w:val="24"/>
        </w:rPr>
        <w:t> </w:t>
      </w:r>
      <w:r>
        <w:rPr>
          <w:sz w:val="24"/>
        </w:rPr>
        <w:t>S.</w:t>
      </w:r>
      <w:r>
        <w:rPr>
          <w:spacing w:val="40"/>
          <w:sz w:val="24"/>
        </w:rPr>
        <w:t> </w:t>
      </w:r>
      <w:r>
        <w:rPr>
          <w:sz w:val="24"/>
        </w:rPr>
        <w:t>K.</w:t>
      </w:r>
      <w:r>
        <w:rPr>
          <w:spacing w:val="40"/>
          <w:sz w:val="24"/>
        </w:rPr>
        <w:t> </w:t>
      </w:r>
      <w:r>
        <w:rPr>
          <w:sz w:val="24"/>
        </w:rPr>
        <w:t>(1971):</w:t>
      </w:r>
      <w:r>
        <w:rPr>
          <w:spacing w:val="40"/>
          <w:sz w:val="24"/>
        </w:rPr>
        <w:t> </w:t>
      </w:r>
      <w:r>
        <w:rPr>
          <w:sz w:val="24"/>
        </w:rPr>
        <w:t>Alkaloids</w:t>
      </w:r>
      <w:r>
        <w:rPr>
          <w:spacing w:val="40"/>
          <w:sz w:val="24"/>
        </w:rPr>
        <w:t> </w:t>
      </w:r>
      <w:r>
        <w:rPr>
          <w:sz w:val="24"/>
        </w:rPr>
        <w:t>of</w:t>
      </w:r>
      <w:r>
        <w:rPr>
          <w:spacing w:val="40"/>
          <w:sz w:val="24"/>
        </w:rPr>
        <w:t> </w:t>
      </w:r>
      <w:r>
        <w:rPr>
          <w:i/>
          <w:sz w:val="24"/>
        </w:rPr>
        <w:t>Mucuna</w:t>
      </w:r>
      <w:r>
        <w:rPr>
          <w:i/>
          <w:spacing w:val="39"/>
          <w:sz w:val="24"/>
        </w:rPr>
        <w:t> </w:t>
      </w:r>
      <w:r>
        <w:rPr>
          <w:i/>
          <w:sz w:val="24"/>
        </w:rPr>
        <w:t>pruriens</w:t>
      </w:r>
      <w:r>
        <w:rPr>
          <w:sz w:val="24"/>
        </w:rPr>
        <w:t>: Chemistry and pharmacology. </w:t>
      </w:r>
      <w:r>
        <w:rPr>
          <w:i/>
          <w:sz w:val="24"/>
        </w:rPr>
        <w:t>Planta Medica </w:t>
      </w:r>
      <w:r>
        <w:rPr>
          <w:b/>
          <w:sz w:val="24"/>
        </w:rPr>
        <w:t>19</w:t>
      </w:r>
      <w:r>
        <w:rPr>
          <w:sz w:val="24"/>
        </w:rPr>
        <w:t>: 279-284.</w:t>
      </w:r>
    </w:p>
    <w:p>
      <w:pPr>
        <w:pStyle w:val="BodyText"/>
        <w:spacing w:before="240"/>
        <w:ind w:left="1671" w:right="994" w:hanging="934"/>
      </w:pPr>
      <w:r>
        <w:rPr/>
        <w:t>Glugliano, D., Ceriello, A., and Paolisso, G. (1996); Oxidative stree</w:t>
      </w:r>
      <w:r>
        <w:rPr>
          <w:spacing w:val="-1"/>
        </w:rPr>
        <w:t> </w:t>
      </w:r>
      <w:r>
        <w:rPr/>
        <w:t>and diabetic</w:t>
      </w:r>
      <w:r>
        <w:rPr>
          <w:spacing w:val="-1"/>
        </w:rPr>
        <w:t> </w:t>
      </w:r>
      <w:r>
        <w:rPr/>
        <w:t>vascular complications. </w:t>
      </w:r>
      <w:r>
        <w:rPr>
          <w:i/>
        </w:rPr>
        <w:t>J. Diabet. Care</w:t>
      </w:r>
      <w:r>
        <w:rPr/>
        <w:t>, </w:t>
      </w:r>
      <w:r>
        <w:rPr>
          <w:b/>
        </w:rPr>
        <w:t>19</w:t>
      </w:r>
      <w:r>
        <w:rPr/>
        <w:t>: 257-267</w:t>
      </w:r>
    </w:p>
    <w:p>
      <w:pPr>
        <w:pStyle w:val="BodyText"/>
        <w:spacing w:before="240"/>
        <w:ind w:left="1758" w:right="1041" w:hanging="1080"/>
      </w:pPr>
      <w:r>
        <w:rPr/>
        <w:t>Gordon, T., Castelli, W. P., Hjjortland, M. C. (1977): High density lipoproteins as a protective</w:t>
      </w:r>
      <w:r>
        <w:rPr>
          <w:spacing w:val="-5"/>
        </w:rPr>
        <w:t> </w:t>
      </w:r>
      <w:r>
        <w:rPr/>
        <w:t>factor</w:t>
      </w:r>
      <w:r>
        <w:rPr>
          <w:spacing w:val="-4"/>
        </w:rPr>
        <w:t> </w:t>
      </w:r>
      <w:r>
        <w:rPr/>
        <w:t>against</w:t>
      </w:r>
      <w:r>
        <w:rPr>
          <w:spacing w:val="-2"/>
        </w:rPr>
        <w:t> </w:t>
      </w:r>
      <w:r>
        <w:rPr/>
        <w:t>coronary</w:t>
      </w:r>
      <w:r>
        <w:rPr>
          <w:spacing w:val="-9"/>
        </w:rPr>
        <w:t> </w:t>
      </w:r>
      <w:r>
        <w:rPr/>
        <w:t>heart</w:t>
      </w:r>
      <w:r>
        <w:rPr>
          <w:spacing w:val="-4"/>
        </w:rPr>
        <w:t> </w:t>
      </w:r>
      <w:r>
        <w:rPr/>
        <w:t>disease:</w:t>
      </w:r>
      <w:r>
        <w:rPr>
          <w:spacing w:val="-4"/>
        </w:rPr>
        <w:t> </w:t>
      </w:r>
      <w:r>
        <w:rPr/>
        <w:t>the</w:t>
      </w:r>
      <w:r>
        <w:rPr>
          <w:spacing w:val="-5"/>
        </w:rPr>
        <w:t> </w:t>
      </w:r>
      <w:r>
        <w:rPr/>
        <w:t>Framingham</w:t>
      </w:r>
      <w:r>
        <w:rPr>
          <w:spacing w:val="-4"/>
        </w:rPr>
        <w:t> </w:t>
      </w:r>
      <w:r>
        <w:rPr/>
        <w:t>study.</w:t>
      </w:r>
      <w:r>
        <w:rPr>
          <w:spacing w:val="-2"/>
        </w:rPr>
        <w:t> </w:t>
      </w:r>
      <w:r>
        <w:rPr>
          <w:i/>
        </w:rPr>
        <w:t>Am</w:t>
      </w:r>
      <w:r>
        <w:rPr>
          <w:i/>
          <w:spacing w:val="-4"/>
        </w:rPr>
        <w:t> </w:t>
      </w:r>
      <w:r>
        <w:rPr>
          <w:i/>
        </w:rPr>
        <w:t>J Med</w:t>
      </w:r>
      <w:r>
        <w:rPr/>
        <w:t>, </w:t>
      </w:r>
      <w:r>
        <w:rPr>
          <w:b/>
        </w:rPr>
        <w:t>62</w:t>
      </w:r>
      <w:r>
        <w:rPr/>
        <w:t>: 707.</w:t>
      </w:r>
    </w:p>
    <w:p>
      <w:pPr>
        <w:pStyle w:val="BodyText"/>
        <w:spacing w:before="241"/>
        <w:ind w:left="1671" w:right="994" w:hanging="994"/>
      </w:pPr>
      <w:r>
        <w:rPr/>
        <w:t>Graf,</w:t>
      </w:r>
      <w:r>
        <w:rPr>
          <w:spacing w:val="-3"/>
        </w:rPr>
        <w:t> </w:t>
      </w:r>
      <w:r>
        <w:rPr/>
        <w:t>E. and Eaton, J. (1990): Antioxidant functions of phytic acid. Free Radica; </w:t>
      </w:r>
      <w:r>
        <w:rPr>
          <w:i/>
        </w:rPr>
        <w:t>Biol. and Med</w:t>
      </w:r>
      <w:r>
        <w:rPr/>
        <w:t>. </w:t>
      </w:r>
      <w:r>
        <w:rPr>
          <w:b/>
        </w:rPr>
        <w:t>8</w:t>
      </w:r>
      <w:r>
        <w:rPr/>
        <w:t>: 61-69</w:t>
      </w:r>
    </w:p>
    <w:p>
      <w:pPr>
        <w:pStyle w:val="BodyText"/>
        <w:spacing w:before="240"/>
        <w:ind w:left="1669" w:right="1246" w:hanging="992"/>
      </w:pPr>
      <w:r>
        <w:rPr/>
        <w:t>Grodsky,</w:t>
      </w:r>
      <w:r>
        <w:rPr>
          <w:spacing w:val="-3"/>
        </w:rPr>
        <w:t> </w:t>
      </w:r>
      <w:r>
        <w:rPr/>
        <w:t>G.</w:t>
      </w:r>
      <w:r>
        <w:rPr>
          <w:spacing w:val="-5"/>
        </w:rPr>
        <w:t> </w:t>
      </w:r>
      <w:r>
        <w:rPr/>
        <w:t>M.,,</w:t>
      </w:r>
      <w:r>
        <w:rPr>
          <w:spacing w:val="-5"/>
        </w:rPr>
        <w:t> </w:t>
      </w:r>
      <w:r>
        <w:rPr/>
        <w:t>Fanska,</w:t>
      </w:r>
      <w:r>
        <w:rPr>
          <w:spacing w:val="-3"/>
        </w:rPr>
        <w:t> </w:t>
      </w:r>
      <w:r>
        <w:rPr/>
        <w:t>R.,</w:t>
      </w:r>
      <w:r>
        <w:rPr>
          <w:spacing w:val="-3"/>
        </w:rPr>
        <w:t> </w:t>
      </w:r>
      <w:r>
        <w:rPr/>
        <w:t>Lundquist,</w:t>
      </w:r>
      <w:r>
        <w:rPr>
          <w:spacing w:val="40"/>
        </w:rPr>
        <w:t> </w:t>
      </w:r>
      <w:r>
        <w:rPr/>
        <w:t>I.</w:t>
      </w:r>
      <w:r>
        <w:rPr>
          <w:spacing w:val="-5"/>
        </w:rPr>
        <w:t> </w:t>
      </w:r>
      <w:r>
        <w:rPr/>
        <w:t>(1975):</w:t>
      </w:r>
      <w:r>
        <w:rPr>
          <w:spacing w:val="-2"/>
        </w:rPr>
        <w:t> </w:t>
      </w:r>
      <w:r>
        <w:rPr/>
        <w:t>Interrelationships</w:t>
      </w:r>
      <w:r>
        <w:rPr>
          <w:spacing w:val="-5"/>
        </w:rPr>
        <w:t> </w:t>
      </w:r>
      <w:r>
        <w:rPr/>
        <w:t>between</w:t>
      </w:r>
      <w:r>
        <w:rPr>
          <w:spacing w:val="-5"/>
        </w:rPr>
        <w:t> </w:t>
      </w:r>
      <w:r>
        <w:rPr/>
        <w:t>alpha</w:t>
      </w:r>
      <w:r>
        <w:rPr>
          <w:spacing w:val="-5"/>
        </w:rPr>
        <w:t> </w:t>
      </w:r>
      <w:r>
        <w:rPr/>
        <w:t>and beta-anomers of glucose affecting both insulin and glucagon secretion in the perfused rat pancreas. II. </w:t>
      </w:r>
      <w:r>
        <w:rPr>
          <w:i/>
        </w:rPr>
        <w:t>Endocrinology</w:t>
      </w:r>
      <w:r>
        <w:rPr/>
        <w:t>. </w:t>
      </w:r>
      <w:r>
        <w:rPr>
          <w:b/>
        </w:rPr>
        <w:t>97</w:t>
      </w:r>
      <w:r>
        <w:rPr/>
        <w:t>(3): 573–580.</w:t>
      </w:r>
    </w:p>
    <w:p>
      <w:pPr>
        <w:pStyle w:val="BodyText"/>
        <w:spacing w:before="240"/>
        <w:ind w:left="1671" w:right="996" w:hanging="994"/>
        <w:jc w:val="both"/>
      </w:pPr>
      <w:r>
        <w:rPr/>
        <w:t>Grover, J. K., Vats, V., Rathi, S. S., Dawar, R. (2001): Traditional Indian anti-diabetic plants attenuate progression of renal damage in streptozotocin induced diabetic mice .</w:t>
      </w:r>
      <w:r>
        <w:rPr>
          <w:i/>
        </w:rPr>
        <w:t>J Ethnopharmacol. </w:t>
      </w:r>
      <w:r>
        <w:rPr>
          <w:b/>
        </w:rPr>
        <w:t>76</w:t>
      </w:r>
      <w:r>
        <w:rPr/>
        <w:t>(3):233-238.</w:t>
      </w:r>
    </w:p>
    <w:p>
      <w:pPr>
        <w:pStyle w:val="BodyText"/>
        <w:spacing w:before="240"/>
        <w:ind w:left="1671" w:right="994" w:hanging="994"/>
        <w:jc w:val="both"/>
      </w:pPr>
      <w:r>
        <w:rPr/>
        <w:t>Grover, J. K., Yadav, S., Vats, V. (2002): Medicinal plants of India with antidiabetic potential. </w:t>
      </w:r>
      <w:r>
        <w:rPr>
          <w:i/>
        </w:rPr>
        <w:t>J. of Ethnopharmacology </w:t>
      </w:r>
      <w:r>
        <w:rPr>
          <w:b/>
        </w:rPr>
        <w:t>81</w:t>
      </w:r>
      <w:r>
        <w:rPr/>
        <w:t>: 100.</w:t>
      </w:r>
    </w:p>
    <w:p>
      <w:pPr>
        <w:pStyle w:val="BodyText"/>
        <w:spacing w:before="240"/>
        <w:ind w:left="1671" w:right="995" w:hanging="994"/>
        <w:jc w:val="both"/>
      </w:pPr>
      <w:r>
        <w:rPr/>
        <w:t>Gruppuso, P.A., Boylan, J.M., Posner, B.I., Faure, R., Brautigan, D.l. (1990): Hepatic protein phosphotyrosine phosphatase. Dephosphorylation of insulin receptor</w:t>
      </w:r>
      <w:r>
        <w:rPr>
          <w:spacing w:val="40"/>
        </w:rPr>
        <w:t> </w:t>
      </w:r>
      <w:r>
        <w:rPr/>
        <w:t>and epidermal growth factor receptors in normal and alloxan diabetic rats. </w:t>
      </w:r>
      <w:r>
        <w:rPr>
          <w:i/>
        </w:rPr>
        <w:t>J</w:t>
      </w:r>
      <w:r>
        <w:rPr>
          <w:i/>
          <w:spacing w:val="40"/>
        </w:rPr>
        <w:t> </w:t>
      </w:r>
      <w:r>
        <w:rPr>
          <w:i/>
        </w:rPr>
        <w:t>Clin Invest </w:t>
      </w:r>
      <w:r>
        <w:rPr>
          <w:b/>
        </w:rPr>
        <w:t>85</w:t>
      </w:r>
      <w:r>
        <w:rPr/>
        <w:t>: 1754-1760.</w:t>
      </w:r>
    </w:p>
    <w:p>
      <w:pPr>
        <w:pStyle w:val="BodyText"/>
        <w:spacing w:before="240"/>
        <w:ind w:left="1530" w:right="993" w:hanging="852"/>
        <w:jc w:val="both"/>
      </w:pPr>
      <w:r>
        <w:rPr/>
        <w:t>Gunsel, N and Kanig, J. F. (1986): Tablets. In: The Theory and Practice of Industrial Pharmacy, Ed. by Lachman, L., Lieberman, H.A. and Kanig, J.L. (Eds) 3</w:t>
      </w:r>
      <w:r>
        <w:rPr>
          <w:vertAlign w:val="superscript"/>
        </w:rPr>
        <w:t>rd</w:t>
      </w:r>
      <w:r>
        <w:rPr>
          <w:vertAlign w:val="baseline"/>
        </w:rPr>
        <w:t> Edition, Lea and Ferbiger, and Philadelphia. pp. 297 – 303.</w:t>
      </w:r>
    </w:p>
    <w:p>
      <w:pPr>
        <w:pStyle w:val="BodyText"/>
        <w:spacing w:before="240"/>
        <w:ind w:left="1671" w:right="997" w:hanging="994"/>
        <w:jc w:val="both"/>
      </w:pPr>
      <w:r>
        <w:rPr/>
        <w:t>Gupta,</w:t>
      </w:r>
      <w:r>
        <w:rPr>
          <w:spacing w:val="-1"/>
        </w:rPr>
        <w:t> </w:t>
      </w:r>
      <w:r>
        <w:rPr/>
        <w:t>M.,</w:t>
      </w:r>
      <w:r>
        <w:rPr>
          <w:spacing w:val="-1"/>
        </w:rPr>
        <w:t> </w:t>
      </w:r>
      <w:r>
        <w:rPr/>
        <w:t>Mazunder, U. K.,</w:t>
      </w:r>
      <w:r>
        <w:rPr>
          <w:spacing w:val="-2"/>
        </w:rPr>
        <w:t> </w:t>
      </w:r>
      <w:r>
        <w:rPr/>
        <w:t>Chakrabort,</w:t>
      </w:r>
      <w:r>
        <w:rPr>
          <w:spacing w:val="-2"/>
        </w:rPr>
        <w:t> </w:t>
      </w:r>
      <w:r>
        <w:rPr/>
        <w:t>S.,</w:t>
      </w:r>
      <w:r>
        <w:rPr>
          <w:spacing w:val="-1"/>
        </w:rPr>
        <w:t> </w:t>
      </w:r>
      <w:r>
        <w:rPr/>
        <w:t>Rath, N.,</w:t>
      </w:r>
      <w:r>
        <w:rPr>
          <w:spacing w:val="-2"/>
        </w:rPr>
        <w:t> </w:t>
      </w:r>
      <w:r>
        <w:rPr/>
        <w:t>Bhawal,</w:t>
      </w:r>
      <w:r>
        <w:rPr>
          <w:spacing w:val="-1"/>
        </w:rPr>
        <w:t> </w:t>
      </w:r>
      <w:r>
        <w:rPr/>
        <w:t>S.</w:t>
      </w:r>
      <w:r>
        <w:rPr>
          <w:spacing w:val="-1"/>
        </w:rPr>
        <w:t> </w:t>
      </w:r>
      <w:r>
        <w:rPr/>
        <w:t>R. (1997):</w:t>
      </w:r>
      <w:r>
        <w:rPr>
          <w:spacing w:val="-1"/>
        </w:rPr>
        <w:t> </w:t>
      </w:r>
      <w:r>
        <w:rPr/>
        <w:t>Antiepileptic and anticancer activity of some indigenous plants. Indian </w:t>
      </w:r>
      <w:r>
        <w:rPr>
          <w:i/>
        </w:rPr>
        <w:t>J. Physiol. Allied Sci. </w:t>
      </w:r>
      <w:r>
        <w:rPr>
          <w:b/>
        </w:rPr>
        <w:t>51</w:t>
      </w:r>
      <w:r>
        <w:rPr/>
        <w:t>(2): 53-56.</w:t>
      </w:r>
    </w:p>
    <w:p>
      <w:pPr>
        <w:pStyle w:val="BodyText"/>
        <w:spacing w:before="6"/>
      </w:pPr>
    </w:p>
    <w:p>
      <w:pPr>
        <w:pStyle w:val="BodyText"/>
        <w:ind w:left="678"/>
      </w:pPr>
      <w:r>
        <w:rPr/>
        <w:t>Gupta,</w:t>
      </w:r>
      <w:r>
        <w:rPr>
          <w:spacing w:val="-1"/>
        </w:rPr>
        <w:t> </w:t>
      </w:r>
      <w:r>
        <w:rPr/>
        <w:t>S.</w:t>
      </w:r>
      <w:r>
        <w:rPr>
          <w:spacing w:val="-1"/>
        </w:rPr>
        <w:t> </w:t>
      </w:r>
      <w:r>
        <w:rPr/>
        <w:t>K. (2006):</w:t>
      </w:r>
      <w:r>
        <w:rPr>
          <w:spacing w:val="-1"/>
        </w:rPr>
        <w:t> </w:t>
      </w:r>
      <w:r>
        <w:rPr/>
        <w:t>Drug</w:t>
      </w:r>
      <w:r>
        <w:rPr>
          <w:spacing w:val="-3"/>
        </w:rPr>
        <w:t> </w:t>
      </w:r>
      <w:r>
        <w:rPr/>
        <w:t>Screening</w:t>
      </w:r>
      <w:r>
        <w:rPr>
          <w:spacing w:val="-4"/>
        </w:rPr>
        <w:t> </w:t>
      </w:r>
      <w:r>
        <w:rPr/>
        <w:t>Methods, Anshan</w:t>
      </w:r>
      <w:r>
        <w:rPr>
          <w:spacing w:val="-1"/>
        </w:rPr>
        <w:t> </w:t>
      </w:r>
      <w:r>
        <w:rPr/>
        <w:t>publication, New</w:t>
      </w:r>
      <w:r>
        <w:rPr>
          <w:spacing w:val="-1"/>
        </w:rPr>
        <w:t> </w:t>
      </w:r>
      <w:r>
        <w:rPr/>
        <w:t>Delhi</w:t>
      </w:r>
      <w:r>
        <w:rPr>
          <w:spacing w:val="2"/>
        </w:rPr>
        <w:t> </w:t>
      </w:r>
      <w:r>
        <w:rPr>
          <w:spacing w:val="-2"/>
        </w:rPr>
        <w:t>.pp.254.</w:t>
      </w:r>
    </w:p>
    <w:p>
      <w:pPr>
        <w:pStyle w:val="BodyText"/>
        <w:spacing w:before="2"/>
      </w:pPr>
    </w:p>
    <w:p>
      <w:pPr>
        <w:pStyle w:val="BodyText"/>
        <w:ind w:left="1671" w:right="997" w:hanging="994"/>
        <w:jc w:val="both"/>
      </w:pPr>
      <w:r>
        <w:rPr/>
        <w:t>Gurumoorthi,</w:t>
      </w:r>
      <w:r>
        <w:rPr>
          <w:spacing w:val="-4"/>
        </w:rPr>
        <w:t> </w:t>
      </w:r>
      <w:r>
        <w:rPr/>
        <w:t>P.,</w:t>
      </w:r>
      <w:r>
        <w:rPr>
          <w:spacing w:val="-4"/>
        </w:rPr>
        <w:t> </w:t>
      </w:r>
      <w:r>
        <w:rPr/>
        <w:t>Pugalenthi,</w:t>
      </w:r>
      <w:r>
        <w:rPr>
          <w:spacing w:val="-4"/>
        </w:rPr>
        <w:t> </w:t>
      </w:r>
      <w:r>
        <w:rPr/>
        <w:t>M.</w:t>
      </w:r>
      <w:r>
        <w:rPr>
          <w:spacing w:val="-4"/>
        </w:rPr>
        <w:t> </w:t>
      </w:r>
      <w:r>
        <w:rPr/>
        <w:t>and</w:t>
      </w:r>
      <w:r>
        <w:rPr>
          <w:spacing w:val="-4"/>
        </w:rPr>
        <w:t> </w:t>
      </w:r>
      <w:r>
        <w:rPr/>
        <w:t>Janardhanan,</w:t>
      </w:r>
      <w:r>
        <w:rPr>
          <w:spacing w:val="-4"/>
        </w:rPr>
        <w:t> </w:t>
      </w:r>
      <w:r>
        <w:rPr/>
        <w:t>K.</w:t>
      </w:r>
      <w:r>
        <w:rPr>
          <w:spacing w:val="-4"/>
        </w:rPr>
        <w:t> </w:t>
      </w:r>
      <w:r>
        <w:rPr/>
        <w:t>(2003b): Nutritional</w:t>
      </w:r>
      <w:r>
        <w:rPr>
          <w:spacing w:val="-4"/>
        </w:rPr>
        <w:t> </w:t>
      </w:r>
      <w:r>
        <w:rPr/>
        <w:t>potential</w:t>
      </w:r>
      <w:r>
        <w:rPr>
          <w:spacing w:val="-4"/>
        </w:rPr>
        <w:t> </w:t>
      </w:r>
      <w:r>
        <w:rPr/>
        <w:t>of</w:t>
      </w:r>
      <w:r>
        <w:rPr>
          <w:spacing w:val="-4"/>
        </w:rPr>
        <w:t> </w:t>
      </w:r>
      <w:r>
        <w:rPr/>
        <w:t>five accessions of a South Indian tribal pulse, </w:t>
      </w:r>
      <w:r>
        <w:rPr>
          <w:i/>
        </w:rPr>
        <w:t>Mucuna pruriens </w:t>
      </w:r>
      <w:r>
        <w:rPr/>
        <w:t>var. </w:t>
      </w:r>
      <w:r>
        <w:rPr>
          <w:i/>
        </w:rPr>
        <w:t>utilis</w:t>
      </w:r>
      <w:r>
        <w:rPr/>
        <w:t>. II. Investigation</w:t>
      </w:r>
      <w:r>
        <w:rPr>
          <w:spacing w:val="56"/>
        </w:rPr>
        <w:t> </w:t>
      </w:r>
      <w:r>
        <w:rPr/>
        <w:t>on</w:t>
      </w:r>
      <w:r>
        <w:rPr>
          <w:spacing w:val="58"/>
        </w:rPr>
        <w:t> </w:t>
      </w:r>
      <w:r>
        <w:rPr/>
        <w:t>the</w:t>
      </w:r>
      <w:r>
        <w:rPr>
          <w:spacing w:val="58"/>
        </w:rPr>
        <w:t> </w:t>
      </w:r>
      <w:r>
        <w:rPr/>
        <w:t>total</w:t>
      </w:r>
      <w:r>
        <w:rPr>
          <w:spacing w:val="58"/>
        </w:rPr>
        <w:t> </w:t>
      </w:r>
      <w:r>
        <w:rPr/>
        <w:t>free</w:t>
      </w:r>
      <w:r>
        <w:rPr>
          <w:spacing w:val="57"/>
        </w:rPr>
        <w:t> </w:t>
      </w:r>
      <w:r>
        <w:rPr/>
        <w:t>phenolics,</w:t>
      </w:r>
      <w:r>
        <w:rPr>
          <w:spacing w:val="59"/>
        </w:rPr>
        <w:t> </w:t>
      </w:r>
      <w:r>
        <w:rPr/>
        <w:t>tannins,</w:t>
      </w:r>
      <w:r>
        <w:rPr>
          <w:spacing w:val="59"/>
        </w:rPr>
        <w:t> </w:t>
      </w:r>
      <w:r>
        <w:rPr/>
        <w:t>trypsin</w:t>
      </w:r>
      <w:r>
        <w:rPr>
          <w:spacing w:val="59"/>
        </w:rPr>
        <w:t> </w:t>
      </w:r>
      <w:r>
        <w:rPr/>
        <w:t>and</w:t>
      </w:r>
      <w:r>
        <w:rPr>
          <w:spacing w:val="59"/>
        </w:rPr>
        <w:t> </w:t>
      </w:r>
      <w:r>
        <w:rPr>
          <w:spacing w:val="-2"/>
        </w:rPr>
        <w:t>chymotrypsin</w:t>
      </w:r>
    </w:p>
    <w:p>
      <w:pPr>
        <w:spacing w:after="0"/>
        <w:jc w:val="both"/>
        <w:sectPr>
          <w:pgSz w:w="12240" w:h="15840"/>
          <w:pgMar w:header="0" w:footer="1056" w:top="1340" w:bottom="1240" w:left="1420" w:right="420"/>
        </w:sectPr>
      </w:pPr>
    </w:p>
    <w:p>
      <w:pPr>
        <w:spacing w:before="70"/>
        <w:ind w:left="1671" w:right="0" w:firstLine="0"/>
        <w:jc w:val="left"/>
        <w:rPr>
          <w:sz w:val="24"/>
        </w:rPr>
      </w:pPr>
      <w:r>
        <w:rPr/>
        <mc:AlternateContent>
          <mc:Choice Requires="wps">
            <w:drawing>
              <wp:anchor distT="0" distB="0" distL="0" distR="0" allowOverlap="1" layoutInCell="1" locked="0" behindDoc="1" simplePos="0" relativeHeight="483042304">
                <wp:simplePos x="0" y="0"/>
                <wp:positionH relativeFrom="page">
                  <wp:posOffset>-1402226</wp:posOffset>
                </wp:positionH>
                <wp:positionV relativeFrom="page">
                  <wp:posOffset>4612234</wp:posOffset>
                </wp:positionV>
                <wp:extent cx="10685780" cy="91440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417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inhibitors, phytohaemagglutinins and </w:t>
      </w:r>
      <w:r>
        <w:rPr>
          <w:i/>
          <w:sz w:val="24"/>
        </w:rPr>
        <w:t>in vitro </w:t>
      </w:r>
      <w:r>
        <w:rPr>
          <w:sz w:val="24"/>
        </w:rPr>
        <w:t>protein digestibility. </w:t>
      </w:r>
      <w:r>
        <w:rPr>
          <w:i/>
          <w:sz w:val="24"/>
        </w:rPr>
        <w:t>Tropical and Subtropical Agroecosystems </w:t>
      </w:r>
      <w:r>
        <w:rPr>
          <w:b/>
          <w:sz w:val="24"/>
        </w:rPr>
        <w:t>1</w:t>
      </w:r>
      <w:r>
        <w:rPr>
          <w:sz w:val="24"/>
        </w:rPr>
        <w:t>: 153-158.</w:t>
      </w:r>
    </w:p>
    <w:p>
      <w:pPr>
        <w:pStyle w:val="BodyText"/>
        <w:spacing w:before="240"/>
        <w:ind w:left="678"/>
        <w:jc w:val="both"/>
      </w:pPr>
      <w:r>
        <w:rPr/>
        <w:t>Hagerman,</w:t>
      </w:r>
      <w:r>
        <w:rPr>
          <w:spacing w:val="18"/>
        </w:rPr>
        <w:t> </w:t>
      </w:r>
      <w:r>
        <w:rPr/>
        <w:t>A.</w:t>
      </w:r>
      <w:r>
        <w:rPr>
          <w:spacing w:val="18"/>
        </w:rPr>
        <w:t> </w:t>
      </w:r>
      <w:r>
        <w:rPr/>
        <w:t>E.,</w:t>
      </w:r>
      <w:r>
        <w:rPr>
          <w:spacing w:val="16"/>
        </w:rPr>
        <w:t> </w:t>
      </w:r>
      <w:r>
        <w:rPr/>
        <w:t>Riedl,</w:t>
      </w:r>
      <w:r>
        <w:rPr>
          <w:spacing w:val="18"/>
        </w:rPr>
        <w:t> </w:t>
      </w:r>
      <w:r>
        <w:rPr/>
        <w:t>K.</w:t>
      </w:r>
      <w:r>
        <w:rPr>
          <w:spacing w:val="16"/>
        </w:rPr>
        <w:t> </w:t>
      </w:r>
      <w:r>
        <w:rPr/>
        <w:t>M.,</w:t>
      </w:r>
      <w:r>
        <w:rPr>
          <w:spacing w:val="16"/>
        </w:rPr>
        <w:t> </w:t>
      </w:r>
      <w:r>
        <w:rPr/>
        <w:t>Jones,</w:t>
      </w:r>
      <w:r>
        <w:rPr>
          <w:spacing w:val="16"/>
        </w:rPr>
        <w:t> </w:t>
      </w:r>
      <w:r>
        <w:rPr/>
        <w:t>G.</w:t>
      </w:r>
      <w:r>
        <w:rPr>
          <w:spacing w:val="19"/>
        </w:rPr>
        <w:t> </w:t>
      </w:r>
      <w:r>
        <w:rPr/>
        <w:t>A.,</w:t>
      </w:r>
      <w:r>
        <w:rPr>
          <w:spacing w:val="16"/>
        </w:rPr>
        <w:t> </w:t>
      </w:r>
      <w:r>
        <w:rPr/>
        <w:t>Sovik,</w:t>
      </w:r>
      <w:r>
        <w:rPr>
          <w:spacing w:val="17"/>
        </w:rPr>
        <w:t> </w:t>
      </w:r>
      <w:r>
        <w:rPr/>
        <w:t>K.</w:t>
      </w:r>
      <w:r>
        <w:rPr>
          <w:spacing w:val="16"/>
        </w:rPr>
        <w:t> </w:t>
      </w:r>
      <w:r>
        <w:rPr/>
        <w:t>N.,</w:t>
      </w:r>
      <w:r>
        <w:rPr>
          <w:spacing w:val="18"/>
        </w:rPr>
        <w:t> </w:t>
      </w:r>
      <w:r>
        <w:rPr/>
        <w:t>Ritchard,</w:t>
      </w:r>
      <w:r>
        <w:rPr>
          <w:spacing w:val="18"/>
        </w:rPr>
        <w:t> </w:t>
      </w:r>
      <w:r>
        <w:rPr/>
        <w:t>N.</w:t>
      </w:r>
      <w:r>
        <w:rPr>
          <w:spacing w:val="16"/>
        </w:rPr>
        <w:t> </w:t>
      </w:r>
      <w:r>
        <w:rPr/>
        <w:t>T.,</w:t>
      </w:r>
      <w:r>
        <w:rPr>
          <w:spacing w:val="16"/>
        </w:rPr>
        <w:t> </w:t>
      </w:r>
      <w:r>
        <w:rPr/>
        <w:t>Hartfield,</w:t>
      </w:r>
      <w:r>
        <w:rPr>
          <w:spacing w:val="18"/>
        </w:rPr>
        <w:t> </w:t>
      </w:r>
      <w:r>
        <w:rPr>
          <w:spacing w:val="-5"/>
        </w:rPr>
        <w:t>P.</w:t>
      </w:r>
    </w:p>
    <w:p>
      <w:pPr>
        <w:spacing w:before="1"/>
        <w:ind w:left="1530" w:right="993" w:firstLine="0"/>
        <w:jc w:val="both"/>
        <w:rPr>
          <w:sz w:val="24"/>
        </w:rPr>
      </w:pPr>
      <w:r>
        <w:rPr>
          <w:sz w:val="24"/>
        </w:rPr>
        <w:t>W. and Riechel, T. L. (1998): High molecular weight plant polyphenolics (tannins) as biological antioxidants. </w:t>
      </w:r>
      <w:r>
        <w:rPr>
          <w:i/>
          <w:sz w:val="24"/>
        </w:rPr>
        <w:t>J. Agricultural Food Chemistry </w:t>
      </w:r>
      <w:r>
        <w:rPr>
          <w:b/>
          <w:sz w:val="24"/>
        </w:rPr>
        <w:t>46</w:t>
      </w:r>
      <w:r>
        <w:rPr>
          <w:sz w:val="24"/>
        </w:rPr>
        <w:t>: 1887- </w:t>
      </w:r>
      <w:r>
        <w:rPr>
          <w:spacing w:val="-2"/>
          <w:sz w:val="24"/>
        </w:rPr>
        <w:t>1892.</w:t>
      </w:r>
    </w:p>
    <w:p>
      <w:pPr>
        <w:pStyle w:val="BodyText"/>
        <w:spacing w:before="240"/>
        <w:ind w:left="1671" w:right="994" w:hanging="994"/>
      </w:pPr>
      <w:r>
        <w:rPr/>
        <w:t>Hamburger,</w:t>
      </w:r>
      <w:r>
        <w:rPr>
          <w:spacing w:val="40"/>
        </w:rPr>
        <w:t> </w:t>
      </w:r>
      <w:r>
        <w:rPr/>
        <w:t>M.</w:t>
      </w:r>
      <w:r>
        <w:rPr>
          <w:spacing w:val="40"/>
        </w:rPr>
        <w:t> </w:t>
      </w:r>
      <w:r>
        <w:rPr/>
        <w:t>and</w:t>
      </w:r>
      <w:r>
        <w:rPr>
          <w:spacing w:val="40"/>
        </w:rPr>
        <w:t> </w:t>
      </w:r>
      <w:r>
        <w:rPr/>
        <w:t>Hostettmann,</w:t>
      </w:r>
      <w:r>
        <w:rPr>
          <w:spacing w:val="40"/>
        </w:rPr>
        <w:t> </w:t>
      </w:r>
      <w:r>
        <w:rPr/>
        <w:t>K.</w:t>
      </w:r>
      <w:r>
        <w:rPr>
          <w:spacing w:val="40"/>
        </w:rPr>
        <w:t> </w:t>
      </w:r>
      <w:r>
        <w:rPr/>
        <w:t>(1991):</w:t>
      </w:r>
      <w:r>
        <w:rPr>
          <w:spacing w:val="40"/>
        </w:rPr>
        <w:t> </w:t>
      </w:r>
      <w:r>
        <w:rPr/>
        <w:t>Bioactivity</w:t>
      </w:r>
      <w:r>
        <w:rPr>
          <w:spacing w:val="39"/>
        </w:rPr>
        <w:t> </w:t>
      </w:r>
      <w:r>
        <w:rPr/>
        <w:t>in</w:t>
      </w:r>
      <w:r>
        <w:rPr>
          <w:spacing w:val="40"/>
        </w:rPr>
        <w:t> </w:t>
      </w:r>
      <w:r>
        <w:rPr/>
        <w:t>Plants:</w:t>
      </w:r>
      <w:r>
        <w:rPr>
          <w:spacing w:val="40"/>
        </w:rPr>
        <w:t> </w:t>
      </w:r>
      <w:r>
        <w:rPr/>
        <w:t>The</w:t>
      </w:r>
      <w:r>
        <w:rPr>
          <w:spacing w:val="40"/>
        </w:rPr>
        <w:t> </w:t>
      </w:r>
      <w:r>
        <w:rPr/>
        <w:t>Link</w:t>
      </w:r>
      <w:r>
        <w:rPr>
          <w:spacing w:val="40"/>
        </w:rPr>
        <w:t> </w:t>
      </w:r>
      <w:r>
        <w:rPr/>
        <w:t>between phytochemistry and medicine. </w:t>
      </w:r>
      <w:r>
        <w:rPr>
          <w:i/>
        </w:rPr>
        <w:t>Phytochemistry</w:t>
      </w:r>
      <w:r>
        <w:rPr/>
        <w:t>, </w:t>
      </w:r>
      <w:r>
        <w:rPr>
          <w:b/>
        </w:rPr>
        <w:t>30</w:t>
      </w:r>
      <w:r>
        <w:rPr/>
        <w:t>: 3864 - 3874.</w:t>
      </w:r>
    </w:p>
    <w:p>
      <w:pPr>
        <w:pStyle w:val="BodyText"/>
        <w:spacing w:before="240"/>
        <w:ind w:left="1578" w:hanging="900"/>
      </w:pPr>
      <w:r>
        <w:rPr/>
        <w:t>Handa,</w:t>
      </w:r>
      <w:r>
        <w:rPr>
          <w:spacing w:val="40"/>
        </w:rPr>
        <w:t> </w:t>
      </w:r>
      <w:r>
        <w:rPr/>
        <w:t>S.S.</w:t>
      </w:r>
      <w:r>
        <w:rPr>
          <w:spacing w:val="40"/>
        </w:rPr>
        <w:t> </w:t>
      </w:r>
      <w:r>
        <w:rPr/>
        <w:t>(1996);</w:t>
      </w:r>
      <w:r>
        <w:rPr>
          <w:spacing w:val="40"/>
        </w:rPr>
        <w:t> </w:t>
      </w:r>
      <w:r>
        <w:rPr/>
        <w:t>Medicinal</w:t>
      </w:r>
      <w:r>
        <w:rPr>
          <w:spacing w:val="40"/>
        </w:rPr>
        <w:t> </w:t>
      </w:r>
      <w:r>
        <w:rPr/>
        <w:t>plant-</w:t>
      </w:r>
      <w:r>
        <w:rPr>
          <w:spacing w:val="40"/>
        </w:rPr>
        <w:t> </w:t>
      </w:r>
      <w:r>
        <w:rPr/>
        <w:t>priorities</w:t>
      </w:r>
      <w:r>
        <w:rPr>
          <w:spacing w:val="40"/>
        </w:rPr>
        <w:t> </w:t>
      </w:r>
      <w:r>
        <w:rPr/>
        <w:t>in</w:t>
      </w:r>
      <w:r>
        <w:rPr>
          <w:spacing w:val="40"/>
        </w:rPr>
        <w:t> </w:t>
      </w:r>
      <w:r>
        <w:rPr/>
        <w:t>India</w:t>
      </w:r>
      <w:r>
        <w:rPr>
          <w:spacing w:val="40"/>
        </w:rPr>
        <w:t> </w:t>
      </w:r>
      <w:r>
        <w:rPr/>
        <w:t>medicines</w:t>
      </w:r>
      <w:r>
        <w:rPr>
          <w:spacing w:val="40"/>
        </w:rPr>
        <w:t> </w:t>
      </w:r>
      <w:r>
        <w:rPr/>
        <w:t>diverse</w:t>
      </w:r>
      <w:r>
        <w:rPr>
          <w:spacing w:val="40"/>
        </w:rPr>
        <w:t> </w:t>
      </w:r>
      <w:r>
        <w:rPr/>
        <w:t>studies</w:t>
      </w:r>
      <w:r>
        <w:rPr>
          <w:spacing w:val="40"/>
        </w:rPr>
        <w:t> </w:t>
      </w:r>
      <w:r>
        <w:rPr/>
        <w:t>and implications,</w:t>
      </w:r>
      <w:r>
        <w:rPr>
          <w:spacing w:val="34"/>
        </w:rPr>
        <w:t> </w:t>
      </w:r>
      <w:r>
        <w:rPr/>
        <w:t>―Supplement</w:t>
      </w:r>
      <w:r>
        <w:rPr>
          <w:spacing w:val="35"/>
        </w:rPr>
        <w:t> </w:t>
      </w:r>
      <w:r>
        <w:rPr/>
        <w:t>to</w:t>
      </w:r>
      <w:r>
        <w:rPr>
          <w:spacing w:val="35"/>
        </w:rPr>
        <w:t> </w:t>
      </w:r>
      <w:r>
        <w:rPr/>
        <w:t>Cultivation</w:t>
      </w:r>
      <w:r>
        <w:rPr>
          <w:spacing w:val="35"/>
        </w:rPr>
        <w:t> </w:t>
      </w:r>
      <w:r>
        <w:rPr/>
        <w:t>and</w:t>
      </w:r>
      <w:r>
        <w:rPr>
          <w:spacing w:val="35"/>
        </w:rPr>
        <w:t> </w:t>
      </w:r>
      <w:r>
        <w:rPr/>
        <w:t>Utilization</w:t>
      </w:r>
      <w:r>
        <w:rPr>
          <w:spacing w:val="35"/>
        </w:rPr>
        <w:t> </w:t>
      </w:r>
      <w:r>
        <w:rPr/>
        <w:t>of</w:t>
      </w:r>
      <w:r>
        <w:rPr>
          <w:spacing w:val="33"/>
        </w:rPr>
        <w:t> </w:t>
      </w:r>
      <w:r>
        <w:rPr/>
        <w:t>medicinal</w:t>
      </w:r>
      <w:r>
        <w:rPr>
          <w:spacing w:val="37"/>
        </w:rPr>
        <w:t> </w:t>
      </w:r>
      <w:r>
        <w:rPr>
          <w:spacing w:val="-2"/>
        </w:rPr>
        <w:t>plants,</w:t>
      </w:r>
    </w:p>
    <w:p>
      <w:pPr>
        <w:pStyle w:val="BodyText"/>
        <w:ind w:left="1578" w:right="997"/>
        <w:jc w:val="both"/>
      </w:pPr>
      <w:r>
        <w:rPr/>
        <w:t>S.S. Handa and M. A. Kakul, Eds., pp. 33-51, Regional Research Laboratories, Jammu Tawi, India.</w:t>
      </w:r>
    </w:p>
    <w:p>
      <w:pPr>
        <w:pStyle w:val="BodyText"/>
        <w:spacing w:before="240"/>
        <w:ind w:left="1810" w:right="995" w:hanging="1133"/>
        <w:jc w:val="both"/>
      </w:pPr>
      <w:r>
        <w:rPr/>
        <w:t>Hardman, J. G. Limbard, L. E. (2001): Insulin, Oral Hypoglycemic Agents and and The Pharmacology of the Endocrine Pancrease. In Goodman and Gilman‘s: The Pharmacological basis of Therepeuticsa. Tenth edition. Mcgraw-Hill</w:t>
      </w:r>
      <w:r>
        <w:rPr>
          <w:spacing w:val="80"/>
        </w:rPr>
        <w:t> </w:t>
      </w:r>
      <w:r>
        <w:rPr/>
        <w:t>Company Limited, USA; 1383-1399.</w:t>
      </w:r>
    </w:p>
    <w:p>
      <w:pPr>
        <w:pStyle w:val="BodyText"/>
        <w:spacing w:before="240"/>
        <w:ind w:left="1849" w:right="994" w:hanging="1172"/>
        <w:jc w:val="both"/>
      </w:pPr>
      <w:r>
        <w:rPr/>
        <w:t>Harris,</w:t>
      </w:r>
      <w:r>
        <w:rPr>
          <w:spacing w:val="-1"/>
        </w:rPr>
        <w:t> </w:t>
      </w:r>
      <w:r>
        <w:rPr/>
        <w:t>M. I., Flegal,</w:t>
      </w:r>
      <w:r>
        <w:rPr>
          <w:spacing w:val="-1"/>
        </w:rPr>
        <w:t> </w:t>
      </w:r>
      <w:r>
        <w:rPr/>
        <w:t>K. M.,</w:t>
      </w:r>
      <w:r>
        <w:rPr>
          <w:spacing w:val="-1"/>
        </w:rPr>
        <w:t> </w:t>
      </w:r>
      <w:r>
        <w:rPr/>
        <w:t>Cowie,</w:t>
      </w:r>
      <w:r>
        <w:rPr>
          <w:spacing w:val="-1"/>
        </w:rPr>
        <w:t> </w:t>
      </w:r>
      <w:r>
        <w:rPr/>
        <w:t>C.</w:t>
      </w:r>
      <w:r>
        <w:rPr>
          <w:spacing w:val="-1"/>
        </w:rPr>
        <w:t> </w:t>
      </w:r>
      <w:r>
        <w:rPr/>
        <w:t>C.,</w:t>
      </w:r>
      <w:r>
        <w:rPr>
          <w:spacing w:val="-1"/>
        </w:rPr>
        <w:t> </w:t>
      </w:r>
      <w:r>
        <w:rPr/>
        <w:t>Eberhardt,</w:t>
      </w:r>
      <w:r>
        <w:rPr>
          <w:spacing w:val="-1"/>
        </w:rPr>
        <w:t> </w:t>
      </w:r>
      <w:r>
        <w:rPr/>
        <w:t>M.</w:t>
      </w:r>
      <w:r>
        <w:rPr>
          <w:spacing w:val="-1"/>
        </w:rPr>
        <w:t> </w:t>
      </w:r>
      <w:r>
        <w:rPr/>
        <w:t>S.,</w:t>
      </w:r>
      <w:r>
        <w:rPr>
          <w:spacing w:val="-1"/>
        </w:rPr>
        <w:t> </w:t>
      </w:r>
      <w:r>
        <w:rPr/>
        <w:t>Goldstein,</w:t>
      </w:r>
      <w:r>
        <w:rPr>
          <w:spacing w:val="-1"/>
        </w:rPr>
        <w:t> </w:t>
      </w:r>
      <w:r>
        <w:rPr/>
        <w:t>D. E., Little,</w:t>
      </w:r>
      <w:r>
        <w:rPr>
          <w:spacing w:val="-1"/>
        </w:rPr>
        <w:t> </w:t>
      </w:r>
      <w:r>
        <w:rPr/>
        <w:t>R.</w:t>
      </w:r>
      <w:r>
        <w:rPr>
          <w:spacing w:val="-1"/>
        </w:rPr>
        <w:t> </w:t>
      </w:r>
      <w:r>
        <w:rPr/>
        <w:t>R., et al. (1998): Prevalence of diabetes, impaired fasting glucose, and impaired glucose tolerance in U.S. adults: The Third National Health and Nutrition Examination Survey. </w:t>
      </w:r>
      <w:r>
        <w:rPr>
          <w:i/>
        </w:rPr>
        <w:t>Diabetes Care</w:t>
      </w:r>
      <w:r>
        <w:rPr/>
        <w:t>; </w:t>
      </w:r>
      <w:r>
        <w:rPr>
          <w:b/>
        </w:rPr>
        <w:t>21</w:t>
      </w:r>
      <w:r>
        <w:rPr/>
        <w:t>: 18-24.</w:t>
      </w:r>
    </w:p>
    <w:p>
      <w:pPr>
        <w:pStyle w:val="BodyText"/>
      </w:pPr>
    </w:p>
    <w:p>
      <w:pPr>
        <w:pStyle w:val="BodyText"/>
        <w:spacing w:before="1"/>
        <w:ind w:left="1758" w:right="1071" w:hanging="1080"/>
      </w:pPr>
      <w:r>
        <w:rPr/>
        <w:t>Heikkila,</w:t>
      </w:r>
      <w:r>
        <w:rPr>
          <w:spacing w:val="-3"/>
        </w:rPr>
        <w:t> </w:t>
      </w:r>
      <w:r>
        <w:rPr/>
        <w:t>R.</w:t>
      </w:r>
      <w:r>
        <w:rPr>
          <w:spacing w:val="-3"/>
        </w:rPr>
        <w:t> </w:t>
      </w:r>
      <w:r>
        <w:rPr/>
        <w:t>E.,</w:t>
      </w:r>
      <w:r>
        <w:rPr>
          <w:spacing w:val="-3"/>
        </w:rPr>
        <w:t> </w:t>
      </w:r>
      <w:r>
        <w:rPr/>
        <w:t>Winston,</w:t>
      </w:r>
      <w:r>
        <w:rPr>
          <w:spacing w:val="-6"/>
        </w:rPr>
        <w:t> </w:t>
      </w:r>
      <w:r>
        <w:rPr/>
        <w:t>B.,</w:t>
      </w:r>
      <w:r>
        <w:rPr>
          <w:spacing w:val="-3"/>
        </w:rPr>
        <w:t> </w:t>
      </w:r>
      <w:r>
        <w:rPr/>
        <w:t>Cohen,</w:t>
      </w:r>
      <w:r>
        <w:rPr>
          <w:spacing w:val="-3"/>
        </w:rPr>
        <w:t> </w:t>
      </w:r>
      <w:r>
        <w:rPr/>
        <w:t>G.</w:t>
      </w:r>
      <w:r>
        <w:rPr>
          <w:spacing w:val="-3"/>
        </w:rPr>
        <w:t> </w:t>
      </w:r>
      <w:r>
        <w:rPr/>
        <w:t>and</w:t>
      </w:r>
      <w:r>
        <w:rPr>
          <w:spacing w:val="-2"/>
        </w:rPr>
        <w:t> </w:t>
      </w:r>
      <w:r>
        <w:rPr/>
        <w:t>Barden,</w:t>
      </w:r>
      <w:r>
        <w:rPr>
          <w:spacing w:val="-3"/>
        </w:rPr>
        <w:t> </w:t>
      </w:r>
      <w:r>
        <w:rPr/>
        <w:t>H.</w:t>
      </w:r>
      <w:r>
        <w:rPr>
          <w:spacing w:val="-3"/>
        </w:rPr>
        <w:t> </w:t>
      </w:r>
      <w:r>
        <w:rPr/>
        <w:t>(1976):</w:t>
      </w:r>
      <w:r>
        <w:rPr>
          <w:spacing w:val="-2"/>
        </w:rPr>
        <w:t> </w:t>
      </w:r>
      <w:r>
        <w:rPr/>
        <w:t>Alloxan</w:t>
      </w:r>
      <w:r>
        <w:rPr>
          <w:spacing w:val="-3"/>
        </w:rPr>
        <w:t> </w:t>
      </w:r>
      <w:r>
        <w:rPr/>
        <w:t>induced</w:t>
      </w:r>
      <w:r>
        <w:rPr>
          <w:spacing w:val="-3"/>
        </w:rPr>
        <w:t> </w:t>
      </w:r>
      <w:r>
        <w:rPr/>
        <w:t>diabetes, evidence for hydroxyl radicals as a cytotoxic intermediate. </w:t>
      </w:r>
      <w:r>
        <w:rPr>
          <w:i/>
        </w:rPr>
        <w:t>Biochem Pharmacol </w:t>
      </w:r>
      <w:r>
        <w:rPr>
          <w:b/>
        </w:rPr>
        <w:t>25</w:t>
      </w:r>
      <w:r>
        <w:rPr/>
        <w:t>: 1085-1092.</w:t>
      </w:r>
    </w:p>
    <w:p>
      <w:pPr>
        <w:pStyle w:val="BodyText"/>
      </w:pPr>
    </w:p>
    <w:p>
      <w:pPr>
        <w:pStyle w:val="BodyText"/>
        <w:ind w:left="1849" w:right="997" w:hanging="1172"/>
        <w:jc w:val="both"/>
      </w:pPr>
      <w:r>
        <w:rPr/>
        <w:t>Hellman, B. O., Lars-Ake, I., Lernmark, A., Sehlin, J. and Taljedal, I. (1973): The pancreatic p-cell recognition of insulin secretagogues: Effects of calcium and sodium on glucose metabolism and insulin release. </w:t>
      </w:r>
      <w:r>
        <w:rPr>
          <w:i/>
        </w:rPr>
        <w:t>Biochem. J</w:t>
      </w:r>
      <w:r>
        <w:rPr/>
        <w:t>. </w:t>
      </w:r>
      <w:r>
        <w:rPr>
          <w:b/>
        </w:rPr>
        <w:t>138</w:t>
      </w:r>
      <w:r>
        <w:rPr/>
        <w:t>: 33-45</w:t>
      </w:r>
    </w:p>
    <w:p>
      <w:pPr>
        <w:spacing w:before="240"/>
        <w:ind w:left="1530" w:right="1041" w:hanging="852"/>
        <w:jc w:val="left"/>
        <w:rPr>
          <w:sz w:val="24"/>
        </w:rPr>
      </w:pPr>
      <w:r>
        <w:rPr>
          <w:sz w:val="24"/>
        </w:rPr>
        <w:t>Helmstoädter,</w:t>
      </w:r>
      <w:r>
        <w:rPr>
          <w:spacing w:val="-5"/>
          <w:sz w:val="24"/>
        </w:rPr>
        <w:t> </w:t>
      </w:r>
      <w:r>
        <w:rPr>
          <w:sz w:val="24"/>
        </w:rPr>
        <w:t>A.</w:t>
      </w:r>
      <w:r>
        <w:rPr>
          <w:spacing w:val="-5"/>
          <w:sz w:val="24"/>
        </w:rPr>
        <w:t> </w:t>
      </w:r>
      <w:r>
        <w:rPr>
          <w:sz w:val="24"/>
        </w:rPr>
        <w:t>(2008):</w:t>
      </w:r>
      <w:r>
        <w:rPr>
          <w:spacing w:val="-4"/>
          <w:sz w:val="24"/>
        </w:rPr>
        <w:t> </w:t>
      </w:r>
      <w:r>
        <w:rPr>
          <w:i/>
          <w:sz w:val="24"/>
        </w:rPr>
        <w:t>Syzygium</w:t>
      </w:r>
      <w:r>
        <w:rPr>
          <w:i/>
          <w:spacing w:val="-5"/>
          <w:sz w:val="24"/>
        </w:rPr>
        <w:t> </w:t>
      </w:r>
      <w:r>
        <w:rPr>
          <w:i/>
          <w:sz w:val="24"/>
        </w:rPr>
        <w:t>cumini</w:t>
      </w:r>
      <w:r>
        <w:rPr>
          <w:i/>
          <w:spacing w:val="-5"/>
          <w:sz w:val="24"/>
        </w:rPr>
        <w:t> </w:t>
      </w:r>
      <w:r>
        <w:rPr>
          <w:sz w:val="24"/>
        </w:rPr>
        <w:t>(L.)</w:t>
      </w:r>
      <w:r>
        <w:rPr>
          <w:spacing w:val="-5"/>
          <w:sz w:val="24"/>
        </w:rPr>
        <w:t> </w:t>
      </w:r>
      <w:r>
        <w:rPr>
          <w:sz w:val="24"/>
        </w:rPr>
        <w:t>Skeels</w:t>
      </w:r>
      <w:r>
        <w:rPr>
          <w:spacing w:val="-5"/>
          <w:sz w:val="24"/>
        </w:rPr>
        <w:t> </w:t>
      </w:r>
      <w:r>
        <w:rPr>
          <w:sz w:val="24"/>
        </w:rPr>
        <w:t>(Myrtaceae)</w:t>
      </w:r>
      <w:r>
        <w:rPr>
          <w:spacing w:val="-5"/>
          <w:sz w:val="24"/>
        </w:rPr>
        <w:t> </w:t>
      </w:r>
      <w:r>
        <w:rPr>
          <w:sz w:val="24"/>
        </w:rPr>
        <w:t>against</w:t>
      </w:r>
      <w:r>
        <w:rPr>
          <w:spacing w:val="-5"/>
          <w:sz w:val="24"/>
        </w:rPr>
        <w:t> </w:t>
      </w:r>
      <w:r>
        <w:rPr>
          <w:sz w:val="24"/>
        </w:rPr>
        <w:t>diabetes-125 years of research. </w:t>
      </w:r>
      <w:r>
        <w:rPr>
          <w:i/>
          <w:sz w:val="24"/>
        </w:rPr>
        <w:t>Pharmazie. </w:t>
      </w:r>
      <w:r>
        <w:rPr>
          <w:sz w:val="24"/>
        </w:rPr>
        <w:t>63:91–101.</w:t>
      </w:r>
    </w:p>
    <w:p>
      <w:pPr>
        <w:pStyle w:val="BodyText"/>
        <w:spacing w:before="240"/>
        <w:ind w:left="1810" w:right="994" w:hanging="1133"/>
        <w:jc w:val="both"/>
      </w:pPr>
      <w:r>
        <w:rPr/>
        <w:t>Henry, R. J., Chiamori, N., Golub, O. J., and Berkman, S. (1960): Revised spectrophotometric methods for the determination of glutamic-axoloaacetic transaminase, glutamic-pyruvic transaminase, and lactic acid dehydrogenase. </w:t>
      </w:r>
      <w:r>
        <w:rPr>
          <w:i/>
        </w:rPr>
        <w:t>Am. J. Clin. Pathol</w:t>
      </w:r>
      <w:r>
        <w:rPr/>
        <w:t>. </w:t>
      </w:r>
      <w:r>
        <w:rPr>
          <w:b/>
        </w:rPr>
        <w:t>34 </w:t>
      </w:r>
      <w:r>
        <w:rPr/>
        <w:t>(4): p. 381-385.</w:t>
      </w:r>
    </w:p>
    <w:p>
      <w:pPr>
        <w:pStyle w:val="BodyText"/>
        <w:spacing w:before="241"/>
        <w:ind w:left="1954" w:right="994" w:hanging="1277"/>
        <w:jc w:val="both"/>
      </w:pPr>
      <w:r>
        <w:rPr/>
        <w:t>Hertog, M. G. L., Sweetnam, P. M., Fehily, A. M., Elwood, P. C. and Kromhout, D. (1997): Antioxidant flavonols and ischaemic heart disease in a Welsh population of men - the caerphilly study. </w:t>
      </w:r>
      <w:r>
        <w:rPr>
          <w:i/>
        </w:rPr>
        <w:t>American Journal of Clinical Nutrition </w:t>
      </w:r>
      <w:r>
        <w:rPr>
          <w:b/>
        </w:rPr>
        <w:t>65</w:t>
      </w:r>
      <w:r>
        <w:rPr/>
        <w:t>: 1489-1494.</w:t>
      </w:r>
    </w:p>
    <w:p>
      <w:pPr>
        <w:spacing w:after="0"/>
        <w:jc w:val="both"/>
        <w:sectPr>
          <w:pgSz w:w="12240" w:h="15840"/>
          <w:pgMar w:header="0" w:footer="1056" w:top="1340" w:bottom="1240" w:left="1420" w:right="420"/>
        </w:sectPr>
      </w:pPr>
    </w:p>
    <w:p>
      <w:pPr>
        <w:pStyle w:val="BodyText"/>
        <w:spacing w:before="70"/>
        <w:ind w:left="1954" w:right="993" w:hanging="1277"/>
        <w:jc w:val="both"/>
      </w:pPr>
      <w:r>
        <w:rPr/>
        <mc:AlternateContent>
          <mc:Choice Requires="wps">
            <w:drawing>
              <wp:anchor distT="0" distB="0" distL="0" distR="0" allowOverlap="1" layoutInCell="1" locked="0" behindDoc="1" simplePos="0" relativeHeight="483042816">
                <wp:simplePos x="0" y="0"/>
                <wp:positionH relativeFrom="page">
                  <wp:posOffset>-1402226</wp:posOffset>
                </wp:positionH>
                <wp:positionV relativeFrom="page">
                  <wp:posOffset>4612234</wp:posOffset>
                </wp:positionV>
                <wp:extent cx="10685780" cy="91440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3664;rotation:306" type="#_x0000_t136" fillcolor="#ff5400" stroked="f">
                <o:extrusion v:ext="view" autorotationcenter="t"/>
                <v:textpath style="font-family:&quot;Arial MT&quot;;font-size:72pt;v-text-kern:t;mso-text-shadow:auto" string="UNIVERSITY OF IBADAN"/>
                <w10:wrap type="none"/>
              </v:shape>
            </w:pict>
          </mc:Fallback>
        </mc:AlternateContent>
      </w:r>
      <w:r>
        <w:rPr/>
        <w:t>Higashino, H., Suzuki, A., Tanaka Pootakham, K. (1992):</w:t>
      </w:r>
      <w:r>
        <w:rPr>
          <w:spacing w:val="40"/>
        </w:rPr>
        <w:t> </w:t>
      </w:r>
      <w:r>
        <w:rPr/>
        <w:t>Hypoglycaemic effects of Siamese </w:t>
      </w:r>
      <w:r>
        <w:rPr>
          <w:i/>
        </w:rPr>
        <w:t>Momordica Charantia </w:t>
      </w:r>
      <w:r>
        <w:rPr/>
        <w:t>and </w:t>
      </w:r>
      <w:r>
        <w:rPr>
          <w:i/>
        </w:rPr>
        <w:t>Phyllantus urinaria </w:t>
      </w:r>
      <w:r>
        <w:rPr/>
        <w:t>extracts instreptozotocin-induced diabetic rats. Nippon Yakurigaku Zasshi, </w:t>
      </w:r>
      <w:r>
        <w:rPr>
          <w:b/>
        </w:rPr>
        <w:t>100</w:t>
      </w:r>
      <w:r>
        <w:rPr/>
        <w:t>: 515- </w:t>
      </w:r>
      <w:r>
        <w:rPr>
          <w:spacing w:val="-4"/>
        </w:rPr>
        <w:t>521.</w:t>
      </w:r>
    </w:p>
    <w:p>
      <w:pPr>
        <w:pStyle w:val="BodyText"/>
        <w:spacing w:before="241"/>
        <w:ind w:left="1671" w:right="997" w:hanging="994"/>
        <w:jc w:val="both"/>
      </w:pPr>
      <w:r>
        <w:rPr>
          <w:color w:val="221F1F"/>
        </w:rPr>
        <w:t>Horbowicz, M, Obendorf, R. L. (1994): Seed desiccation tolerance and storability: dependence</w:t>
      </w:r>
      <w:r>
        <w:rPr>
          <w:color w:val="221F1F"/>
          <w:spacing w:val="80"/>
          <w:w w:val="150"/>
        </w:rPr>
        <w:t> </w:t>
      </w:r>
      <w:r>
        <w:rPr>
          <w:color w:val="221F1F"/>
        </w:rPr>
        <w:t>on flatulence-producing oligosaccharides and cyclitols. Review and survey. </w:t>
      </w:r>
      <w:r>
        <w:rPr>
          <w:i/>
          <w:color w:val="221F1F"/>
        </w:rPr>
        <w:t>Seed Sci Res </w:t>
      </w:r>
      <w:r>
        <w:rPr>
          <w:b/>
          <w:color w:val="221F1F"/>
        </w:rPr>
        <w:t>4</w:t>
      </w:r>
      <w:r>
        <w:rPr>
          <w:color w:val="221F1F"/>
        </w:rPr>
        <w:t>: 385.</w:t>
      </w:r>
    </w:p>
    <w:p>
      <w:pPr>
        <w:pStyle w:val="BodyText"/>
        <w:spacing w:before="276"/>
        <w:ind w:left="1758" w:right="1082" w:hanging="1080"/>
      </w:pPr>
      <w:r>
        <w:rPr/>
        <w:t>Hsu, F.L., Chen, Y.C., Cheng, J.T. (2000): Caffeic acid as active principle from the fruit of</w:t>
      </w:r>
      <w:r>
        <w:rPr>
          <w:spacing w:val="-5"/>
        </w:rPr>
        <w:t> </w:t>
      </w:r>
      <w:r>
        <w:rPr>
          <w:i/>
        </w:rPr>
        <w:t>Xanthium</w:t>
      </w:r>
      <w:r>
        <w:rPr>
          <w:i/>
          <w:spacing w:val="-4"/>
        </w:rPr>
        <w:t> </w:t>
      </w:r>
      <w:r>
        <w:rPr>
          <w:i/>
        </w:rPr>
        <w:t>strumarium</w:t>
      </w:r>
      <w:r>
        <w:rPr>
          <w:i/>
          <w:spacing w:val="-4"/>
        </w:rPr>
        <w:t> </w:t>
      </w:r>
      <w:r>
        <w:rPr/>
        <w:t>to</w:t>
      </w:r>
      <w:r>
        <w:rPr>
          <w:spacing w:val="-4"/>
        </w:rPr>
        <w:t> </w:t>
      </w:r>
      <w:r>
        <w:rPr/>
        <w:t>lower</w:t>
      </w:r>
      <w:r>
        <w:rPr>
          <w:spacing w:val="-4"/>
        </w:rPr>
        <w:t> </w:t>
      </w:r>
      <w:r>
        <w:rPr/>
        <w:t>plasma</w:t>
      </w:r>
      <w:r>
        <w:rPr>
          <w:spacing w:val="-3"/>
        </w:rPr>
        <w:t> </w:t>
      </w:r>
      <w:r>
        <w:rPr/>
        <w:t>glucose</w:t>
      </w:r>
      <w:r>
        <w:rPr>
          <w:spacing w:val="-6"/>
        </w:rPr>
        <w:t> </w:t>
      </w:r>
      <w:r>
        <w:rPr/>
        <w:t>in</w:t>
      </w:r>
      <w:r>
        <w:rPr>
          <w:spacing w:val="-4"/>
        </w:rPr>
        <w:t> </w:t>
      </w:r>
      <w:r>
        <w:rPr/>
        <w:t>diabetic</w:t>
      </w:r>
      <w:r>
        <w:rPr>
          <w:spacing w:val="-5"/>
        </w:rPr>
        <w:t> </w:t>
      </w:r>
      <w:r>
        <w:rPr/>
        <w:t>rats.</w:t>
      </w:r>
      <w:r>
        <w:rPr>
          <w:spacing w:val="-3"/>
        </w:rPr>
        <w:t> </w:t>
      </w:r>
      <w:r>
        <w:rPr>
          <w:i/>
        </w:rPr>
        <w:t>Plant</w:t>
      </w:r>
      <w:r>
        <w:rPr>
          <w:i/>
          <w:spacing w:val="-4"/>
        </w:rPr>
        <w:t> </w:t>
      </w:r>
      <w:r>
        <w:rPr>
          <w:i/>
        </w:rPr>
        <w:t>Med</w:t>
      </w:r>
      <w:r>
        <w:rPr/>
        <w:t>., </w:t>
      </w:r>
      <w:r>
        <w:rPr>
          <w:b/>
        </w:rPr>
        <w:t>66</w:t>
      </w:r>
      <w:r>
        <w:rPr/>
        <w:t>, 228-230.</w:t>
      </w:r>
    </w:p>
    <w:p>
      <w:pPr>
        <w:pStyle w:val="BodyText"/>
        <w:spacing w:before="276"/>
        <w:ind w:left="1578" w:right="998" w:hanging="900"/>
        <w:jc w:val="both"/>
      </w:pPr>
      <w:r>
        <w:rPr/>
        <w:t>Hussain</w:t>
      </w:r>
      <w:r>
        <w:rPr>
          <w:spacing w:val="-1"/>
        </w:rPr>
        <w:t> </w:t>
      </w:r>
      <w:r>
        <w:rPr/>
        <w:t>and</w:t>
      </w:r>
      <w:r>
        <w:rPr>
          <w:spacing w:val="-1"/>
        </w:rPr>
        <w:t> </w:t>
      </w:r>
      <w:r>
        <w:rPr/>
        <w:t>Manyam, B. V.</w:t>
      </w:r>
      <w:r>
        <w:rPr>
          <w:spacing w:val="-1"/>
        </w:rPr>
        <w:t> </w:t>
      </w:r>
      <w:r>
        <w:rPr/>
        <w:t>(1997): </w:t>
      </w:r>
      <w:r>
        <w:rPr>
          <w:i/>
        </w:rPr>
        <w:t>Mucuna</w:t>
      </w:r>
      <w:r>
        <w:rPr>
          <w:i/>
          <w:spacing w:val="-1"/>
        </w:rPr>
        <w:t> </w:t>
      </w:r>
      <w:r>
        <w:rPr>
          <w:i/>
        </w:rPr>
        <w:t>pruriens</w:t>
      </w:r>
      <w:r>
        <w:rPr>
          <w:i/>
          <w:spacing w:val="-1"/>
        </w:rPr>
        <w:t> </w:t>
      </w:r>
      <w:r>
        <w:rPr/>
        <w:t>proves</w:t>
      </w:r>
      <w:r>
        <w:rPr>
          <w:spacing w:val="-1"/>
        </w:rPr>
        <w:t> </w:t>
      </w:r>
      <w:r>
        <w:rPr/>
        <w:t>more</w:t>
      </w:r>
      <w:r>
        <w:rPr>
          <w:spacing w:val="-2"/>
        </w:rPr>
        <w:t> </w:t>
      </w:r>
      <w:r>
        <w:rPr/>
        <w:t>effective</w:t>
      </w:r>
      <w:r>
        <w:rPr>
          <w:spacing w:val="-2"/>
        </w:rPr>
        <w:t> </w:t>
      </w:r>
      <w:r>
        <w:rPr/>
        <w:t>than L. Dopa in Parkinson‘s Disease animal model. </w:t>
      </w:r>
      <w:r>
        <w:rPr>
          <w:i/>
        </w:rPr>
        <w:t>Phytother. Res</w:t>
      </w:r>
      <w:r>
        <w:rPr/>
        <w:t>. 11: 419-423.</w:t>
      </w:r>
    </w:p>
    <w:p>
      <w:pPr>
        <w:pStyle w:val="BodyText"/>
      </w:pPr>
    </w:p>
    <w:p>
      <w:pPr>
        <w:pStyle w:val="BodyText"/>
        <w:spacing w:line="242" w:lineRule="auto"/>
        <w:ind w:left="1578" w:right="995" w:hanging="900"/>
        <w:jc w:val="both"/>
        <w:rPr>
          <w:b/>
        </w:rPr>
      </w:pPr>
      <w:r>
        <w:rPr/>
        <w:t>Hussain, K., Ismail, Z., Sadikun, A., Ibrahim, P. (2009): Bioactive markers based pharmacokinetic evaluation of extracts of a traditional medicinal plant, </w:t>
      </w:r>
      <w:r>
        <w:rPr>
          <w:i/>
        </w:rPr>
        <w:t>Piper sarmentosum </w:t>
      </w:r>
      <w:r>
        <w:rPr/>
        <w:t>J</w:t>
      </w:r>
      <w:r>
        <w:rPr>
          <w:i/>
        </w:rPr>
        <w:t>. </w:t>
      </w:r>
      <w:r>
        <w:rPr/>
        <w:t>Evidence-based Complementary and alternative Medicine, Vol. </w:t>
      </w:r>
      <w:r>
        <w:rPr>
          <w:b/>
          <w:spacing w:val="-2"/>
        </w:rPr>
        <w:t>2011.</w:t>
      </w:r>
    </w:p>
    <w:p>
      <w:pPr>
        <w:spacing w:before="229"/>
        <w:ind w:left="678" w:right="0" w:firstLine="0"/>
        <w:jc w:val="left"/>
        <w:rPr>
          <w:i/>
          <w:sz w:val="24"/>
        </w:rPr>
      </w:pPr>
      <w:r>
        <w:rPr>
          <w:sz w:val="24"/>
        </w:rPr>
        <w:t>IFCC</w:t>
      </w:r>
      <w:r>
        <w:rPr>
          <w:spacing w:val="34"/>
          <w:sz w:val="24"/>
        </w:rPr>
        <w:t> </w:t>
      </w:r>
      <w:r>
        <w:rPr>
          <w:sz w:val="24"/>
        </w:rPr>
        <w:t>(1986):</w:t>
      </w:r>
      <w:r>
        <w:rPr>
          <w:spacing w:val="36"/>
          <w:sz w:val="24"/>
        </w:rPr>
        <w:t> </w:t>
      </w:r>
      <w:r>
        <w:rPr>
          <w:sz w:val="24"/>
        </w:rPr>
        <w:t>Method</w:t>
      </w:r>
      <w:r>
        <w:rPr>
          <w:spacing w:val="36"/>
          <w:sz w:val="24"/>
        </w:rPr>
        <w:t> </w:t>
      </w:r>
      <w:r>
        <w:rPr>
          <w:sz w:val="24"/>
        </w:rPr>
        <w:t>for</w:t>
      </w:r>
      <w:r>
        <w:rPr>
          <w:spacing w:val="38"/>
          <w:sz w:val="24"/>
        </w:rPr>
        <w:t> </w:t>
      </w:r>
      <w:r>
        <w:rPr>
          <w:sz w:val="24"/>
        </w:rPr>
        <w:t>L-Aspartate</w:t>
      </w:r>
      <w:r>
        <w:rPr>
          <w:spacing w:val="36"/>
          <w:sz w:val="24"/>
        </w:rPr>
        <w:t> </w:t>
      </w:r>
      <w:r>
        <w:rPr>
          <w:sz w:val="24"/>
        </w:rPr>
        <w:t>aminotransferase.</w:t>
      </w:r>
      <w:r>
        <w:rPr>
          <w:spacing w:val="38"/>
          <w:sz w:val="24"/>
        </w:rPr>
        <w:t> </w:t>
      </w:r>
      <w:r>
        <w:rPr>
          <w:i/>
          <w:sz w:val="24"/>
        </w:rPr>
        <w:t>J.</w:t>
      </w:r>
      <w:r>
        <w:rPr>
          <w:i/>
          <w:spacing w:val="37"/>
          <w:sz w:val="24"/>
        </w:rPr>
        <w:t> </w:t>
      </w:r>
      <w:r>
        <w:rPr>
          <w:i/>
          <w:sz w:val="24"/>
        </w:rPr>
        <w:t>Clin.</w:t>
      </w:r>
      <w:r>
        <w:rPr>
          <w:i/>
          <w:spacing w:val="37"/>
          <w:sz w:val="24"/>
        </w:rPr>
        <w:t> </w:t>
      </w:r>
      <w:r>
        <w:rPr>
          <w:i/>
          <w:sz w:val="24"/>
        </w:rPr>
        <w:t>Chem.</w:t>
      </w:r>
      <w:r>
        <w:rPr>
          <w:i/>
          <w:spacing w:val="36"/>
          <w:sz w:val="24"/>
        </w:rPr>
        <w:t> </w:t>
      </w:r>
      <w:r>
        <w:rPr>
          <w:i/>
          <w:sz w:val="24"/>
        </w:rPr>
        <w:t>Clin</w:t>
      </w:r>
      <w:r>
        <w:rPr>
          <w:sz w:val="24"/>
        </w:rPr>
        <w:t>.</w:t>
      </w:r>
      <w:r>
        <w:rPr>
          <w:spacing w:val="37"/>
          <w:sz w:val="24"/>
        </w:rPr>
        <w:t> </w:t>
      </w:r>
      <w:r>
        <w:rPr>
          <w:i/>
          <w:spacing w:val="-2"/>
          <w:sz w:val="24"/>
        </w:rPr>
        <w:t>Biochem.</w:t>
      </w:r>
    </w:p>
    <w:p>
      <w:pPr>
        <w:spacing w:before="0"/>
        <w:ind w:left="1810" w:right="0" w:firstLine="0"/>
        <w:jc w:val="left"/>
        <w:rPr>
          <w:sz w:val="24"/>
        </w:rPr>
      </w:pPr>
      <w:r>
        <w:rPr>
          <w:b/>
          <w:sz w:val="24"/>
        </w:rPr>
        <w:t>24:</w:t>
      </w:r>
      <w:r>
        <w:rPr>
          <w:b/>
          <w:spacing w:val="-2"/>
          <w:sz w:val="24"/>
        </w:rPr>
        <w:t> </w:t>
      </w:r>
      <w:r>
        <w:rPr>
          <w:sz w:val="24"/>
        </w:rPr>
        <w:t>497-</w:t>
      </w:r>
      <w:r>
        <w:rPr>
          <w:spacing w:val="-4"/>
          <w:sz w:val="24"/>
        </w:rPr>
        <w:t>510.</w:t>
      </w:r>
    </w:p>
    <w:p>
      <w:pPr>
        <w:pStyle w:val="BodyText"/>
        <w:spacing w:before="240"/>
        <w:ind w:left="678"/>
      </w:pPr>
      <w:r>
        <w:rPr/>
        <w:t>Infante,</w:t>
      </w:r>
      <w:r>
        <w:rPr>
          <w:spacing w:val="10"/>
        </w:rPr>
        <w:t> </w:t>
      </w:r>
      <w:r>
        <w:rPr/>
        <w:t>M.</w:t>
      </w:r>
      <w:r>
        <w:rPr>
          <w:spacing w:val="13"/>
        </w:rPr>
        <w:t> </w:t>
      </w:r>
      <w:r>
        <w:rPr/>
        <w:t>E.,</w:t>
      </w:r>
      <w:r>
        <w:rPr>
          <w:spacing w:val="13"/>
        </w:rPr>
        <w:t> </w:t>
      </w:r>
      <w:r>
        <w:rPr/>
        <w:t>Perez,</w:t>
      </w:r>
      <w:r>
        <w:rPr>
          <w:spacing w:val="13"/>
        </w:rPr>
        <w:t> </w:t>
      </w:r>
      <w:r>
        <w:rPr/>
        <w:t>A.</w:t>
      </w:r>
      <w:r>
        <w:rPr>
          <w:spacing w:val="15"/>
        </w:rPr>
        <w:t> </w:t>
      </w:r>
      <w:r>
        <w:rPr/>
        <w:t>M.,</w:t>
      </w:r>
      <w:r>
        <w:rPr>
          <w:spacing w:val="13"/>
        </w:rPr>
        <w:t> </w:t>
      </w:r>
      <w:r>
        <w:rPr/>
        <w:t>Simao,</w:t>
      </w:r>
      <w:r>
        <w:rPr>
          <w:spacing w:val="13"/>
        </w:rPr>
        <w:t> </w:t>
      </w:r>
      <w:r>
        <w:rPr/>
        <w:t>M.</w:t>
      </w:r>
      <w:r>
        <w:rPr>
          <w:spacing w:val="13"/>
        </w:rPr>
        <w:t> </w:t>
      </w:r>
      <w:r>
        <w:rPr/>
        <w:t>R.,</w:t>
      </w:r>
      <w:r>
        <w:rPr>
          <w:spacing w:val="13"/>
        </w:rPr>
        <w:t> </w:t>
      </w:r>
      <w:r>
        <w:rPr/>
        <w:t>Manda,</w:t>
      </w:r>
      <w:r>
        <w:rPr>
          <w:spacing w:val="13"/>
        </w:rPr>
        <w:t> </w:t>
      </w:r>
      <w:r>
        <w:rPr/>
        <w:t>F.,</w:t>
      </w:r>
      <w:r>
        <w:rPr>
          <w:spacing w:val="15"/>
        </w:rPr>
        <w:t> </w:t>
      </w:r>
      <w:r>
        <w:rPr/>
        <w:t>Baquete,</w:t>
      </w:r>
      <w:r>
        <w:rPr>
          <w:spacing w:val="13"/>
        </w:rPr>
        <w:t> </w:t>
      </w:r>
      <w:r>
        <w:rPr/>
        <w:t>E.</w:t>
      </w:r>
      <w:r>
        <w:rPr>
          <w:spacing w:val="15"/>
        </w:rPr>
        <w:t> </w:t>
      </w:r>
      <w:r>
        <w:rPr/>
        <w:t>F.</w:t>
      </w:r>
      <w:r>
        <w:rPr>
          <w:spacing w:val="13"/>
        </w:rPr>
        <w:t> </w:t>
      </w:r>
      <w:r>
        <w:rPr/>
        <w:t>and</w:t>
      </w:r>
      <w:r>
        <w:rPr>
          <w:spacing w:val="13"/>
        </w:rPr>
        <w:t> </w:t>
      </w:r>
      <w:r>
        <w:rPr/>
        <w:t>Fernandez,</w:t>
      </w:r>
      <w:r>
        <w:rPr>
          <w:spacing w:val="13"/>
        </w:rPr>
        <w:t> </w:t>
      </w:r>
      <w:r>
        <w:rPr>
          <w:spacing w:val="-5"/>
        </w:rPr>
        <w:t>A.</w:t>
      </w:r>
    </w:p>
    <w:p>
      <w:pPr>
        <w:pStyle w:val="BodyText"/>
        <w:ind w:left="1810" w:right="997"/>
      </w:pPr>
      <w:r>
        <w:rPr/>
        <w:t>M. (1990): Outbreak of acute psychosis attributed to </w:t>
      </w:r>
      <w:r>
        <w:rPr>
          <w:i/>
        </w:rPr>
        <w:t>Mucuna pruriens</w:t>
      </w:r>
      <w:r>
        <w:rPr/>
        <w:t>. Lancet 336: 1129.</w:t>
      </w:r>
    </w:p>
    <w:p>
      <w:pPr>
        <w:pStyle w:val="BodyText"/>
        <w:spacing w:line="360" w:lineRule="auto" w:before="243"/>
        <w:ind w:left="1578" w:right="994" w:hanging="900"/>
        <w:jc w:val="both"/>
      </w:pPr>
      <w:r>
        <w:rPr/>
        <w:t>Itiola, O. A. and Pilpel, N. (1986): Studies on Metronidazole tablet formulations. </w:t>
      </w:r>
      <w:r>
        <w:rPr>
          <w:i/>
        </w:rPr>
        <w:t>J.</w:t>
      </w:r>
      <w:r>
        <w:rPr>
          <w:i/>
          <w:spacing w:val="40"/>
        </w:rPr>
        <w:t> </w:t>
      </w:r>
      <w:r>
        <w:rPr>
          <w:i/>
        </w:rPr>
        <w:t>Pharm. Pharmacol</w:t>
      </w:r>
      <w:r>
        <w:rPr/>
        <w:t>., </w:t>
      </w:r>
      <w:r>
        <w:rPr>
          <w:b/>
        </w:rPr>
        <w:t>68</w:t>
      </w:r>
      <w:r>
        <w:rPr/>
        <w:t>: 81</w:t>
      </w:r>
    </w:p>
    <w:p>
      <w:pPr>
        <w:pStyle w:val="BodyText"/>
        <w:spacing w:before="238"/>
        <w:ind w:left="1530" w:right="993" w:hanging="852"/>
        <w:jc w:val="both"/>
      </w:pPr>
      <w:r>
        <w:rPr/>
        <w:t>Itiola, O. A. and Pilpel, N. (1991): Formulation effects on the mechanical properties of metronidazole tablets. </w:t>
      </w:r>
      <w:r>
        <w:rPr>
          <w:i/>
        </w:rPr>
        <w:t>J. Pharm. Pharmacol</w:t>
      </w:r>
      <w:r>
        <w:rPr/>
        <w:t>., </w:t>
      </w:r>
      <w:r>
        <w:rPr>
          <w:b/>
        </w:rPr>
        <w:t>43</w:t>
      </w:r>
      <w:r>
        <w:rPr/>
        <w:t>: 145 - 147.</w:t>
      </w:r>
      <w:r>
        <w:rPr>
          <w:spacing w:val="40"/>
        </w:rPr>
        <w:t> </w:t>
      </w:r>
      <w:r>
        <w:rPr/>
        <w:t>(Editorial) Lancet </w:t>
      </w:r>
      <w:r>
        <w:rPr>
          <w:b/>
        </w:rPr>
        <w:t>343</w:t>
      </w:r>
      <w:r>
        <w:rPr/>
        <w:t>: pp. 1513.</w:t>
      </w:r>
    </w:p>
    <w:p>
      <w:pPr>
        <w:pStyle w:val="BodyText"/>
        <w:spacing w:before="240"/>
        <w:ind w:left="1530" w:right="1002" w:hanging="852"/>
        <w:jc w:val="both"/>
      </w:pPr>
      <w:r>
        <w:rPr/>
        <w:t>Itiola, O. A. and Pilpel, N. (1996): Effects of interacting variables on the disintegration</w:t>
      </w:r>
      <w:r>
        <w:rPr>
          <w:spacing w:val="40"/>
        </w:rPr>
        <w:t> </w:t>
      </w:r>
      <w:r>
        <w:rPr/>
        <w:t>and dissolution of metronidazole tablets. </w:t>
      </w:r>
      <w:r>
        <w:rPr>
          <w:i/>
        </w:rPr>
        <w:t>Pharmazie, </w:t>
      </w:r>
      <w:r>
        <w:rPr>
          <w:b/>
        </w:rPr>
        <w:t>31</w:t>
      </w:r>
      <w:r>
        <w:rPr/>
        <w:t>: 987 - 989.</w:t>
      </w:r>
    </w:p>
    <w:p>
      <w:pPr>
        <w:pStyle w:val="BodyText"/>
        <w:spacing w:before="241"/>
        <w:ind w:left="1578" w:right="1041" w:hanging="900"/>
      </w:pPr>
      <w:r>
        <w:rPr/>
        <w:t>Iwu,</w:t>
      </w:r>
      <w:r>
        <w:rPr>
          <w:spacing w:val="-4"/>
        </w:rPr>
        <w:t> </w:t>
      </w:r>
      <w:r>
        <w:rPr/>
        <w:t>M.</w:t>
      </w:r>
      <w:r>
        <w:rPr>
          <w:spacing w:val="-4"/>
        </w:rPr>
        <w:t> </w:t>
      </w:r>
      <w:r>
        <w:rPr/>
        <w:t>M.</w:t>
      </w:r>
      <w:r>
        <w:rPr>
          <w:spacing w:val="-4"/>
        </w:rPr>
        <w:t> </w:t>
      </w:r>
      <w:r>
        <w:rPr/>
        <w:t>(1983):</w:t>
      </w:r>
      <w:r>
        <w:rPr>
          <w:spacing w:val="-3"/>
        </w:rPr>
        <w:t> </w:t>
      </w:r>
      <w:r>
        <w:rPr/>
        <w:t>Traditional</w:t>
      </w:r>
      <w:r>
        <w:rPr>
          <w:spacing w:val="-2"/>
        </w:rPr>
        <w:t> </w:t>
      </w:r>
      <w:r>
        <w:rPr/>
        <w:t>Igbo</w:t>
      </w:r>
      <w:r>
        <w:rPr>
          <w:spacing w:val="-4"/>
        </w:rPr>
        <w:t> </w:t>
      </w:r>
      <w:r>
        <w:rPr/>
        <w:t>medicine.</w:t>
      </w:r>
      <w:r>
        <w:rPr>
          <w:spacing w:val="-2"/>
        </w:rPr>
        <w:t> </w:t>
      </w:r>
      <w:r>
        <w:rPr/>
        <w:t>Institute</w:t>
      </w:r>
      <w:r>
        <w:rPr>
          <w:spacing w:val="-5"/>
        </w:rPr>
        <w:t> </w:t>
      </w:r>
      <w:r>
        <w:rPr/>
        <w:t>of</w:t>
      </w:r>
      <w:r>
        <w:rPr>
          <w:spacing w:val="-4"/>
        </w:rPr>
        <w:t> </w:t>
      </w:r>
      <w:r>
        <w:rPr/>
        <w:t>African</w:t>
      </w:r>
      <w:r>
        <w:rPr>
          <w:spacing w:val="-1"/>
        </w:rPr>
        <w:t> </w:t>
      </w:r>
      <w:r>
        <w:rPr/>
        <w:t>studies,</w:t>
      </w:r>
      <w:r>
        <w:rPr>
          <w:spacing w:val="-2"/>
        </w:rPr>
        <w:t> </w:t>
      </w:r>
      <w:r>
        <w:rPr/>
        <w:t>University</w:t>
      </w:r>
      <w:r>
        <w:rPr>
          <w:spacing w:val="-9"/>
        </w:rPr>
        <w:t> </w:t>
      </w:r>
      <w:r>
        <w:rPr/>
        <w:t>of Nigeria, Nsukka, pp 122–144.</w:t>
      </w:r>
    </w:p>
    <w:p>
      <w:pPr>
        <w:pStyle w:val="BodyText"/>
        <w:spacing w:before="240"/>
        <w:ind w:left="1671" w:right="996" w:hanging="994"/>
        <w:jc w:val="both"/>
      </w:pPr>
      <w:r>
        <w:rPr/>
        <w:t>Iwuagwu, M. A., Nwaoshai, C.A. and Iseghobi, F. E. (1986): Investigation into the</w:t>
      </w:r>
      <w:r>
        <w:rPr>
          <w:spacing w:val="40"/>
        </w:rPr>
        <w:t> </w:t>
      </w:r>
      <w:r>
        <w:rPr/>
        <w:t>binding</w:t>
      </w:r>
      <w:r>
        <w:rPr>
          <w:spacing w:val="-2"/>
        </w:rPr>
        <w:t> </w:t>
      </w:r>
      <w:r>
        <w:rPr/>
        <w:t>and disintegrant property</w:t>
      </w:r>
      <w:r>
        <w:rPr>
          <w:spacing w:val="-5"/>
        </w:rPr>
        <w:t> </w:t>
      </w:r>
      <w:r>
        <w:rPr/>
        <w:t>of</w:t>
      </w:r>
      <w:r>
        <w:rPr>
          <w:spacing w:val="-1"/>
        </w:rPr>
        <w:t> </w:t>
      </w:r>
      <w:r>
        <w:rPr/>
        <w:t>starches from selected Discoreaceae</w:t>
      </w:r>
      <w:r>
        <w:rPr>
          <w:spacing w:val="-1"/>
        </w:rPr>
        <w:t> </w:t>
      </w:r>
      <w:r>
        <w:rPr/>
        <w:t>plants. </w:t>
      </w:r>
      <w:r>
        <w:rPr>
          <w:i/>
        </w:rPr>
        <w:t>Nig. J. Pharm. Sci</w:t>
      </w:r>
      <w:r>
        <w:rPr/>
        <w:t>., </w:t>
      </w:r>
      <w:r>
        <w:rPr>
          <w:b/>
        </w:rPr>
        <w:t>2</w:t>
      </w:r>
      <w:r>
        <w:rPr/>
        <w:t>: 10 - 22.</w:t>
      </w:r>
    </w:p>
    <w:p>
      <w:pPr>
        <w:pStyle w:val="BodyText"/>
        <w:tabs>
          <w:tab w:pos="5340" w:val="left" w:leader="none"/>
        </w:tabs>
        <w:spacing w:line="275" w:lineRule="exact" w:before="241"/>
        <w:ind w:left="678"/>
        <w:rPr>
          <w:rFonts w:ascii="Arial MT"/>
        </w:rPr>
      </w:pPr>
      <w:r>
        <w:rPr>
          <w:rFonts w:ascii="Arial MT"/>
        </w:rPr>
        <w:t>Iyengar,</w:t>
      </w:r>
      <w:r>
        <w:rPr>
          <w:rFonts w:ascii="Arial MT"/>
          <w:spacing w:val="67"/>
        </w:rPr>
        <w:t> </w:t>
      </w:r>
      <w:r>
        <w:rPr>
          <w:rFonts w:ascii="Arial MT"/>
        </w:rPr>
        <w:t>M.</w:t>
      </w:r>
      <w:r>
        <w:rPr>
          <w:rFonts w:ascii="Arial MT"/>
          <w:spacing w:val="71"/>
        </w:rPr>
        <w:t> </w:t>
      </w:r>
      <w:r>
        <w:rPr>
          <w:rFonts w:ascii="Arial MT"/>
        </w:rPr>
        <w:t>A.,</w:t>
      </w:r>
      <w:r>
        <w:rPr>
          <w:rFonts w:ascii="Arial MT"/>
          <w:spacing w:val="71"/>
        </w:rPr>
        <w:t> </w:t>
      </w:r>
      <w:r>
        <w:rPr>
          <w:rFonts w:ascii="Arial MT"/>
        </w:rPr>
        <w:t>Pendse,</w:t>
      </w:r>
      <w:r>
        <w:rPr>
          <w:rFonts w:ascii="Arial MT"/>
          <w:spacing w:val="70"/>
        </w:rPr>
        <w:t> </w:t>
      </w:r>
      <w:r>
        <w:rPr>
          <w:rFonts w:ascii="Arial MT"/>
        </w:rPr>
        <w:t>G.</w:t>
      </w:r>
      <w:r>
        <w:rPr>
          <w:rFonts w:ascii="Arial MT"/>
          <w:spacing w:val="71"/>
        </w:rPr>
        <w:t> </w:t>
      </w:r>
      <w:r>
        <w:rPr>
          <w:rFonts w:ascii="Arial MT"/>
        </w:rPr>
        <w:t>S.</w:t>
      </w:r>
      <w:r>
        <w:rPr>
          <w:rFonts w:ascii="Arial MT"/>
          <w:spacing w:val="71"/>
        </w:rPr>
        <w:t> </w:t>
      </w:r>
      <w:r>
        <w:rPr>
          <w:rFonts w:ascii="Arial MT"/>
          <w:spacing w:val="-2"/>
        </w:rPr>
        <w:t>(1965):</w:t>
      </w:r>
      <w:r>
        <w:rPr>
          <w:rFonts w:ascii="Arial MT"/>
        </w:rPr>
        <w:tab/>
        <w:t>Anti-diarrhoeal</w:t>
      </w:r>
      <w:r>
        <w:rPr>
          <w:rFonts w:ascii="Arial MT"/>
          <w:spacing w:val="67"/>
        </w:rPr>
        <w:t> </w:t>
      </w:r>
      <w:r>
        <w:rPr>
          <w:rFonts w:ascii="Arial MT"/>
        </w:rPr>
        <w:t>activity</w:t>
      </w:r>
      <w:r>
        <w:rPr>
          <w:rFonts w:ascii="Arial MT"/>
          <w:spacing w:val="73"/>
        </w:rPr>
        <w:t> </w:t>
      </w:r>
      <w:r>
        <w:rPr>
          <w:rFonts w:ascii="Arial MT"/>
        </w:rPr>
        <w:t>of</w:t>
      </w:r>
      <w:r>
        <w:rPr>
          <w:rFonts w:ascii="Arial MT"/>
          <w:spacing w:val="73"/>
        </w:rPr>
        <w:t> </w:t>
      </w:r>
      <w:r>
        <w:rPr>
          <w:rFonts w:ascii="Arial MT"/>
        </w:rPr>
        <w:t>the</w:t>
      </w:r>
      <w:r>
        <w:rPr>
          <w:rFonts w:ascii="Arial MT"/>
          <w:spacing w:val="68"/>
        </w:rPr>
        <w:t> </w:t>
      </w:r>
      <w:r>
        <w:rPr>
          <w:rFonts w:ascii="Arial MT"/>
        </w:rPr>
        <w:t>nut</w:t>
      </w:r>
      <w:r>
        <w:rPr>
          <w:rFonts w:ascii="Arial MT"/>
          <w:spacing w:val="66"/>
        </w:rPr>
        <w:t> </w:t>
      </w:r>
      <w:r>
        <w:rPr>
          <w:rFonts w:ascii="Arial MT"/>
          <w:spacing w:val="-5"/>
        </w:rPr>
        <w:t>of</w:t>
      </w:r>
    </w:p>
    <w:p>
      <w:pPr>
        <w:spacing w:line="275" w:lineRule="exact" w:before="0"/>
        <w:ind w:left="0" w:right="489" w:firstLine="0"/>
        <w:jc w:val="center"/>
        <w:rPr>
          <w:rFonts w:ascii="Arial MT"/>
          <w:sz w:val="24"/>
        </w:rPr>
      </w:pPr>
      <w:r>
        <w:rPr>
          <w:rFonts w:ascii="Arial"/>
          <w:i/>
          <w:sz w:val="24"/>
        </w:rPr>
        <w:t>Caesalpinia</w:t>
      </w:r>
      <w:r>
        <w:rPr>
          <w:rFonts w:ascii="Arial"/>
          <w:i/>
          <w:spacing w:val="-5"/>
          <w:sz w:val="24"/>
        </w:rPr>
        <w:t> </w:t>
      </w:r>
      <w:r>
        <w:rPr>
          <w:rFonts w:ascii="Arial"/>
          <w:i/>
          <w:sz w:val="24"/>
        </w:rPr>
        <w:t>bonducella </w:t>
      </w:r>
      <w:r>
        <w:rPr>
          <w:rFonts w:ascii="Arial MT"/>
          <w:sz w:val="24"/>
        </w:rPr>
        <w:t>Flem.</w:t>
      </w:r>
      <w:r>
        <w:rPr>
          <w:rFonts w:ascii="Arial MT"/>
          <w:spacing w:val="-3"/>
          <w:sz w:val="24"/>
        </w:rPr>
        <w:t> </w:t>
      </w:r>
      <w:r>
        <w:rPr>
          <w:rFonts w:ascii="Arial"/>
          <w:i/>
          <w:sz w:val="24"/>
        </w:rPr>
        <w:t>Indian</w:t>
      </w:r>
      <w:r>
        <w:rPr>
          <w:rFonts w:ascii="Arial"/>
          <w:i/>
          <w:spacing w:val="-4"/>
          <w:sz w:val="24"/>
        </w:rPr>
        <w:t> </w:t>
      </w:r>
      <w:r>
        <w:rPr>
          <w:rFonts w:ascii="Arial"/>
          <w:i/>
          <w:sz w:val="24"/>
        </w:rPr>
        <w:t>J.</w:t>
      </w:r>
      <w:r>
        <w:rPr>
          <w:rFonts w:ascii="Arial"/>
          <w:i/>
          <w:spacing w:val="-3"/>
          <w:sz w:val="24"/>
        </w:rPr>
        <w:t> </w:t>
      </w:r>
      <w:r>
        <w:rPr>
          <w:rFonts w:ascii="Arial"/>
          <w:i/>
          <w:sz w:val="24"/>
        </w:rPr>
        <w:t>Pharmacol</w:t>
      </w:r>
      <w:r>
        <w:rPr>
          <w:rFonts w:ascii="Arial MT"/>
          <w:sz w:val="24"/>
        </w:rPr>
        <w:t>.</w:t>
      </w:r>
      <w:r>
        <w:rPr>
          <w:rFonts w:ascii="Arial MT"/>
          <w:spacing w:val="-1"/>
          <w:sz w:val="24"/>
        </w:rPr>
        <w:t> </w:t>
      </w:r>
      <w:r>
        <w:rPr>
          <w:rFonts w:ascii="Arial"/>
          <w:b/>
          <w:sz w:val="24"/>
        </w:rPr>
        <w:t>27</w:t>
      </w:r>
      <w:r>
        <w:rPr>
          <w:rFonts w:ascii="Arial MT"/>
          <w:sz w:val="24"/>
        </w:rPr>
        <w:t>,</w:t>
      </w:r>
      <w:r>
        <w:rPr>
          <w:rFonts w:ascii="Arial MT"/>
          <w:spacing w:val="-3"/>
          <w:sz w:val="24"/>
        </w:rPr>
        <w:t> </w:t>
      </w:r>
      <w:r>
        <w:rPr>
          <w:rFonts w:ascii="Arial MT"/>
          <w:sz w:val="24"/>
        </w:rPr>
        <w:t>307-</w:t>
      </w:r>
      <w:r>
        <w:rPr>
          <w:rFonts w:ascii="Arial MT"/>
          <w:spacing w:val="-5"/>
          <w:sz w:val="24"/>
        </w:rPr>
        <w:t>308</w:t>
      </w:r>
    </w:p>
    <w:p>
      <w:pPr>
        <w:spacing w:after="0" w:line="275" w:lineRule="exact"/>
        <w:jc w:val="center"/>
        <w:rPr>
          <w:rFonts w:ascii="Arial MT"/>
          <w:sz w:val="24"/>
        </w:rPr>
        <w:sectPr>
          <w:pgSz w:w="12240" w:h="15840"/>
          <w:pgMar w:header="0" w:footer="1056" w:top="1340" w:bottom="1240" w:left="1420" w:right="420"/>
        </w:sectPr>
      </w:pPr>
    </w:p>
    <w:p>
      <w:pPr>
        <w:spacing w:before="70"/>
        <w:ind w:left="1671" w:right="992" w:hanging="994"/>
        <w:jc w:val="both"/>
        <w:rPr>
          <w:sz w:val="24"/>
        </w:rPr>
      </w:pPr>
      <w:r>
        <w:rPr/>
        <mc:AlternateContent>
          <mc:Choice Requires="wps">
            <w:drawing>
              <wp:anchor distT="0" distB="0" distL="0" distR="0" allowOverlap="1" layoutInCell="1" locked="0" behindDoc="1" simplePos="0" relativeHeight="483043328">
                <wp:simplePos x="0" y="0"/>
                <wp:positionH relativeFrom="page">
                  <wp:posOffset>-1402226</wp:posOffset>
                </wp:positionH>
                <wp:positionV relativeFrom="page">
                  <wp:posOffset>4612234</wp:posOffset>
                </wp:positionV>
                <wp:extent cx="10685780" cy="91440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3152;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Janardhanan, K. and Lakshmanan, K. K. (1985): Studies on the pulse, </w:t>
      </w:r>
      <w:r>
        <w:rPr>
          <w:i/>
          <w:sz w:val="24"/>
        </w:rPr>
        <w:t>Mucuna utilis</w:t>
      </w:r>
      <w:r>
        <w:rPr>
          <w:sz w:val="24"/>
        </w:rPr>
        <w:t>: Chemical composition and antinutritional factors. </w:t>
      </w:r>
      <w:r>
        <w:rPr>
          <w:i/>
          <w:sz w:val="24"/>
        </w:rPr>
        <w:t>Journal of Food Science and Technology </w:t>
      </w:r>
      <w:r>
        <w:rPr>
          <w:b/>
          <w:sz w:val="24"/>
        </w:rPr>
        <w:t>22</w:t>
      </w:r>
      <w:r>
        <w:rPr>
          <w:sz w:val="24"/>
        </w:rPr>
        <w:t>:369-371.</w:t>
      </w:r>
    </w:p>
    <w:p>
      <w:pPr>
        <w:spacing w:before="241"/>
        <w:ind w:left="1810" w:right="994" w:hanging="1133"/>
        <w:jc w:val="both"/>
        <w:rPr>
          <w:sz w:val="24"/>
        </w:rPr>
      </w:pPr>
      <w:r>
        <w:rPr>
          <w:sz w:val="24"/>
        </w:rPr>
        <w:t>Jaouhari, J.T., Lazrek, H.B., Jana, M. (2000): The hypoglycaemic activity</w:t>
      </w:r>
      <w:r>
        <w:rPr>
          <w:spacing w:val="-4"/>
          <w:sz w:val="24"/>
        </w:rPr>
        <w:t> </w:t>
      </w:r>
      <w:r>
        <w:rPr>
          <w:sz w:val="24"/>
        </w:rPr>
        <w:t>of </w:t>
      </w:r>
      <w:r>
        <w:rPr>
          <w:i/>
          <w:sz w:val="24"/>
        </w:rPr>
        <w:t>Zygophyllum gaetulum </w:t>
      </w:r>
      <w:r>
        <w:rPr>
          <w:sz w:val="24"/>
        </w:rPr>
        <w:t>extracts in alloxan-induced hyperglycaemic rats</w:t>
      </w:r>
      <w:r>
        <w:rPr>
          <w:i/>
          <w:sz w:val="24"/>
        </w:rPr>
        <w:t>. J Ethnopharmacol, </w:t>
      </w:r>
      <w:r>
        <w:rPr>
          <w:b/>
          <w:spacing w:val="-2"/>
          <w:sz w:val="24"/>
        </w:rPr>
        <w:t>69</w:t>
      </w:r>
      <w:r>
        <w:rPr>
          <w:spacing w:val="-2"/>
          <w:sz w:val="24"/>
        </w:rPr>
        <w:t>:17-20.</w:t>
      </w:r>
    </w:p>
    <w:p>
      <w:pPr>
        <w:pStyle w:val="BodyText"/>
        <w:spacing w:before="240"/>
        <w:ind w:left="1810" w:right="995" w:hanging="1133"/>
        <w:jc w:val="both"/>
      </w:pPr>
      <w:r>
        <w:rPr/>
        <w:t>Jarrett, R. j., McCartney, P., Keen, H. (1982): The Bedford Survey: ten year mortality</w:t>
      </w:r>
      <w:r>
        <w:rPr>
          <w:spacing w:val="40"/>
        </w:rPr>
        <w:t> </w:t>
      </w:r>
      <w:r>
        <w:rPr/>
        <w:t>rates in newly diagnosed diabetics and normoglycaemic controls and risk indices for coronary heart disease in borderline diabetics. </w:t>
      </w:r>
      <w:r>
        <w:rPr>
          <w:i/>
        </w:rPr>
        <w:t>Diabetologia</w:t>
      </w:r>
      <w:r>
        <w:rPr/>
        <w:t>; </w:t>
      </w:r>
      <w:r>
        <w:rPr>
          <w:b/>
        </w:rPr>
        <w:t>22</w:t>
      </w:r>
      <w:r>
        <w:rPr/>
        <w:t>:</w:t>
      </w:r>
      <w:r>
        <w:rPr>
          <w:spacing w:val="40"/>
        </w:rPr>
        <w:t> </w:t>
      </w:r>
      <w:r>
        <w:rPr>
          <w:spacing w:val="-2"/>
        </w:rPr>
        <w:t>79-84</w:t>
      </w:r>
    </w:p>
    <w:p>
      <w:pPr>
        <w:pStyle w:val="BodyText"/>
        <w:spacing w:line="360" w:lineRule="auto" w:before="242"/>
        <w:ind w:left="1530" w:right="999" w:hanging="852"/>
        <w:jc w:val="both"/>
      </w:pPr>
      <w:r>
        <w:rPr/>
        <w:t>Jokippi, S.G. and Turpeinen, O. (1954): Kinetics of elimination of glucose from the blood during and after a continous intraveneous injection, </w:t>
      </w:r>
      <w:r>
        <w:rPr>
          <w:b/>
        </w:rPr>
        <w:t>33</w:t>
      </w:r>
      <w:r>
        <w:rPr/>
        <w:t>(3): pp 452-458.</w:t>
      </w:r>
    </w:p>
    <w:p>
      <w:pPr>
        <w:spacing w:before="238"/>
        <w:ind w:left="1530" w:right="991" w:hanging="852"/>
        <w:jc w:val="both"/>
        <w:rPr>
          <w:sz w:val="24"/>
        </w:rPr>
      </w:pPr>
      <w:r>
        <w:rPr>
          <w:sz w:val="24"/>
        </w:rPr>
        <w:t>Joshi, L. D. and Pant, M. C. (1970): Hypoglycaemic effect of </w:t>
      </w:r>
      <w:r>
        <w:rPr>
          <w:i/>
          <w:sz w:val="24"/>
        </w:rPr>
        <w:t>Glycine soja, Dolichos biflorus </w:t>
      </w:r>
      <w:r>
        <w:rPr>
          <w:sz w:val="24"/>
        </w:rPr>
        <w:t>and </w:t>
      </w:r>
      <w:r>
        <w:rPr>
          <w:i/>
          <w:sz w:val="24"/>
        </w:rPr>
        <w:t>Mucuna pruriens </w:t>
      </w:r>
      <w:r>
        <w:rPr>
          <w:sz w:val="24"/>
        </w:rPr>
        <w:t>- seeds diets in albinorats. </w:t>
      </w:r>
      <w:r>
        <w:rPr>
          <w:i/>
          <w:sz w:val="24"/>
        </w:rPr>
        <w:t>Indian Journal </w:t>
      </w:r>
      <w:r>
        <w:rPr>
          <w:sz w:val="24"/>
        </w:rPr>
        <w:t>of </w:t>
      </w:r>
      <w:r>
        <w:rPr>
          <w:i/>
          <w:sz w:val="24"/>
        </w:rPr>
        <w:t>Pharmacology </w:t>
      </w:r>
      <w:r>
        <w:rPr>
          <w:sz w:val="24"/>
        </w:rPr>
        <w:t>2: 29-35.</w:t>
      </w:r>
    </w:p>
    <w:p>
      <w:pPr>
        <w:pStyle w:val="BodyText"/>
        <w:spacing w:before="240"/>
        <w:ind w:left="1530" w:right="994" w:hanging="852"/>
        <w:jc w:val="both"/>
      </w:pPr>
      <w:r>
        <w:rPr/>
        <w:t>Kabele – Toge, B. B., Igwilo, C. I., Adeoye, A. O. (1996): Characterization and standardization of the seeds of </w:t>
      </w:r>
      <w:r>
        <w:rPr>
          <w:i/>
        </w:rPr>
        <w:t>Ricinus communis </w:t>
      </w:r>
      <w:r>
        <w:rPr/>
        <w:t>Linn var. minor used as contraceptive. </w:t>
      </w:r>
      <w:r>
        <w:rPr>
          <w:i/>
        </w:rPr>
        <w:t>West Afr. J. Biol. Sc. </w:t>
      </w:r>
      <w:r>
        <w:rPr>
          <w:b/>
        </w:rPr>
        <w:t>5</w:t>
      </w:r>
      <w:r>
        <w:rPr/>
        <w:t>(2): 160 – 165.</w:t>
      </w:r>
    </w:p>
    <w:p>
      <w:pPr>
        <w:pStyle w:val="BodyText"/>
        <w:spacing w:before="240"/>
        <w:ind w:left="678"/>
      </w:pPr>
      <w:r>
        <w:rPr/>
        <w:t>Kanig,</w:t>
      </w:r>
      <w:r>
        <w:rPr>
          <w:spacing w:val="37"/>
        </w:rPr>
        <w:t>  </w:t>
      </w:r>
      <w:r>
        <w:rPr/>
        <w:t>J.</w:t>
      </w:r>
      <w:r>
        <w:rPr>
          <w:spacing w:val="37"/>
        </w:rPr>
        <w:t>  </w:t>
      </w:r>
      <w:r>
        <w:rPr/>
        <w:t>L.</w:t>
      </w:r>
      <w:r>
        <w:rPr>
          <w:spacing w:val="37"/>
        </w:rPr>
        <w:t>  </w:t>
      </w:r>
      <w:r>
        <w:rPr/>
        <w:t>and</w:t>
      </w:r>
      <w:r>
        <w:rPr>
          <w:spacing w:val="38"/>
        </w:rPr>
        <w:t>  </w:t>
      </w:r>
      <w:r>
        <w:rPr/>
        <w:t>Rudnic,</w:t>
      </w:r>
      <w:r>
        <w:rPr>
          <w:spacing w:val="38"/>
        </w:rPr>
        <w:t>  </w:t>
      </w:r>
      <w:r>
        <w:rPr/>
        <w:t>C</w:t>
      </w:r>
      <w:r>
        <w:rPr>
          <w:b/>
        </w:rPr>
        <w:t>.</w:t>
      </w:r>
      <w:r>
        <w:rPr>
          <w:b/>
          <w:spacing w:val="37"/>
        </w:rPr>
        <w:t>  </w:t>
      </w:r>
      <w:r>
        <w:rPr/>
        <w:t>(1984):</w:t>
      </w:r>
      <w:r>
        <w:rPr>
          <w:spacing w:val="37"/>
        </w:rPr>
        <w:t>  </w:t>
      </w:r>
      <w:r>
        <w:rPr/>
        <w:t>The</w:t>
      </w:r>
      <w:r>
        <w:rPr>
          <w:spacing w:val="36"/>
        </w:rPr>
        <w:t>  </w:t>
      </w:r>
      <w:r>
        <w:rPr/>
        <w:t>mechanisms</w:t>
      </w:r>
      <w:r>
        <w:rPr>
          <w:spacing w:val="37"/>
        </w:rPr>
        <w:t>  </w:t>
      </w:r>
      <w:r>
        <w:rPr/>
        <w:t>of</w:t>
      </w:r>
      <w:r>
        <w:rPr>
          <w:spacing w:val="37"/>
        </w:rPr>
        <w:t>  </w:t>
      </w:r>
      <w:r>
        <w:rPr/>
        <w:t>disintegrant</w:t>
      </w:r>
      <w:r>
        <w:rPr>
          <w:spacing w:val="38"/>
        </w:rPr>
        <w:t>  </w:t>
      </w:r>
      <w:r>
        <w:rPr>
          <w:spacing w:val="-2"/>
        </w:rPr>
        <w:t>action.</w:t>
      </w:r>
    </w:p>
    <w:p>
      <w:pPr>
        <w:spacing w:before="1"/>
        <w:ind w:left="1530" w:right="0" w:firstLine="0"/>
        <w:jc w:val="left"/>
        <w:rPr>
          <w:sz w:val="24"/>
        </w:rPr>
      </w:pPr>
      <w:r>
        <w:rPr>
          <w:i/>
          <w:sz w:val="24"/>
        </w:rPr>
        <w:t>Pharm.Technol</w:t>
      </w:r>
      <w:r>
        <w:rPr>
          <w:sz w:val="24"/>
        </w:rPr>
        <w:t>.,</w:t>
      </w:r>
      <w:r>
        <w:rPr>
          <w:spacing w:val="-1"/>
          <w:sz w:val="24"/>
        </w:rPr>
        <w:t> </w:t>
      </w:r>
      <w:r>
        <w:rPr>
          <w:b/>
          <w:sz w:val="24"/>
        </w:rPr>
        <w:t>8</w:t>
      </w:r>
      <w:r>
        <w:rPr>
          <w:sz w:val="24"/>
        </w:rPr>
        <w:t>: 50 -</w:t>
      </w:r>
      <w:r>
        <w:rPr>
          <w:spacing w:val="1"/>
          <w:sz w:val="24"/>
        </w:rPr>
        <w:t> </w:t>
      </w:r>
      <w:r>
        <w:rPr>
          <w:spacing w:val="-5"/>
          <w:sz w:val="24"/>
        </w:rPr>
        <w:t>62.</w:t>
      </w:r>
    </w:p>
    <w:p>
      <w:pPr>
        <w:pStyle w:val="BodyText"/>
        <w:spacing w:before="240"/>
        <w:ind w:left="1671" w:right="999" w:hanging="994"/>
        <w:jc w:val="both"/>
      </w:pPr>
      <w:r>
        <w:rPr/>
        <w:t>Kanne, W.B, McGee D.L, (1979): Diabetes and Cardiovascular Disease: the Framingham study. JAMA 1979; 241:2035-2038.</w:t>
      </w:r>
    </w:p>
    <w:p>
      <w:pPr>
        <w:pStyle w:val="BodyText"/>
        <w:spacing w:before="240"/>
        <w:ind w:left="1669" w:right="995" w:hanging="992"/>
        <w:jc w:val="both"/>
      </w:pPr>
      <w:r>
        <w:rPr/>
        <w:t>Kar A, Choudhary B. K, Bandyopadhyay N. G. (1999): Comparative evaluation of hypoglycaemic activity</w:t>
      </w:r>
      <w:r>
        <w:rPr>
          <w:spacing w:val="-2"/>
        </w:rPr>
        <w:t> </w:t>
      </w:r>
      <w:r>
        <w:rPr/>
        <w:t>of</w:t>
      </w:r>
      <w:r>
        <w:rPr>
          <w:spacing w:val="3"/>
        </w:rPr>
        <w:t> </w:t>
      </w:r>
      <w:r>
        <w:rPr/>
        <w:t>some</w:t>
      </w:r>
      <w:r>
        <w:rPr>
          <w:spacing w:val="5"/>
        </w:rPr>
        <w:t> </w:t>
      </w:r>
      <w:r>
        <w:rPr/>
        <w:t>Indian</w:t>
      </w:r>
      <w:r>
        <w:rPr>
          <w:spacing w:val="4"/>
        </w:rPr>
        <w:t> </w:t>
      </w:r>
      <w:r>
        <w:rPr/>
        <w:t>medicinal</w:t>
      </w:r>
      <w:r>
        <w:rPr>
          <w:spacing w:val="4"/>
        </w:rPr>
        <w:t> </w:t>
      </w:r>
      <w:r>
        <w:rPr/>
        <w:t>plants</w:t>
      </w:r>
      <w:r>
        <w:rPr>
          <w:spacing w:val="3"/>
        </w:rPr>
        <w:t> </w:t>
      </w:r>
      <w:r>
        <w:rPr/>
        <w:t>in</w:t>
      </w:r>
      <w:r>
        <w:rPr>
          <w:spacing w:val="5"/>
        </w:rPr>
        <w:t> </w:t>
      </w:r>
      <w:r>
        <w:rPr/>
        <w:t>alloxan</w:t>
      </w:r>
      <w:r>
        <w:rPr>
          <w:spacing w:val="3"/>
        </w:rPr>
        <w:t> </w:t>
      </w:r>
      <w:r>
        <w:rPr/>
        <w:t>diabetic</w:t>
      </w:r>
      <w:r>
        <w:rPr>
          <w:spacing w:val="12"/>
        </w:rPr>
        <w:t> </w:t>
      </w:r>
      <w:r>
        <w:rPr>
          <w:spacing w:val="-2"/>
        </w:rPr>
        <w:t>rats.</w:t>
      </w:r>
    </w:p>
    <w:p>
      <w:pPr>
        <w:spacing w:before="0"/>
        <w:ind w:left="1669" w:right="0" w:firstLine="0"/>
        <w:jc w:val="left"/>
        <w:rPr>
          <w:sz w:val="24"/>
        </w:rPr>
      </w:pPr>
      <w:r>
        <w:rPr>
          <w:i/>
          <w:sz w:val="24"/>
        </w:rPr>
        <w:t>J.</w:t>
      </w:r>
      <w:r>
        <w:rPr>
          <w:i/>
          <w:spacing w:val="-3"/>
          <w:sz w:val="24"/>
        </w:rPr>
        <w:t> </w:t>
      </w:r>
      <w:r>
        <w:rPr>
          <w:i/>
          <w:sz w:val="24"/>
        </w:rPr>
        <w:t>Ethnopharmacol</w:t>
      </w:r>
      <w:r>
        <w:rPr>
          <w:sz w:val="24"/>
        </w:rPr>
        <w:t>.,</w:t>
      </w:r>
      <w:r>
        <w:rPr>
          <w:spacing w:val="-1"/>
          <w:sz w:val="24"/>
        </w:rPr>
        <w:t> </w:t>
      </w:r>
      <w:r>
        <w:rPr>
          <w:sz w:val="24"/>
        </w:rPr>
        <w:t>64: 179-</w:t>
      </w:r>
      <w:r>
        <w:rPr>
          <w:spacing w:val="-4"/>
          <w:sz w:val="24"/>
        </w:rPr>
        <w:t>184.</w:t>
      </w:r>
    </w:p>
    <w:p>
      <w:pPr>
        <w:pStyle w:val="BodyText"/>
        <w:spacing w:before="240"/>
        <w:ind w:left="1671" w:right="996" w:hanging="994"/>
        <w:jc w:val="both"/>
      </w:pPr>
      <w:r>
        <w:rPr/>
        <w:t>Kar A, Choudhary B.K (1994): Herbal and traditional medicine for the treatment of Diabetic mellitus. </w:t>
      </w:r>
      <w:r>
        <w:rPr>
          <w:i/>
        </w:rPr>
        <w:t>J. of Indian Drugs </w:t>
      </w:r>
      <w:r>
        <w:rPr/>
        <w:t>1994; </w:t>
      </w:r>
      <w:r>
        <w:rPr>
          <w:b/>
        </w:rPr>
        <w:t>31, </w:t>
      </w:r>
      <w:r>
        <w:rPr/>
        <w:t>p.127</w:t>
      </w:r>
    </w:p>
    <w:p>
      <w:pPr>
        <w:pStyle w:val="BodyText"/>
        <w:spacing w:before="240"/>
        <w:ind w:left="1671" w:right="993" w:hanging="994"/>
        <w:jc w:val="both"/>
      </w:pPr>
      <w:r>
        <w:rPr/>
        <w:t>Katsumata, K., Katsumata, K., Jr., Katsumata, Y. (1992): Protective effect of diltiazem hydrochloride on the occurrence of alloxan- or streptozotocin-induced diabetes in rats. </w:t>
      </w:r>
      <w:r>
        <w:rPr>
          <w:i/>
        </w:rPr>
        <w:t>Horm Metab Res </w:t>
      </w:r>
      <w:r>
        <w:rPr>
          <w:b/>
        </w:rPr>
        <w:t>24</w:t>
      </w:r>
      <w:r>
        <w:rPr/>
        <w:t>: 508-510.</w:t>
      </w:r>
    </w:p>
    <w:p>
      <w:pPr>
        <w:pStyle w:val="BodyText"/>
        <w:spacing w:before="241"/>
        <w:ind w:left="1671" w:right="993" w:hanging="994"/>
        <w:jc w:val="both"/>
      </w:pPr>
      <w:r>
        <w:rPr/>
        <w:t>Katzenschlager, R., Evans, A., Manson, A., Patsalos, P.N., Ratnaraj, N., Watt, H., Timmermann, L., Van der Goessel, R and Lees, A. J. (2004): </w:t>
      </w:r>
      <w:r>
        <w:rPr>
          <w:i/>
        </w:rPr>
        <w:t>Mucuna pruriens </w:t>
      </w:r>
      <w:r>
        <w:rPr/>
        <w:t>in Parkinson‘s disease: a double blind clinical and pharmacological study. </w:t>
      </w:r>
      <w:r>
        <w:rPr>
          <w:i/>
        </w:rPr>
        <w:t>Journal of Neurosurgery and Psychiatry</w:t>
      </w:r>
      <w:r>
        <w:rPr/>
        <w:t>, </w:t>
      </w:r>
      <w:r>
        <w:rPr>
          <w:b/>
        </w:rPr>
        <w:t>75</w:t>
      </w:r>
      <w:r>
        <w:rPr/>
        <w:t>, p.1672-1677.</w:t>
      </w:r>
    </w:p>
    <w:p>
      <w:pPr>
        <w:spacing w:after="0"/>
        <w:jc w:val="both"/>
        <w:sectPr>
          <w:pgSz w:w="12240" w:h="15840"/>
          <w:pgMar w:header="0" w:footer="1056" w:top="1340" w:bottom="1240" w:left="1420" w:right="420"/>
        </w:sectPr>
      </w:pPr>
    </w:p>
    <w:p>
      <w:pPr>
        <w:spacing w:before="70"/>
        <w:ind w:left="1810" w:right="1041" w:hanging="1133"/>
        <w:jc w:val="left"/>
        <w:rPr>
          <w:sz w:val="24"/>
        </w:rPr>
      </w:pPr>
      <w:r>
        <w:rPr/>
        <mc:AlternateContent>
          <mc:Choice Requires="wps">
            <w:drawing>
              <wp:anchor distT="0" distB="0" distL="0" distR="0" allowOverlap="1" layoutInCell="1" locked="0" behindDoc="1" simplePos="0" relativeHeight="483043840">
                <wp:simplePos x="0" y="0"/>
                <wp:positionH relativeFrom="page">
                  <wp:posOffset>-1402226</wp:posOffset>
                </wp:positionH>
                <wp:positionV relativeFrom="page">
                  <wp:posOffset>4612234</wp:posOffset>
                </wp:positionV>
                <wp:extent cx="10685780" cy="91440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2640;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Kay,</w:t>
      </w:r>
      <w:r>
        <w:rPr>
          <w:spacing w:val="40"/>
          <w:sz w:val="24"/>
        </w:rPr>
        <w:t> </w:t>
      </w:r>
      <w:r>
        <w:rPr>
          <w:sz w:val="24"/>
        </w:rPr>
        <w:t>D.</w:t>
      </w:r>
      <w:r>
        <w:rPr>
          <w:spacing w:val="40"/>
          <w:sz w:val="24"/>
        </w:rPr>
        <w:t> </w:t>
      </w:r>
      <w:r>
        <w:rPr>
          <w:sz w:val="24"/>
        </w:rPr>
        <w:t>(1979):</w:t>
      </w:r>
      <w:r>
        <w:rPr>
          <w:spacing w:val="40"/>
          <w:sz w:val="24"/>
        </w:rPr>
        <w:t> </w:t>
      </w:r>
      <w:r>
        <w:rPr>
          <w:sz w:val="24"/>
        </w:rPr>
        <w:t>Food</w:t>
      </w:r>
      <w:r>
        <w:rPr>
          <w:spacing w:val="40"/>
          <w:sz w:val="24"/>
        </w:rPr>
        <w:t> </w:t>
      </w:r>
      <w:r>
        <w:rPr>
          <w:sz w:val="24"/>
        </w:rPr>
        <w:t>legumes.</w:t>
      </w:r>
      <w:r>
        <w:rPr>
          <w:spacing w:val="40"/>
          <w:sz w:val="24"/>
        </w:rPr>
        <w:t> </w:t>
      </w:r>
      <w:r>
        <w:rPr>
          <w:sz w:val="24"/>
        </w:rPr>
        <w:t>Tropical</w:t>
      </w:r>
      <w:r>
        <w:rPr>
          <w:spacing w:val="40"/>
          <w:sz w:val="24"/>
        </w:rPr>
        <w:t> </w:t>
      </w:r>
      <w:r>
        <w:rPr>
          <w:sz w:val="24"/>
        </w:rPr>
        <w:t>Products</w:t>
      </w:r>
      <w:r>
        <w:rPr>
          <w:spacing w:val="67"/>
          <w:sz w:val="24"/>
        </w:rPr>
        <w:t> </w:t>
      </w:r>
      <w:r>
        <w:rPr>
          <w:sz w:val="24"/>
        </w:rPr>
        <w:t>Institute,</w:t>
      </w:r>
      <w:r>
        <w:rPr>
          <w:spacing w:val="40"/>
          <w:sz w:val="24"/>
        </w:rPr>
        <w:t> </w:t>
      </w:r>
      <w:r>
        <w:rPr>
          <w:sz w:val="24"/>
        </w:rPr>
        <w:t>London,</w:t>
      </w:r>
      <w:r>
        <w:rPr>
          <w:spacing w:val="72"/>
          <w:sz w:val="24"/>
        </w:rPr>
        <w:t> </w:t>
      </w:r>
      <w:r>
        <w:rPr>
          <w:i/>
          <w:sz w:val="24"/>
        </w:rPr>
        <w:t>UK.</w:t>
      </w:r>
      <w:r>
        <w:rPr>
          <w:i/>
          <w:spacing w:val="40"/>
          <w:sz w:val="24"/>
        </w:rPr>
        <w:t> </w:t>
      </w:r>
      <w:r>
        <w:rPr>
          <w:i/>
          <w:sz w:val="24"/>
        </w:rPr>
        <w:t>Crop</w:t>
      </w:r>
      <w:r>
        <w:rPr>
          <w:i/>
          <w:spacing w:val="40"/>
          <w:sz w:val="24"/>
        </w:rPr>
        <w:t> </w:t>
      </w:r>
      <w:r>
        <w:rPr>
          <w:i/>
          <w:sz w:val="24"/>
        </w:rPr>
        <w:t>and</w:t>
      </w:r>
      <w:r>
        <w:rPr>
          <w:i/>
          <w:spacing w:val="40"/>
          <w:sz w:val="24"/>
        </w:rPr>
        <w:t> </w:t>
      </w:r>
      <w:r>
        <w:rPr>
          <w:i/>
          <w:sz w:val="24"/>
        </w:rPr>
        <w:t>Product Digest </w:t>
      </w:r>
      <w:r>
        <w:rPr>
          <w:sz w:val="24"/>
        </w:rPr>
        <w:t>No 3. pp. 435.</w:t>
      </w:r>
    </w:p>
    <w:p>
      <w:pPr>
        <w:pStyle w:val="BodyText"/>
        <w:spacing w:before="240"/>
        <w:ind w:left="1758" w:right="1041" w:hanging="1080"/>
      </w:pPr>
      <w:r>
        <w:rPr/>
        <w:t>Keller, A., (1984); Total Serum Protein. In: Clinical Chemistry, Theory, Analysis and Correlation,</w:t>
      </w:r>
      <w:r>
        <w:rPr>
          <w:spacing w:val="-5"/>
        </w:rPr>
        <w:t> </w:t>
      </w:r>
      <w:r>
        <w:rPr/>
        <w:t>Kaplan,</w:t>
      </w:r>
      <w:r>
        <w:rPr>
          <w:spacing w:val="-4"/>
        </w:rPr>
        <w:t> </w:t>
      </w:r>
      <w:r>
        <w:rPr/>
        <w:t>L.A.</w:t>
      </w:r>
      <w:r>
        <w:rPr>
          <w:spacing w:val="-5"/>
        </w:rPr>
        <w:t> </w:t>
      </w:r>
      <w:r>
        <w:rPr/>
        <w:t>and</w:t>
      </w:r>
      <w:r>
        <w:rPr>
          <w:spacing w:val="-5"/>
        </w:rPr>
        <w:t> </w:t>
      </w:r>
      <w:r>
        <w:rPr/>
        <w:t>A.J.</w:t>
      </w:r>
      <w:r>
        <w:rPr>
          <w:spacing w:val="-5"/>
        </w:rPr>
        <w:t> </w:t>
      </w:r>
      <w:r>
        <w:rPr/>
        <w:t>Pesce</w:t>
      </w:r>
      <w:r>
        <w:rPr>
          <w:spacing w:val="-6"/>
        </w:rPr>
        <w:t> </w:t>
      </w:r>
      <w:r>
        <w:rPr/>
        <w:t>(Eds.).</w:t>
      </w:r>
      <w:r>
        <w:rPr>
          <w:spacing w:val="-5"/>
        </w:rPr>
        <w:t> </w:t>
      </w:r>
      <w:r>
        <w:rPr/>
        <w:t>St.</w:t>
      </w:r>
      <w:r>
        <w:rPr>
          <w:spacing w:val="-3"/>
        </w:rPr>
        <w:t> </w:t>
      </w:r>
      <w:r>
        <w:rPr/>
        <w:t>Lious:</w:t>
      </w:r>
      <w:r>
        <w:rPr>
          <w:spacing w:val="-5"/>
        </w:rPr>
        <w:t> </w:t>
      </w:r>
      <w:r>
        <w:rPr/>
        <w:t>Mosby</w:t>
      </w:r>
      <w:r>
        <w:rPr>
          <w:spacing w:val="-9"/>
        </w:rPr>
        <w:t> </w:t>
      </w:r>
      <w:r>
        <w:rPr/>
        <w:t>Company, USA, pp: 1400-1402.</w:t>
      </w:r>
    </w:p>
    <w:p>
      <w:pPr>
        <w:pStyle w:val="BodyText"/>
        <w:spacing w:before="241"/>
        <w:ind w:left="1810" w:right="994" w:hanging="1133"/>
        <w:jc w:val="both"/>
      </w:pPr>
      <w:r>
        <w:rPr/>
        <w:t>Khan, K. A. and Rhodes, C, T. (1976): Effect of variables in compaction force on properties of six direct compression tablet formulations. </w:t>
      </w:r>
      <w:r>
        <w:rPr>
          <w:i/>
        </w:rPr>
        <w:t>J. Pharm. Sci</w:t>
      </w:r>
      <w:r>
        <w:rPr/>
        <w:t>., </w:t>
      </w:r>
      <w:r>
        <w:rPr>
          <w:b/>
        </w:rPr>
        <w:t>65</w:t>
      </w:r>
      <w:r>
        <w:rPr/>
        <w:t>: 1835 - 1837.</w:t>
      </w:r>
    </w:p>
    <w:p>
      <w:pPr>
        <w:spacing w:before="240"/>
        <w:ind w:left="1810" w:right="996" w:hanging="1133"/>
        <w:jc w:val="both"/>
        <w:rPr>
          <w:sz w:val="24"/>
        </w:rPr>
      </w:pPr>
      <w:r>
        <w:rPr>
          <w:sz w:val="24"/>
        </w:rPr>
        <w:t>Khosla, P, Gupta, D. D., Nagpal, R. K. (1995): Effect of </w:t>
      </w:r>
      <w:r>
        <w:rPr>
          <w:i/>
          <w:sz w:val="24"/>
        </w:rPr>
        <w:t>Trigonella foenum graecum </w:t>
      </w:r>
      <w:r>
        <w:rPr>
          <w:sz w:val="24"/>
        </w:rPr>
        <w:t>(Fenugreek) on blood glucose in normal and diabetic rats</w:t>
      </w:r>
      <w:r>
        <w:rPr>
          <w:i/>
          <w:sz w:val="24"/>
        </w:rPr>
        <w:t>. Indian J Physiol Pharmacol., </w:t>
      </w:r>
      <w:r>
        <w:rPr>
          <w:b/>
          <w:sz w:val="24"/>
        </w:rPr>
        <w:t>39</w:t>
      </w:r>
      <w:r>
        <w:rPr>
          <w:sz w:val="24"/>
        </w:rPr>
        <w:t>: 173-174.</w:t>
      </w:r>
    </w:p>
    <w:p>
      <w:pPr>
        <w:pStyle w:val="BodyText"/>
        <w:spacing w:before="240"/>
        <w:ind w:left="1810" w:right="1002" w:hanging="1133"/>
        <w:jc w:val="both"/>
      </w:pPr>
      <w:r>
        <w:rPr/>
        <w:t>King, R.E. (1980): Tablets, Capsules and Pills In: Remington‘s Pharmaceutical Sciences (Eds) 16</w:t>
      </w:r>
      <w:r>
        <w:rPr>
          <w:vertAlign w:val="superscript"/>
        </w:rPr>
        <w:t>th</w:t>
      </w:r>
      <w:r>
        <w:rPr>
          <w:vertAlign w:val="baseline"/>
        </w:rPr>
        <w:t> edition, Mack Publishing Company, Pennsylvania, pp. 1563 - 1564.</w:t>
      </w:r>
    </w:p>
    <w:p>
      <w:pPr>
        <w:pStyle w:val="BodyText"/>
        <w:spacing w:before="240"/>
        <w:ind w:left="1810" w:right="995" w:hanging="1133"/>
        <w:jc w:val="both"/>
      </w:pPr>
      <w:r>
        <w:rPr/>
        <w:t>King, R.E. and Schwarz, J.B. (1985): Oral solid dosage forms. In: Remington‘s Pharmaeutical Sciences. Gennaro, R (Ed) 17</w:t>
      </w:r>
      <w:r>
        <w:rPr>
          <w:vertAlign w:val="superscript"/>
        </w:rPr>
        <w:t>th</w:t>
      </w:r>
      <w:r>
        <w:rPr>
          <w:vertAlign w:val="baseline"/>
        </w:rPr>
        <w:t> ed. (1985). Mack, Pennsyslavania, pp. 1603-1622.</w:t>
      </w:r>
    </w:p>
    <w:p>
      <w:pPr>
        <w:pStyle w:val="BodyText"/>
        <w:spacing w:line="276" w:lineRule="auto" w:before="243"/>
        <w:ind w:left="1758" w:right="995" w:hanging="1112"/>
        <w:jc w:val="both"/>
      </w:pPr>
      <w:r>
        <w:rPr/>
        <w:t>King, R.E.M., Osoe, A. (1975): Tablets, Capsules and Pills In: Remington‘s Pharmaceutical Sciences, Mack Publishing Company, Philadelphia, fifteenth Edition, pp. 1576 – 1586.</w:t>
      </w:r>
    </w:p>
    <w:p>
      <w:pPr>
        <w:pStyle w:val="BodyText"/>
        <w:spacing w:before="236"/>
        <w:ind w:left="1671" w:right="997" w:hanging="994"/>
        <w:jc w:val="both"/>
      </w:pPr>
      <w:r>
        <w:rPr/>
        <w:t>Kitazawa, S., Johno, I., Minouchi, T., Ito, Y. and Okada, J. (1977a): A comparison of the dissolution rates of caffeine tablets in a rotating-basket with those in a Sartorius dissolution tester. </w:t>
      </w:r>
      <w:r>
        <w:rPr>
          <w:i/>
        </w:rPr>
        <w:t>Journal of Pharm and Pharmacol </w:t>
      </w:r>
      <w:r>
        <w:rPr>
          <w:b/>
        </w:rPr>
        <w:t>29</w:t>
      </w:r>
      <w:r>
        <w:rPr/>
        <w:t>: 585-588.</w:t>
      </w:r>
    </w:p>
    <w:p>
      <w:pPr>
        <w:pStyle w:val="BodyText"/>
        <w:spacing w:before="240"/>
        <w:ind w:left="1669" w:right="993" w:hanging="992"/>
        <w:jc w:val="both"/>
      </w:pPr>
      <w:r>
        <w:rPr/>
        <w:t>Klein, G. Kim, J., Himmeldirk, K., Cao, Y., Chen, X. (2007): Antidiabetes and Anti- obesity Activity of Lagerstroemia speciosa. Evidence-based Complementary</w:t>
      </w:r>
      <w:r>
        <w:rPr>
          <w:spacing w:val="40"/>
        </w:rPr>
        <w:t> </w:t>
      </w:r>
      <w:r>
        <w:rPr/>
        <w:t>and Alternative Medicine (eCAM); </w:t>
      </w:r>
      <w:r>
        <w:rPr>
          <w:b/>
        </w:rPr>
        <w:t>4</w:t>
      </w:r>
      <w:r>
        <w:rPr/>
        <w:t>(4):401–407.</w:t>
      </w:r>
    </w:p>
    <w:p>
      <w:pPr>
        <w:pStyle w:val="BodyText"/>
        <w:spacing w:before="240"/>
        <w:ind w:left="1671" w:right="996" w:hanging="994"/>
        <w:jc w:val="both"/>
      </w:pPr>
      <w:r>
        <w:rPr/>
        <w:t>Kliber, A., Szkudelski, T., Chichlowska, J. (1996): Alloxan stimulation and subsequent inhibition of insulin release from in situ perfused rat pancreas. </w:t>
      </w:r>
      <w:r>
        <w:rPr>
          <w:i/>
        </w:rPr>
        <w:t>J Physiol Pharmacol </w:t>
      </w:r>
      <w:r>
        <w:rPr>
          <w:b/>
        </w:rPr>
        <w:t>47</w:t>
      </w:r>
      <w:r>
        <w:rPr/>
        <w:t>: 321-328.</w:t>
      </w:r>
    </w:p>
    <w:p>
      <w:pPr>
        <w:spacing w:before="240"/>
        <w:ind w:left="1810" w:right="997" w:hanging="1133"/>
        <w:jc w:val="both"/>
        <w:rPr>
          <w:sz w:val="24"/>
        </w:rPr>
      </w:pPr>
      <w:r>
        <w:rPr>
          <w:sz w:val="24"/>
        </w:rPr>
        <w:t>Klockgether-Radke, A.P. (2002): F.W. Serturner and the discovery of morphine. 200</w:t>
      </w:r>
      <w:r>
        <w:rPr>
          <w:spacing w:val="80"/>
          <w:sz w:val="24"/>
        </w:rPr>
        <w:t> </w:t>
      </w:r>
      <w:r>
        <w:rPr>
          <w:sz w:val="24"/>
        </w:rPr>
        <w:t>years of pain therapy with opiods. </w:t>
      </w:r>
      <w:r>
        <w:rPr>
          <w:i/>
          <w:sz w:val="24"/>
        </w:rPr>
        <w:t>J. Anasthesiol intensivmed notfallmed schmarzther; </w:t>
      </w:r>
      <w:r>
        <w:rPr>
          <w:b/>
          <w:sz w:val="24"/>
        </w:rPr>
        <w:t>37 </w:t>
      </w:r>
      <w:r>
        <w:rPr>
          <w:sz w:val="24"/>
        </w:rPr>
        <w:t>(5) 244-249.</w:t>
      </w:r>
    </w:p>
    <w:p>
      <w:pPr>
        <w:spacing w:before="243"/>
        <w:ind w:left="1758" w:right="999" w:hanging="1080"/>
        <w:jc w:val="both"/>
        <w:rPr>
          <w:sz w:val="22"/>
        </w:rPr>
      </w:pPr>
      <w:r>
        <w:rPr>
          <w:sz w:val="22"/>
        </w:rPr>
        <w:t>Kochhar,</w:t>
      </w:r>
      <w:r>
        <w:rPr>
          <w:spacing w:val="-5"/>
          <w:sz w:val="22"/>
        </w:rPr>
        <w:t> </w:t>
      </w:r>
      <w:r>
        <w:rPr>
          <w:sz w:val="22"/>
        </w:rPr>
        <w:t>S.K.,</w:t>
      </w:r>
      <w:r>
        <w:rPr>
          <w:spacing w:val="-2"/>
          <w:sz w:val="22"/>
        </w:rPr>
        <w:t> </w:t>
      </w:r>
      <w:r>
        <w:rPr>
          <w:sz w:val="22"/>
        </w:rPr>
        <w:t>Rubinstein,</w:t>
      </w:r>
      <w:r>
        <w:rPr>
          <w:spacing w:val="-7"/>
          <w:sz w:val="22"/>
        </w:rPr>
        <w:t> </w:t>
      </w:r>
      <w:r>
        <w:rPr>
          <w:sz w:val="22"/>
        </w:rPr>
        <w:t>M.H.,</w:t>
      </w:r>
      <w:r>
        <w:rPr>
          <w:spacing w:val="-2"/>
          <w:sz w:val="22"/>
        </w:rPr>
        <w:t> </w:t>
      </w:r>
      <w:r>
        <w:rPr>
          <w:sz w:val="22"/>
        </w:rPr>
        <w:t>Barnes,</w:t>
      </w:r>
      <w:r>
        <w:rPr>
          <w:spacing w:val="-2"/>
          <w:sz w:val="22"/>
        </w:rPr>
        <w:t> </w:t>
      </w:r>
      <w:r>
        <w:rPr>
          <w:sz w:val="22"/>
        </w:rPr>
        <w:t>D.</w:t>
      </w:r>
      <w:r>
        <w:rPr>
          <w:spacing w:val="-5"/>
          <w:sz w:val="22"/>
        </w:rPr>
        <w:t> </w:t>
      </w:r>
      <w:r>
        <w:rPr>
          <w:sz w:val="22"/>
        </w:rPr>
        <w:t>(1995):</w:t>
      </w:r>
      <w:r>
        <w:rPr>
          <w:spacing w:val="-3"/>
          <w:sz w:val="22"/>
        </w:rPr>
        <w:t> </w:t>
      </w:r>
      <w:r>
        <w:rPr>
          <w:sz w:val="22"/>
        </w:rPr>
        <w:t>The</w:t>
      </w:r>
      <w:r>
        <w:rPr>
          <w:spacing w:val="-2"/>
          <w:sz w:val="22"/>
        </w:rPr>
        <w:t> </w:t>
      </w:r>
      <w:r>
        <w:rPr>
          <w:sz w:val="22"/>
        </w:rPr>
        <w:t>effects</w:t>
      </w:r>
      <w:r>
        <w:rPr>
          <w:spacing w:val="-4"/>
          <w:sz w:val="22"/>
        </w:rPr>
        <w:t> </w:t>
      </w:r>
      <w:r>
        <w:rPr>
          <w:sz w:val="22"/>
        </w:rPr>
        <w:t>of</w:t>
      </w:r>
      <w:r>
        <w:rPr>
          <w:spacing w:val="-2"/>
          <w:sz w:val="22"/>
        </w:rPr>
        <w:t> </w:t>
      </w:r>
      <w:r>
        <w:rPr>
          <w:sz w:val="22"/>
        </w:rPr>
        <w:t>slugging</w:t>
      </w:r>
      <w:r>
        <w:rPr>
          <w:spacing w:val="-5"/>
          <w:sz w:val="22"/>
        </w:rPr>
        <w:t> </w:t>
      </w:r>
      <w:r>
        <w:rPr>
          <w:sz w:val="22"/>
        </w:rPr>
        <w:t>and</w:t>
      </w:r>
      <w:r>
        <w:rPr>
          <w:spacing w:val="-2"/>
          <w:sz w:val="22"/>
        </w:rPr>
        <w:t> </w:t>
      </w:r>
      <w:r>
        <w:rPr>
          <w:sz w:val="22"/>
        </w:rPr>
        <w:t>recompression</w:t>
      </w:r>
      <w:r>
        <w:rPr>
          <w:spacing w:val="-2"/>
          <w:sz w:val="22"/>
        </w:rPr>
        <w:t> </w:t>
      </w:r>
      <w:r>
        <w:rPr>
          <w:sz w:val="22"/>
        </w:rPr>
        <w:t>on pharmaceutical excipients. International Journal of Pharmaceutics </w:t>
      </w:r>
      <w:r>
        <w:rPr>
          <w:b/>
          <w:sz w:val="22"/>
        </w:rPr>
        <w:t>115</w:t>
      </w:r>
      <w:r>
        <w:rPr>
          <w:sz w:val="22"/>
        </w:rPr>
        <w:t>, 35-43.</w:t>
      </w:r>
    </w:p>
    <w:p>
      <w:pPr>
        <w:pStyle w:val="BodyText"/>
        <w:spacing w:before="25"/>
        <w:rPr>
          <w:sz w:val="22"/>
        </w:rPr>
      </w:pPr>
    </w:p>
    <w:p>
      <w:pPr>
        <w:pStyle w:val="BodyText"/>
        <w:ind w:left="1669" w:right="996" w:hanging="992"/>
        <w:jc w:val="both"/>
        <w:rPr>
          <w:rFonts w:ascii="Arial MT" w:hAnsi="Arial MT"/>
          <w:sz w:val="20"/>
        </w:rPr>
      </w:pPr>
      <w:r>
        <w:rPr>
          <w:rFonts w:ascii="Arial MT" w:hAnsi="Arial MT"/>
        </w:rPr>
        <w:t>Kolthoff,</w:t>
      </w:r>
      <w:r>
        <w:rPr>
          <w:rFonts w:ascii="Arial MT" w:hAnsi="Arial MT"/>
          <w:spacing w:val="-3"/>
        </w:rPr>
        <w:t> </w:t>
      </w:r>
      <w:r>
        <w:rPr>
          <w:rFonts w:ascii="Arial MT" w:hAnsi="Arial MT"/>
        </w:rPr>
        <w:t>I.</w:t>
      </w:r>
      <w:r>
        <w:rPr>
          <w:rFonts w:ascii="Arial MT" w:hAnsi="Arial MT"/>
          <w:spacing w:val="-2"/>
        </w:rPr>
        <w:t> </w:t>
      </w:r>
      <w:r>
        <w:rPr>
          <w:rFonts w:ascii="Arial MT" w:hAnsi="Arial MT"/>
        </w:rPr>
        <w:t>M.</w:t>
      </w:r>
      <w:r>
        <w:rPr>
          <w:rFonts w:ascii="Arial MT" w:hAnsi="Arial MT"/>
          <w:spacing w:val="-2"/>
        </w:rPr>
        <w:t> </w:t>
      </w:r>
      <w:r>
        <w:rPr>
          <w:rFonts w:ascii="Arial MT" w:hAnsi="Arial MT"/>
        </w:rPr>
        <w:t>and</w:t>
      </w:r>
      <w:r>
        <w:rPr>
          <w:rFonts w:ascii="Arial MT" w:hAnsi="Arial MT"/>
          <w:spacing w:val="-5"/>
        </w:rPr>
        <w:t> </w:t>
      </w:r>
      <w:r>
        <w:rPr>
          <w:rFonts w:ascii="Arial MT" w:hAnsi="Arial MT"/>
        </w:rPr>
        <w:t>Elving,</w:t>
      </w:r>
      <w:r>
        <w:rPr>
          <w:rFonts w:ascii="Arial MT" w:hAnsi="Arial MT"/>
          <w:spacing w:val="-3"/>
        </w:rPr>
        <w:t> </w:t>
      </w:r>
      <w:r>
        <w:rPr>
          <w:rFonts w:ascii="Arial MT" w:hAnsi="Arial MT"/>
        </w:rPr>
        <w:t>P. J.</w:t>
      </w:r>
      <w:r>
        <w:rPr>
          <w:rFonts w:ascii="Arial MT" w:hAnsi="Arial MT"/>
          <w:spacing w:val="-3"/>
        </w:rPr>
        <w:t> </w:t>
      </w:r>
      <w:r>
        <w:rPr>
          <w:rFonts w:ascii="Arial MT" w:hAnsi="Arial MT"/>
        </w:rPr>
        <w:t>(1976):</w:t>
      </w:r>
      <w:r>
        <w:rPr>
          <w:rFonts w:ascii="Arial MT" w:hAnsi="Arial MT"/>
          <w:spacing w:val="-5"/>
        </w:rPr>
        <w:t> </w:t>
      </w:r>
      <w:r>
        <w:rPr>
          <w:rFonts w:ascii="Arial MT" w:hAnsi="Arial MT"/>
        </w:rPr>
        <w:t>Treatise</w:t>
      </w:r>
      <w:r>
        <w:rPr>
          <w:rFonts w:ascii="Arial MT" w:hAnsi="Arial MT"/>
          <w:spacing w:val="-3"/>
        </w:rPr>
        <w:t> </w:t>
      </w:r>
      <w:r>
        <w:rPr>
          <w:rFonts w:ascii="Arial MT" w:hAnsi="Arial MT"/>
        </w:rPr>
        <w:t>on</w:t>
      </w:r>
      <w:r>
        <w:rPr>
          <w:rFonts w:ascii="Arial MT" w:hAnsi="Arial MT"/>
          <w:spacing w:val="-3"/>
        </w:rPr>
        <w:t> </w:t>
      </w:r>
      <w:r>
        <w:rPr>
          <w:rFonts w:ascii="Arial MT" w:hAnsi="Arial MT"/>
        </w:rPr>
        <w:t>Analytical</w:t>
      </w:r>
      <w:r>
        <w:rPr>
          <w:rFonts w:ascii="Arial MT" w:hAnsi="Arial MT"/>
          <w:spacing w:val="-3"/>
        </w:rPr>
        <w:t> </w:t>
      </w:r>
      <w:r>
        <w:rPr>
          <w:rFonts w:ascii="Arial MT" w:hAnsi="Arial MT"/>
        </w:rPr>
        <w:t>Chemistry:</w:t>
      </w:r>
      <w:r>
        <w:rPr>
          <w:rFonts w:ascii="Arial MT" w:hAnsi="Arial MT"/>
          <w:spacing w:val="-3"/>
        </w:rPr>
        <w:t> </w:t>
      </w:r>
      <w:r>
        <w:rPr>
          <w:rFonts w:ascii="Arial MT" w:hAnsi="Arial MT"/>
        </w:rPr>
        <w:t>Part</w:t>
      </w:r>
      <w:r>
        <w:rPr>
          <w:rFonts w:ascii="Arial MT" w:hAnsi="Arial MT"/>
          <w:spacing w:val="-3"/>
        </w:rPr>
        <w:t> </w:t>
      </w:r>
      <w:r>
        <w:rPr>
          <w:rFonts w:ascii="Arial MT" w:hAnsi="Arial MT"/>
        </w:rPr>
        <w:t>I</w:t>
      </w:r>
      <w:r>
        <w:rPr>
          <w:rFonts w:ascii="Arial MT" w:hAnsi="Arial MT"/>
          <w:spacing w:val="-2"/>
        </w:rPr>
        <w:t> </w:t>
      </w:r>
      <w:r>
        <w:rPr>
          <w:rFonts w:ascii="Arial MT" w:hAnsi="Arial MT"/>
        </w:rPr>
        <w:t>and II Vol. 15 John Wiley and Sons. Pg. 15 – 100</w:t>
      </w:r>
      <w:r>
        <w:rPr>
          <w:rFonts w:ascii="Arial MT" w:hAnsi="Arial MT"/>
          <w:sz w:val="20"/>
        </w:rPr>
        <w:t>.</w:t>
      </w:r>
    </w:p>
    <w:p>
      <w:pPr>
        <w:spacing w:after="0"/>
        <w:jc w:val="both"/>
        <w:rPr>
          <w:rFonts w:ascii="Arial MT" w:hAnsi="Arial MT"/>
          <w:sz w:val="20"/>
        </w:rPr>
        <w:sectPr>
          <w:pgSz w:w="12240" w:h="15840"/>
          <w:pgMar w:header="0" w:footer="1056" w:top="1340" w:bottom="1240" w:left="1420" w:right="420"/>
        </w:sectPr>
      </w:pPr>
    </w:p>
    <w:p>
      <w:pPr>
        <w:pStyle w:val="BodyText"/>
        <w:spacing w:before="70"/>
        <w:ind w:left="1810" w:right="993" w:hanging="1133"/>
        <w:jc w:val="both"/>
      </w:pPr>
      <w:r>
        <w:rPr/>
        <mc:AlternateContent>
          <mc:Choice Requires="wps">
            <w:drawing>
              <wp:anchor distT="0" distB="0" distL="0" distR="0" allowOverlap="1" layoutInCell="1" locked="0" behindDoc="1" simplePos="0" relativeHeight="483044352">
                <wp:simplePos x="0" y="0"/>
                <wp:positionH relativeFrom="page">
                  <wp:posOffset>-1402226</wp:posOffset>
                </wp:positionH>
                <wp:positionV relativeFrom="page">
                  <wp:posOffset>4612234</wp:posOffset>
                </wp:positionV>
                <wp:extent cx="10685780" cy="91440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2128;rotation:306" type="#_x0000_t136" fillcolor="#ff5400" stroked="f">
                <o:extrusion v:ext="view" autorotationcenter="t"/>
                <v:textpath style="font-family:&quot;Arial MT&quot;;font-size:72pt;v-text-kern:t;mso-text-shadow:auto" string="UNIVERSITY OF IBADAN"/>
                <w10:wrap type="none"/>
              </v:shape>
            </w:pict>
          </mc:Fallback>
        </mc:AlternateContent>
      </w:r>
      <w:r>
        <w:rPr/>
        <w:t>Koratkar, R. and Rao, A. V. (1997): Effect of soya bean saponins on azoxymethane- induced preneoplastic lesions in the colon of mice. </w:t>
      </w:r>
      <w:r>
        <w:rPr>
          <w:i/>
        </w:rPr>
        <w:t>Nutrition and Cancer </w:t>
      </w:r>
      <w:r>
        <w:rPr>
          <w:b/>
        </w:rPr>
        <w:t>27</w:t>
      </w:r>
      <w:r>
        <w:rPr/>
        <w:t>: </w:t>
      </w:r>
      <w:r>
        <w:rPr>
          <w:spacing w:val="-2"/>
        </w:rPr>
        <w:t>206-209.</w:t>
      </w:r>
    </w:p>
    <w:p>
      <w:pPr>
        <w:pStyle w:val="BodyText"/>
        <w:spacing w:before="241"/>
        <w:ind w:left="678"/>
      </w:pPr>
      <w:r>
        <w:rPr/>
        <w:t>Krolewski,</w:t>
      </w:r>
      <w:r>
        <w:rPr>
          <w:spacing w:val="-1"/>
        </w:rPr>
        <w:t> </w:t>
      </w:r>
      <w:r>
        <w:rPr/>
        <w:t>A.</w:t>
      </w:r>
      <w:r>
        <w:rPr>
          <w:spacing w:val="3"/>
        </w:rPr>
        <w:t> </w:t>
      </w:r>
      <w:r>
        <w:rPr/>
        <w:t>S.,</w:t>
      </w:r>
      <w:r>
        <w:rPr>
          <w:spacing w:val="1"/>
        </w:rPr>
        <w:t> </w:t>
      </w:r>
      <w:r>
        <w:rPr/>
        <w:t>Warram,</w:t>
      </w:r>
      <w:r>
        <w:rPr>
          <w:spacing w:val="2"/>
        </w:rPr>
        <w:t> </w:t>
      </w:r>
      <w:r>
        <w:rPr/>
        <w:t>J.</w:t>
      </w:r>
      <w:r>
        <w:rPr>
          <w:spacing w:val="1"/>
        </w:rPr>
        <w:t> </w:t>
      </w:r>
      <w:r>
        <w:rPr/>
        <w:t>H,</w:t>
      </w:r>
      <w:r>
        <w:rPr>
          <w:spacing w:val="1"/>
        </w:rPr>
        <w:t> </w:t>
      </w:r>
      <w:r>
        <w:rPr/>
        <w:t>R.</w:t>
      </w:r>
      <w:r>
        <w:rPr>
          <w:spacing w:val="1"/>
        </w:rPr>
        <w:t> </w:t>
      </w:r>
      <w:r>
        <w:rPr/>
        <w:t>and</w:t>
      </w:r>
      <w:r>
        <w:rPr>
          <w:spacing w:val="4"/>
        </w:rPr>
        <w:t> </w:t>
      </w:r>
      <w:r>
        <w:rPr/>
        <w:t>L.</w:t>
      </w:r>
      <w:r>
        <w:rPr>
          <w:spacing w:val="5"/>
        </w:rPr>
        <w:t> </w:t>
      </w:r>
      <w:r>
        <w:rPr/>
        <w:t>I,</w:t>
      </w:r>
      <w:r>
        <w:rPr>
          <w:spacing w:val="9"/>
        </w:rPr>
        <w:t> </w:t>
      </w:r>
      <w:r>
        <w:rPr/>
        <w:t>(1986):</w:t>
      </w:r>
      <w:r>
        <w:rPr>
          <w:spacing w:val="2"/>
        </w:rPr>
        <w:t> </w:t>
      </w:r>
      <w:r>
        <w:rPr/>
        <w:t>Christlieb,</w:t>
      </w:r>
      <w:r>
        <w:rPr>
          <w:spacing w:val="2"/>
        </w:rPr>
        <w:t> </w:t>
      </w:r>
      <w:r>
        <w:rPr/>
        <w:t>A. R,.</w:t>
      </w:r>
      <w:r>
        <w:rPr>
          <w:spacing w:val="4"/>
        </w:rPr>
        <w:t> </w:t>
      </w:r>
      <w:r>
        <w:rPr/>
        <w:t>Busick, E.</w:t>
      </w:r>
      <w:r>
        <w:rPr>
          <w:spacing w:val="1"/>
        </w:rPr>
        <w:t> </w:t>
      </w:r>
      <w:r>
        <w:rPr/>
        <w:t>J.,</w:t>
      </w:r>
      <w:r>
        <w:rPr>
          <w:spacing w:val="2"/>
        </w:rPr>
        <w:t> </w:t>
      </w:r>
      <w:r>
        <w:rPr>
          <w:spacing w:val="-2"/>
        </w:rPr>
        <w:t>Kahn,</w:t>
      </w:r>
    </w:p>
    <w:p>
      <w:pPr>
        <w:pStyle w:val="BodyText"/>
        <w:ind w:left="1671" w:right="997"/>
      </w:pPr>
      <w:r>
        <w:rPr/>
        <w:t>C.</w:t>
      </w:r>
      <w:r>
        <w:rPr>
          <w:spacing w:val="-1"/>
        </w:rPr>
        <w:t> </w:t>
      </w:r>
      <w:r>
        <w:rPr/>
        <w:t>R.</w:t>
      </w:r>
      <w:r>
        <w:rPr>
          <w:spacing w:val="-1"/>
        </w:rPr>
        <w:t> </w:t>
      </w:r>
      <w:r>
        <w:rPr/>
        <w:t>Risk</w:t>
      </w:r>
      <w:r>
        <w:rPr>
          <w:spacing w:val="-1"/>
        </w:rPr>
        <w:t> </w:t>
      </w:r>
      <w:r>
        <w:rPr/>
        <w:t>of</w:t>
      </w:r>
      <w:r>
        <w:rPr>
          <w:spacing w:val="-2"/>
        </w:rPr>
        <w:t> </w:t>
      </w:r>
      <w:r>
        <w:rPr/>
        <w:t>proliferative</w:t>
      </w:r>
      <w:r>
        <w:rPr>
          <w:spacing w:val="-2"/>
        </w:rPr>
        <w:t> </w:t>
      </w:r>
      <w:r>
        <w:rPr/>
        <w:t>diabetic</w:t>
      </w:r>
      <w:r>
        <w:rPr>
          <w:spacing w:val="-2"/>
        </w:rPr>
        <w:t> </w:t>
      </w:r>
      <w:r>
        <w:rPr/>
        <w:t>retinopathy</w:t>
      </w:r>
      <w:r>
        <w:rPr>
          <w:spacing w:val="-6"/>
        </w:rPr>
        <w:t> </w:t>
      </w:r>
      <w:r>
        <w:rPr/>
        <w:t>in</w:t>
      </w:r>
      <w:r>
        <w:rPr>
          <w:spacing w:val="-1"/>
        </w:rPr>
        <w:t> </w:t>
      </w:r>
      <w:r>
        <w:rPr/>
        <w:t>juvenile-onset</w:t>
      </w:r>
      <w:r>
        <w:rPr>
          <w:spacing w:val="-2"/>
        </w:rPr>
        <w:t> </w:t>
      </w:r>
      <w:r>
        <w:rPr/>
        <w:t>type</w:t>
      </w:r>
      <w:r>
        <w:rPr>
          <w:spacing w:val="-2"/>
        </w:rPr>
        <w:t> </w:t>
      </w:r>
      <w:r>
        <w:rPr/>
        <w:t>1</w:t>
      </w:r>
      <w:r>
        <w:rPr>
          <w:spacing w:val="-1"/>
        </w:rPr>
        <w:t> </w:t>
      </w:r>
      <w:r>
        <w:rPr/>
        <w:t>diabetes: a 40-year follow-up study. </w:t>
      </w:r>
      <w:r>
        <w:rPr>
          <w:i/>
        </w:rPr>
        <w:t>Diabetes Care</w:t>
      </w:r>
      <w:r>
        <w:rPr/>
        <w:t>; </w:t>
      </w:r>
      <w:r>
        <w:rPr>
          <w:b/>
        </w:rPr>
        <w:t>9</w:t>
      </w:r>
      <w:r>
        <w:rPr/>
        <w:t>: 443-452.</w:t>
      </w:r>
    </w:p>
    <w:p>
      <w:pPr>
        <w:pStyle w:val="BodyText"/>
        <w:spacing w:before="240"/>
        <w:ind w:left="1671" w:right="994" w:hanging="994"/>
        <w:jc w:val="both"/>
      </w:pPr>
      <w:r>
        <w:rPr/>
        <w:t>Kubish, H. M., Vang J., Bray, T. M., and Phillips, J. P. (1997): Targeted over expression of Cu/Zn superoxide dismutase protects pancreatic beta cells against oxidative stress. </w:t>
      </w:r>
      <w:r>
        <w:rPr>
          <w:i/>
        </w:rPr>
        <w:t>Diabetes</w:t>
      </w:r>
      <w:r>
        <w:rPr/>
        <w:t>, </w:t>
      </w:r>
      <w:r>
        <w:rPr>
          <w:b/>
        </w:rPr>
        <w:t>46</w:t>
      </w:r>
      <w:r>
        <w:rPr/>
        <w:t>: 1563-1566.</w:t>
      </w:r>
    </w:p>
    <w:p>
      <w:pPr>
        <w:pStyle w:val="BodyText"/>
        <w:spacing w:before="240"/>
        <w:ind w:left="1671" w:right="998" w:hanging="994"/>
        <w:jc w:val="both"/>
      </w:pPr>
      <w:r>
        <w:rPr/>
        <w:t>Kumar G, Sharmila B. G., Vanita P. P, Sundararajan M, Rajsekara P. M (2004): Hepatoprotective activity of Trianthema portuacastrum L against paracetamol and thioacetamide intoxication in albino rats. </w:t>
      </w:r>
      <w:r>
        <w:rPr>
          <w:i/>
        </w:rPr>
        <w:t>J. Ethnopharmacol</w:t>
      </w:r>
      <w:r>
        <w:rPr/>
        <w:t>. </w:t>
      </w:r>
      <w:r>
        <w:rPr>
          <w:b/>
        </w:rPr>
        <w:t>92</w:t>
      </w:r>
      <w:r>
        <w:rPr/>
        <w:t>: 37-40.</w:t>
      </w:r>
    </w:p>
    <w:p>
      <w:pPr>
        <w:pStyle w:val="BodyText"/>
        <w:spacing w:before="5"/>
      </w:pPr>
    </w:p>
    <w:p>
      <w:pPr>
        <w:pStyle w:val="BodyText"/>
        <w:ind w:left="678"/>
      </w:pPr>
      <w:r>
        <w:rPr/>
        <w:t>Kumar,</w:t>
      </w:r>
      <w:r>
        <w:rPr>
          <w:spacing w:val="-2"/>
        </w:rPr>
        <w:t> </w:t>
      </w:r>
      <w:r>
        <w:rPr/>
        <w:t>S.</w:t>
      </w:r>
      <w:r>
        <w:rPr>
          <w:spacing w:val="-1"/>
        </w:rPr>
        <w:t> </w:t>
      </w:r>
      <w:r>
        <w:rPr/>
        <w:t>(1997):</w:t>
      </w:r>
      <w:r>
        <w:rPr>
          <w:spacing w:val="-1"/>
        </w:rPr>
        <w:t> </w:t>
      </w:r>
      <w:r>
        <w:rPr/>
        <w:t>Animal</w:t>
      </w:r>
      <w:r>
        <w:rPr>
          <w:spacing w:val="-1"/>
        </w:rPr>
        <w:t> </w:t>
      </w:r>
      <w:r>
        <w:rPr/>
        <w:t>models</w:t>
      </w:r>
      <w:r>
        <w:rPr>
          <w:spacing w:val="-1"/>
        </w:rPr>
        <w:t> </w:t>
      </w:r>
      <w:r>
        <w:rPr/>
        <w:t>in</w:t>
      </w:r>
      <w:r>
        <w:rPr>
          <w:spacing w:val="-1"/>
        </w:rPr>
        <w:t> </w:t>
      </w:r>
      <w:r>
        <w:rPr/>
        <w:t>diabetes mellitus,</w:t>
      </w:r>
      <w:r>
        <w:rPr>
          <w:spacing w:val="1"/>
        </w:rPr>
        <w:t> </w:t>
      </w:r>
      <w:r>
        <w:rPr/>
        <w:t>Indian</w:t>
      </w:r>
      <w:r>
        <w:rPr>
          <w:spacing w:val="-1"/>
        </w:rPr>
        <w:t> </w:t>
      </w:r>
      <w:r>
        <w:rPr>
          <w:i/>
        </w:rPr>
        <w:t>J.</w:t>
      </w:r>
      <w:r>
        <w:rPr>
          <w:i/>
          <w:spacing w:val="-1"/>
        </w:rPr>
        <w:t> </w:t>
      </w:r>
      <w:r>
        <w:rPr>
          <w:i/>
        </w:rPr>
        <w:t>Exp.</w:t>
      </w:r>
      <w:r>
        <w:rPr>
          <w:i/>
          <w:spacing w:val="-1"/>
        </w:rPr>
        <w:t> </w:t>
      </w:r>
      <w:r>
        <w:rPr>
          <w:i/>
        </w:rPr>
        <w:t>Biol</w:t>
      </w:r>
      <w:r>
        <w:rPr/>
        <w:t>.,</w:t>
      </w:r>
      <w:r>
        <w:rPr>
          <w:spacing w:val="-1"/>
        </w:rPr>
        <w:t> </w:t>
      </w:r>
      <w:r>
        <w:rPr>
          <w:b/>
        </w:rPr>
        <w:t>35</w:t>
      </w:r>
      <w:r>
        <w:rPr/>
        <w:t>, 1141-</w:t>
      </w:r>
      <w:r>
        <w:rPr>
          <w:spacing w:val="-5"/>
        </w:rPr>
        <w:t>5.</w:t>
      </w:r>
    </w:p>
    <w:p>
      <w:pPr>
        <w:pStyle w:val="BodyText"/>
        <w:spacing w:before="2"/>
      </w:pPr>
    </w:p>
    <w:p>
      <w:pPr>
        <w:spacing w:before="1"/>
        <w:ind w:left="1810" w:right="994" w:hanging="1133"/>
        <w:jc w:val="both"/>
        <w:rPr>
          <w:sz w:val="24"/>
        </w:rPr>
      </w:pPr>
      <w:r>
        <w:rPr>
          <w:sz w:val="24"/>
        </w:rPr>
        <w:t>Kumari, K., Mathew, B. C., Augusti, K. T. (1995): Antidiabetic and hypolipidemic effects of S-methyl cysteine sulfoxide isolated from </w:t>
      </w:r>
      <w:r>
        <w:rPr>
          <w:i/>
          <w:sz w:val="24"/>
        </w:rPr>
        <w:t>Allium cepa </w:t>
      </w:r>
      <w:r>
        <w:rPr>
          <w:sz w:val="24"/>
        </w:rPr>
        <w:t>Linn. </w:t>
      </w:r>
      <w:r>
        <w:rPr>
          <w:i/>
          <w:sz w:val="24"/>
        </w:rPr>
        <w:t>Indian J. Biochem Biophys</w:t>
      </w:r>
      <w:r>
        <w:rPr>
          <w:sz w:val="24"/>
        </w:rPr>
        <w:t>., </w:t>
      </w:r>
      <w:r>
        <w:rPr>
          <w:b/>
          <w:sz w:val="24"/>
        </w:rPr>
        <w:t>32</w:t>
      </w:r>
      <w:r>
        <w:rPr>
          <w:sz w:val="24"/>
        </w:rPr>
        <w:t>: 49-54.</w:t>
      </w:r>
    </w:p>
    <w:p>
      <w:pPr>
        <w:pStyle w:val="BodyText"/>
        <w:spacing w:before="240"/>
        <w:ind w:left="1810" w:right="999" w:hanging="1133"/>
        <w:jc w:val="both"/>
      </w:pPr>
      <w:r>
        <w:rPr/>
        <w:t>Kurup, T. R. R. and Pilpel, N. (1977): The tensile strength and disintegration of griseofulvin tablets. </w:t>
      </w:r>
      <w:r>
        <w:rPr>
          <w:i/>
        </w:rPr>
        <w:t>Powder Technol</w:t>
      </w:r>
      <w:r>
        <w:rPr/>
        <w:t>., </w:t>
      </w:r>
      <w:r>
        <w:rPr>
          <w:b/>
        </w:rPr>
        <w:t>16</w:t>
      </w:r>
      <w:r>
        <w:rPr/>
        <w:t>: 843 - 847.</w:t>
      </w:r>
    </w:p>
    <w:p>
      <w:pPr>
        <w:pStyle w:val="BodyText"/>
        <w:spacing w:before="240"/>
        <w:ind w:left="1810" w:right="994" w:hanging="1133"/>
        <w:jc w:val="both"/>
      </w:pPr>
      <w:r>
        <w:rPr/>
        <w:t>Kurup, T. R. R. and Pilpel, N. (1979): The effect of binding agents on the tensile strength of powders and tablets</w:t>
      </w:r>
      <w:r>
        <w:rPr>
          <w:i/>
        </w:rPr>
        <w:t>. Asian J. Pharm. Sci., </w:t>
      </w:r>
      <w:r>
        <w:rPr>
          <w:b/>
        </w:rPr>
        <w:t>1</w:t>
      </w:r>
      <w:r>
        <w:rPr/>
        <w:t>: 75 - 90.</w:t>
      </w:r>
    </w:p>
    <w:p>
      <w:pPr>
        <w:pStyle w:val="BodyText"/>
        <w:spacing w:before="240"/>
        <w:ind w:left="1810" w:right="996" w:hanging="1133"/>
        <w:jc w:val="both"/>
      </w:pPr>
      <w:r>
        <w:rPr/>
        <w:t>Kussman, M. J., Goldsten, H. H., Gleason, R. E. (1976): The clinical course of diabetic nephropathy. JAMA; </w:t>
      </w:r>
      <w:r>
        <w:rPr>
          <w:b/>
        </w:rPr>
        <w:t>236</w:t>
      </w:r>
      <w:r>
        <w:rPr/>
        <w:t>: 1861-1863.</w:t>
      </w:r>
    </w:p>
    <w:p>
      <w:pPr>
        <w:pStyle w:val="BodyText"/>
        <w:spacing w:before="240"/>
        <w:ind w:left="1671" w:right="997" w:hanging="994"/>
        <w:jc w:val="both"/>
      </w:pPr>
      <w:r>
        <w:rPr>
          <w:color w:val="221F1F"/>
        </w:rPr>
        <w:t>Lamb, R. E. (2006): review of therapeutic groups for type 1 diabetes mellitus patients. </w:t>
      </w:r>
      <w:r>
        <w:rPr>
          <w:i/>
          <w:color w:val="221F1F"/>
        </w:rPr>
        <w:t>J. Diab. And Endocr</w:t>
      </w:r>
      <w:r>
        <w:rPr>
          <w:color w:val="221F1F"/>
        </w:rPr>
        <w:t>. Vol </w:t>
      </w:r>
      <w:r>
        <w:rPr>
          <w:b/>
          <w:color w:val="221F1F"/>
        </w:rPr>
        <w:t>3(</w:t>
      </w:r>
      <w:r>
        <w:rPr>
          <w:color w:val="221F1F"/>
        </w:rPr>
        <w:t>2): pp. 11 – 12.</w:t>
      </w:r>
    </w:p>
    <w:p>
      <w:pPr>
        <w:pStyle w:val="BodyText"/>
      </w:pPr>
    </w:p>
    <w:p>
      <w:pPr>
        <w:pStyle w:val="BodyText"/>
        <w:ind w:left="1758" w:right="1433" w:hanging="1080"/>
      </w:pPr>
      <w:r>
        <w:rPr/>
        <w:t>Lara-Lemus,</w:t>
      </w:r>
      <w:r>
        <w:rPr>
          <w:spacing w:val="-4"/>
        </w:rPr>
        <w:t> </w:t>
      </w:r>
      <w:r>
        <w:rPr/>
        <w:t>R.,</w:t>
      </w:r>
      <w:r>
        <w:rPr>
          <w:spacing w:val="-2"/>
        </w:rPr>
        <w:t> </w:t>
      </w:r>
      <w:r>
        <w:rPr/>
        <w:t>Liu,</w:t>
      </w:r>
      <w:r>
        <w:rPr>
          <w:spacing w:val="-4"/>
        </w:rPr>
        <w:t> </w:t>
      </w:r>
      <w:r>
        <w:rPr/>
        <w:t>M.,</w:t>
      </w:r>
      <w:r>
        <w:rPr>
          <w:spacing w:val="-2"/>
        </w:rPr>
        <w:t> </w:t>
      </w:r>
      <w:r>
        <w:rPr/>
        <w:t>Turner,</w:t>
      </w:r>
      <w:r>
        <w:rPr>
          <w:spacing w:val="-4"/>
        </w:rPr>
        <w:t> </w:t>
      </w:r>
      <w:r>
        <w:rPr/>
        <w:t>M.,</w:t>
      </w:r>
      <w:r>
        <w:rPr>
          <w:spacing w:val="-4"/>
        </w:rPr>
        <w:t> </w:t>
      </w:r>
      <w:r>
        <w:rPr/>
        <w:t>Scherer,</w:t>
      </w:r>
      <w:r>
        <w:rPr>
          <w:spacing w:val="-4"/>
        </w:rPr>
        <w:t> </w:t>
      </w:r>
      <w:r>
        <w:rPr/>
        <w:t>P.,</w:t>
      </w:r>
      <w:r>
        <w:rPr>
          <w:spacing w:val="-2"/>
        </w:rPr>
        <w:t> </w:t>
      </w:r>
      <w:r>
        <w:rPr/>
        <w:t>Stenbeck,</w:t>
      </w:r>
      <w:r>
        <w:rPr>
          <w:spacing w:val="-4"/>
        </w:rPr>
        <w:t> </w:t>
      </w:r>
      <w:r>
        <w:rPr/>
        <w:t>G.,</w:t>
      </w:r>
      <w:r>
        <w:rPr>
          <w:spacing w:val="-3"/>
        </w:rPr>
        <w:t> </w:t>
      </w:r>
      <w:r>
        <w:rPr/>
        <w:t>Iyengar,</w:t>
      </w:r>
      <w:r>
        <w:rPr>
          <w:spacing w:val="-4"/>
        </w:rPr>
        <w:t> </w:t>
      </w:r>
      <w:r>
        <w:rPr/>
        <w:t>P.,</w:t>
      </w:r>
      <w:r>
        <w:rPr>
          <w:spacing w:val="-4"/>
        </w:rPr>
        <w:t> </w:t>
      </w:r>
      <w:r>
        <w:rPr/>
        <w:t>Arvan,</w:t>
      </w:r>
      <w:r>
        <w:rPr>
          <w:spacing w:val="-4"/>
        </w:rPr>
        <w:t> </w:t>
      </w:r>
      <w:r>
        <w:rPr/>
        <w:t>P. (2006): Lumenal protein sorting to the constitutive secretion pathway</w:t>
      </w:r>
      <w:r>
        <w:rPr>
          <w:spacing w:val="-2"/>
        </w:rPr>
        <w:t> </w:t>
      </w:r>
      <w:r>
        <w:rPr/>
        <w:t>of a regulated secretory cell. </w:t>
      </w:r>
      <w:r>
        <w:rPr>
          <w:i/>
        </w:rPr>
        <w:t>J. Cell Sci.; </w:t>
      </w:r>
      <w:r>
        <w:rPr>
          <w:b/>
        </w:rPr>
        <w:t>119</w:t>
      </w:r>
      <w:r>
        <w:rPr/>
        <w:t>:1833-1842.</w:t>
      </w:r>
    </w:p>
    <w:p>
      <w:pPr>
        <w:pStyle w:val="BodyText"/>
      </w:pPr>
    </w:p>
    <w:p>
      <w:pPr>
        <w:pStyle w:val="BodyText"/>
        <w:ind w:left="1671" w:right="993" w:hanging="994"/>
        <w:jc w:val="both"/>
      </w:pPr>
      <w:r>
        <w:rPr>
          <w:color w:val="221F1F"/>
        </w:rPr>
        <w:t>Larner J, Allan G, Kessler C, Reamer P, Gunn R, Huang LC. (1998): Phosphoinositol glycan derived mediators and insulin resistance. Prospects for diagnosis and therapy</w:t>
      </w:r>
      <w:r>
        <w:rPr>
          <w:i/>
          <w:color w:val="221F1F"/>
        </w:rPr>
        <w:t>. J Basic Clin Physiol Pharmacol </w:t>
      </w:r>
      <w:r>
        <w:rPr>
          <w:b/>
          <w:color w:val="221F1F"/>
        </w:rPr>
        <w:t>9</w:t>
      </w:r>
      <w:r>
        <w:rPr>
          <w:color w:val="221F1F"/>
        </w:rPr>
        <w:t>: 127–137.</w:t>
      </w:r>
    </w:p>
    <w:p>
      <w:pPr>
        <w:spacing w:before="241"/>
        <w:ind w:left="1810" w:right="996" w:hanging="1133"/>
        <w:jc w:val="both"/>
        <w:rPr>
          <w:sz w:val="24"/>
        </w:rPr>
      </w:pPr>
      <w:r>
        <w:rPr>
          <w:sz w:val="24"/>
        </w:rPr>
        <w:t>Leiweng Xiang, Xiaonan Huang, Liumei Chen, Pingfan Rao and Lijing Ke (2007): The reparative</w:t>
      </w:r>
      <w:r>
        <w:rPr>
          <w:spacing w:val="-4"/>
          <w:sz w:val="24"/>
        </w:rPr>
        <w:t> </w:t>
      </w:r>
      <w:r>
        <w:rPr>
          <w:sz w:val="24"/>
        </w:rPr>
        <w:t>effects</w:t>
      </w:r>
      <w:r>
        <w:rPr>
          <w:spacing w:val="-3"/>
          <w:sz w:val="24"/>
        </w:rPr>
        <w:t> </w:t>
      </w:r>
      <w:r>
        <w:rPr>
          <w:sz w:val="24"/>
        </w:rPr>
        <w:t>of</w:t>
      </w:r>
      <w:r>
        <w:rPr>
          <w:spacing w:val="-3"/>
          <w:sz w:val="24"/>
        </w:rPr>
        <w:t> </w:t>
      </w:r>
      <w:r>
        <w:rPr>
          <w:i/>
          <w:sz w:val="24"/>
        </w:rPr>
        <w:t>Momordica</w:t>
      </w:r>
      <w:r>
        <w:rPr>
          <w:i/>
          <w:spacing w:val="-4"/>
          <w:sz w:val="24"/>
        </w:rPr>
        <w:t> </w:t>
      </w:r>
      <w:r>
        <w:rPr>
          <w:i/>
          <w:sz w:val="24"/>
        </w:rPr>
        <w:t>charantia </w:t>
      </w:r>
      <w:r>
        <w:rPr>
          <w:sz w:val="24"/>
        </w:rPr>
        <w:t>Linn</w:t>
      </w:r>
      <w:r>
        <w:rPr>
          <w:spacing w:val="-3"/>
          <w:sz w:val="24"/>
        </w:rPr>
        <w:t> </w:t>
      </w:r>
      <w:r>
        <w:rPr>
          <w:sz w:val="24"/>
        </w:rPr>
        <w:t>extract</w:t>
      </w:r>
      <w:r>
        <w:rPr>
          <w:spacing w:val="-3"/>
          <w:sz w:val="24"/>
        </w:rPr>
        <w:t> </w:t>
      </w:r>
      <w:r>
        <w:rPr>
          <w:sz w:val="24"/>
        </w:rPr>
        <w:t>on</w:t>
      </w:r>
      <w:r>
        <w:rPr>
          <w:spacing w:val="-3"/>
          <w:sz w:val="24"/>
        </w:rPr>
        <w:t> </w:t>
      </w:r>
      <w:r>
        <w:rPr>
          <w:sz w:val="24"/>
        </w:rPr>
        <w:t>HiT-T15</w:t>
      </w:r>
      <w:r>
        <w:rPr>
          <w:spacing w:val="-4"/>
          <w:sz w:val="24"/>
        </w:rPr>
        <w:t> </w:t>
      </w:r>
      <w:r>
        <w:rPr>
          <w:sz w:val="24"/>
        </w:rPr>
        <w:t>pancreatic beta cells. </w:t>
      </w:r>
      <w:r>
        <w:rPr>
          <w:i/>
          <w:sz w:val="24"/>
        </w:rPr>
        <w:t>Asia pacific Journal of Clinical. Nutrition, </w:t>
      </w:r>
      <w:r>
        <w:rPr>
          <w:b/>
          <w:sz w:val="24"/>
        </w:rPr>
        <w:t>16</w:t>
      </w:r>
      <w:r>
        <w:rPr>
          <w:sz w:val="24"/>
        </w:rPr>
        <w:t>: 249-522.</w:t>
      </w:r>
    </w:p>
    <w:p>
      <w:pPr>
        <w:pStyle w:val="BodyText"/>
        <w:spacing w:before="240"/>
        <w:ind w:left="1671" w:right="994" w:hanging="994"/>
      </w:pPr>
      <w:r>
        <w:rPr/>
        <w:t>Lemus,</w:t>
      </w:r>
      <w:r>
        <w:rPr>
          <w:spacing w:val="40"/>
        </w:rPr>
        <w:t> </w:t>
      </w:r>
      <w:r>
        <w:rPr/>
        <w:t>I.,</w:t>
      </w:r>
      <w:r>
        <w:rPr>
          <w:spacing w:val="40"/>
        </w:rPr>
        <w:t> </w:t>
      </w:r>
      <w:r>
        <w:rPr/>
        <w:t>Garcia,</w:t>
      </w:r>
      <w:r>
        <w:rPr>
          <w:spacing w:val="40"/>
        </w:rPr>
        <w:t> </w:t>
      </w:r>
      <w:r>
        <w:rPr/>
        <w:t>R.,</w:t>
      </w:r>
      <w:r>
        <w:rPr>
          <w:spacing w:val="40"/>
        </w:rPr>
        <w:t> </w:t>
      </w:r>
      <w:r>
        <w:rPr/>
        <w:t>Delvillar,</w:t>
      </w:r>
      <w:r>
        <w:rPr>
          <w:spacing w:val="40"/>
        </w:rPr>
        <w:t> </w:t>
      </w:r>
      <w:r>
        <w:rPr/>
        <w:t>E.,</w:t>
      </w:r>
      <w:r>
        <w:rPr>
          <w:spacing w:val="40"/>
        </w:rPr>
        <w:t> </w:t>
      </w:r>
      <w:r>
        <w:rPr/>
        <w:t>Knop,</w:t>
      </w:r>
      <w:r>
        <w:rPr>
          <w:spacing w:val="40"/>
        </w:rPr>
        <w:t> </w:t>
      </w:r>
      <w:r>
        <w:rPr/>
        <w:t>G.</w:t>
      </w:r>
      <w:r>
        <w:rPr>
          <w:spacing w:val="40"/>
        </w:rPr>
        <w:t> </w:t>
      </w:r>
      <w:r>
        <w:rPr/>
        <w:t>(1999):</w:t>
      </w:r>
      <w:r>
        <w:rPr>
          <w:spacing w:val="40"/>
        </w:rPr>
        <w:t> </w:t>
      </w:r>
      <w:r>
        <w:rPr/>
        <w:t>Hypoglycaemic</w:t>
      </w:r>
      <w:r>
        <w:rPr>
          <w:spacing w:val="40"/>
        </w:rPr>
        <w:t> </w:t>
      </w:r>
      <w:r>
        <w:rPr/>
        <w:t>activity</w:t>
      </w:r>
      <w:r>
        <w:rPr>
          <w:spacing w:val="37"/>
        </w:rPr>
        <w:t> </w:t>
      </w:r>
      <w:r>
        <w:rPr/>
        <w:t>of</w:t>
      </w:r>
      <w:r>
        <w:rPr>
          <w:spacing w:val="40"/>
        </w:rPr>
        <w:t> </w:t>
      </w:r>
      <w:r>
        <w:rPr/>
        <w:t>four plants used in Chilean popular medicine. </w:t>
      </w:r>
      <w:r>
        <w:rPr>
          <w:i/>
        </w:rPr>
        <w:t>Phytother Res., </w:t>
      </w:r>
      <w:r>
        <w:rPr>
          <w:b/>
        </w:rPr>
        <w:t>13</w:t>
      </w:r>
      <w:r>
        <w:rPr/>
        <w:t>: 91-94.</w:t>
      </w:r>
    </w:p>
    <w:p>
      <w:pPr>
        <w:spacing w:after="0"/>
        <w:sectPr>
          <w:pgSz w:w="12240" w:h="15840"/>
          <w:pgMar w:header="0" w:footer="1056" w:top="1340" w:bottom="1240" w:left="1420" w:right="420"/>
        </w:sectPr>
      </w:pPr>
    </w:p>
    <w:p>
      <w:pPr>
        <w:pStyle w:val="BodyText"/>
        <w:spacing w:before="70"/>
        <w:ind w:left="1530" w:right="996" w:hanging="852"/>
        <w:jc w:val="both"/>
      </w:pPr>
      <w:r>
        <w:rPr/>
        <mc:AlternateContent>
          <mc:Choice Requires="wps">
            <w:drawing>
              <wp:anchor distT="0" distB="0" distL="0" distR="0" allowOverlap="1" layoutInCell="1" locked="0" behindDoc="1" simplePos="0" relativeHeight="483044864">
                <wp:simplePos x="0" y="0"/>
                <wp:positionH relativeFrom="page">
                  <wp:posOffset>-1402226</wp:posOffset>
                </wp:positionH>
                <wp:positionV relativeFrom="page">
                  <wp:posOffset>4612234</wp:posOffset>
                </wp:positionV>
                <wp:extent cx="10685780" cy="9144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1616;rotation:306" type="#_x0000_t136" fillcolor="#ff5400" stroked="f">
                <o:extrusion v:ext="view" autorotationcenter="t"/>
                <v:textpath style="font-family:&quot;Arial MT&quot;;font-size:72pt;v-text-kern:t;mso-text-shadow:auto" string="UNIVERSITY OF IBADAN"/>
                <w10:wrap type="none"/>
              </v:shape>
            </w:pict>
          </mc:Fallback>
        </mc:AlternateContent>
      </w:r>
      <w:r>
        <w:rPr/>
        <w:t>Lenzen, S. and Mirzaie-Petri, M. (1991): Inhibition of glucokinase and hexokinase from pancreatic B-cells and liver by alloxan, alloxantin, dialuric acid, and </w:t>
      </w:r>
      <w:r>
        <w:rPr>
          <w:i/>
        </w:rPr>
        <w:t>t</w:t>
      </w:r>
      <w:r>
        <w:rPr/>
        <w:t>- butylhydroperoxide. </w:t>
      </w:r>
      <w:r>
        <w:rPr>
          <w:i/>
        </w:rPr>
        <w:t>Biomed Res </w:t>
      </w:r>
      <w:r>
        <w:rPr>
          <w:b/>
        </w:rPr>
        <w:t>12</w:t>
      </w:r>
      <w:r>
        <w:rPr/>
        <w:t>: 297-307.</w:t>
      </w:r>
    </w:p>
    <w:p>
      <w:pPr>
        <w:pStyle w:val="BodyText"/>
        <w:spacing w:before="241"/>
        <w:ind w:left="1671" w:right="998" w:hanging="994"/>
        <w:jc w:val="both"/>
      </w:pPr>
      <w:r>
        <w:rPr/>
        <w:t>Lenzen, S. and Munday, R. (1991): Thiol-group reactivity, hydrophilicity and stability of alloxan, its reduction products and its </w:t>
      </w:r>
      <w:r>
        <w:rPr>
          <w:i/>
        </w:rPr>
        <w:t>N</w:t>
      </w:r>
      <w:r>
        <w:rPr/>
        <w:t>-methyl derivatives and a comparison with ninhydrin. </w:t>
      </w:r>
      <w:r>
        <w:rPr>
          <w:i/>
        </w:rPr>
        <w:t>Biochem Pharmacol </w:t>
      </w:r>
      <w:r>
        <w:rPr>
          <w:b/>
        </w:rPr>
        <w:t>42</w:t>
      </w:r>
      <w:r>
        <w:rPr/>
        <w:t>: 1385-1391.</w:t>
      </w:r>
    </w:p>
    <w:p>
      <w:pPr>
        <w:pStyle w:val="BodyText"/>
        <w:spacing w:before="240"/>
        <w:ind w:left="678"/>
      </w:pPr>
      <w:r>
        <w:rPr/>
        <w:t>Lenzen,</w:t>
      </w:r>
      <w:r>
        <w:rPr>
          <w:spacing w:val="29"/>
        </w:rPr>
        <w:t>  </w:t>
      </w:r>
      <w:r>
        <w:rPr/>
        <w:t>S.</w:t>
      </w:r>
      <w:r>
        <w:rPr>
          <w:spacing w:val="29"/>
        </w:rPr>
        <w:t>  </w:t>
      </w:r>
      <w:r>
        <w:rPr/>
        <w:t>and</w:t>
      </w:r>
      <w:r>
        <w:rPr>
          <w:spacing w:val="29"/>
        </w:rPr>
        <w:t>  </w:t>
      </w:r>
      <w:r>
        <w:rPr/>
        <w:t>Panten,</w:t>
      </w:r>
      <w:r>
        <w:rPr>
          <w:spacing w:val="29"/>
        </w:rPr>
        <w:t>  </w:t>
      </w:r>
      <w:r>
        <w:rPr/>
        <w:t>U.</w:t>
      </w:r>
      <w:r>
        <w:rPr>
          <w:spacing w:val="29"/>
        </w:rPr>
        <w:t>  </w:t>
      </w:r>
      <w:r>
        <w:rPr/>
        <w:t>(1988):</w:t>
      </w:r>
      <w:r>
        <w:rPr>
          <w:spacing w:val="30"/>
        </w:rPr>
        <w:t>  </w:t>
      </w:r>
      <w:r>
        <w:rPr/>
        <w:t>Alloxan:</w:t>
      </w:r>
      <w:r>
        <w:rPr>
          <w:spacing w:val="29"/>
        </w:rPr>
        <w:t>  </w:t>
      </w:r>
      <w:r>
        <w:rPr/>
        <w:t>history</w:t>
      </w:r>
      <w:r>
        <w:rPr>
          <w:spacing w:val="26"/>
        </w:rPr>
        <w:t>  </w:t>
      </w:r>
      <w:r>
        <w:rPr/>
        <w:t>and</w:t>
      </w:r>
      <w:r>
        <w:rPr>
          <w:spacing w:val="32"/>
        </w:rPr>
        <w:t>  </w:t>
      </w:r>
      <w:r>
        <w:rPr/>
        <w:t>mechanism</w:t>
      </w:r>
      <w:r>
        <w:rPr>
          <w:spacing w:val="30"/>
        </w:rPr>
        <w:t>  </w:t>
      </w:r>
      <w:r>
        <w:rPr/>
        <w:t>of</w:t>
      </w:r>
      <w:r>
        <w:rPr>
          <w:spacing w:val="29"/>
        </w:rPr>
        <w:t>  </w:t>
      </w:r>
      <w:r>
        <w:rPr>
          <w:spacing w:val="-2"/>
        </w:rPr>
        <w:t>action.</w:t>
      </w:r>
    </w:p>
    <w:p>
      <w:pPr>
        <w:spacing w:before="0"/>
        <w:ind w:left="1671" w:right="0" w:firstLine="0"/>
        <w:jc w:val="left"/>
        <w:rPr>
          <w:sz w:val="24"/>
        </w:rPr>
      </w:pPr>
      <w:r>
        <w:rPr>
          <w:i/>
          <w:sz w:val="24"/>
        </w:rPr>
        <w:t>Diabetologia </w:t>
      </w:r>
      <w:r>
        <w:rPr>
          <w:b/>
          <w:sz w:val="24"/>
        </w:rPr>
        <w:t>31</w:t>
      </w:r>
      <w:r>
        <w:rPr>
          <w:sz w:val="24"/>
        </w:rPr>
        <w:t>:</w:t>
      </w:r>
      <w:r>
        <w:rPr>
          <w:spacing w:val="-1"/>
          <w:sz w:val="24"/>
        </w:rPr>
        <w:t> </w:t>
      </w:r>
      <w:r>
        <w:rPr>
          <w:sz w:val="24"/>
        </w:rPr>
        <w:t>337-342, </w:t>
      </w:r>
      <w:r>
        <w:rPr>
          <w:spacing w:val="-2"/>
          <w:sz w:val="24"/>
        </w:rPr>
        <w:t>1988.</w:t>
      </w:r>
    </w:p>
    <w:p>
      <w:pPr>
        <w:pStyle w:val="BodyText"/>
        <w:spacing w:before="240"/>
        <w:ind w:left="1671" w:right="995" w:hanging="994"/>
        <w:jc w:val="both"/>
      </w:pPr>
      <w:r>
        <w:rPr/>
        <w:t>Lenzen, S., Tiedge, M., Panten, U. (1987): Glucokinase in pancreatic B-cells and its inhibition by alloxan. </w:t>
      </w:r>
      <w:r>
        <w:rPr>
          <w:i/>
        </w:rPr>
        <w:t>Acta Endocrinol (Copenh) </w:t>
      </w:r>
      <w:r>
        <w:rPr>
          <w:b/>
        </w:rPr>
        <w:t>115</w:t>
      </w:r>
      <w:r>
        <w:rPr/>
        <w:t>: 21-29.</w:t>
      </w:r>
    </w:p>
    <w:p>
      <w:pPr>
        <w:pStyle w:val="BodyText"/>
        <w:spacing w:before="240"/>
        <w:ind w:left="1671" w:right="995" w:hanging="994"/>
        <w:jc w:val="both"/>
      </w:pPr>
      <w:r>
        <w:rPr/>
        <w:t>Lieberman, H. A., Schwartz, J. B and Lachman, L. (1989): Tablets In</w:t>
      </w:r>
      <w:r>
        <w:rPr>
          <w:b/>
        </w:rPr>
        <w:t>: </w:t>
      </w:r>
      <w:r>
        <w:rPr/>
        <w:t>Pharmaceutical Dosage Forms. 2</w:t>
      </w:r>
      <w:r>
        <w:rPr>
          <w:vertAlign w:val="superscript"/>
        </w:rPr>
        <w:t>nd</w:t>
      </w:r>
      <w:r>
        <w:rPr>
          <w:vertAlign w:val="baseline"/>
        </w:rPr>
        <w:t> edition, Mariel Dekker, Vol. </w:t>
      </w:r>
      <w:r>
        <w:rPr>
          <w:b/>
          <w:vertAlign w:val="baseline"/>
        </w:rPr>
        <w:t>1</w:t>
      </w:r>
      <w:r>
        <w:rPr>
          <w:vertAlign w:val="baseline"/>
        </w:rPr>
        <w:t>, pp. 18 - 24.</w:t>
      </w:r>
    </w:p>
    <w:p>
      <w:pPr>
        <w:pStyle w:val="BodyText"/>
        <w:tabs>
          <w:tab w:pos="8687" w:val="left" w:leader="none"/>
        </w:tabs>
        <w:spacing w:before="240"/>
        <w:ind w:left="678"/>
      </w:pPr>
      <w:r>
        <w:rPr/>
        <w:t>Limpinski,</w:t>
      </w:r>
      <w:r>
        <w:rPr>
          <w:spacing w:val="4"/>
        </w:rPr>
        <w:t> </w:t>
      </w:r>
      <w:r>
        <w:rPr/>
        <w:t>B</w:t>
      </w:r>
      <w:r>
        <w:rPr>
          <w:spacing w:val="7"/>
        </w:rPr>
        <w:t> </w:t>
      </w:r>
      <w:r>
        <w:rPr/>
        <w:t>(2001):</w:t>
      </w:r>
      <w:r>
        <w:rPr>
          <w:spacing w:val="5"/>
        </w:rPr>
        <w:t> </w:t>
      </w:r>
      <w:r>
        <w:rPr/>
        <w:t>Pathophysiology</w:t>
      </w:r>
      <w:r>
        <w:rPr>
          <w:spacing w:val="2"/>
        </w:rPr>
        <w:t> </w:t>
      </w:r>
      <w:r>
        <w:rPr/>
        <w:t>of</w:t>
      </w:r>
      <w:r>
        <w:rPr>
          <w:spacing w:val="7"/>
        </w:rPr>
        <w:t> </w:t>
      </w:r>
      <w:r>
        <w:rPr/>
        <w:t>oxidative</w:t>
      </w:r>
      <w:r>
        <w:rPr>
          <w:spacing w:val="6"/>
        </w:rPr>
        <w:t> </w:t>
      </w:r>
      <w:r>
        <w:rPr/>
        <w:t>stress</w:t>
      </w:r>
      <w:r>
        <w:rPr>
          <w:spacing w:val="6"/>
        </w:rPr>
        <w:t> </w:t>
      </w:r>
      <w:r>
        <w:rPr/>
        <w:t>in</w:t>
      </w:r>
      <w:r>
        <w:rPr>
          <w:spacing w:val="9"/>
        </w:rPr>
        <w:t> </w:t>
      </w:r>
      <w:r>
        <w:rPr/>
        <w:t>diabetes</w:t>
      </w:r>
      <w:r>
        <w:rPr>
          <w:spacing w:val="7"/>
        </w:rPr>
        <w:t> </w:t>
      </w:r>
      <w:r>
        <w:rPr/>
        <w:t>mellitus.</w:t>
      </w:r>
      <w:r>
        <w:rPr>
          <w:spacing w:val="15"/>
        </w:rPr>
        <w:t> </w:t>
      </w:r>
      <w:r>
        <w:rPr>
          <w:i/>
          <w:spacing w:val="-5"/>
        </w:rPr>
        <w:t>J.</w:t>
      </w:r>
      <w:r>
        <w:rPr>
          <w:i/>
        </w:rPr>
        <w:tab/>
      </w:r>
      <w:r>
        <w:rPr>
          <w:i/>
          <w:spacing w:val="-2"/>
        </w:rPr>
        <w:t>Diabet</w:t>
      </w:r>
      <w:r>
        <w:rPr>
          <w:spacing w:val="-2"/>
        </w:rPr>
        <w:t>.</w:t>
      </w:r>
    </w:p>
    <w:p>
      <w:pPr>
        <w:spacing w:before="0"/>
        <w:ind w:left="1671" w:right="0" w:firstLine="0"/>
        <w:jc w:val="left"/>
        <w:rPr>
          <w:sz w:val="24"/>
        </w:rPr>
      </w:pPr>
      <w:r>
        <w:rPr>
          <w:i/>
          <w:sz w:val="24"/>
        </w:rPr>
        <w:t>Complications</w:t>
      </w:r>
      <w:r>
        <w:rPr>
          <w:sz w:val="24"/>
        </w:rPr>
        <w:t>, </w:t>
      </w:r>
      <w:r>
        <w:rPr>
          <w:b/>
          <w:sz w:val="24"/>
        </w:rPr>
        <w:t>15</w:t>
      </w:r>
      <w:r>
        <w:rPr>
          <w:sz w:val="24"/>
        </w:rPr>
        <w:t>: 203-</w:t>
      </w:r>
      <w:r>
        <w:rPr>
          <w:spacing w:val="-4"/>
          <w:sz w:val="24"/>
        </w:rPr>
        <w:t>210.</w:t>
      </w:r>
    </w:p>
    <w:p>
      <w:pPr>
        <w:pStyle w:val="BodyText"/>
        <w:spacing w:before="240"/>
        <w:ind w:left="1530" w:right="996" w:hanging="852"/>
        <w:jc w:val="both"/>
      </w:pPr>
      <w:r>
        <w:rPr/>
        <w:t>Lindstrom,</w:t>
      </w:r>
      <w:r>
        <w:rPr>
          <w:spacing w:val="-3"/>
        </w:rPr>
        <w:t> </w:t>
      </w:r>
      <w:r>
        <w:rPr/>
        <w:t>J.,</w:t>
      </w:r>
      <w:r>
        <w:rPr>
          <w:spacing w:val="-3"/>
        </w:rPr>
        <w:t> </w:t>
      </w:r>
      <w:r>
        <w:rPr/>
        <w:t>Peltonen,</w:t>
      </w:r>
      <w:r>
        <w:rPr>
          <w:spacing w:val="-1"/>
        </w:rPr>
        <w:t> </w:t>
      </w:r>
      <w:r>
        <w:rPr/>
        <w:t>M.,</w:t>
      </w:r>
      <w:r>
        <w:rPr>
          <w:spacing w:val="-3"/>
        </w:rPr>
        <w:t> </w:t>
      </w:r>
      <w:r>
        <w:rPr/>
        <w:t>Eriksson,</w:t>
      </w:r>
      <w:r>
        <w:rPr>
          <w:spacing w:val="-3"/>
        </w:rPr>
        <w:t> </w:t>
      </w:r>
      <w:r>
        <w:rPr/>
        <w:t>J.</w:t>
      </w:r>
      <w:r>
        <w:rPr>
          <w:spacing w:val="-3"/>
        </w:rPr>
        <w:t> </w:t>
      </w:r>
      <w:r>
        <w:rPr/>
        <w:t>G., Louheranta,</w:t>
      </w:r>
      <w:r>
        <w:rPr>
          <w:spacing w:val="-2"/>
        </w:rPr>
        <w:t> </w:t>
      </w:r>
      <w:r>
        <w:rPr/>
        <w:t>A.,</w:t>
      </w:r>
      <w:r>
        <w:rPr>
          <w:spacing w:val="-2"/>
        </w:rPr>
        <w:t> </w:t>
      </w:r>
      <w:r>
        <w:rPr/>
        <w:t>Fogelholm,</w:t>
      </w:r>
      <w:r>
        <w:rPr>
          <w:spacing w:val="-3"/>
        </w:rPr>
        <w:t> </w:t>
      </w:r>
      <w:r>
        <w:rPr/>
        <w:t>M.,</w:t>
      </w:r>
      <w:r>
        <w:rPr>
          <w:spacing w:val="-3"/>
        </w:rPr>
        <w:t> </w:t>
      </w:r>
      <w:r>
        <w:rPr/>
        <w:t>Uusitupa,</w:t>
      </w:r>
      <w:r>
        <w:rPr>
          <w:spacing w:val="-3"/>
        </w:rPr>
        <w:t> </w:t>
      </w:r>
      <w:r>
        <w:rPr/>
        <w:t>M., Tuomilehto, J. (2006): High – fibre diet predicts long – term weight loss and decreased type 2 diabetes risk; the Finnish Diabetes Prevention Study. </w:t>
      </w:r>
      <w:r>
        <w:rPr>
          <w:i/>
        </w:rPr>
        <w:t>Diabetologia </w:t>
      </w:r>
      <w:r>
        <w:rPr>
          <w:b/>
        </w:rPr>
        <w:t>49</w:t>
      </w:r>
      <w:r>
        <w:rPr/>
        <w:t>: 912 – 920.</w:t>
      </w:r>
    </w:p>
    <w:p>
      <w:pPr>
        <w:pStyle w:val="BodyText"/>
        <w:spacing w:before="240"/>
        <w:ind w:left="1530" w:right="997" w:hanging="852"/>
        <w:jc w:val="both"/>
      </w:pPr>
      <w:r>
        <w:rPr/>
        <w:t>Lopez-Virella, M. F., Stone, P., Ellis, S and Colwell, J. A.</w:t>
      </w:r>
      <w:r>
        <w:rPr>
          <w:spacing w:val="40"/>
        </w:rPr>
        <w:t> </w:t>
      </w:r>
      <w:r>
        <w:rPr/>
        <w:t>(1977): Cholesterol determination in high-density lipoproteins separated by three different methods. </w:t>
      </w:r>
      <w:r>
        <w:rPr>
          <w:i/>
        </w:rPr>
        <w:t>Clin. Chem., </w:t>
      </w:r>
      <w:r>
        <w:rPr>
          <w:b/>
        </w:rPr>
        <w:t>23</w:t>
      </w:r>
      <w:r>
        <w:rPr/>
        <w:t>: 882-884.</w:t>
      </w:r>
    </w:p>
    <w:p>
      <w:pPr>
        <w:pStyle w:val="BodyText"/>
        <w:spacing w:before="241"/>
        <w:ind w:left="678"/>
      </w:pPr>
      <w:r>
        <w:rPr/>
        <w:t>Lowenthal,</w:t>
      </w:r>
      <w:r>
        <w:rPr>
          <w:spacing w:val="28"/>
        </w:rPr>
        <w:t> </w:t>
      </w:r>
      <w:r>
        <w:rPr/>
        <w:t>W.</w:t>
      </w:r>
      <w:r>
        <w:rPr>
          <w:spacing w:val="29"/>
        </w:rPr>
        <w:t> </w:t>
      </w:r>
      <w:r>
        <w:rPr/>
        <w:t>(1973):</w:t>
      </w:r>
      <w:r>
        <w:rPr>
          <w:spacing w:val="26"/>
        </w:rPr>
        <w:t> </w:t>
      </w:r>
      <w:r>
        <w:rPr/>
        <w:t>Mechanism</w:t>
      </w:r>
      <w:r>
        <w:rPr>
          <w:spacing w:val="30"/>
        </w:rPr>
        <w:t> </w:t>
      </w:r>
      <w:r>
        <w:rPr/>
        <w:t>of</w:t>
      </w:r>
      <w:r>
        <w:rPr>
          <w:spacing w:val="28"/>
        </w:rPr>
        <w:t> </w:t>
      </w:r>
      <w:r>
        <w:rPr/>
        <w:t>action</w:t>
      </w:r>
      <w:r>
        <w:rPr>
          <w:spacing w:val="29"/>
        </w:rPr>
        <w:t> </w:t>
      </w:r>
      <w:r>
        <w:rPr/>
        <w:t>of</w:t>
      </w:r>
      <w:r>
        <w:rPr>
          <w:spacing w:val="28"/>
        </w:rPr>
        <w:t> </w:t>
      </w:r>
      <w:r>
        <w:rPr/>
        <w:t>tablet</w:t>
      </w:r>
      <w:r>
        <w:rPr>
          <w:spacing w:val="30"/>
        </w:rPr>
        <w:t> </w:t>
      </w:r>
      <w:r>
        <w:rPr/>
        <w:t>disintegrants.</w:t>
      </w:r>
      <w:r>
        <w:rPr>
          <w:spacing w:val="34"/>
        </w:rPr>
        <w:t> </w:t>
      </w:r>
      <w:r>
        <w:rPr>
          <w:i/>
        </w:rPr>
        <w:t>Pharm.</w:t>
      </w:r>
      <w:r>
        <w:rPr>
          <w:i/>
          <w:spacing w:val="29"/>
        </w:rPr>
        <w:t> </w:t>
      </w:r>
      <w:r>
        <w:rPr>
          <w:i/>
        </w:rPr>
        <w:t>Acta.</w:t>
      </w:r>
      <w:r>
        <w:rPr>
          <w:i/>
          <w:spacing w:val="30"/>
        </w:rPr>
        <w:t> </w:t>
      </w:r>
      <w:r>
        <w:rPr>
          <w:i/>
          <w:spacing w:val="-2"/>
        </w:rPr>
        <w:t>Helv</w:t>
      </w:r>
      <w:r>
        <w:rPr>
          <w:spacing w:val="-2"/>
        </w:rPr>
        <w:t>.</w:t>
      </w:r>
    </w:p>
    <w:p>
      <w:pPr>
        <w:pStyle w:val="BodyText"/>
        <w:ind w:left="1810"/>
      </w:pPr>
      <w:r>
        <w:rPr>
          <w:b/>
        </w:rPr>
        <w:t>48</w:t>
      </w:r>
      <w:r>
        <w:rPr/>
        <w:t>:</w:t>
      </w:r>
      <w:r>
        <w:rPr>
          <w:spacing w:val="-1"/>
        </w:rPr>
        <w:t> </w:t>
      </w:r>
      <w:r>
        <w:rPr/>
        <w:t>589-</w:t>
      </w:r>
      <w:r>
        <w:rPr>
          <w:spacing w:val="-4"/>
        </w:rPr>
        <w:t>609.</w:t>
      </w:r>
    </w:p>
    <w:p>
      <w:pPr>
        <w:pStyle w:val="BodyText"/>
        <w:spacing w:before="240"/>
        <w:ind w:left="678"/>
      </w:pPr>
      <w:r>
        <w:rPr/>
        <w:t>Luangtanan</w:t>
      </w:r>
      <w:r>
        <w:rPr>
          <w:spacing w:val="68"/>
          <w:w w:val="150"/>
        </w:rPr>
        <w:t> </w:t>
      </w:r>
      <w:r>
        <w:rPr/>
        <w:t>–</w:t>
      </w:r>
      <w:r>
        <w:rPr>
          <w:spacing w:val="69"/>
          <w:w w:val="150"/>
        </w:rPr>
        <w:t> </w:t>
      </w:r>
      <w:r>
        <w:rPr/>
        <w:t>Anan,</w:t>
      </w:r>
      <w:r>
        <w:rPr>
          <w:spacing w:val="71"/>
          <w:w w:val="150"/>
        </w:rPr>
        <w:t> </w:t>
      </w:r>
      <w:r>
        <w:rPr/>
        <w:t>M.</w:t>
      </w:r>
      <w:r>
        <w:rPr>
          <w:spacing w:val="69"/>
          <w:w w:val="150"/>
        </w:rPr>
        <w:t> </w:t>
      </w:r>
      <w:r>
        <w:rPr/>
        <w:t>&amp;</w:t>
      </w:r>
      <w:r>
        <w:rPr>
          <w:spacing w:val="67"/>
          <w:w w:val="150"/>
        </w:rPr>
        <w:t> </w:t>
      </w:r>
      <w:r>
        <w:rPr/>
        <w:t>Fell,</w:t>
      </w:r>
      <w:r>
        <w:rPr>
          <w:spacing w:val="70"/>
          <w:w w:val="150"/>
        </w:rPr>
        <w:t> </w:t>
      </w:r>
      <w:r>
        <w:rPr/>
        <w:t>J.</w:t>
      </w:r>
      <w:r>
        <w:rPr>
          <w:spacing w:val="69"/>
          <w:w w:val="150"/>
        </w:rPr>
        <w:t> </w:t>
      </w:r>
      <w:r>
        <w:rPr/>
        <w:t>T.</w:t>
      </w:r>
      <w:r>
        <w:rPr>
          <w:spacing w:val="69"/>
          <w:w w:val="150"/>
        </w:rPr>
        <w:t> </w:t>
      </w:r>
      <w:r>
        <w:rPr/>
        <w:t>(1990):</w:t>
      </w:r>
      <w:r>
        <w:rPr>
          <w:spacing w:val="69"/>
          <w:w w:val="150"/>
        </w:rPr>
        <w:t> </w:t>
      </w:r>
      <w:r>
        <w:rPr/>
        <w:t>Bonding</w:t>
      </w:r>
      <w:r>
        <w:rPr>
          <w:spacing w:val="67"/>
          <w:w w:val="150"/>
        </w:rPr>
        <w:t> </w:t>
      </w:r>
      <w:r>
        <w:rPr/>
        <w:t>mechanism</w:t>
      </w:r>
      <w:r>
        <w:rPr>
          <w:spacing w:val="70"/>
          <w:w w:val="150"/>
        </w:rPr>
        <w:t> </w:t>
      </w:r>
      <w:r>
        <w:rPr/>
        <w:t>in</w:t>
      </w:r>
      <w:r>
        <w:rPr>
          <w:spacing w:val="71"/>
          <w:w w:val="150"/>
        </w:rPr>
        <w:t> </w:t>
      </w:r>
      <w:r>
        <w:rPr>
          <w:spacing w:val="-2"/>
        </w:rPr>
        <w:t>tableting.</w:t>
      </w:r>
    </w:p>
    <w:p>
      <w:pPr>
        <w:spacing w:before="0"/>
        <w:ind w:left="1671" w:right="0" w:firstLine="0"/>
        <w:jc w:val="left"/>
        <w:rPr>
          <w:sz w:val="24"/>
        </w:rPr>
      </w:pPr>
      <w:r>
        <w:rPr>
          <w:i/>
          <w:sz w:val="24"/>
        </w:rPr>
        <w:t>International</w:t>
      </w:r>
      <w:r>
        <w:rPr>
          <w:i/>
          <w:spacing w:val="-1"/>
          <w:sz w:val="24"/>
        </w:rPr>
        <w:t> </w:t>
      </w:r>
      <w:r>
        <w:rPr>
          <w:i/>
          <w:sz w:val="24"/>
        </w:rPr>
        <w:t>Journal</w:t>
      </w:r>
      <w:r>
        <w:rPr>
          <w:i/>
          <w:spacing w:val="-1"/>
          <w:sz w:val="24"/>
        </w:rPr>
        <w:t> </w:t>
      </w:r>
      <w:r>
        <w:rPr>
          <w:i/>
          <w:sz w:val="24"/>
        </w:rPr>
        <w:t>of Pharmaceutics</w:t>
      </w:r>
      <w:r>
        <w:rPr>
          <w:sz w:val="24"/>
        </w:rPr>
        <w:t>.</w:t>
      </w:r>
      <w:r>
        <w:rPr>
          <w:spacing w:val="-1"/>
          <w:sz w:val="24"/>
        </w:rPr>
        <w:t> </w:t>
      </w:r>
      <w:r>
        <w:rPr>
          <w:b/>
          <w:sz w:val="24"/>
        </w:rPr>
        <w:t>60</w:t>
      </w:r>
      <w:r>
        <w:rPr>
          <w:sz w:val="24"/>
        </w:rPr>
        <w:t>: 197</w:t>
      </w:r>
      <w:r>
        <w:rPr>
          <w:spacing w:val="1"/>
          <w:sz w:val="24"/>
        </w:rPr>
        <w:t> </w:t>
      </w:r>
      <w:r>
        <w:rPr>
          <w:sz w:val="24"/>
        </w:rPr>
        <w:t>– </w:t>
      </w:r>
      <w:r>
        <w:rPr>
          <w:spacing w:val="-4"/>
          <w:sz w:val="24"/>
        </w:rPr>
        <w:t>202.</w:t>
      </w:r>
    </w:p>
    <w:p>
      <w:pPr>
        <w:pStyle w:val="BodyText"/>
        <w:spacing w:before="240"/>
        <w:ind w:left="1671" w:right="995" w:hanging="994"/>
        <w:jc w:val="both"/>
      </w:pPr>
      <w:r>
        <w:rPr/>
        <w:t>Madak, M., Priyanjali, D., Jayant, L., Saroj, G. and Devasagayam, T. P. A. (2007): Indian Herbs and Herbal Drugs Used for the Treatment of Diabetes. </w:t>
      </w:r>
      <w:r>
        <w:rPr>
          <w:i/>
        </w:rPr>
        <w:t>J. Clin.Biochem. Nutr., </w:t>
      </w:r>
      <w:r>
        <w:rPr>
          <w:b/>
        </w:rPr>
        <w:t>40</w:t>
      </w:r>
      <w:r>
        <w:rPr/>
        <w:t>: 163-173.</w:t>
      </w:r>
    </w:p>
    <w:p>
      <w:pPr>
        <w:pStyle w:val="BodyText"/>
        <w:spacing w:before="240"/>
        <w:ind w:left="1671" w:right="995" w:hanging="994"/>
        <w:jc w:val="both"/>
      </w:pPr>
      <w:r>
        <w:rPr/>
        <w:t>Majekodunmi, S. O. and Odeku, o. A. (2011): Formulation studies on </w:t>
      </w:r>
      <w:r>
        <w:rPr>
          <w:i/>
        </w:rPr>
        <w:t>Mucuna pruriens </w:t>
      </w:r>
      <w:r>
        <w:rPr/>
        <w:t>seed extract into tablet dosage form for the treatment of diabetes mellitus, seminar presentation, Department of Pharmaceutics and Industrial Pharmacy, Faculty of Pharmacy, University of Ibadan, Ibadan, Nigeria.</w:t>
      </w:r>
    </w:p>
    <w:p>
      <w:pPr>
        <w:spacing w:before="241"/>
        <w:ind w:left="1810" w:right="995" w:hanging="1133"/>
        <w:jc w:val="both"/>
        <w:rPr>
          <w:sz w:val="24"/>
        </w:rPr>
      </w:pPr>
      <w:r>
        <w:rPr>
          <w:sz w:val="24"/>
        </w:rPr>
        <w:t>Majekodunmi, S. O., Odeku, O. A., Adegoke, O. A. (2008): Formulation of the extract of the stem bark of </w:t>
      </w:r>
      <w:r>
        <w:rPr>
          <w:i/>
          <w:sz w:val="24"/>
        </w:rPr>
        <w:t>Alstonia boonei </w:t>
      </w:r>
      <w:r>
        <w:rPr>
          <w:sz w:val="24"/>
        </w:rPr>
        <w:t>as tablet dosage form. </w:t>
      </w:r>
      <w:r>
        <w:rPr>
          <w:i/>
          <w:sz w:val="24"/>
        </w:rPr>
        <w:t>Tropical Journal of Pharmaceutical Research</w:t>
      </w:r>
      <w:r>
        <w:rPr>
          <w:sz w:val="24"/>
        </w:rPr>
        <w:t>, </w:t>
      </w:r>
      <w:r>
        <w:rPr>
          <w:b/>
          <w:sz w:val="24"/>
        </w:rPr>
        <w:t>7 </w:t>
      </w:r>
      <w:r>
        <w:rPr>
          <w:sz w:val="24"/>
        </w:rPr>
        <w:t>(1): 870-880</w:t>
      </w:r>
    </w:p>
    <w:p>
      <w:pPr>
        <w:spacing w:after="0"/>
        <w:jc w:val="both"/>
        <w:rPr>
          <w:sz w:val="24"/>
        </w:rPr>
        <w:sectPr>
          <w:pgSz w:w="12240" w:h="15840"/>
          <w:pgMar w:header="0" w:footer="1056" w:top="1340" w:bottom="1240" w:left="1420" w:right="420"/>
        </w:sectPr>
      </w:pPr>
    </w:p>
    <w:p>
      <w:pPr>
        <w:spacing w:before="70"/>
        <w:ind w:left="1671" w:right="994" w:hanging="994"/>
        <w:jc w:val="left"/>
        <w:rPr>
          <w:sz w:val="24"/>
        </w:rPr>
      </w:pPr>
      <w:r>
        <w:rPr/>
        <mc:AlternateContent>
          <mc:Choice Requires="wps">
            <w:drawing>
              <wp:anchor distT="0" distB="0" distL="0" distR="0" allowOverlap="1" layoutInCell="1" locked="0" behindDoc="1" simplePos="0" relativeHeight="483045376">
                <wp:simplePos x="0" y="0"/>
                <wp:positionH relativeFrom="page">
                  <wp:posOffset>-1402226</wp:posOffset>
                </wp:positionH>
                <wp:positionV relativeFrom="page">
                  <wp:posOffset>4612234</wp:posOffset>
                </wp:positionV>
                <wp:extent cx="10685780" cy="9144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1104;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Malaisse, W. J. (1982): Alloxan toxicity to the pancreatic B-cell. </w:t>
      </w:r>
      <w:r>
        <w:rPr>
          <w:i/>
          <w:sz w:val="24"/>
        </w:rPr>
        <w:t>Biochem Pharmacol </w:t>
      </w:r>
      <w:r>
        <w:rPr>
          <w:b/>
          <w:sz w:val="24"/>
        </w:rPr>
        <w:t>31</w:t>
      </w:r>
      <w:r>
        <w:rPr>
          <w:sz w:val="24"/>
        </w:rPr>
        <w:t>: </w:t>
      </w:r>
      <w:r>
        <w:rPr>
          <w:spacing w:val="-2"/>
          <w:sz w:val="24"/>
        </w:rPr>
        <w:t>3527-3534.</w:t>
      </w:r>
    </w:p>
    <w:p>
      <w:pPr>
        <w:pStyle w:val="BodyText"/>
        <w:spacing w:before="5"/>
      </w:pPr>
    </w:p>
    <w:p>
      <w:pPr>
        <w:pStyle w:val="BodyText"/>
        <w:spacing w:line="275" w:lineRule="exact"/>
        <w:ind w:left="577" w:right="996"/>
        <w:jc w:val="right"/>
      </w:pPr>
      <w:r>
        <w:rPr/>
        <w:t>Manjunatha,</w:t>
      </w:r>
      <w:r>
        <w:rPr>
          <w:spacing w:val="1"/>
        </w:rPr>
        <w:t> </w:t>
      </w:r>
      <w:r>
        <w:rPr/>
        <w:t>B.</w:t>
      </w:r>
      <w:r>
        <w:rPr>
          <w:spacing w:val="-1"/>
        </w:rPr>
        <w:t> </w:t>
      </w:r>
      <w:r>
        <w:rPr/>
        <w:t>K.,</w:t>
      </w:r>
      <w:r>
        <w:rPr>
          <w:spacing w:val="1"/>
        </w:rPr>
        <w:t> </w:t>
      </w:r>
      <w:r>
        <w:rPr/>
        <w:t>Krishna, V.,</w:t>
      </w:r>
      <w:r>
        <w:rPr>
          <w:spacing w:val="-1"/>
        </w:rPr>
        <w:t> </w:t>
      </w:r>
      <w:r>
        <w:rPr/>
        <w:t>Jagadeesh,</w:t>
      </w:r>
      <w:r>
        <w:rPr>
          <w:spacing w:val="-1"/>
        </w:rPr>
        <w:t> </w:t>
      </w:r>
      <w:r>
        <w:rPr/>
        <w:t>S. S.</w:t>
      </w:r>
      <w:r>
        <w:rPr>
          <w:spacing w:val="2"/>
        </w:rPr>
        <w:t> </w:t>
      </w:r>
      <w:r>
        <w:rPr/>
        <w:t>D.,</w:t>
      </w:r>
      <w:r>
        <w:rPr>
          <w:spacing w:val="-1"/>
        </w:rPr>
        <w:t> </w:t>
      </w:r>
      <w:r>
        <w:rPr/>
        <w:t>Vidya,</w:t>
      </w:r>
      <w:r>
        <w:rPr>
          <w:spacing w:val="-1"/>
        </w:rPr>
        <w:t> </w:t>
      </w:r>
      <w:r>
        <w:rPr/>
        <w:t>S.</w:t>
      </w:r>
      <w:r>
        <w:rPr>
          <w:spacing w:val="-1"/>
        </w:rPr>
        <w:t> </w:t>
      </w:r>
      <w:r>
        <w:rPr/>
        <w:t>M., Mankani,</w:t>
      </w:r>
      <w:r>
        <w:rPr>
          <w:spacing w:val="-1"/>
        </w:rPr>
        <w:t> </w:t>
      </w:r>
      <w:r>
        <w:rPr/>
        <w:t>K.</w:t>
      </w:r>
      <w:r>
        <w:rPr>
          <w:spacing w:val="1"/>
        </w:rPr>
        <w:t> </w:t>
      </w:r>
      <w:r>
        <w:rPr/>
        <w:t>L., </w:t>
      </w:r>
      <w:r>
        <w:rPr>
          <w:spacing w:val="-2"/>
        </w:rPr>
        <w:t>Ramya</w:t>
      </w:r>
    </w:p>
    <w:p>
      <w:pPr>
        <w:pStyle w:val="BodyText"/>
        <w:spacing w:line="275" w:lineRule="exact"/>
        <w:ind w:left="577" w:right="996"/>
        <w:jc w:val="right"/>
      </w:pPr>
      <w:r>
        <w:rPr/>
        <w:t>P.</w:t>
      </w:r>
      <w:r>
        <w:rPr>
          <w:spacing w:val="42"/>
        </w:rPr>
        <w:t> </w:t>
      </w:r>
      <w:r>
        <w:rPr/>
        <w:t>K.</w:t>
      </w:r>
      <w:r>
        <w:rPr>
          <w:spacing w:val="46"/>
        </w:rPr>
        <w:t> </w:t>
      </w:r>
      <w:r>
        <w:rPr/>
        <w:t>R.,</w:t>
      </w:r>
      <w:r>
        <w:rPr>
          <w:spacing w:val="41"/>
        </w:rPr>
        <w:t> </w:t>
      </w:r>
      <w:r>
        <w:rPr/>
        <w:t>Shruthi,</w:t>
      </w:r>
      <w:r>
        <w:rPr>
          <w:spacing w:val="45"/>
        </w:rPr>
        <w:t> </w:t>
      </w:r>
      <w:r>
        <w:rPr/>
        <w:t>P.</w:t>
      </w:r>
      <w:r>
        <w:rPr>
          <w:spacing w:val="43"/>
        </w:rPr>
        <w:t> </w:t>
      </w:r>
      <w:r>
        <w:rPr/>
        <w:t>R.</w:t>
      </w:r>
      <w:r>
        <w:rPr>
          <w:spacing w:val="42"/>
        </w:rPr>
        <w:t> </w:t>
      </w:r>
      <w:r>
        <w:rPr/>
        <w:t>and</w:t>
      </w:r>
      <w:r>
        <w:rPr>
          <w:spacing w:val="45"/>
        </w:rPr>
        <w:t> </w:t>
      </w:r>
      <w:r>
        <w:rPr/>
        <w:t>Bairy,</w:t>
      </w:r>
      <w:r>
        <w:rPr>
          <w:spacing w:val="44"/>
        </w:rPr>
        <w:t> </w:t>
      </w:r>
      <w:r>
        <w:rPr/>
        <w:t>S.</w:t>
      </w:r>
      <w:r>
        <w:rPr>
          <w:spacing w:val="45"/>
        </w:rPr>
        <w:t> </w:t>
      </w:r>
      <w:r>
        <w:rPr/>
        <w:t>(2005):</w:t>
      </w:r>
      <w:r>
        <w:rPr>
          <w:spacing w:val="46"/>
        </w:rPr>
        <w:t> </w:t>
      </w:r>
      <w:r>
        <w:rPr/>
        <w:t>Wound</w:t>
      </w:r>
      <w:r>
        <w:rPr>
          <w:spacing w:val="44"/>
        </w:rPr>
        <w:t> </w:t>
      </w:r>
      <w:r>
        <w:rPr/>
        <w:t>healing</w:t>
      </w:r>
      <w:r>
        <w:rPr>
          <w:spacing w:val="42"/>
        </w:rPr>
        <w:t> </w:t>
      </w:r>
      <w:r>
        <w:rPr/>
        <w:t>potency</w:t>
      </w:r>
      <w:r>
        <w:rPr>
          <w:spacing w:val="42"/>
        </w:rPr>
        <w:t> </w:t>
      </w:r>
      <w:r>
        <w:rPr>
          <w:spacing w:val="-5"/>
        </w:rPr>
        <w:t>of</w:t>
      </w:r>
    </w:p>
    <w:p>
      <w:pPr>
        <w:spacing w:before="0"/>
        <w:ind w:left="1938" w:right="0" w:firstLine="0"/>
        <w:jc w:val="left"/>
        <w:rPr>
          <w:sz w:val="24"/>
        </w:rPr>
      </w:pPr>
      <w:r>
        <w:rPr>
          <w:i/>
          <w:sz w:val="24"/>
        </w:rPr>
        <w:t>Mucuna</w:t>
      </w:r>
      <w:r>
        <w:rPr>
          <w:i/>
          <w:spacing w:val="-2"/>
          <w:sz w:val="24"/>
        </w:rPr>
        <w:t> </w:t>
      </w:r>
      <w:r>
        <w:rPr>
          <w:i/>
          <w:sz w:val="24"/>
        </w:rPr>
        <w:t>monosperma</w:t>
      </w:r>
      <w:r>
        <w:rPr>
          <w:sz w:val="24"/>
        </w:rPr>
        <w:t>.</w:t>
      </w:r>
      <w:r>
        <w:rPr>
          <w:spacing w:val="1"/>
          <w:sz w:val="24"/>
        </w:rPr>
        <w:t> </w:t>
      </w:r>
      <w:r>
        <w:rPr>
          <w:i/>
          <w:sz w:val="24"/>
        </w:rPr>
        <w:t>J.</w:t>
      </w:r>
      <w:r>
        <w:rPr>
          <w:i/>
          <w:spacing w:val="1"/>
          <w:sz w:val="24"/>
        </w:rPr>
        <w:t> </w:t>
      </w:r>
      <w:r>
        <w:rPr>
          <w:i/>
          <w:sz w:val="24"/>
        </w:rPr>
        <w:t>of</w:t>
      </w:r>
      <w:r>
        <w:rPr>
          <w:i/>
          <w:spacing w:val="-1"/>
          <w:sz w:val="24"/>
        </w:rPr>
        <w:t> </w:t>
      </w:r>
      <w:r>
        <w:rPr>
          <w:i/>
          <w:sz w:val="24"/>
        </w:rPr>
        <w:t>Tropi</w:t>
      </w:r>
      <w:r>
        <w:rPr>
          <w:i/>
          <w:spacing w:val="-1"/>
          <w:sz w:val="24"/>
        </w:rPr>
        <w:t> </w:t>
      </w:r>
      <w:r>
        <w:rPr>
          <w:i/>
          <w:sz w:val="24"/>
        </w:rPr>
        <w:t>Med.</w:t>
      </w:r>
      <w:r>
        <w:rPr>
          <w:i/>
          <w:spacing w:val="-1"/>
          <w:sz w:val="24"/>
        </w:rPr>
        <w:t> </w:t>
      </w:r>
      <w:r>
        <w:rPr>
          <w:i/>
          <w:sz w:val="24"/>
        </w:rPr>
        <w:t>Plants </w:t>
      </w:r>
      <w:r>
        <w:rPr>
          <w:b/>
          <w:sz w:val="24"/>
        </w:rPr>
        <w:t>6</w:t>
      </w:r>
      <w:r>
        <w:rPr>
          <w:sz w:val="24"/>
        </w:rPr>
        <w:t>:</w:t>
      </w:r>
      <w:r>
        <w:rPr>
          <w:spacing w:val="-1"/>
          <w:sz w:val="24"/>
        </w:rPr>
        <w:t> </w:t>
      </w:r>
      <w:r>
        <w:rPr>
          <w:sz w:val="24"/>
        </w:rPr>
        <w:t>7-</w:t>
      </w:r>
      <w:r>
        <w:rPr>
          <w:spacing w:val="-5"/>
          <w:sz w:val="24"/>
        </w:rPr>
        <w:t>13.</w:t>
      </w:r>
    </w:p>
    <w:p>
      <w:pPr>
        <w:pStyle w:val="BodyText"/>
        <w:spacing w:before="5"/>
      </w:pPr>
    </w:p>
    <w:p>
      <w:pPr>
        <w:pStyle w:val="BodyText"/>
        <w:ind w:left="1938" w:right="994" w:hanging="1260"/>
        <w:jc w:val="both"/>
      </w:pPr>
      <w:r>
        <w:rPr/>
        <w:t>Manjunatha, B. K., Patil, H. S. R., Vidya, S. M., Kekuda, T. R. P., Mukunda, S. and Divakar, R. (2006): Studies on the antibacterial activity of </w:t>
      </w:r>
      <w:r>
        <w:rPr>
          <w:i/>
        </w:rPr>
        <w:t>Mucuna monosperma </w:t>
      </w:r>
      <w:r>
        <w:rPr/>
        <w:t>DC. </w:t>
      </w:r>
      <w:r>
        <w:rPr>
          <w:i/>
        </w:rPr>
        <w:t>Indian Drugs </w:t>
      </w:r>
      <w:r>
        <w:rPr>
          <w:b/>
        </w:rPr>
        <w:t>43</w:t>
      </w:r>
      <w:r>
        <w:rPr/>
        <w:t>: 150-152.</w:t>
      </w:r>
    </w:p>
    <w:p>
      <w:pPr>
        <w:pStyle w:val="BodyText"/>
        <w:spacing w:before="5"/>
      </w:pPr>
    </w:p>
    <w:p>
      <w:pPr>
        <w:pStyle w:val="BodyText"/>
        <w:ind w:left="1810" w:right="995" w:hanging="1133"/>
        <w:jc w:val="both"/>
      </w:pPr>
      <w:r>
        <w:rPr/>
        <w:t>Margolis, J. R., Kannel, W. S., Feinleib, M., Dawber, T. R., McNamara, P. M. (1973): Clinical features of unrecognized myocardial infarction </w:t>
      </w:r>
      <w:r>
        <w:rPr>
          <w:b/>
        </w:rPr>
        <w:t>-- </w:t>
      </w:r>
      <w:r>
        <w:rPr/>
        <w:t>silent and symptomatic eighteen year follow-up: the Framingham study. </w:t>
      </w:r>
      <w:r>
        <w:rPr>
          <w:i/>
        </w:rPr>
        <w:t>Am J Cardiol. </w:t>
      </w:r>
      <w:r>
        <w:rPr>
          <w:b/>
          <w:spacing w:val="-2"/>
        </w:rPr>
        <w:t>32</w:t>
      </w:r>
      <w:r>
        <w:rPr>
          <w:spacing w:val="-2"/>
        </w:rPr>
        <w:t>:1-7.</w:t>
      </w:r>
    </w:p>
    <w:p>
      <w:pPr>
        <w:pStyle w:val="BodyText"/>
        <w:spacing w:before="241"/>
        <w:ind w:left="1810" w:right="994" w:hanging="1133"/>
        <w:jc w:val="both"/>
      </w:pPr>
      <w:r>
        <w:rPr/>
        <w:t>Mathiesen, E. R., Oxenboll, B., Johansen, K., Svendsen, P. A., Deckert, T. (1984): Incipient nephropathy</w:t>
      </w:r>
      <w:r>
        <w:rPr>
          <w:spacing w:val="-5"/>
        </w:rPr>
        <w:t> </w:t>
      </w:r>
      <w:r>
        <w:rPr/>
        <w:t>in type</w:t>
      </w:r>
      <w:r>
        <w:rPr>
          <w:spacing w:val="-1"/>
        </w:rPr>
        <w:t> </w:t>
      </w:r>
      <w:r>
        <w:rPr/>
        <w:t>1 (insulin-dependent) diabetes. </w:t>
      </w:r>
      <w:r>
        <w:rPr>
          <w:i/>
        </w:rPr>
        <w:t>Diabetologia </w:t>
      </w:r>
      <w:r>
        <w:rPr>
          <w:b/>
        </w:rPr>
        <w:t>26</w:t>
      </w:r>
      <w:r>
        <w:rPr/>
        <w:t>: </w:t>
      </w:r>
      <w:r>
        <w:rPr>
          <w:spacing w:val="-2"/>
        </w:rPr>
        <w:t>406-410.</w:t>
      </w:r>
    </w:p>
    <w:p>
      <w:pPr>
        <w:pStyle w:val="BodyText"/>
        <w:spacing w:line="276" w:lineRule="auto" w:before="242"/>
        <w:ind w:left="1849" w:right="994" w:hanging="1140"/>
        <w:jc w:val="both"/>
      </w:pPr>
      <w:r>
        <w:rPr/>
        <w:t>Matsumaru, H. (1959): Mechanism of tablet compression and disintegration, IV</w:t>
      </w:r>
      <w:r>
        <w:rPr>
          <w:b/>
        </w:rPr>
        <w:t>. </w:t>
      </w:r>
      <w:r>
        <w:rPr/>
        <w:t>Evolution of wetting heat and its relation to compressional force. Yakugaku Zasshi, 79; 63 – 64.</w:t>
      </w:r>
    </w:p>
    <w:p>
      <w:pPr>
        <w:pStyle w:val="BodyText"/>
        <w:spacing w:before="236"/>
        <w:ind w:left="1671" w:right="994" w:hanging="994"/>
      </w:pPr>
      <w:r>
        <w:rPr/>
        <w:t>Matteucci,</w:t>
      </w:r>
      <w:r>
        <w:rPr>
          <w:spacing w:val="23"/>
        </w:rPr>
        <w:t> </w:t>
      </w:r>
      <w:r>
        <w:rPr/>
        <w:t>E.</w:t>
      </w:r>
      <w:r>
        <w:rPr>
          <w:spacing w:val="25"/>
        </w:rPr>
        <w:t> </w:t>
      </w:r>
      <w:r>
        <w:rPr/>
        <w:t>and</w:t>
      </w:r>
      <w:r>
        <w:rPr>
          <w:spacing w:val="23"/>
        </w:rPr>
        <w:t> </w:t>
      </w:r>
      <w:r>
        <w:rPr/>
        <w:t>Giampietro,</w:t>
      </w:r>
      <w:r>
        <w:rPr>
          <w:spacing w:val="23"/>
        </w:rPr>
        <w:t> </w:t>
      </w:r>
      <w:r>
        <w:rPr/>
        <w:t>O. (2000): Oxidative stress</w:t>
      </w:r>
      <w:r>
        <w:rPr>
          <w:spacing w:val="23"/>
        </w:rPr>
        <w:t> </w:t>
      </w:r>
      <w:r>
        <w:rPr/>
        <w:t>in</w:t>
      </w:r>
      <w:r>
        <w:rPr>
          <w:spacing w:val="23"/>
        </w:rPr>
        <w:t> </w:t>
      </w:r>
      <w:r>
        <w:rPr/>
        <w:t>families</w:t>
      </w:r>
      <w:r>
        <w:rPr>
          <w:spacing w:val="23"/>
        </w:rPr>
        <w:t> </w:t>
      </w:r>
      <w:r>
        <w:rPr/>
        <w:t>of</w:t>
      </w:r>
      <w:r>
        <w:rPr>
          <w:spacing w:val="24"/>
        </w:rPr>
        <w:t> </w:t>
      </w:r>
      <w:r>
        <w:rPr/>
        <w:t>type 1</w:t>
      </w:r>
      <w:r>
        <w:rPr>
          <w:spacing w:val="23"/>
        </w:rPr>
        <w:t> </w:t>
      </w:r>
      <w:r>
        <w:rPr/>
        <w:t>diabetic patients. </w:t>
      </w:r>
      <w:r>
        <w:rPr>
          <w:i/>
        </w:rPr>
        <w:t>J. Diabetes Care</w:t>
      </w:r>
      <w:r>
        <w:rPr/>
        <w:t>, </w:t>
      </w:r>
      <w:r>
        <w:rPr>
          <w:b/>
        </w:rPr>
        <w:t>23</w:t>
      </w:r>
      <w:r>
        <w:rPr/>
        <w:t>: 1182-1186.</w:t>
      </w:r>
    </w:p>
    <w:p>
      <w:pPr>
        <w:spacing w:before="241"/>
        <w:ind w:left="1671" w:right="994" w:hanging="994"/>
        <w:jc w:val="left"/>
        <w:rPr>
          <w:sz w:val="24"/>
        </w:rPr>
      </w:pPr>
      <w:r>
        <w:rPr>
          <w:sz w:val="24"/>
        </w:rPr>
        <w:t>Mayfield,</w:t>
      </w:r>
      <w:r>
        <w:rPr>
          <w:spacing w:val="32"/>
          <w:sz w:val="24"/>
        </w:rPr>
        <w:t> </w:t>
      </w:r>
      <w:r>
        <w:rPr>
          <w:sz w:val="24"/>
        </w:rPr>
        <w:t>J.</w:t>
      </w:r>
      <w:r>
        <w:rPr>
          <w:spacing w:val="33"/>
          <w:sz w:val="24"/>
        </w:rPr>
        <w:t> </w:t>
      </w:r>
      <w:r>
        <w:rPr>
          <w:sz w:val="24"/>
        </w:rPr>
        <w:t>(1998):</w:t>
      </w:r>
      <w:r>
        <w:rPr>
          <w:spacing w:val="31"/>
          <w:sz w:val="24"/>
        </w:rPr>
        <w:t> </w:t>
      </w:r>
      <w:r>
        <w:rPr>
          <w:sz w:val="24"/>
        </w:rPr>
        <w:t>Diagnosis</w:t>
      </w:r>
      <w:r>
        <w:rPr>
          <w:spacing w:val="32"/>
          <w:sz w:val="24"/>
        </w:rPr>
        <w:t> </w:t>
      </w:r>
      <w:r>
        <w:rPr>
          <w:sz w:val="24"/>
        </w:rPr>
        <w:t>and</w:t>
      </w:r>
      <w:r>
        <w:rPr>
          <w:spacing w:val="31"/>
          <w:sz w:val="24"/>
        </w:rPr>
        <w:t> </w:t>
      </w:r>
      <w:r>
        <w:rPr>
          <w:sz w:val="24"/>
        </w:rPr>
        <w:t>classification</w:t>
      </w:r>
      <w:r>
        <w:rPr>
          <w:spacing w:val="33"/>
          <w:sz w:val="24"/>
        </w:rPr>
        <w:t> </w:t>
      </w:r>
      <w:r>
        <w:rPr>
          <w:sz w:val="24"/>
        </w:rPr>
        <w:t>of</w:t>
      </w:r>
      <w:r>
        <w:rPr>
          <w:spacing w:val="31"/>
          <w:sz w:val="24"/>
        </w:rPr>
        <w:t> </w:t>
      </w:r>
      <w:r>
        <w:rPr>
          <w:sz w:val="24"/>
        </w:rPr>
        <w:t>Diabetes</w:t>
      </w:r>
      <w:r>
        <w:rPr>
          <w:spacing w:val="31"/>
          <w:sz w:val="24"/>
        </w:rPr>
        <w:t> </w:t>
      </w:r>
      <w:r>
        <w:rPr>
          <w:sz w:val="24"/>
        </w:rPr>
        <w:t>mellitus-</w:t>
      </w:r>
      <w:r>
        <w:rPr>
          <w:spacing w:val="31"/>
          <w:sz w:val="24"/>
        </w:rPr>
        <w:t> </w:t>
      </w:r>
      <w:r>
        <w:rPr>
          <w:sz w:val="24"/>
        </w:rPr>
        <w:t>New</w:t>
      </w:r>
      <w:r>
        <w:rPr>
          <w:spacing w:val="31"/>
          <w:sz w:val="24"/>
        </w:rPr>
        <w:t> </w:t>
      </w:r>
      <w:r>
        <w:rPr>
          <w:sz w:val="24"/>
        </w:rPr>
        <w:t>Criteria.</w:t>
      </w:r>
      <w:r>
        <w:rPr>
          <w:spacing w:val="32"/>
          <w:sz w:val="24"/>
        </w:rPr>
        <w:t> </w:t>
      </w:r>
      <w:r>
        <w:rPr>
          <w:i/>
          <w:sz w:val="24"/>
        </w:rPr>
        <w:t>J</w:t>
      </w:r>
      <w:r>
        <w:rPr>
          <w:sz w:val="24"/>
        </w:rPr>
        <w:t>. </w:t>
      </w:r>
      <w:r>
        <w:rPr>
          <w:i/>
          <w:sz w:val="24"/>
        </w:rPr>
        <w:t>American academy of family physician</w:t>
      </w:r>
      <w:r>
        <w:rPr>
          <w:sz w:val="24"/>
        </w:rPr>
        <w:t>. Vol. </w:t>
      </w:r>
      <w:r>
        <w:rPr>
          <w:b/>
          <w:sz w:val="24"/>
        </w:rPr>
        <w:t>58: </w:t>
      </w:r>
      <w:r>
        <w:rPr>
          <w:sz w:val="24"/>
        </w:rPr>
        <w:t>No8 p.11-15.</w:t>
      </w:r>
    </w:p>
    <w:p>
      <w:pPr>
        <w:pStyle w:val="BodyText"/>
        <w:spacing w:before="240"/>
        <w:ind w:left="678"/>
        <w:rPr>
          <w:i/>
        </w:rPr>
      </w:pPr>
      <w:r>
        <w:rPr/>
        <w:t>Mehta,</w:t>
      </w:r>
      <w:r>
        <w:rPr>
          <w:spacing w:val="15"/>
        </w:rPr>
        <w:t> </w:t>
      </w:r>
      <w:r>
        <w:rPr/>
        <w:t>J.</w:t>
      </w:r>
      <w:r>
        <w:rPr>
          <w:spacing w:val="15"/>
        </w:rPr>
        <w:t> </w:t>
      </w:r>
      <w:r>
        <w:rPr/>
        <w:t>C.</w:t>
      </w:r>
      <w:r>
        <w:rPr>
          <w:spacing w:val="15"/>
        </w:rPr>
        <w:t> </w:t>
      </w:r>
      <w:r>
        <w:rPr/>
        <w:t>and</w:t>
      </w:r>
      <w:r>
        <w:rPr>
          <w:spacing w:val="15"/>
        </w:rPr>
        <w:t> </w:t>
      </w:r>
      <w:r>
        <w:rPr/>
        <w:t>Majumdar,</w:t>
      </w:r>
      <w:r>
        <w:rPr>
          <w:spacing w:val="15"/>
        </w:rPr>
        <w:t> </w:t>
      </w:r>
      <w:r>
        <w:rPr/>
        <w:t>D.</w:t>
      </w:r>
      <w:r>
        <w:rPr>
          <w:spacing w:val="15"/>
        </w:rPr>
        <w:t> </w:t>
      </w:r>
      <w:r>
        <w:rPr/>
        <w:t>N.</w:t>
      </w:r>
      <w:r>
        <w:rPr>
          <w:spacing w:val="15"/>
        </w:rPr>
        <w:t> </w:t>
      </w:r>
      <w:r>
        <w:rPr/>
        <w:t>(1994):</w:t>
      </w:r>
      <w:r>
        <w:rPr>
          <w:spacing w:val="20"/>
        </w:rPr>
        <w:t> </w:t>
      </w:r>
      <w:r>
        <w:rPr/>
        <w:t>Indian</w:t>
      </w:r>
      <w:r>
        <w:rPr>
          <w:spacing w:val="15"/>
        </w:rPr>
        <w:t> </w:t>
      </w:r>
      <w:r>
        <w:rPr/>
        <w:t>Medicinal</w:t>
      </w:r>
      <w:r>
        <w:rPr>
          <w:spacing w:val="16"/>
        </w:rPr>
        <w:t> </w:t>
      </w:r>
      <w:r>
        <w:rPr/>
        <w:t>Plants</w:t>
      </w:r>
      <w:r>
        <w:rPr>
          <w:spacing w:val="15"/>
        </w:rPr>
        <w:t> </w:t>
      </w:r>
      <w:r>
        <w:rPr/>
        <w:t>V</w:t>
      </w:r>
      <w:r>
        <w:rPr>
          <w:spacing w:val="17"/>
        </w:rPr>
        <w:t> </w:t>
      </w:r>
      <w:r>
        <w:rPr/>
        <w:t>-</w:t>
      </w:r>
      <w:r>
        <w:rPr>
          <w:spacing w:val="15"/>
        </w:rPr>
        <w:t> </w:t>
      </w:r>
      <w:r>
        <w:rPr>
          <w:i/>
        </w:rPr>
        <w:t>Mucuna</w:t>
      </w:r>
      <w:r>
        <w:rPr>
          <w:i/>
          <w:spacing w:val="16"/>
        </w:rPr>
        <w:t> </w:t>
      </w:r>
      <w:r>
        <w:rPr>
          <w:i/>
          <w:spacing w:val="-2"/>
        </w:rPr>
        <w:t>pruriens</w:t>
      </w:r>
    </w:p>
    <w:p>
      <w:pPr>
        <w:spacing w:before="0"/>
        <w:ind w:left="1530" w:right="0" w:firstLine="0"/>
        <w:jc w:val="left"/>
        <w:rPr>
          <w:sz w:val="24"/>
        </w:rPr>
      </w:pPr>
      <w:r>
        <w:rPr>
          <w:sz w:val="24"/>
        </w:rPr>
        <w:t>bark</w:t>
      </w:r>
      <w:r>
        <w:rPr>
          <w:spacing w:val="-1"/>
          <w:sz w:val="24"/>
        </w:rPr>
        <w:t> </w:t>
      </w:r>
      <w:r>
        <w:rPr>
          <w:sz w:val="24"/>
        </w:rPr>
        <w:t>(Papilionaceae).</w:t>
      </w:r>
      <w:r>
        <w:rPr>
          <w:spacing w:val="-1"/>
          <w:sz w:val="24"/>
        </w:rPr>
        <w:t> </w:t>
      </w:r>
      <w:r>
        <w:rPr>
          <w:i/>
          <w:sz w:val="24"/>
        </w:rPr>
        <w:t>Indian Journal</w:t>
      </w:r>
      <w:r>
        <w:rPr>
          <w:i/>
          <w:spacing w:val="-1"/>
          <w:sz w:val="24"/>
        </w:rPr>
        <w:t> </w:t>
      </w:r>
      <w:r>
        <w:rPr>
          <w:i/>
          <w:sz w:val="24"/>
        </w:rPr>
        <w:t>of</w:t>
      </w:r>
      <w:r>
        <w:rPr>
          <w:i/>
          <w:spacing w:val="-1"/>
          <w:sz w:val="24"/>
        </w:rPr>
        <w:t> </w:t>
      </w:r>
      <w:r>
        <w:rPr>
          <w:i/>
          <w:sz w:val="24"/>
        </w:rPr>
        <w:t>Pharmacology</w:t>
      </w:r>
      <w:r>
        <w:rPr>
          <w:i/>
          <w:spacing w:val="-1"/>
          <w:sz w:val="24"/>
        </w:rPr>
        <w:t> </w:t>
      </w:r>
      <w:r>
        <w:rPr>
          <w:sz w:val="24"/>
        </w:rPr>
        <w:t>6:</w:t>
      </w:r>
      <w:r>
        <w:rPr>
          <w:spacing w:val="-1"/>
          <w:sz w:val="24"/>
        </w:rPr>
        <w:t> </w:t>
      </w:r>
      <w:r>
        <w:rPr>
          <w:sz w:val="24"/>
        </w:rPr>
        <w:t>92-</w:t>
      </w:r>
      <w:r>
        <w:rPr>
          <w:spacing w:val="-5"/>
          <w:sz w:val="24"/>
        </w:rPr>
        <w:t>94.</w:t>
      </w:r>
    </w:p>
    <w:p>
      <w:pPr>
        <w:pStyle w:val="BodyText"/>
        <w:spacing w:before="240"/>
        <w:ind w:left="1530" w:right="997" w:hanging="852"/>
        <w:jc w:val="both"/>
      </w:pPr>
      <w:r>
        <w:rPr/>
        <w:t>Meister, A. (1983). Metabolism and transport of glutathione and other γ-glutamyl compounds. In: Larsson A, Orrenius S, Holmgren A, Mannervik B, editors. </w:t>
      </w:r>
      <w:r>
        <w:rPr>
          <w:color w:val="221F1F"/>
        </w:rPr>
        <w:t>control subjects. </w:t>
      </w:r>
      <w:r>
        <w:rPr>
          <w:i/>
          <w:color w:val="221F1F"/>
        </w:rPr>
        <w:t>Am. J. Cardiol. </w:t>
      </w:r>
      <w:r>
        <w:rPr>
          <w:b/>
          <w:color w:val="221F1F"/>
        </w:rPr>
        <w:t>90: </w:t>
      </w:r>
      <w:r>
        <w:rPr>
          <w:color w:val="221F1F"/>
        </w:rPr>
        <w:t>689–96.</w:t>
      </w:r>
    </w:p>
    <w:p>
      <w:pPr>
        <w:spacing w:before="240"/>
        <w:ind w:left="678" w:right="0" w:firstLine="0"/>
        <w:jc w:val="left"/>
        <w:rPr>
          <w:sz w:val="24"/>
        </w:rPr>
      </w:pPr>
      <w:r>
        <w:rPr>
          <w:sz w:val="24"/>
        </w:rPr>
        <w:t>Mertz,</w:t>
      </w:r>
      <w:r>
        <w:rPr>
          <w:spacing w:val="-3"/>
          <w:sz w:val="24"/>
        </w:rPr>
        <w:t> </w:t>
      </w:r>
      <w:r>
        <w:rPr>
          <w:sz w:val="24"/>
        </w:rPr>
        <w:t>W.</w:t>
      </w:r>
      <w:r>
        <w:rPr>
          <w:spacing w:val="-1"/>
          <w:sz w:val="24"/>
        </w:rPr>
        <w:t> </w:t>
      </w:r>
      <w:r>
        <w:rPr>
          <w:sz w:val="24"/>
        </w:rPr>
        <w:t>(1981):</w:t>
      </w:r>
      <w:r>
        <w:rPr>
          <w:spacing w:val="-1"/>
          <w:sz w:val="24"/>
        </w:rPr>
        <w:t> </w:t>
      </w:r>
      <w:r>
        <w:rPr>
          <w:sz w:val="24"/>
        </w:rPr>
        <w:t>The</w:t>
      </w:r>
      <w:r>
        <w:rPr>
          <w:spacing w:val="-2"/>
          <w:sz w:val="24"/>
        </w:rPr>
        <w:t> </w:t>
      </w:r>
      <w:r>
        <w:rPr>
          <w:sz w:val="24"/>
        </w:rPr>
        <w:t>essential</w:t>
      </w:r>
      <w:r>
        <w:rPr>
          <w:spacing w:val="-1"/>
          <w:sz w:val="24"/>
        </w:rPr>
        <w:t> </w:t>
      </w:r>
      <w:r>
        <w:rPr>
          <w:sz w:val="24"/>
        </w:rPr>
        <w:t>trace elements.</w:t>
      </w:r>
      <w:r>
        <w:rPr>
          <w:spacing w:val="1"/>
          <w:sz w:val="24"/>
        </w:rPr>
        <w:t> </w:t>
      </w:r>
      <w:r>
        <w:rPr>
          <w:i/>
          <w:sz w:val="24"/>
        </w:rPr>
        <w:t>Journal</w:t>
      </w:r>
      <w:r>
        <w:rPr>
          <w:i/>
          <w:spacing w:val="-1"/>
          <w:sz w:val="24"/>
        </w:rPr>
        <w:t> </w:t>
      </w:r>
      <w:r>
        <w:rPr>
          <w:i/>
          <w:sz w:val="24"/>
        </w:rPr>
        <w:t>of</w:t>
      </w:r>
      <w:r>
        <w:rPr>
          <w:i/>
          <w:spacing w:val="-1"/>
          <w:sz w:val="24"/>
        </w:rPr>
        <w:t> </w:t>
      </w:r>
      <w:r>
        <w:rPr>
          <w:i/>
          <w:sz w:val="24"/>
        </w:rPr>
        <w:t>Science.</w:t>
      </w:r>
      <w:r>
        <w:rPr>
          <w:i/>
          <w:spacing w:val="-1"/>
          <w:sz w:val="24"/>
        </w:rPr>
        <w:t> </w:t>
      </w:r>
      <w:r>
        <w:rPr>
          <w:b/>
          <w:sz w:val="24"/>
        </w:rPr>
        <w:t>213</w:t>
      </w:r>
      <w:r>
        <w:rPr>
          <w:sz w:val="24"/>
        </w:rPr>
        <w:t>, </w:t>
      </w:r>
      <w:r>
        <w:rPr>
          <w:spacing w:val="-2"/>
          <w:sz w:val="24"/>
        </w:rPr>
        <w:t>p.1332</w:t>
      </w:r>
    </w:p>
    <w:p>
      <w:pPr>
        <w:pStyle w:val="BodyText"/>
        <w:spacing w:line="278" w:lineRule="auto" w:before="243"/>
        <w:ind w:left="1578" w:right="1002" w:hanging="900"/>
        <w:jc w:val="both"/>
      </w:pPr>
      <w:r>
        <w:rPr/>
        <w:t>Mills, S. and Bone, K. (2000): Principle and practice of phytotherapy, Churchill Livingstone, Edinburgh, UK.</w:t>
      </w:r>
    </w:p>
    <w:p>
      <w:pPr>
        <w:pStyle w:val="BodyText"/>
        <w:spacing w:before="233"/>
        <w:ind w:left="1530" w:right="995" w:hanging="852"/>
        <w:jc w:val="both"/>
        <w:rPr>
          <w:i/>
        </w:rPr>
      </w:pPr>
      <w:r>
        <w:rPr/>
        <w:t>Milner, J.A., McDonald, S.S., Anderson, D.E., and Greenwald, P. (2001): Molecular targets for nutrients involved with cancer prevention</w:t>
      </w:r>
      <w:r>
        <w:rPr>
          <w:i/>
        </w:rPr>
        <w:t>. Nutr Cancer; </w:t>
      </w:r>
      <w:r>
        <w:rPr>
          <w:b/>
        </w:rPr>
        <w:t>41</w:t>
      </w:r>
      <w:r>
        <w:rPr/>
        <w:t>: 1</w:t>
      </w:r>
      <w:r>
        <w:rPr>
          <w:i/>
        </w:rPr>
        <w:t>-</w:t>
      </w:r>
      <w:r>
        <w:rPr/>
        <w:t>16</w:t>
      </w:r>
      <w:r>
        <w:rPr>
          <w:i/>
        </w:rPr>
        <w:t>.</w:t>
      </w:r>
    </w:p>
    <w:p>
      <w:pPr>
        <w:pStyle w:val="BodyText"/>
        <w:spacing w:line="360" w:lineRule="auto" w:before="242"/>
        <w:ind w:left="1578" w:right="995" w:hanging="900"/>
        <w:jc w:val="both"/>
      </w:pPr>
      <w:r>
        <w:rPr/>
        <w:t>Mitrevej, A, Faroongsarng, D., Sinchaipanid, N. (1996): Compression behaviour of spray dried starch. </w:t>
      </w:r>
      <w:r>
        <w:rPr>
          <w:i/>
        </w:rPr>
        <w:t>Int J Pharm</w:t>
      </w:r>
      <w:r>
        <w:rPr/>
        <w:t>. </w:t>
      </w:r>
      <w:r>
        <w:rPr>
          <w:b/>
        </w:rPr>
        <w:t>140</w:t>
      </w:r>
      <w:r>
        <w:rPr/>
        <w:t>, p 61-68.</w:t>
      </w:r>
    </w:p>
    <w:p>
      <w:pPr>
        <w:spacing w:after="0" w:line="360" w:lineRule="auto"/>
        <w:jc w:val="both"/>
        <w:sectPr>
          <w:pgSz w:w="12240" w:h="15840"/>
          <w:pgMar w:header="0" w:footer="1056" w:top="1340" w:bottom="1240" w:left="1420" w:right="420"/>
        </w:sectPr>
      </w:pPr>
    </w:p>
    <w:p>
      <w:pPr>
        <w:pStyle w:val="BodyText"/>
        <w:spacing w:before="70"/>
        <w:ind w:left="1671" w:right="994" w:hanging="994"/>
        <w:jc w:val="both"/>
      </w:pPr>
      <w:r>
        <w:rPr/>
        <mc:AlternateContent>
          <mc:Choice Requires="wps">
            <w:drawing>
              <wp:anchor distT="0" distB="0" distL="0" distR="0" allowOverlap="1" layoutInCell="1" locked="0" behindDoc="1" simplePos="0" relativeHeight="483045888">
                <wp:simplePos x="0" y="0"/>
                <wp:positionH relativeFrom="page">
                  <wp:posOffset>-1402226</wp:posOffset>
                </wp:positionH>
                <wp:positionV relativeFrom="page">
                  <wp:posOffset>4612234</wp:posOffset>
                </wp:positionV>
                <wp:extent cx="10685780" cy="91440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0592;rotation:306" type="#_x0000_t136" fillcolor="#ff5400" stroked="f">
                <o:extrusion v:ext="view" autorotationcenter="t"/>
                <v:textpath style="font-family:&quot;Arial MT&quot;;font-size:72pt;v-text-kern:t;mso-text-shadow:auto" string="UNIVERSITY OF IBADAN"/>
                <w10:wrap type="none"/>
              </v:shape>
            </w:pict>
          </mc:Fallback>
        </mc:AlternateContent>
      </w:r>
      <w:r>
        <w:rPr/>
        <w:t>Mogensen, C. E. (1984): Microalbuminuria predicts clinical proteinuria and early</w:t>
      </w:r>
      <w:r>
        <w:rPr>
          <w:spacing w:val="40"/>
        </w:rPr>
        <w:t> </w:t>
      </w:r>
      <w:r>
        <w:rPr/>
        <w:t>mortality in maturity-onset diabetes. </w:t>
      </w:r>
      <w:r>
        <w:rPr>
          <w:i/>
        </w:rPr>
        <w:t>N. Engl. J. Med</w:t>
      </w:r>
      <w:r>
        <w:rPr/>
        <w:t>. </w:t>
      </w:r>
      <w:r>
        <w:rPr>
          <w:b/>
        </w:rPr>
        <w:t>310</w:t>
      </w:r>
      <w:r>
        <w:rPr/>
        <w:t>: 356-360.</w:t>
      </w:r>
    </w:p>
    <w:p>
      <w:pPr>
        <w:pStyle w:val="BodyText"/>
        <w:spacing w:before="240"/>
        <w:ind w:left="1810" w:right="1041" w:hanging="1133"/>
      </w:pPr>
      <w:r>
        <w:rPr/>
        <w:t>Mohan, V. R. and Janardhanan, K. (1995):</w:t>
      </w:r>
      <w:r>
        <w:rPr>
          <w:spacing w:val="40"/>
        </w:rPr>
        <w:t> </w:t>
      </w:r>
      <w:r>
        <w:rPr/>
        <w:t>Chemical analysis and nutritional assessment of lesser known pulses of the genus </w:t>
      </w:r>
      <w:r>
        <w:rPr>
          <w:i/>
        </w:rPr>
        <w:t>Mucuna</w:t>
      </w:r>
      <w:r>
        <w:rPr/>
        <w:t>. </w:t>
      </w:r>
      <w:r>
        <w:rPr>
          <w:i/>
        </w:rPr>
        <w:t>Food Chemistry </w:t>
      </w:r>
      <w:r>
        <w:rPr/>
        <w:t>52: 275-280.</w:t>
      </w:r>
    </w:p>
    <w:p>
      <w:pPr>
        <w:spacing w:before="241"/>
        <w:ind w:left="1530" w:right="996" w:hanging="852"/>
        <w:jc w:val="both"/>
        <w:rPr>
          <w:sz w:val="24"/>
        </w:rPr>
      </w:pPr>
      <w:r>
        <w:rPr>
          <w:sz w:val="24"/>
        </w:rPr>
        <w:t>Mojab, F., Kamalinejad, M., Ghaderi, N., Vahidipour, H. (2003): Phytochemical</w:t>
      </w:r>
      <w:r>
        <w:rPr>
          <w:spacing w:val="40"/>
          <w:sz w:val="24"/>
        </w:rPr>
        <w:t> </w:t>
      </w:r>
      <w:r>
        <w:rPr>
          <w:sz w:val="24"/>
        </w:rPr>
        <w:t>Screening of Some Iranian Plants. </w:t>
      </w:r>
      <w:r>
        <w:rPr>
          <w:i/>
          <w:sz w:val="24"/>
        </w:rPr>
        <w:t>Iranian Journal of Pharmaceutical Research. </w:t>
      </w:r>
      <w:r>
        <w:rPr>
          <w:sz w:val="24"/>
        </w:rPr>
        <w:t>pp 77-82.</w:t>
      </w:r>
    </w:p>
    <w:p>
      <w:pPr>
        <w:pStyle w:val="BodyText"/>
        <w:spacing w:before="240"/>
        <w:ind w:left="1671" w:right="999" w:hanging="994"/>
        <w:jc w:val="both"/>
      </w:pPr>
      <w:r>
        <w:rPr/>
        <w:t>Morris, J. B. (1999): Legume genetic resources with novel "value added" industrial and pharmacy eutical use. In: Perspectives on new crops and new uses (Editor, Janick J), ASHS Press, Alexandria, VA, 196–201.</w:t>
      </w:r>
    </w:p>
    <w:p>
      <w:pPr>
        <w:pStyle w:val="BodyText"/>
        <w:spacing w:before="7"/>
      </w:pPr>
    </w:p>
    <w:p>
      <w:pPr>
        <w:pStyle w:val="BodyText"/>
        <w:spacing w:line="237" w:lineRule="auto"/>
        <w:ind w:left="1758" w:right="1041" w:hanging="1080"/>
      </w:pPr>
      <w:r>
        <w:rPr/>
        <w:t>Mukherjee,</w:t>
      </w:r>
      <w:r>
        <w:rPr>
          <w:spacing w:val="-5"/>
        </w:rPr>
        <w:t> </w:t>
      </w:r>
      <w:r>
        <w:rPr/>
        <w:t>P.K.</w:t>
      </w:r>
      <w:r>
        <w:rPr>
          <w:spacing w:val="-5"/>
        </w:rPr>
        <w:t> </w:t>
      </w:r>
      <w:r>
        <w:rPr/>
        <w:t>(1997):</w:t>
      </w:r>
      <w:r>
        <w:rPr>
          <w:spacing w:val="-5"/>
        </w:rPr>
        <w:t> </w:t>
      </w:r>
      <w:r>
        <w:rPr/>
        <w:t>Hypoglycaemic</w:t>
      </w:r>
      <w:r>
        <w:rPr>
          <w:spacing w:val="-4"/>
        </w:rPr>
        <w:t> </w:t>
      </w:r>
      <w:r>
        <w:rPr/>
        <w:t>activity</w:t>
      </w:r>
      <w:r>
        <w:rPr>
          <w:spacing w:val="-8"/>
        </w:rPr>
        <w:t> </w:t>
      </w:r>
      <w:r>
        <w:rPr/>
        <w:t>of</w:t>
      </w:r>
      <w:r>
        <w:rPr>
          <w:spacing w:val="-6"/>
        </w:rPr>
        <w:t> </w:t>
      </w:r>
      <w:r>
        <w:rPr/>
        <w:t>Cassia</w:t>
      </w:r>
      <w:r>
        <w:rPr>
          <w:spacing w:val="-6"/>
        </w:rPr>
        <w:t> </w:t>
      </w:r>
      <w:r>
        <w:rPr/>
        <w:t>fistula</w:t>
      </w:r>
      <w:r>
        <w:rPr>
          <w:spacing w:val="-4"/>
        </w:rPr>
        <w:t> </w:t>
      </w:r>
      <w:r>
        <w:rPr/>
        <w:t>Linn</w:t>
      </w:r>
      <w:r>
        <w:rPr>
          <w:spacing w:val="-3"/>
        </w:rPr>
        <w:t> </w:t>
      </w:r>
      <w:r>
        <w:rPr/>
        <w:t>(Leguminosae) Leaf in Alloxan induced Diabetic Rats, </w:t>
      </w:r>
      <w:r>
        <w:rPr>
          <w:i/>
        </w:rPr>
        <w:t>Ethanobotany India</w:t>
      </w:r>
      <w:r>
        <w:rPr/>
        <w:t>, </w:t>
      </w:r>
      <w:r>
        <w:rPr>
          <w:b/>
        </w:rPr>
        <w:t>9</w:t>
      </w:r>
      <w:r>
        <w:rPr/>
        <w:t>, 35-38.</w:t>
      </w:r>
    </w:p>
    <w:p>
      <w:pPr>
        <w:pStyle w:val="BodyText"/>
        <w:spacing w:before="6"/>
      </w:pPr>
    </w:p>
    <w:p>
      <w:pPr>
        <w:pStyle w:val="BodyText"/>
        <w:ind w:left="1671" w:right="996" w:hanging="994"/>
        <w:jc w:val="both"/>
      </w:pPr>
      <w:r>
        <w:rPr/>
        <w:t>Munday,</w:t>
      </w:r>
      <w:r>
        <w:rPr>
          <w:spacing w:val="-1"/>
        </w:rPr>
        <w:t> </w:t>
      </w:r>
      <w:r>
        <w:rPr/>
        <w:t>R. (1988):</w:t>
      </w:r>
      <w:r>
        <w:rPr>
          <w:spacing w:val="-2"/>
        </w:rPr>
        <w:t> </w:t>
      </w:r>
      <w:r>
        <w:rPr/>
        <w:t>Dialuric</w:t>
      </w:r>
      <w:r>
        <w:rPr>
          <w:spacing w:val="-2"/>
        </w:rPr>
        <w:t> </w:t>
      </w:r>
      <w:r>
        <w:rPr/>
        <w:t>acid autooxidation:</w:t>
      </w:r>
      <w:r>
        <w:rPr>
          <w:spacing w:val="-3"/>
        </w:rPr>
        <w:t> </w:t>
      </w:r>
      <w:r>
        <w:rPr/>
        <w:t>Effects</w:t>
      </w:r>
      <w:r>
        <w:rPr>
          <w:spacing w:val="-1"/>
        </w:rPr>
        <w:t> </w:t>
      </w:r>
      <w:r>
        <w:rPr/>
        <w:t>of</w:t>
      </w:r>
      <w:r>
        <w:rPr>
          <w:spacing w:val="-2"/>
        </w:rPr>
        <w:t> </w:t>
      </w:r>
      <w:r>
        <w:rPr/>
        <w:t>transition</w:t>
      </w:r>
      <w:r>
        <w:rPr>
          <w:spacing w:val="-1"/>
        </w:rPr>
        <w:t> </w:t>
      </w:r>
      <w:r>
        <w:rPr/>
        <w:t>metals</w:t>
      </w:r>
      <w:r>
        <w:rPr>
          <w:spacing w:val="-1"/>
        </w:rPr>
        <w:t> </w:t>
      </w:r>
      <w:r>
        <w:rPr/>
        <w:t>on</w:t>
      </w:r>
      <w:r>
        <w:rPr>
          <w:spacing w:val="-1"/>
        </w:rPr>
        <w:t> </w:t>
      </w:r>
      <w:r>
        <w:rPr/>
        <w:t>the</w:t>
      </w:r>
      <w:r>
        <w:rPr>
          <w:spacing w:val="-2"/>
        </w:rPr>
        <w:t> </w:t>
      </w:r>
      <w:r>
        <w:rPr/>
        <w:t>reation rate and on the generation of ‗active oxygen s;pecies. </w:t>
      </w:r>
      <w:r>
        <w:rPr>
          <w:i/>
        </w:rPr>
        <w:t>J. Biochemical Pharmacology </w:t>
      </w:r>
      <w:r>
        <w:rPr>
          <w:b/>
        </w:rPr>
        <w:t>37</w:t>
      </w:r>
      <w:r>
        <w:rPr/>
        <w:t>: 409 – 413.</w:t>
      </w:r>
    </w:p>
    <w:p>
      <w:pPr>
        <w:spacing w:before="240"/>
        <w:ind w:left="1530" w:right="995" w:hanging="852"/>
        <w:jc w:val="both"/>
        <w:rPr>
          <w:sz w:val="24"/>
        </w:rPr>
      </w:pPr>
      <w:r>
        <w:rPr>
          <w:sz w:val="24"/>
        </w:rPr>
        <w:t>Munoz – Ruiz, A. and Paronen, P. (1996): Time dependent densification behavior of cyclodextrins. </w:t>
      </w:r>
      <w:r>
        <w:rPr>
          <w:i/>
          <w:sz w:val="24"/>
        </w:rPr>
        <w:t>Journal of Pharmacy and pharmacology </w:t>
      </w:r>
      <w:r>
        <w:rPr>
          <w:b/>
          <w:sz w:val="24"/>
        </w:rPr>
        <w:t>48</w:t>
      </w:r>
      <w:r>
        <w:rPr>
          <w:sz w:val="24"/>
        </w:rPr>
        <w:t>: 790 – 797.</w:t>
      </w:r>
    </w:p>
    <w:p>
      <w:pPr>
        <w:pStyle w:val="BodyText"/>
        <w:spacing w:before="240"/>
        <w:ind w:left="678"/>
        <w:jc w:val="both"/>
      </w:pPr>
      <w:r>
        <w:rPr/>
        <w:t>Murakami,</w:t>
      </w:r>
      <w:r>
        <w:rPr>
          <w:spacing w:val="59"/>
        </w:rPr>
        <w:t> </w:t>
      </w:r>
      <w:r>
        <w:rPr/>
        <w:t>T.,</w:t>
      </w:r>
      <w:r>
        <w:rPr>
          <w:spacing w:val="61"/>
        </w:rPr>
        <w:t> </w:t>
      </w:r>
      <w:r>
        <w:rPr/>
        <w:t>Kishi,</w:t>
      </w:r>
      <w:r>
        <w:rPr>
          <w:spacing w:val="61"/>
        </w:rPr>
        <w:t> </w:t>
      </w:r>
      <w:r>
        <w:rPr/>
        <w:t>A.,</w:t>
      </w:r>
      <w:r>
        <w:rPr>
          <w:spacing w:val="61"/>
        </w:rPr>
        <w:t> </w:t>
      </w:r>
      <w:r>
        <w:rPr/>
        <w:t>Matsuda,</w:t>
      </w:r>
      <w:r>
        <w:rPr>
          <w:spacing w:val="61"/>
        </w:rPr>
        <w:t> </w:t>
      </w:r>
      <w:r>
        <w:rPr/>
        <w:t>H.,</w:t>
      </w:r>
      <w:r>
        <w:rPr>
          <w:spacing w:val="61"/>
        </w:rPr>
        <w:t> </w:t>
      </w:r>
      <w:r>
        <w:rPr/>
        <w:t>Yoshikawa,</w:t>
      </w:r>
      <w:r>
        <w:rPr>
          <w:spacing w:val="61"/>
        </w:rPr>
        <w:t> </w:t>
      </w:r>
      <w:r>
        <w:rPr/>
        <w:t>M.</w:t>
      </w:r>
      <w:r>
        <w:rPr>
          <w:spacing w:val="61"/>
        </w:rPr>
        <w:t> </w:t>
      </w:r>
      <w:r>
        <w:rPr/>
        <w:t>(2000):</w:t>
      </w:r>
      <w:r>
        <w:rPr>
          <w:spacing w:val="61"/>
        </w:rPr>
        <w:t> </w:t>
      </w:r>
      <w:r>
        <w:rPr/>
        <w:t>Medicinal</w:t>
      </w:r>
      <w:r>
        <w:rPr>
          <w:spacing w:val="62"/>
        </w:rPr>
        <w:t> </w:t>
      </w:r>
      <w:r>
        <w:rPr>
          <w:spacing w:val="-2"/>
        </w:rPr>
        <w:t>foodstuffs.</w:t>
      </w:r>
    </w:p>
    <w:p>
      <w:pPr>
        <w:pStyle w:val="BodyText"/>
        <w:ind w:left="1530" w:right="992"/>
        <w:jc w:val="both"/>
      </w:pPr>
      <w:r>
        <w:rPr/>
        <w:t>XVII. Fenugreek seed (3): structures of new furostanol-type steroid saponins, trigoneosides Xa, Xb, XIb, XIIa, XIIb, and XIIIa, from the seeds of Egyptian </w:t>
      </w:r>
      <w:r>
        <w:rPr>
          <w:i/>
        </w:rPr>
        <w:t>Trigonella foenum graecum </w:t>
      </w:r>
      <w:r>
        <w:rPr/>
        <w:t>L. </w:t>
      </w:r>
      <w:r>
        <w:rPr>
          <w:i/>
        </w:rPr>
        <w:t>Chem Pharm Bull </w:t>
      </w:r>
      <w:r>
        <w:rPr/>
        <w:t>(Tokyo); </w:t>
      </w:r>
      <w:r>
        <w:rPr>
          <w:b/>
        </w:rPr>
        <w:t>48</w:t>
      </w:r>
      <w:r>
        <w:rPr/>
        <w:t>: 994-1000.</w:t>
      </w:r>
    </w:p>
    <w:p>
      <w:pPr>
        <w:pStyle w:val="BodyText"/>
        <w:spacing w:before="241"/>
        <w:ind w:left="1530" w:right="1002" w:hanging="852"/>
        <w:jc w:val="both"/>
      </w:pPr>
      <w:r>
        <w:rPr/>
        <w:t>Nadkarni, A. K. (19820; The Indian Materia Medica. Vol 1 Popular Prakashan Privtte Limited, Bombay, India.</w:t>
      </w:r>
    </w:p>
    <w:p>
      <w:pPr>
        <w:pStyle w:val="BodyText"/>
        <w:spacing w:before="240"/>
        <w:ind w:left="1530" w:right="999" w:hanging="852"/>
        <w:jc w:val="both"/>
      </w:pPr>
      <w:r>
        <w:rPr/>
        <w:t>Nafisa, P.C.F., Chakradhar, V. L., Vandana, S.P., Suresh, R. N. (2007): An experimental evaluation of the antidiabetic and antilipidemic properties of a standardized </w:t>
      </w:r>
      <w:r>
        <w:rPr>
          <w:i/>
        </w:rPr>
        <w:t>Momordica charantia </w:t>
      </w:r>
      <w:r>
        <w:rPr/>
        <w:t>fruit extract. Compl. And Alt. Med. 7:29</w:t>
      </w:r>
    </w:p>
    <w:p>
      <w:pPr>
        <w:pStyle w:val="BodyText"/>
        <w:spacing w:before="240"/>
        <w:ind w:left="1578" w:right="1000" w:hanging="900"/>
        <w:jc w:val="both"/>
      </w:pPr>
      <w:r>
        <w:rPr/>
        <w:t>Nagashyana, N., Sankarankutty, P., Nampoothiri, M. R., Mohan, P. K. and Mohan, K. K. (2000): Association of L-DOPA with recovery following Ayurveda medication</w:t>
      </w:r>
      <w:r>
        <w:rPr>
          <w:spacing w:val="40"/>
        </w:rPr>
        <w:t> </w:t>
      </w:r>
      <w:r>
        <w:rPr/>
        <w:t>in Parkinson's disease. </w:t>
      </w:r>
      <w:r>
        <w:rPr>
          <w:i/>
        </w:rPr>
        <w:t>J.</w:t>
      </w:r>
      <w:r>
        <w:rPr>
          <w:i/>
          <w:spacing w:val="40"/>
        </w:rPr>
        <w:t> </w:t>
      </w:r>
      <w:r>
        <w:rPr>
          <w:i/>
        </w:rPr>
        <w:t>Neurological Science </w:t>
      </w:r>
      <w:r>
        <w:rPr>
          <w:b/>
        </w:rPr>
        <w:t>176</w:t>
      </w:r>
      <w:r>
        <w:rPr/>
        <w:t>: 124-127.</w:t>
      </w:r>
    </w:p>
    <w:p>
      <w:pPr>
        <w:pStyle w:val="BodyText"/>
        <w:spacing w:before="240"/>
        <w:ind w:left="1530" w:right="997" w:hanging="852"/>
        <w:jc w:val="both"/>
      </w:pPr>
      <w:r>
        <w:rPr/>
        <w:t>Nathan, D. M. (1993): Long-term complications of diabetes mellitus. </w:t>
      </w:r>
      <w:r>
        <w:rPr>
          <w:i/>
        </w:rPr>
        <w:t>N Engl J Med</w:t>
      </w:r>
      <w:r>
        <w:rPr/>
        <w:t>.</w:t>
      </w:r>
      <w:r>
        <w:rPr>
          <w:spacing w:val="40"/>
        </w:rPr>
        <w:t> </w:t>
      </w:r>
      <w:r>
        <w:rPr>
          <w:b/>
        </w:rPr>
        <w:t>10</w:t>
      </w:r>
      <w:r>
        <w:rPr/>
        <w:t>: </w:t>
      </w:r>
      <w:r>
        <w:rPr>
          <w:spacing w:val="-2"/>
        </w:rPr>
        <w:t>328(23):1676–1685.</w:t>
      </w:r>
    </w:p>
    <w:p>
      <w:pPr>
        <w:pStyle w:val="BodyText"/>
        <w:spacing w:before="241"/>
        <w:ind w:left="1530" w:right="997" w:hanging="852"/>
        <w:jc w:val="both"/>
      </w:pPr>
      <w:r>
        <w:rPr/>
        <w:t>Nathan, D. M., Cleary, P. A., Backlund, J. Y. (2005): Intensive diabetic treatment and cardiovascular disease in patients with type 1 diabetes. </w:t>
      </w:r>
      <w:r>
        <w:rPr>
          <w:i/>
        </w:rPr>
        <w:t>N. Engl. J. Med</w:t>
      </w:r>
      <w:r>
        <w:rPr/>
        <w:t>. 353, </w:t>
      </w:r>
      <w:r>
        <w:rPr>
          <w:spacing w:val="-2"/>
        </w:rPr>
        <w:t>2643.</w:t>
      </w:r>
    </w:p>
    <w:p>
      <w:pPr>
        <w:spacing w:after="0"/>
        <w:jc w:val="both"/>
        <w:sectPr>
          <w:pgSz w:w="12240" w:h="15840"/>
          <w:pgMar w:header="0" w:footer="1056" w:top="1340" w:bottom="1240" w:left="1420" w:right="420"/>
        </w:sectPr>
      </w:pPr>
    </w:p>
    <w:p>
      <w:pPr>
        <w:pStyle w:val="BodyText"/>
        <w:spacing w:before="70"/>
        <w:ind w:left="1530" w:right="997" w:hanging="852"/>
        <w:jc w:val="both"/>
      </w:pPr>
      <w:r>
        <w:rPr/>
        <mc:AlternateContent>
          <mc:Choice Requires="wps">
            <w:drawing>
              <wp:anchor distT="0" distB="0" distL="0" distR="0" allowOverlap="1" layoutInCell="1" locked="0" behindDoc="1" simplePos="0" relativeHeight="483046400">
                <wp:simplePos x="0" y="0"/>
                <wp:positionH relativeFrom="page">
                  <wp:posOffset>-1402226</wp:posOffset>
                </wp:positionH>
                <wp:positionV relativeFrom="page">
                  <wp:posOffset>4612234</wp:posOffset>
                </wp:positionV>
                <wp:extent cx="10685780" cy="91440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70080;rotation:306" type="#_x0000_t136" fillcolor="#ff5400" stroked="f">
                <o:extrusion v:ext="view" autorotationcenter="t"/>
                <v:textpath style="font-family:&quot;Arial MT&quot;;font-size:72pt;v-text-kern:t;mso-text-shadow:auto" string="UNIVERSITY OF IBADAN"/>
                <w10:wrap type="none"/>
              </v:shape>
            </w:pict>
          </mc:Fallback>
        </mc:AlternateContent>
      </w:r>
      <w:r>
        <w:rPr/>
        <w:t>Naziroglu, M. and Cay, M. (2001): Protective role of intraperitoneally administered vitamin E and selenium on the oxidative defense mechanisms in rats with</w:t>
      </w:r>
      <w:r>
        <w:rPr>
          <w:spacing w:val="40"/>
        </w:rPr>
        <w:t> </w:t>
      </w:r>
      <w:r>
        <w:rPr/>
        <w:t>diabetes induced by streptozotocin</w:t>
      </w:r>
      <w:r>
        <w:rPr>
          <w:i/>
        </w:rPr>
        <w:t>. J. Biol. Stress Elem. Res, </w:t>
      </w:r>
      <w:r>
        <w:rPr>
          <w:b/>
        </w:rPr>
        <w:t>47: </w:t>
      </w:r>
      <w:r>
        <w:rPr/>
        <w:t>475-488.</w:t>
      </w:r>
    </w:p>
    <w:p>
      <w:pPr>
        <w:pStyle w:val="BodyText"/>
        <w:spacing w:line="276" w:lineRule="auto" w:before="243"/>
        <w:ind w:left="1578" w:right="1041" w:hanging="900"/>
      </w:pPr>
      <w:r>
        <w:rPr/>
        <w:t>Negre-Salvayre, A., Dousset, N., Ferretti, G., Bacchetti, T., Curatola, G., Salvayre, R. (2006):</w:t>
      </w:r>
      <w:r>
        <w:rPr>
          <w:spacing w:val="-4"/>
        </w:rPr>
        <w:t> </w:t>
      </w:r>
      <w:r>
        <w:rPr/>
        <w:t>Antioxidant</w:t>
      </w:r>
      <w:r>
        <w:rPr>
          <w:spacing w:val="-4"/>
        </w:rPr>
        <w:t> </w:t>
      </w:r>
      <w:r>
        <w:rPr/>
        <w:t>and</w:t>
      </w:r>
      <w:r>
        <w:rPr>
          <w:spacing w:val="-4"/>
        </w:rPr>
        <w:t> </w:t>
      </w:r>
      <w:r>
        <w:rPr/>
        <w:t>cytoprotective</w:t>
      </w:r>
      <w:r>
        <w:rPr>
          <w:spacing w:val="-5"/>
        </w:rPr>
        <w:t> </w:t>
      </w:r>
      <w:r>
        <w:rPr/>
        <w:t>properties</w:t>
      </w:r>
      <w:r>
        <w:rPr>
          <w:spacing w:val="-3"/>
        </w:rPr>
        <w:t> </w:t>
      </w:r>
      <w:r>
        <w:rPr/>
        <w:t>of</w:t>
      </w:r>
      <w:r>
        <w:rPr>
          <w:spacing w:val="-5"/>
        </w:rPr>
        <w:t> </w:t>
      </w:r>
      <w:r>
        <w:rPr/>
        <w:t>high-density</w:t>
      </w:r>
      <w:r>
        <w:rPr>
          <w:spacing w:val="-9"/>
        </w:rPr>
        <w:t> </w:t>
      </w:r>
      <w:r>
        <w:rPr/>
        <w:t>lipoproteins</w:t>
      </w:r>
      <w:r>
        <w:rPr>
          <w:spacing w:val="-4"/>
        </w:rPr>
        <w:t> </w:t>
      </w:r>
      <w:r>
        <w:rPr/>
        <w:t>in vascular cells. </w:t>
      </w:r>
      <w:r>
        <w:rPr>
          <w:i/>
        </w:rPr>
        <w:t>Free Radic Biol Med </w:t>
      </w:r>
      <w:r>
        <w:rPr>
          <w:b/>
        </w:rPr>
        <w:t>41</w:t>
      </w:r>
      <w:r>
        <w:rPr/>
        <w:t>: 1031 – 1040.</w:t>
      </w:r>
    </w:p>
    <w:p>
      <w:pPr>
        <w:spacing w:before="238"/>
        <w:ind w:left="678" w:right="0" w:firstLine="0"/>
        <w:jc w:val="left"/>
        <w:rPr>
          <w:i/>
          <w:sz w:val="24"/>
        </w:rPr>
      </w:pPr>
      <w:r>
        <w:rPr>
          <w:sz w:val="24"/>
        </w:rPr>
        <w:t>Neogi,</w:t>
      </w:r>
      <w:r>
        <w:rPr>
          <w:spacing w:val="8"/>
          <w:sz w:val="24"/>
        </w:rPr>
        <w:t> </w:t>
      </w:r>
      <w:r>
        <w:rPr>
          <w:sz w:val="24"/>
        </w:rPr>
        <w:t>N.C.</w:t>
      </w:r>
      <w:r>
        <w:rPr>
          <w:spacing w:val="11"/>
          <w:sz w:val="24"/>
        </w:rPr>
        <w:t> </w:t>
      </w:r>
      <w:r>
        <w:rPr>
          <w:sz w:val="24"/>
        </w:rPr>
        <w:t>and</w:t>
      </w:r>
      <w:r>
        <w:rPr>
          <w:spacing w:val="10"/>
          <w:sz w:val="24"/>
        </w:rPr>
        <w:t> </w:t>
      </w:r>
      <w:r>
        <w:rPr>
          <w:sz w:val="24"/>
        </w:rPr>
        <w:t>Nayak,</w:t>
      </w:r>
      <w:r>
        <w:rPr>
          <w:spacing w:val="13"/>
          <w:sz w:val="24"/>
        </w:rPr>
        <w:t> </w:t>
      </w:r>
      <w:r>
        <w:rPr>
          <w:sz w:val="24"/>
        </w:rPr>
        <w:t>K.P.</w:t>
      </w:r>
      <w:r>
        <w:rPr>
          <w:spacing w:val="11"/>
          <w:sz w:val="24"/>
        </w:rPr>
        <w:t> </w:t>
      </w:r>
      <w:r>
        <w:rPr>
          <w:sz w:val="24"/>
        </w:rPr>
        <w:t>(1958):</w:t>
      </w:r>
      <w:r>
        <w:rPr>
          <w:spacing w:val="50"/>
          <w:w w:val="150"/>
          <w:sz w:val="24"/>
        </w:rPr>
        <w:t> </w:t>
      </w:r>
      <w:r>
        <w:rPr>
          <w:sz w:val="24"/>
        </w:rPr>
        <w:t>Biological</w:t>
      </w:r>
      <w:r>
        <w:rPr>
          <w:spacing w:val="13"/>
          <w:sz w:val="24"/>
        </w:rPr>
        <w:t> </w:t>
      </w:r>
      <w:r>
        <w:rPr>
          <w:sz w:val="24"/>
        </w:rPr>
        <w:t>investigation</w:t>
      </w:r>
      <w:r>
        <w:rPr>
          <w:spacing w:val="10"/>
          <w:sz w:val="24"/>
        </w:rPr>
        <w:t> </w:t>
      </w:r>
      <w:r>
        <w:rPr>
          <w:sz w:val="24"/>
        </w:rPr>
        <w:t>of</w:t>
      </w:r>
      <w:r>
        <w:rPr>
          <w:spacing w:val="15"/>
          <w:sz w:val="24"/>
        </w:rPr>
        <w:t> </w:t>
      </w:r>
      <w:r>
        <w:rPr>
          <w:i/>
          <w:sz w:val="24"/>
        </w:rPr>
        <w:t>Caesalpinia</w:t>
      </w:r>
      <w:r>
        <w:rPr>
          <w:i/>
          <w:spacing w:val="12"/>
          <w:sz w:val="24"/>
        </w:rPr>
        <w:t> </w:t>
      </w:r>
      <w:r>
        <w:rPr>
          <w:i/>
          <w:spacing w:val="-2"/>
          <w:sz w:val="24"/>
        </w:rPr>
        <w:t>bonducella</w:t>
      </w:r>
    </w:p>
    <w:p>
      <w:pPr>
        <w:spacing w:before="0"/>
        <w:ind w:left="1530" w:right="0" w:firstLine="0"/>
        <w:jc w:val="left"/>
        <w:rPr>
          <w:sz w:val="24"/>
        </w:rPr>
      </w:pPr>
      <w:r>
        <w:rPr>
          <w:sz w:val="24"/>
        </w:rPr>
        <w:t>Flem,</w:t>
      </w:r>
      <w:r>
        <w:rPr>
          <w:spacing w:val="-1"/>
          <w:sz w:val="24"/>
        </w:rPr>
        <w:t> </w:t>
      </w:r>
      <w:r>
        <w:rPr>
          <w:i/>
          <w:sz w:val="24"/>
        </w:rPr>
        <w:t>Indian</w:t>
      </w:r>
      <w:r>
        <w:rPr>
          <w:i/>
          <w:spacing w:val="-1"/>
          <w:sz w:val="24"/>
        </w:rPr>
        <w:t> </w:t>
      </w:r>
      <w:r>
        <w:rPr>
          <w:i/>
          <w:sz w:val="24"/>
        </w:rPr>
        <w:t>Journal</w:t>
      </w:r>
      <w:r>
        <w:rPr>
          <w:i/>
          <w:spacing w:val="-1"/>
          <w:sz w:val="24"/>
        </w:rPr>
        <w:t> </w:t>
      </w:r>
      <w:r>
        <w:rPr>
          <w:i/>
          <w:sz w:val="24"/>
        </w:rPr>
        <w:t>of</w:t>
      </w:r>
      <w:r>
        <w:rPr>
          <w:i/>
          <w:spacing w:val="1"/>
          <w:sz w:val="24"/>
        </w:rPr>
        <w:t> </w:t>
      </w:r>
      <w:r>
        <w:rPr>
          <w:i/>
          <w:sz w:val="24"/>
        </w:rPr>
        <w:t>Pharmacy</w:t>
      </w:r>
      <w:r>
        <w:rPr>
          <w:i/>
          <w:spacing w:val="-1"/>
          <w:sz w:val="24"/>
        </w:rPr>
        <w:t> </w:t>
      </w:r>
      <w:r>
        <w:rPr>
          <w:b/>
          <w:sz w:val="24"/>
        </w:rPr>
        <w:t>20</w:t>
      </w:r>
      <w:r>
        <w:rPr>
          <w:sz w:val="24"/>
        </w:rPr>
        <w:t>:</w:t>
      </w:r>
      <w:r>
        <w:rPr>
          <w:spacing w:val="-1"/>
          <w:sz w:val="24"/>
        </w:rPr>
        <w:t> </w:t>
      </w:r>
      <w:r>
        <w:rPr>
          <w:sz w:val="24"/>
        </w:rPr>
        <w:t>pp. </w:t>
      </w:r>
      <w:r>
        <w:rPr>
          <w:spacing w:val="-2"/>
          <w:sz w:val="24"/>
        </w:rPr>
        <w:t>95–100.</w:t>
      </w:r>
    </w:p>
    <w:p>
      <w:pPr>
        <w:pStyle w:val="BodyText"/>
        <w:spacing w:line="276" w:lineRule="auto" w:before="243"/>
        <w:ind w:left="1489" w:right="1386" w:hanging="812"/>
      </w:pPr>
      <w:r>
        <w:rPr/>
        <w:t>Nicholls,</w:t>
      </w:r>
      <w:r>
        <w:rPr>
          <w:spacing w:val="-4"/>
        </w:rPr>
        <w:t> </w:t>
      </w:r>
      <w:r>
        <w:rPr/>
        <w:t>S.J.,</w:t>
      </w:r>
      <w:r>
        <w:rPr>
          <w:spacing w:val="-4"/>
        </w:rPr>
        <w:t> </w:t>
      </w:r>
      <w:r>
        <w:rPr/>
        <w:t>Rye,</w:t>
      </w:r>
      <w:r>
        <w:rPr>
          <w:spacing w:val="-4"/>
        </w:rPr>
        <w:t> </w:t>
      </w:r>
      <w:r>
        <w:rPr/>
        <w:t>K.A.,</w:t>
      </w:r>
      <w:r>
        <w:rPr>
          <w:spacing w:val="-2"/>
        </w:rPr>
        <w:t> </w:t>
      </w:r>
      <w:r>
        <w:rPr/>
        <w:t>Barter,</w:t>
      </w:r>
      <w:r>
        <w:rPr>
          <w:spacing w:val="-4"/>
        </w:rPr>
        <w:t> </w:t>
      </w:r>
      <w:r>
        <w:rPr/>
        <w:t>P.J.</w:t>
      </w:r>
      <w:r>
        <w:rPr>
          <w:spacing w:val="-2"/>
        </w:rPr>
        <w:t> </w:t>
      </w:r>
      <w:r>
        <w:rPr/>
        <w:t>(2005):</w:t>
      </w:r>
      <w:r>
        <w:rPr>
          <w:spacing w:val="-5"/>
        </w:rPr>
        <w:t> </w:t>
      </w:r>
      <w:r>
        <w:rPr/>
        <w:t>High-density</w:t>
      </w:r>
      <w:r>
        <w:rPr>
          <w:spacing w:val="-9"/>
        </w:rPr>
        <w:t> </w:t>
      </w:r>
      <w:r>
        <w:rPr/>
        <w:t>lipoproteins</w:t>
      </w:r>
      <w:r>
        <w:rPr>
          <w:spacing w:val="-4"/>
        </w:rPr>
        <w:t> </w:t>
      </w:r>
      <w:r>
        <w:rPr/>
        <w:t>as</w:t>
      </w:r>
      <w:r>
        <w:rPr>
          <w:spacing w:val="-4"/>
        </w:rPr>
        <w:t> </w:t>
      </w:r>
      <w:r>
        <w:rPr/>
        <w:t>therapeutic targets. </w:t>
      </w:r>
      <w:r>
        <w:rPr>
          <w:i/>
        </w:rPr>
        <w:t>Curr Opin Lipidol</w:t>
      </w:r>
      <w:r>
        <w:rPr/>
        <w:t>. </w:t>
      </w:r>
      <w:r>
        <w:rPr>
          <w:b/>
        </w:rPr>
        <w:t>16</w:t>
      </w:r>
      <w:r>
        <w:rPr/>
        <w:t>:345-349.</w:t>
      </w:r>
    </w:p>
    <w:p>
      <w:pPr>
        <w:spacing w:before="273"/>
        <w:ind w:left="1578" w:right="998" w:hanging="900"/>
        <w:jc w:val="both"/>
        <w:rPr>
          <w:sz w:val="24"/>
        </w:rPr>
      </w:pPr>
      <w:r>
        <w:rPr>
          <w:sz w:val="24"/>
        </w:rPr>
        <w:t>Niewoehner, C.B., Lin, P.Y., Tsou, C.T., Wang, J.J., Lin, W.H. (1986): Hypoglycaemic effect of Mucuna pruriens seed extract.</w:t>
      </w:r>
      <w:r>
        <w:rPr>
          <w:spacing w:val="40"/>
          <w:sz w:val="24"/>
        </w:rPr>
        <w:t> </w:t>
      </w:r>
      <w:r>
        <w:rPr>
          <w:i/>
          <w:sz w:val="24"/>
        </w:rPr>
        <w:t>Journal of Biological Trace Elements Research </w:t>
      </w:r>
      <w:r>
        <w:rPr>
          <w:b/>
          <w:sz w:val="24"/>
        </w:rPr>
        <w:t>50</w:t>
      </w:r>
      <w:r>
        <w:rPr>
          <w:sz w:val="24"/>
        </w:rPr>
        <w:t>, p.119.</w:t>
      </w:r>
    </w:p>
    <w:p>
      <w:pPr>
        <w:spacing w:before="240"/>
        <w:ind w:left="1954" w:right="997" w:hanging="1277"/>
        <w:jc w:val="left"/>
        <w:rPr>
          <w:sz w:val="24"/>
        </w:rPr>
      </w:pPr>
      <w:r>
        <w:rPr>
          <w:sz w:val="24"/>
        </w:rPr>
        <w:t>Noyes, A.A and Whitney, W.R.</w:t>
      </w:r>
      <w:r>
        <w:rPr>
          <w:spacing w:val="-1"/>
          <w:sz w:val="24"/>
        </w:rPr>
        <w:t> </w:t>
      </w:r>
      <w:r>
        <w:rPr>
          <w:sz w:val="24"/>
        </w:rPr>
        <w:t>(1897): The rate of dissolution</w:t>
      </w:r>
      <w:r>
        <w:rPr>
          <w:spacing w:val="-1"/>
          <w:sz w:val="24"/>
        </w:rPr>
        <w:t> </w:t>
      </w:r>
      <w:r>
        <w:rPr>
          <w:sz w:val="24"/>
        </w:rPr>
        <w:t>of solid</w:t>
      </w:r>
      <w:r>
        <w:rPr>
          <w:spacing w:val="-1"/>
          <w:sz w:val="24"/>
        </w:rPr>
        <w:t> </w:t>
      </w:r>
      <w:r>
        <w:rPr>
          <w:sz w:val="24"/>
        </w:rPr>
        <w:t>substances in their own solutions. </w:t>
      </w:r>
      <w:r>
        <w:rPr>
          <w:i/>
          <w:sz w:val="24"/>
        </w:rPr>
        <w:t>Journal of American Chemist Society </w:t>
      </w:r>
      <w:r>
        <w:rPr>
          <w:b/>
          <w:sz w:val="24"/>
        </w:rPr>
        <w:t>19: </w:t>
      </w:r>
      <w:r>
        <w:rPr>
          <w:sz w:val="24"/>
        </w:rPr>
        <w:t>930-934.</w:t>
      </w:r>
    </w:p>
    <w:p>
      <w:pPr>
        <w:pStyle w:val="BodyText"/>
        <w:spacing w:line="510" w:lineRule="atLeast" w:before="6"/>
        <w:ind w:left="678" w:right="997"/>
      </w:pPr>
      <w:r>
        <w:rPr/>
        <w:t>Oberly, L.W.(1988): Free radicals and diabetes, </w:t>
      </w:r>
      <w:r>
        <w:rPr>
          <w:i/>
        </w:rPr>
        <w:t>J. Free Radical. Biol. Med</w:t>
      </w:r>
      <w:r>
        <w:rPr/>
        <w:t>, </w:t>
      </w:r>
      <w:r>
        <w:rPr>
          <w:b/>
        </w:rPr>
        <w:t>5: </w:t>
      </w:r>
      <w:r>
        <w:rPr/>
        <w:t>113-124</w:t>
      </w:r>
      <w:r>
        <w:rPr>
          <w:b/>
        </w:rPr>
        <w:t>. </w:t>
      </w:r>
      <w:r>
        <w:rPr/>
        <w:t>Odeku,</w:t>
      </w:r>
      <w:r>
        <w:rPr>
          <w:spacing w:val="25"/>
        </w:rPr>
        <w:t> </w:t>
      </w:r>
      <w:r>
        <w:rPr/>
        <w:t>O.</w:t>
      </w:r>
      <w:r>
        <w:rPr>
          <w:spacing w:val="27"/>
        </w:rPr>
        <w:t> </w:t>
      </w:r>
      <w:r>
        <w:rPr/>
        <w:t>A.</w:t>
      </w:r>
      <w:r>
        <w:rPr>
          <w:spacing w:val="27"/>
        </w:rPr>
        <w:t> </w:t>
      </w:r>
      <w:r>
        <w:rPr/>
        <w:t>and</w:t>
      </w:r>
      <w:r>
        <w:rPr>
          <w:spacing w:val="33"/>
        </w:rPr>
        <w:t> </w:t>
      </w:r>
      <w:r>
        <w:rPr/>
        <w:t>Itiola,</w:t>
      </w:r>
      <w:r>
        <w:rPr>
          <w:spacing w:val="29"/>
        </w:rPr>
        <w:t> </w:t>
      </w:r>
      <w:r>
        <w:rPr/>
        <w:t>O.</w:t>
      </w:r>
      <w:r>
        <w:rPr>
          <w:spacing w:val="27"/>
        </w:rPr>
        <w:t> </w:t>
      </w:r>
      <w:r>
        <w:rPr/>
        <w:t>A.</w:t>
      </w:r>
      <w:r>
        <w:rPr>
          <w:spacing w:val="28"/>
        </w:rPr>
        <w:t> </w:t>
      </w:r>
      <w:r>
        <w:rPr/>
        <w:t>(2003):</w:t>
      </w:r>
      <w:r>
        <w:rPr>
          <w:spacing w:val="27"/>
        </w:rPr>
        <w:t> </w:t>
      </w:r>
      <w:r>
        <w:rPr/>
        <w:t>Evaluation</w:t>
      </w:r>
      <w:r>
        <w:rPr>
          <w:spacing w:val="27"/>
        </w:rPr>
        <w:t> </w:t>
      </w:r>
      <w:r>
        <w:rPr/>
        <w:t>of</w:t>
      </w:r>
      <w:r>
        <w:rPr>
          <w:spacing w:val="27"/>
        </w:rPr>
        <w:t> </w:t>
      </w:r>
      <w:r>
        <w:rPr/>
        <w:t>the</w:t>
      </w:r>
      <w:r>
        <w:rPr>
          <w:spacing w:val="27"/>
        </w:rPr>
        <w:t> </w:t>
      </w:r>
      <w:r>
        <w:rPr/>
        <w:t>Effects</w:t>
      </w:r>
      <w:r>
        <w:rPr>
          <w:spacing w:val="28"/>
        </w:rPr>
        <w:t> </w:t>
      </w:r>
      <w:r>
        <w:rPr/>
        <w:t>of</w:t>
      </w:r>
      <w:r>
        <w:rPr>
          <w:spacing w:val="27"/>
        </w:rPr>
        <w:t> </w:t>
      </w:r>
      <w:r>
        <w:rPr/>
        <w:t>Khaya</w:t>
      </w:r>
      <w:r>
        <w:rPr>
          <w:spacing w:val="26"/>
        </w:rPr>
        <w:t> </w:t>
      </w:r>
      <w:r>
        <w:rPr/>
        <w:t>Gum</w:t>
      </w:r>
      <w:r>
        <w:rPr>
          <w:spacing w:val="27"/>
        </w:rPr>
        <w:t> </w:t>
      </w:r>
      <w:r>
        <w:rPr/>
        <w:t>on</w:t>
      </w:r>
      <w:r>
        <w:rPr>
          <w:spacing w:val="28"/>
        </w:rPr>
        <w:t> </w:t>
      </w:r>
      <w:r>
        <w:rPr>
          <w:spacing w:val="-5"/>
        </w:rPr>
        <w:t>the</w:t>
      </w:r>
    </w:p>
    <w:p>
      <w:pPr>
        <w:spacing w:before="6"/>
        <w:ind w:left="2096" w:right="1041" w:firstLine="0"/>
        <w:jc w:val="left"/>
        <w:rPr>
          <w:sz w:val="24"/>
        </w:rPr>
      </w:pPr>
      <w:r>
        <w:rPr>
          <w:sz w:val="24"/>
        </w:rPr>
        <w:t>Mechanical and Release Properties of Paracetamol Tablets. </w:t>
      </w:r>
      <w:r>
        <w:rPr>
          <w:i/>
          <w:sz w:val="24"/>
        </w:rPr>
        <w:t>Drug Dev. and Ind. Pharmacy</w:t>
      </w:r>
      <w:r>
        <w:rPr>
          <w:sz w:val="24"/>
        </w:rPr>
        <w:t>, </w:t>
      </w:r>
      <w:r>
        <w:rPr>
          <w:b/>
          <w:sz w:val="24"/>
        </w:rPr>
        <w:t>29</w:t>
      </w:r>
      <w:r>
        <w:rPr>
          <w:sz w:val="24"/>
        </w:rPr>
        <w:t>: 311 - 320.</w:t>
      </w:r>
    </w:p>
    <w:p>
      <w:pPr>
        <w:pStyle w:val="BodyText"/>
        <w:spacing w:before="240"/>
        <w:ind w:left="1954" w:right="992" w:hanging="1277"/>
        <w:jc w:val="both"/>
      </w:pPr>
      <w:r>
        <w:rPr/>
        <w:t>Okenfull, D. G. Topping, D. L. Illuman, R. J. and Fenwick D. E. (1984): Prevention of dietary hypercholesterolaemia in the art by soya and quillaja saponins. </w:t>
      </w:r>
      <w:r>
        <w:rPr>
          <w:i/>
        </w:rPr>
        <w:t>Nutrition Research International </w:t>
      </w:r>
      <w:r>
        <w:rPr>
          <w:b/>
        </w:rPr>
        <w:t>29</w:t>
      </w:r>
      <w:r>
        <w:rPr/>
        <w:t>: 1039-1041.</w:t>
      </w:r>
    </w:p>
    <w:p>
      <w:pPr>
        <w:pStyle w:val="BodyText"/>
        <w:spacing w:before="240"/>
        <w:ind w:left="1671" w:right="991" w:hanging="994"/>
        <w:jc w:val="both"/>
      </w:pPr>
      <w:r>
        <w:rPr>
          <w:color w:val="221F1F"/>
        </w:rPr>
        <w:t>Ortmeyer,</w:t>
      </w:r>
      <w:r>
        <w:rPr>
          <w:color w:val="221F1F"/>
          <w:spacing w:val="-1"/>
        </w:rPr>
        <w:t> </w:t>
      </w:r>
      <w:r>
        <w:rPr>
          <w:color w:val="221F1F"/>
        </w:rPr>
        <w:t>H.</w:t>
      </w:r>
      <w:r>
        <w:rPr>
          <w:color w:val="221F1F"/>
          <w:spacing w:val="-3"/>
        </w:rPr>
        <w:t> </w:t>
      </w:r>
      <w:r>
        <w:rPr>
          <w:color w:val="221F1F"/>
        </w:rPr>
        <w:t>K, Larner, J,</w:t>
      </w:r>
      <w:r>
        <w:rPr>
          <w:color w:val="221F1F"/>
          <w:spacing w:val="-3"/>
        </w:rPr>
        <w:t> </w:t>
      </w:r>
      <w:r>
        <w:rPr>
          <w:color w:val="221F1F"/>
        </w:rPr>
        <w:t>Hansen,</w:t>
      </w:r>
      <w:r>
        <w:rPr>
          <w:color w:val="221F1F"/>
          <w:spacing w:val="-3"/>
        </w:rPr>
        <w:t> </w:t>
      </w:r>
      <w:r>
        <w:rPr>
          <w:color w:val="221F1F"/>
        </w:rPr>
        <w:t>B.</w:t>
      </w:r>
      <w:r>
        <w:rPr>
          <w:color w:val="221F1F"/>
          <w:spacing w:val="-1"/>
        </w:rPr>
        <w:t> </w:t>
      </w:r>
      <w:r>
        <w:rPr>
          <w:color w:val="221F1F"/>
        </w:rPr>
        <w:t>C.</w:t>
      </w:r>
      <w:r>
        <w:rPr>
          <w:color w:val="221F1F"/>
          <w:spacing w:val="-3"/>
        </w:rPr>
        <w:t> </w:t>
      </w:r>
      <w:r>
        <w:rPr>
          <w:color w:val="221F1F"/>
        </w:rPr>
        <w:t>(1995): Effect</w:t>
      </w:r>
      <w:r>
        <w:rPr>
          <w:color w:val="221F1F"/>
          <w:spacing w:val="-1"/>
        </w:rPr>
        <w:t> </w:t>
      </w:r>
      <w:r>
        <w:rPr>
          <w:color w:val="221F1F"/>
        </w:rPr>
        <w:t>of</w:t>
      </w:r>
      <w:r>
        <w:rPr>
          <w:color w:val="221F1F"/>
          <w:spacing w:val="-2"/>
        </w:rPr>
        <w:t> </w:t>
      </w:r>
      <w:r>
        <w:rPr>
          <w:color w:val="221F1F"/>
        </w:rPr>
        <w:t>D-chiroinositol added</w:t>
      </w:r>
      <w:r>
        <w:rPr>
          <w:color w:val="221F1F"/>
          <w:spacing w:val="-3"/>
        </w:rPr>
        <w:t> </w:t>
      </w:r>
      <w:r>
        <w:rPr>
          <w:color w:val="221F1F"/>
        </w:rPr>
        <w:t>to</w:t>
      </w:r>
      <w:r>
        <w:rPr>
          <w:color w:val="221F1F"/>
          <w:spacing w:val="-1"/>
        </w:rPr>
        <w:t> </w:t>
      </w:r>
      <w:r>
        <w:rPr>
          <w:color w:val="221F1F"/>
        </w:rPr>
        <w:t>a</w:t>
      </w:r>
      <w:r>
        <w:rPr>
          <w:color w:val="221F1F"/>
          <w:spacing w:val="-4"/>
        </w:rPr>
        <w:t> </w:t>
      </w:r>
      <w:r>
        <w:rPr>
          <w:color w:val="221F1F"/>
        </w:rPr>
        <w:t>meal on plasma glucose and insulin in hyperinsulinemic rhesus monkeys. </w:t>
      </w:r>
      <w:r>
        <w:rPr>
          <w:i/>
          <w:color w:val="221F1F"/>
        </w:rPr>
        <w:t>Obesity Research </w:t>
      </w:r>
      <w:r>
        <w:rPr>
          <w:b/>
          <w:color w:val="221F1F"/>
        </w:rPr>
        <w:t>3</w:t>
      </w:r>
      <w:r>
        <w:rPr>
          <w:color w:val="221F1F"/>
        </w:rPr>
        <w:t>: 605S–608S.</w:t>
      </w:r>
    </w:p>
    <w:p>
      <w:pPr>
        <w:pStyle w:val="BodyText"/>
      </w:pPr>
    </w:p>
    <w:p>
      <w:pPr>
        <w:pStyle w:val="BodyText"/>
        <w:ind w:left="1810" w:right="1230" w:hanging="1133"/>
      </w:pPr>
      <w:r>
        <w:rPr>
          <w:color w:val="221F1F"/>
        </w:rPr>
        <w:t>Ostlund,</w:t>
      </w:r>
      <w:r>
        <w:rPr>
          <w:color w:val="221F1F"/>
          <w:spacing w:val="-3"/>
        </w:rPr>
        <w:t> </w:t>
      </w:r>
      <w:r>
        <w:rPr>
          <w:color w:val="221F1F"/>
        </w:rPr>
        <w:t>R.E,</w:t>
      </w:r>
      <w:r>
        <w:rPr>
          <w:color w:val="221F1F"/>
          <w:spacing w:val="-3"/>
        </w:rPr>
        <w:t> </w:t>
      </w:r>
      <w:r>
        <w:rPr>
          <w:color w:val="221F1F"/>
        </w:rPr>
        <w:t>McGill,</w:t>
      </w:r>
      <w:r>
        <w:rPr>
          <w:color w:val="221F1F"/>
          <w:spacing w:val="-6"/>
        </w:rPr>
        <w:t> </w:t>
      </w:r>
      <w:r>
        <w:rPr>
          <w:color w:val="221F1F"/>
        </w:rPr>
        <w:t>J.</w:t>
      </w:r>
      <w:r>
        <w:rPr>
          <w:color w:val="221F1F"/>
          <w:spacing w:val="-6"/>
        </w:rPr>
        <w:t> </w:t>
      </w:r>
      <w:r>
        <w:rPr>
          <w:color w:val="221F1F"/>
        </w:rPr>
        <w:t>B,</w:t>
      </w:r>
      <w:r>
        <w:rPr>
          <w:color w:val="221F1F"/>
          <w:spacing w:val="-3"/>
        </w:rPr>
        <w:t> </w:t>
      </w:r>
      <w:r>
        <w:rPr>
          <w:color w:val="221F1F"/>
        </w:rPr>
        <w:t>Herskowitz I,</w:t>
      </w:r>
      <w:r>
        <w:rPr>
          <w:color w:val="221F1F"/>
          <w:spacing w:val="-3"/>
        </w:rPr>
        <w:t> </w:t>
      </w:r>
      <w:r>
        <w:rPr>
          <w:color w:val="221F1F"/>
        </w:rPr>
        <w:t>Kipnis</w:t>
      </w:r>
      <w:r>
        <w:rPr>
          <w:color w:val="221F1F"/>
          <w:spacing w:val="-1"/>
        </w:rPr>
        <w:t> </w:t>
      </w:r>
      <w:r>
        <w:rPr>
          <w:color w:val="221F1F"/>
        </w:rPr>
        <w:t>DM,</w:t>
      </w:r>
      <w:r>
        <w:rPr>
          <w:color w:val="221F1F"/>
          <w:spacing w:val="-3"/>
        </w:rPr>
        <w:t> </w:t>
      </w:r>
      <w:r>
        <w:rPr>
          <w:color w:val="221F1F"/>
        </w:rPr>
        <w:t>Santiago</w:t>
      </w:r>
      <w:r>
        <w:rPr>
          <w:color w:val="221F1F"/>
          <w:spacing w:val="-3"/>
        </w:rPr>
        <w:t> </w:t>
      </w:r>
      <w:r>
        <w:rPr>
          <w:color w:val="221F1F"/>
        </w:rPr>
        <w:t>J,</w:t>
      </w:r>
      <w:r>
        <w:rPr>
          <w:color w:val="221F1F"/>
          <w:spacing w:val="-1"/>
        </w:rPr>
        <w:t> </w:t>
      </w:r>
      <w:r>
        <w:rPr>
          <w:color w:val="221F1F"/>
        </w:rPr>
        <w:t>Sherman</w:t>
      </w:r>
      <w:r>
        <w:rPr>
          <w:color w:val="221F1F"/>
          <w:spacing w:val="-3"/>
        </w:rPr>
        <w:t> </w:t>
      </w:r>
      <w:r>
        <w:rPr>
          <w:color w:val="221F1F"/>
        </w:rPr>
        <w:t>WR.</w:t>
      </w:r>
      <w:r>
        <w:rPr>
          <w:color w:val="221F1F"/>
          <w:spacing w:val="-2"/>
        </w:rPr>
        <w:t> </w:t>
      </w:r>
      <w:r>
        <w:rPr>
          <w:color w:val="221F1F"/>
        </w:rPr>
        <w:t>(1993): D-chiro-inositol metabolism in diabetes mellitus. </w:t>
      </w:r>
      <w:r>
        <w:rPr>
          <w:i/>
          <w:color w:val="221F1F"/>
        </w:rPr>
        <w:t>Proc Natl Acad Sci </w:t>
      </w:r>
      <w:r>
        <w:rPr>
          <w:b/>
          <w:color w:val="221F1F"/>
        </w:rPr>
        <w:t>90</w:t>
      </w:r>
      <w:r>
        <w:rPr>
          <w:color w:val="221F1F"/>
        </w:rPr>
        <w:t>: </w:t>
      </w:r>
      <w:r>
        <w:rPr>
          <w:color w:val="221F1F"/>
          <w:spacing w:val="-2"/>
        </w:rPr>
        <w:t>9988–9992.</w:t>
      </w:r>
    </w:p>
    <w:p>
      <w:pPr>
        <w:pStyle w:val="BodyText"/>
        <w:spacing w:before="241"/>
        <w:ind w:left="1671" w:right="1006" w:hanging="994"/>
        <w:jc w:val="both"/>
      </w:pPr>
      <w:r>
        <w:rPr/>
        <w:t>Pabrai, P. R. and Sehra, K. B. (1962): Effect of Momordica charantia opn blood sugar in rabbits. </w:t>
      </w:r>
      <w:r>
        <w:rPr>
          <w:i/>
        </w:rPr>
        <w:t>Indian J. of Pharm </w:t>
      </w:r>
      <w:r>
        <w:rPr>
          <w:b/>
        </w:rPr>
        <w:t>24</w:t>
      </w:r>
      <w:r>
        <w:rPr/>
        <w:t>: 209-213.</w:t>
      </w:r>
    </w:p>
    <w:p>
      <w:pPr>
        <w:pStyle w:val="BodyText"/>
        <w:spacing w:before="240"/>
        <w:ind w:left="1669" w:right="994" w:hanging="992"/>
        <w:rPr>
          <w:i/>
        </w:rPr>
      </w:pPr>
      <w:r>
        <w:rPr/>
        <w:t>Palma,</w:t>
      </w:r>
      <w:r>
        <w:rPr>
          <w:spacing w:val="-3"/>
        </w:rPr>
        <w:t> </w:t>
      </w:r>
      <w:r>
        <w:rPr/>
        <w:t>S.</w:t>
      </w:r>
      <w:r>
        <w:rPr>
          <w:spacing w:val="-3"/>
        </w:rPr>
        <w:t> </w:t>
      </w:r>
      <w:r>
        <w:rPr/>
        <w:t>D.,</w:t>
      </w:r>
      <w:r>
        <w:rPr>
          <w:spacing w:val="-3"/>
        </w:rPr>
        <w:t> </w:t>
      </w:r>
      <w:r>
        <w:rPr/>
        <w:t>Manzo,</w:t>
      </w:r>
      <w:r>
        <w:rPr>
          <w:spacing w:val="-3"/>
        </w:rPr>
        <w:t> </w:t>
      </w:r>
      <w:r>
        <w:rPr/>
        <w:t>R.</w:t>
      </w:r>
      <w:r>
        <w:rPr>
          <w:spacing w:val="-5"/>
        </w:rPr>
        <w:t> </w:t>
      </w:r>
      <w:r>
        <w:rPr/>
        <w:t>H.,</w:t>
      </w:r>
      <w:r>
        <w:rPr>
          <w:spacing w:val="-3"/>
        </w:rPr>
        <w:t> </w:t>
      </w:r>
      <w:r>
        <w:rPr/>
        <w:t>(1999):</w:t>
      </w:r>
      <w:r>
        <w:rPr>
          <w:spacing w:val="-3"/>
        </w:rPr>
        <w:t> </w:t>
      </w:r>
      <w:r>
        <w:rPr/>
        <w:t>Allemandi</w:t>
      </w:r>
      <w:r>
        <w:rPr>
          <w:spacing w:val="-3"/>
        </w:rPr>
        <w:t> </w:t>
      </w:r>
      <w:r>
        <w:rPr/>
        <w:t>D.</w:t>
      </w:r>
      <w:r>
        <w:rPr>
          <w:spacing w:val="-1"/>
        </w:rPr>
        <w:t> </w:t>
      </w:r>
      <w:r>
        <w:rPr/>
        <w:t>A.</w:t>
      </w:r>
      <w:r>
        <w:rPr>
          <w:spacing w:val="-3"/>
        </w:rPr>
        <w:t> </w:t>
      </w:r>
      <w:r>
        <w:rPr/>
        <w:t>Dry</w:t>
      </w:r>
      <w:r>
        <w:rPr>
          <w:spacing w:val="-8"/>
        </w:rPr>
        <w:t> </w:t>
      </w:r>
      <w:r>
        <w:rPr/>
        <w:t>plant</w:t>
      </w:r>
      <w:r>
        <w:rPr>
          <w:spacing w:val="-3"/>
        </w:rPr>
        <w:t> </w:t>
      </w:r>
      <w:r>
        <w:rPr/>
        <w:t>extract</w:t>
      </w:r>
      <w:r>
        <w:rPr>
          <w:spacing w:val="-3"/>
        </w:rPr>
        <w:t> </w:t>
      </w:r>
      <w:r>
        <w:rPr/>
        <w:t>loaded</w:t>
      </w:r>
      <w:r>
        <w:rPr>
          <w:spacing w:val="-3"/>
        </w:rPr>
        <w:t> </w:t>
      </w:r>
      <w:r>
        <w:rPr/>
        <w:t>on</w:t>
      </w:r>
      <w:r>
        <w:rPr>
          <w:spacing w:val="-3"/>
        </w:rPr>
        <w:t> </w:t>
      </w:r>
      <w:r>
        <w:rPr/>
        <w:t>fumed silica for direct compression: preparation and preformulation. </w:t>
      </w:r>
      <w:r>
        <w:rPr>
          <w:i/>
        </w:rPr>
        <w:t>Pharm. Dev.</w:t>
      </w:r>
    </w:p>
    <w:p>
      <w:pPr>
        <w:spacing w:before="0"/>
        <w:ind w:left="1669" w:right="0" w:firstLine="0"/>
        <w:jc w:val="left"/>
        <w:rPr>
          <w:sz w:val="24"/>
        </w:rPr>
      </w:pPr>
      <w:r>
        <w:rPr>
          <w:i/>
          <w:sz w:val="24"/>
        </w:rPr>
        <w:t>Technol</w:t>
      </w:r>
      <w:r>
        <w:rPr>
          <w:sz w:val="24"/>
        </w:rPr>
        <w:t>.</w:t>
      </w:r>
      <w:r>
        <w:rPr>
          <w:spacing w:val="-2"/>
          <w:sz w:val="24"/>
        </w:rPr>
        <w:t> </w:t>
      </w:r>
      <w:r>
        <w:rPr>
          <w:b/>
          <w:spacing w:val="-2"/>
          <w:sz w:val="24"/>
        </w:rPr>
        <w:t>4</w:t>
      </w:r>
      <w:r>
        <w:rPr>
          <w:spacing w:val="-2"/>
          <w:sz w:val="24"/>
        </w:rPr>
        <w:t>(4):523–530.</w:t>
      </w:r>
    </w:p>
    <w:p>
      <w:pPr>
        <w:spacing w:after="0"/>
        <w:jc w:val="left"/>
        <w:rPr>
          <w:sz w:val="24"/>
        </w:rPr>
        <w:sectPr>
          <w:pgSz w:w="12240" w:h="15840"/>
          <w:pgMar w:header="0" w:footer="1056" w:top="1340" w:bottom="1240" w:left="1420" w:right="420"/>
        </w:sectPr>
      </w:pPr>
    </w:p>
    <w:p>
      <w:pPr>
        <w:spacing w:before="70"/>
        <w:ind w:left="1671" w:right="999" w:hanging="994"/>
        <w:jc w:val="both"/>
        <w:rPr>
          <w:sz w:val="24"/>
        </w:rPr>
      </w:pPr>
      <w:r>
        <w:rPr/>
        <mc:AlternateContent>
          <mc:Choice Requires="wps">
            <w:drawing>
              <wp:anchor distT="0" distB="0" distL="0" distR="0" allowOverlap="1" layoutInCell="1" locked="0" behindDoc="1" simplePos="0" relativeHeight="483046912">
                <wp:simplePos x="0" y="0"/>
                <wp:positionH relativeFrom="page">
                  <wp:posOffset>-1402226</wp:posOffset>
                </wp:positionH>
                <wp:positionV relativeFrom="page">
                  <wp:posOffset>4612234</wp:posOffset>
                </wp:positionV>
                <wp:extent cx="10685780" cy="91440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9568;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Paul, U. and Joseph, E. (2001): Effect of </w:t>
      </w:r>
      <w:r>
        <w:rPr>
          <w:i/>
          <w:sz w:val="24"/>
        </w:rPr>
        <w:t>Mucuna urens </w:t>
      </w:r>
      <w:r>
        <w:rPr>
          <w:sz w:val="24"/>
        </w:rPr>
        <w:t>(horse eye bean) on the gonads of male guinea-pigs. </w:t>
      </w:r>
      <w:r>
        <w:rPr>
          <w:i/>
          <w:sz w:val="24"/>
        </w:rPr>
        <w:t>Phytotherapy Research </w:t>
      </w:r>
      <w:r>
        <w:rPr>
          <w:b/>
          <w:sz w:val="24"/>
        </w:rPr>
        <w:t>15</w:t>
      </w:r>
      <w:r>
        <w:rPr>
          <w:sz w:val="24"/>
        </w:rPr>
        <w:t>: 99-102.</w:t>
      </w:r>
    </w:p>
    <w:p>
      <w:pPr>
        <w:pStyle w:val="BodyText"/>
        <w:spacing w:before="7"/>
      </w:pPr>
    </w:p>
    <w:p>
      <w:pPr>
        <w:pStyle w:val="BodyText"/>
        <w:spacing w:line="237" w:lineRule="auto" w:before="1"/>
        <w:ind w:left="1669" w:right="1041" w:hanging="992"/>
      </w:pPr>
      <w:r>
        <w:rPr/>
        <w:t>Pederson, R. A. (1999):</w:t>
      </w:r>
      <w:r>
        <w:rPr>
          <w:spacing w:val="40"/>
        </w:rPr>
        <w:t> </w:t>
      </w:r>
      <w:r>
        <w:rPr/>
        <w:t>Non insulin dependent animal models of diabetes mellitus, Experimental</w:t>
      </w:r>
      <w:r>
        <w:rPr>
          <w:spacing w:val="-4"/>
        </w:rPr>
        <w:t> </w:t>
      </w:r>
      <w:r>
        <w:rPr/>
        <w:t>models</w:t>
      </w:r>
      <w:r>
        <w:rPr>
          <w:spacing w:val="-4"/>
        </w:rPr>
        <w:t> </w:t>
      </w:r>
      <w:r>
        <w:rPr/>
        <w:t>of</w:t>
      </w:r>
      <w:r>
        <w:rPr>
          <w:spacing w:val="-4"/>
        </w:rPr>
        <w:t> </w:t>
      </w:r>
      <w:r>
        <w:rPr/>
        <w:t>diabetes.</w:t>
      </w:r>
      <w:r>
        <w:rPr>
          <w:spacing w:val="-4"/>
        </w:rPr>
        <w:t> </w:t>
      </w:r>
      <w:r>
        <w:rPr/>
        <w:t>Florida,</w:t>
      </w:r>
      <w:r>
        <w:rPr>
          <w:spacing w:val="-4"/>
        </w:rPr>
        <w:t> </w:t>
      </w:r>
      <w:r>
        <w:rPr/>
        <w:t>USA:</w:t>
      </w:r>
      <w:r>
        <w:rPr>
          <w:spacing w:val="-4"/>
        </w:rPr>
        <w:t> </w:t>
      </w:r>
      <w:r>
        <w:rPr/>
        <w:t>CRC</w:t>
      </w:r>
      <w:r>
        <w:rPr>
          <w:spacing w:val="-4"/>
        </w:rPr>
        <w:t> </w:t>
      </w:r>
      <w:r>
        <w:rPr/>
        <w:t>Press</w:t>
      </w:r>
      <w:r>
        <w:rPr>
          <w:spacing w:val="-4"/>
        </w:rPr>
        <w:t> </w:t>
      </w:r>
      <w:r>
        <w:rPr/>
        <w:t>LLC;</w:t>
      </w:r>
      <w:r>
        <w:rPr>
          <w:spacing w:val="-2"/>
        </w:rPr>
        <w:t> </w:t>
      </w:r>
      <w:r>
        <w:rPr/>
        <w:t>p.</w:t>
      </w:r>
      <w:r>
        <w:rPr>
          <w:spacing w:val="-4"/>
        </w:rPr>
        <w:t> </w:t>
      </w:r>
      <w:r>
        <w:rPr/>
        <w:t>337-98.</w:t>
      </w:r>
    </w:p>
    <w:p>
      <w:pPr>
        <w:pStyle w:val="BodyText"/>
        <w:spacing w:before="5"/>
      </w:pPr>
    </w:p>
    <w:p>
      <w:pPr>
        <w:pStyle w:val="BodyText"/>
        <w:ind w:left="1671" w:right="994" w:hanging="994"/>
        <w:jc w:val="both"/>
      </w:pPr>
      <w:r>
        <w:rPr/>
        <w:t>Perlmuter, L. C, Hakami, M. K, and Hodgson-Harrington, C. (1984): Decreased cognitive function in aging non-insulin-dependent diabetic patients. </w:t>
      </w:r>
      <w:r>
        <w:rPr>
          <w:i/>
        </w:rPr>
        <w:t>Am. J. Med</w:t>
      </w:r>
      <w:r>
        <w:rPr/>
        <w:t>., </w:t>
      </w:r>
      <w:r>
        <w:rPr>
          <w:b/>
        </w:rPr>
        <w:t>77</w:t>
      </w:r>
      <w:r>
        <w:rPr/>
        <w:t>: </w:t>
      </w:r>
      <w:r>
        <w:rPr>
          <w:spacing w:val="-2"/>
        </w:rPr>
        <w:t>1043-1048</w:t>
      </w:r>
    </w:p>
    <w:p>
      <w:pPr>
        <w:pStyle w:val="BodyText"/>
        <w:spacing w:before="240"/>
        <w:ind w:left="1954" w:right="992" w:hanging="1277"/>
        <w:jc w:val="both"/>
      </w:pPr>
      <w:r>
        <w:rPr/>
        <w:t>Petit, P. R., Sauvaire, Y. D., Hillaire-Buys, D. M., </w:t>
      </w:r>
      <w:r>
        <w:rPr>
          <w:i/>
        </w:rPr>
        <w:t>et al. </w:t>
      </w:r>
      <w:r>
        <w:rPr/>
        <w:t>(1995): Steroid saponins from fenugreek seeds: extraction, purification, and pharmacological investigation on feeding behavior and plasma cholesterol. </w:t>
      </w:r>
      <w:r>
        <w:rPr>
          <w:i/>
        </w:rPr>
        <w:t>Steroids. </w:t>
      </w:r>
      <w:r>
        <w:rPr>
          <w:b/>
        </w:rPr>
        <w:t>60</w:t>
      </w:r>
      <w:r>
        <w:rPr/>
        <w:t>: 674-80.</w:t>
      </w:r>
    </w:p>
    <w:p>
      <w:pPr>
        <w:pStyle w:val="BodyText"/>
        <w:spacing w:before="243"/>
        <w:ind w:left="1578"/>
      </w:pPr>
      <w:r>
        <w:rPr/>
        <w:t>Pharmaceutical</w:t>
      </w:r>
      <w:r>
        <w:rPr>
          <w:spacing w:val="-5"/>
        </w:rPr>
        <w:t> </w:t>
      </w:r>
      <w:r>
        <w:rPr/>
        <w:t>Sciences.</w:t>
      </w:r>
      <w:r>
        <w:rPr>
          <w:spacing w:val="-2"/>
        </w:rPr>
        <w:t> </w:t>
      </w:r>
      <w:r>
        <w:rPr/>
        <w:t>Mack</w:t>
      </w:r>
      <w:r>
        <w:rPr>
          <w:spacing w:val="-2"/>
        </w:rPr>
        <w:t> </w:t>
      </w:r>
      <w:r>
        <w:rPr/>
        <w:t>Publishing</w:t>
      </w:r>
      <w:r>
        <w:rPr>
          <w:spacing w:val="-4"/>
        </w:rPr>
        <w:t> </w:t>
      </w:r>
      <w:r>
        <w:rPr/>
        <w:t>Co. Philadelphia,</w:t>
      </w:r>
      <w:r>
        <w:rPr>
          <w:spacing w:val="-2"/>
        </w:rPr>
        <w:t> </w:t>
      </w:r>
      <w:r>
        <w:rPr/>
        <w:t>Fifteenth</w:t>
      </w:r>
      <w:r>
        <w:rPr>
          <w:spacing w:val="-2"/>
        </w:rPr>
        <w:t> Edition,</w:t>
      </w:r>
    </w:p>
    <w:p>
      <w:pPr>
        <w:spacing w:before="41"/>
        <w:ind w:left="1638" w:right="0" w:firstLine="0"/>
        <w:jc w:val="left"/>
        <w:rPr>
          <w:sz w:val="24"/>
        </w:rPr>
      </w:pPr>
      <w:r>
        <w:rPr>
          <w:i/>
          <w:sz w:val="24"/>
        </w:rPr>
        <w:t>Pharmacol</w:t>
      </w:r>
      <w:r>
        <w:rPr>
          <w:sz w:val="24"/>
        </w:rPr>
        <w:t>.,</w:t>
      </w:r>
      <w:r>
        <w:rPr>
          <w:spacing w:val="-3"/>
          <w:sz w:val="24"/>
        </w:rPr>
        <w:t> </w:t>
      </w:r>
      <w:r>
        <w:rPr>
          <w:b/>
          <w:sz w:val="24"/>
        </w:rPr>
        <w:t>43 </w:t>
      </w:r>
      <w:r>
        <w:rPr>
          <w:sz w:val="24"/>
        </w:rPr>
        <w:t>: 219 – </w:t>
      </w:r>
      <w:r>
        <w:rPr>
          <w:spacing w:val="-4"/>
          <w:sz w:val="24"/>
        </w:rPr>
        <w:t>225.</w:t>
      </w:r>
    </w:p>
    <w:p>
      <w:pPr>
        <w:pStyle w:val="BodyText"/>
        <w:spacing w:before="5"/>
      </w:pPr>
    </w:p>
    <w:p>
      <w:pPr>
        <w:pStyle w:val="BodyText"/>
        <w:ind w:left="1954" w:right="994" w:hanging="1277"/>
        <w:jc w:val="both"/>
      </w:pPr>
      <w:r>
        <w:rPr/>
        <w:t>Pilpel, N., Otuyemi, S. O. and Kurup, T. R. R. (1978): Factors affecting the disintegration and dissolution of chloroquine phosphate/starch tablets. </w:t>
      </w:r>
      <w:r>
        <w:rPr>
          <w:i/>
        </w:rPr>
        <w:t>J. </w:t>
      </w:r>
      <w:r>
        <w:rPr>
          <w:i/>
        </w:rPr>
        <w:t>Pharm. Pharmacol</w:t>
      </w:r>
      <w:r>
        <w:rPr/>
        <w:t>., </w:t>
      </w:r>
      <w:r>
        <w:rPr>
          <w:b/>
        </w:rPr>
        <w:t>30</w:t>
      </w:r>
      <w:r>
        <w:rPr/>
        <w:t>: 214 - 219.</w:t>
      </w:r>
    </w:p>
    <w:p>
      <w:pPr>
        <w:pStyle w:val="BodyText"/>
        <w:spacing w:before="240"/>
        <w:ind w:left="1810" w:right="994" w:hanging="1133"/>
        <w:jc w:val="both"/>
      </w:pPr>
      <w:r>
        <w:rPr/>
        <w:t>Pirart, J. (1978): Diabetes mellitus and it`s degenerative complications: A prospective study of 4,400 patients observed between 1947 and 1973. </w:t>
      </w:r>
      <w:r>
        <w:rPr>
          <w:i/>
        </w:rPr>
        <w:t>Diabetes Care</w:t>
      </w:r>
      <w:r>
        <w:rPr/>
        <w:t>, </w:t>
      </w:r>
      <w:r>
        <w:rPr>
          <w:b/>
          <w:spacing w:val="-2"/>
        </w:rPr>
        <w:t>1</w:t>
      </w:r>
      <w:r>
        <w:rPr>
          <w:spacing w:val="-2"/>
        </w:rPr>
        <w:t>:168-87.</w:t>
      </w:r>
    </w:p>
    <w:p>
      <w:pPr>
        <w:pStyle w:val="BodyText"/>
        <w:spacing w:line="276" w:lineRule="auto" w:before="240"/>
        <w:ind w:left="1938" w:right="994" w:hanging="1260"/>
        <w:jc w:val="both"/>
      </w:pPr>
      <w:r>
        <w:rPr/>
        <w:t>Pitt, K.G., Newton, J.M. and Stanley, P. (1991): Effect of compaction variables on porosity and material tensile strength of convex – faced aspirin tablets. </w:t>
      </w:r>
      <w:r>
        <w:rPr>
          <w:i/>
        </w:rPr>
        <w:t>J. Pharm. Pharmacol.</w:t>
      </w:r>
      <w:r>
        <w:rPr/>
        <w:t>, 43: 219 – 225.</w:t>
      </w:r>
    </w:p>
    <w:p>
      <w:pPr>
        <w:pStyle w:val="BodyText"/>
        <w:spacing w:before="275"/>
        <w:ind w:left="1758" w:right="1041" w:hanging="1080"/>
      </w:pPr>
      <w:r>
        <w:rPr/>
        <w:t>Plazier-Vercamen, J. A., Bruwier, C.</w:t>
      </w:r>
      <w:r>
        <w:rPr>
          <w:spacing w:val="40"/>
        </w:rPr>
        <w:t> </w:t>
      </w:r>
      <w:r>
        <w:rPr/>
        <w:t>(1986): Evaluation of excipients for direct compression</w:t>
      </w:r>
      <w:r>
        <w:rPr>
          <w:spacing w:val="-5"/>
        </w:rPr>
        <w:t> </w:t>
      </w:r>
      <w:r>
        <w:rPr/>
        <w:t>of</w:t>
      </w:r>
      <w:r>
        <w:rPr>
          <w:spacing w:val="-6"/>
        </w:rPr>
        <w:t> </w:t>
      </w:r>
      <w:r>
        <w:rPr/>
        <w:t>the</w:t>
      </w:r>
      <w:r>
        <w:rPr>
          <w:spacing w:val="-5"/>
        </w:rPr>
        <w:t> </w:t>
      </w:r>
      <w:r>
        <w:rPr/>
        <w:t>spray-dried</w:t>
      </w:r>
      <w:r>
        <w:rPr>
          <w:spacing w:val="-5"/>
        </w:rPr>
        <w:t> </w:t>
      </w:r>
      <w:r>
        <w:rPr/>
        <w:t>extract</w:t>
      </w:r>
      <w:r>
        <w:rPr>
          <w:spacing w:val="-5"/>
        </w:rPr>
        <w:t> </w:t>
      </w:r>
      <w:r>
        <w:rPr/>
        <w:t>of</w:t>
      </w:r>
      <w:r>
        <w:rPr>
          <w:spacing w:val="-5"/>
        </w:rPr>
        <w:t> </w:t>
      </w:r>
      <w:r>
        <w:rPr>
          <w:i/>
        </w:rPr>
        <w:t>Harpagophytum</w:t>
      </w:r>
      <w:r>
        <w:rPr>
          <w:i/>
          <w:spacing w:val="-5"/>
        </w:rPr>
        <w:t> </w:t>
      </w:r>
      <w:r>
        <w:rPr>
          <w:i/>
        </w:rPr>
        <w:t>procumbens</w:t>
      </w:r>
      <w:r>
        <w:rPr/>
        <w:t>.</w:t>
      </w:r>
      <w:r>
        <w:rPr>
          <w:spacing w:val="-5"/>
        </w:rPr>
        <w:t> </w:t>
      </w:r>
      <w:r>
        <w:rPr/>
        <w:t>STP Pharma. </w:t>
      </w:r>
      <w:r>
        <w:rPr>
          <w:b/>
        </w:rPr>
        <w:t>12</w:t>
      </w:r>
      <w:r>
        <w:rPr/>
        <w:t>: 525–530.</w:t>
      </w:r>
    </w:p>
    <w:p>
      <w:pPr>
        <w:pStyle w:val="BodyText"/>
        <w:spacing w:before="43"/>
      </w:pPr>
    </w:p>
    <w:p>
      <w:pPr>
        <w:pStyle w:val="BodyText"/>
        <w:ind w:left="678"/>
      </w:pPr>
      <w:r>
        <w:rPr/>
        <w:t>Prakash,</w:t>
      </w:r>
      <w:r>
        <w:rPr>
          <w:spacing w:val="14"/>
        </w:rPr>
        <w:t> </w:t>
      </w:r>
      <w:r>
        <w:rPr/>
        <w:t>D.</w:t>
      </w:r>
      <w:r>
        <w:rPr>
          <w:spacing w:val="15"/>
        </w:rPr>
        <w:t> </w:t>
      </w:r>
      <w:r>
        <w:rPr/>
        <w:t>and</w:t>
      </w:r>
      <w:r>
        <w:rPr>
          <w:spacing w:val="14"/>
        </w:rPr>
        <w:t> </w:t>
      </w:r>
      <w:r>
        <w:rPr/>
        <w:t>Tewari,</w:t>
      </w:r>
      <w:r>
        <w:rPr>
          <w:spacing w:val="17"/>
        </w:rPr>
        <w:t> </w:t>
      </w:r>
      <w:r>
        <w:rPr/>
        <w:t>S.</w:t>
      </w:r>
      <w:r>
        <w:rPr>
          <w:spacing w:val="15"/>
        </w:rPr>
        <w:t> </w:t>
      </w:r>
      <w:r>
        <w:rPr/>
        <w:t>K.</w:t>
      </w:r>
      <w:r>
        <w:rPr>
          <w:spacing w:val="14"/>
        </w:rPr>
        <w:t> </w:t>
      </w:r>
      <w:r>
        <w:rPr/>
        <w:t>(1999):</w:t>
      </w:r>
      <w:r>
        <w:rPr>
          <w:spacing w:val="18"/>
        </w:rPr>
        <w:t> </w:t>
      </w:r>
      <w:r>
        <w:rPr/>
        <w:t>Variation</w:t>
      </w:r>
      <w:r>
        <w:rPr>
          <w:spacing w:val="14"/>
        </w:rPr>
        <w:t> </w:t>
      </w:r>
      <w:r>
        <w:rPr/>
        <w:t>on</w:t>
      </w:r>
      <w:r>
        <w:rPr>
          <w:spacing w:val="17"/>
        </w:rPr>
        <w:t> </w:t>
      </w:r>
      <w:r>
        <w:rPr/>
        <w:t>L-DOPA</w:t>
      </w:r>
      <w:r>
        <w:rPr>
          <w:spacing w:val="15"/>
        </w:rPr>
        <w:t> </w:t>
      </w:r>
      <w:r>
        <w:rPr/>
        <w:t>content</w:t>
      </w:r>
      <w:r>
        <w:rPr>
          <w:spacing w:val="14"/>
        </w:rPr>
        <w:t> </w:t>
      </w:r>
      <w:r>
        <w:rPr/>
        <w:t>in</w:t>
      </w:r>
      <w:r>
        <w:rPr>
          <w:spacing w:val="17"/>
        </w:rPr>
        <w:t> </w:t>
      </w:r>
      <w:r>
        <w:rPr>
          <w:i/>
        </w:rPr>
        <w:t>Mucuna</w:t>
      </w:r>
      <w:r>
        <w:rPr>
          <w:i/>
          <w:spacing w:val="16"/>
        </w:rPr>
        <w:t> </w:t>
      </w:r>
      <w:r>
        <w:rPr>
          <w:spacing w:val="-2"/>
        </w:rPr>
        <w:t>species.</w:t>
      </w:r>
    </w:p>
    <w:p>
      <w:pPr>
        <w:spacing w:before="43"/>
        <w:ind w:left="1849" w:right="0" w:firstLine="0"/>
        <w:jc w:val="left"/>
        <w:rPr>
          <w:sz w:val="24"/>
        </w:rPr>
      </w:pPr>
      <w:r>
        <w:rPr>
          <w:i/>
          <w:sz w:val="24"/>
        </w:rPr>
        <w:t>Journal</w:t>
      </w:r>
      <w:r>
        <w:rPr>
          <w:i/>
          <w:spacing w:val="-3"/>
          <w:sz w:val="24"/>
        </w:rPr>
        <w:t> </w:t>
      </w:r>
      <w:r>
        <w:rPr>
          <w:i/>
          <w:sz w:val="24"/>
        </w:rPr>
        <w:t>of</w:t>
      </w:r>
      <w:r>
        <w:rPr>
          <w:i/>
          <w:spacing w:val="-1"/>
          <w:sz w:val="24"/>
        </w:rPr>
        <w:t> </w:t>
      </w:r>
      <w:r>
        <w:rPr>
          <w:i/>
          <w:sz w:val="24"/>
        </w:rPr>
        <w:t>Medicinal</w:t>
      </w:r>
      <w:r>
        <w:rPr>
          <w:i/>
          <w:spacing w:val="-1"/>
          <w:sz w:val="24"/>
        </w:rPr>
        <w:t> </w:t>
      </w:r>
      <w:r>
        <w:rPr>
          <w:i/>
          <w:sz w:val="24"/>
        </w:rPr>
        <w:t>and Aromatic</w:t>
      </w:r>
      <w:r>
        <w:rPr>
          <w:i/>
          <w:spacing w:val="-2"/>
          <w:sz w:val="24"/>
        </w:rPr>
        <w:t> </w:t>
      </w:r>
      <w:r>
        <w:rPr>
          <w:i/>
          <w:sz w:val="24"/>
        </w:rPr>
        <w:t>Plant</w:t>
      </w:r>
      <w:r>
        <w:rPr>
          <w:i/>
          <w:spacing w:val="-1"/>
          <w:sz w:val="24"/>
        </w:rPr>
        <w:t> </w:t>
      </w:r>
      <w:r>
        <w:rPr>
          <w:i/>
          <w:sz w:val="24"/>
        </w:rPr>
        <w:t>Science</w:t>
      </w:r>
      <w:r>
        <w:rPr>
          <w:i/>
          <w:spacing w:val="1"/>
          <w:sz w:val="24"/>
        </w:rPr>
        <w:t> </w:t>
      </w:r>
      <w:r>
        <w:rPr>
          <w:b/>
          <w:sz w:val="24"/>
        </w:rPr>
        <w:t>21</w:t>
      </w:r>
      <w:r>
        <w:rPr>
          <w:sz w:val="24"/>
        </w:rPr>
        <w:t>: 343-</w:t>
      </w:r>
      <w:r>
        <w:rPr>
          <w:spacing w:val="-4"/>
          <w:sz w:val="24"/>
        </w:rPr>
        <w:t>346.</w:t>
      </w:r>
    </w:p>
    <w:p>
      <w:pPr>
        <w:pStyle w:val="BodyText"/>
        <w:spacing w:before="3"/>
      </w:pPr>
    </w:p>
    <w:p>
      <w:pPr>
        <w:pStyle w:val="BodyText"/>
        <w:ind w:left="1954" w:right="994" w:hanging="1277"/>
        <w:jc w:val="both"/>
      </w:pPr>
      <w:r>
        <w:rPr/>
        <w:t>Pras, N., Woerdenbag, H. J., Batterman, S., Visser, J. F. and Vanuden, W. (1993):</w:t>
      </w:r>
      <w:r>
        <w:rPr>
          <w:spacing w:val="80"/>
        </w:rPr>
        <w:t> </w:t>
      </w:r>
      <w:r>
        <w:rPr>
          <w:i/>
        </w:rPr>
        <w:t>Mucuna pruriens</w:t>
      </w:r>
      <w:r>
        <w:rPr/>
        <w:t>: Improvement of the biotechnological production of the anti-parkinson drug L-dopa by plant cell selection. </w:t>
      </w:r>
      <w:r>
        <w:rPr>
          <w:i/>
        </w:rPr>
        <w:t>Pharmacy World and Science </w:t>
      </w:r>
      <w:r>
        <w:rPr>
          <w:b/>
        </w:rPr>
        <w:t>15</w:t>
      </w:r>
      <w:r>
        <w:rPr/>
        <w:t>: 263-268.</w:t>
      </w:r>
    </w:p>
    <w:p>
      <w:pPr>
        <w:spacing w:before="241"/>
        <w:ind w:left="1810" w:right="997" w:hanging="1133"/>
        <w:jc w:val="both"/>
        <w:rPr>
          <w:sz w:val="24"/>
        </w:rPr>
      </w:pPr>
      <w:r>
        <w:rPr>
          <w:sz w:val="24"/>
        </w:rPr>
        <w:t>Price, K. R., Johnson, I. T. and Fenwick, G. R. (1987): The chemistry and biological significance of saponins in food and feedingstuffs. </w:t>
      </w:r>
      <w:r>
        <w:rPr>
          <w:i/>
          <w:sz w:val="24"/>
        </w:rPr>
        <w:t>CRC Critical Reviews in Food Science and Nutrition </w:t>
      </w:r>
      <w:r>
        <w:rPr>
          <w:b/>
          <w:sz w:val="24"/>
        </w:rPr>
        <w:t>26</w:t>
      </w:r>
      <w:r>
        <w:rPr>
          <w:sz w:val="24"/>
        </w:rPr>
        <w:t>: 27-135.</w:t>
      </w:r>
    </w:p>
    <w:p>
      <w:pPr>
        <w:spacing w:after="0"/>
        <w:jc w:val="both"/>
        <w:rPr>
          <w:sz w:val="24"/>
        </w:rPr>
        <w:sectPr>
          <w:pgSz w:w="12240" w:h="15840"/>
          <w:pgMar w:header="0" w:footer="1056" w:top="1340" w:bottom="1240" w:left="1420" w:right="420"/>
        </w:sectPr>
      </w:pPr>
    </w:p>
    <w:p>
      <w:pPr>
        <w:spacing w:before="70"/>
        <w:ind w:left="1810" w:right="997" w:hanging="1133"/>
        <w:jc w:val="both"/>
        <w:rPr>
          <w:sz w:val="24"/>
        </w:rPr>
      </w:pPr>
      <w:r>
        <w:rPr/>
        <mc:AlternateContent>
          <mc:Choice Requires="wps">
            <w:drawing>
              <wp:anchor distT="0" distB="0" distL="0" distR="0" allowOverlap="1" layoutInCell="1" locked="0" behindDoc="1" simplePos="0" relativeHeight="483047424">
                <wp:simplePos x="0" y="0"/>
                <wp:positionH relativeFrom="page">
                  <wp:posOffset>-1402226</wp:posOffset>
                </wp:positionH>
                <wp:positionV relativeFrom="page">
                  <wp:posOffset>4612234</wp:posOffset>
                </wp:positionV>
                <wp:extent cx="10685780" cy="9144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9056;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Qureshi, S.A. (2010): </w:t>
      </w:r>
      <w:r>
        <w:rPr>
          <w:i/>
          <w:sz w:val="24"/>
        </w:rPr>
        <w:t>In vitro-in vivo </w:t>
      </w:r>
      <w:r>
        <w:rPr>
          <w:sz w:val="24"/>
        </w:rPr>
        <w:t>correlation (IVIVC) and determining drug concentrations in blood from dissolution testing- A simple and practical approach.. </w:t>
      </w:r>
      <w:r>
        <w:rPr>
          <w:i/>
          <w:sz w:val="24"/>
        </w:rPr>
        <w:t>The Open Drug Delivery Journal</w:t>
      </w:r>
      <w:r>
        <w:rPr>
          <w:sz w:val="24"/>
        </w:rPr>
        <w:t>, </w:t>
      </w:r>
      <w:r>
        <w:rPr>
          <w:b/>
          <w:sz w:val="24"/>
        </w:rPr>
        <w:t>4</w:t>
      </w:r>
      <w:r>
        <w:rPr>
          <w:sz w:val="24"/>
        </w:rPr>
        <w:t>: 38-47.</w:t>
      </w:r>
    </w:p>
    <w:p>
      <w:pPr>
        <w:pStyle w:val="BodyText"/>
        <w:spacing w:before="241"/>
        <w:ind w:left="1530" w:right="994" w:hanging="852"/>
        <w:jc w:val="both"/>
      </w:pPr>
      <w:r>
        <w:rPr/>
        <w:t>Raghunathan, K. and Mitra, K. M. (1982): In: K. Raghunathan and R. Mitra, Editors, Pharmacognosy of Indigenous drugs. Part I, Central Council for Research in Ayurveda and Siddha, New Delhi, pp. 484–510.</w:t>
      </w:r>
    </w:p>
    <w:p>
      <w:pPr>
        <w:spacing w:before="240"/>
        <w:ind w:left="1671" w:right="996" w:hanging="994"/>
        <w:jc w:val="both"/>
        <w:rPr>
          <w:sz w:val="24"/>
        </w:rPr>
      </w:pPr>
      <w:r>
        <w:rPr>
          <w:sz w:val="24"/>
        </w:rPr>
        <w:t>Rajaram, N., Janardhanan, K. (1991): The biochemical composition and nutritional potential of the tribal pulse, </w:t>
      </w:r>
      <w:r>
        <w:rPr>
          <w:i/>
          <w:sz w:val="24"/>
        </w:rPr>
        <w:t>Mucuna gigantea </w:t>
      </w:r>
      <w:r>
        <w:rPr>
          <w:sz w:val="24"/>
        </w:rPr>
        <w:t>(Willd.) DC. </w:t>
      </w:r>
      <w:r>
        <w:rPr>
          <w:i/>
          <w:sz w:val="24"/>
        </w:rPr>
        <w:t>Plant Foods for Human Nutrition</w:t>
      </w:r>
      <w:r>
        <w:rPr>
          <w:sz w:val="24"/>
        </w:rPr>
        <w:t>, </w:t>
      </w:r>
      <w:r>
        <w:rPr>
          <w:b/>
          <w:sz w:val="24"/>
        </w:rPr>
        <w:t>44</w:t>
      </w:r>
      <w:r>
        <w:rPr>
          <w:sz w:val="24"/>
        </w:rPr>
        <w:t>: 45–51.</w:t>
      </w:r>
    </w:p>
    <w:p>
      <w:pPr>
        <w:pStyle w:val="BodyText"/>
        <w:spacing w:before="240"/>
        <w:ind w:left="1671" w:right="1002" w:hanging="994"/>
        <w:jc w:val="both"/>
      </w:pPr>
      <w:r>
        <w:rPr/>
        <w:t>Rajesh, M. G, Latha, M. S. (2004): Preliminary evaluation of the antihepatotoxic effect of Kamilari, a polyherbal formulation. </w:t>
      </w:r>
      <w:r>
        <w:rPr>
          <w:i/>
        </w:rPr>
        <w:t>J. Ethnopharmacol. </w:t>
      </w:r>
      <w:r>
        <w:rPr/>
        <w:t>91: 99-104.</w:t>
      </w:r>
    </w:p>
    <w:p>
      <w:pPr>
        <w:pStyle w:val="BodyText"/>
        <w:spacing w:before="5"/>
      </w:pPr>
    </w:p>
    <w:p>
      <w:pPr>
        <w:spacing w:line="240" w:lineRule="auto" w:before="0"/>
        <w:ind w:left="1758" w:right="1041" w:hanging="1080"/>
        <w:jc w:val="left"/>
        <w:rPr>
          <w:sz w:val="24"/>
        </w:rPr>
      </w:pPr>
      <w:r>
        <w:rPr>
          <w:sz w:val="24"/>
        </w:rPr>
        <w:t>Rajeshwar, Y., Gupta, M. and Mazumder, U. K. (2005b): Antitumor Activity and </w:t>
      </w:r>
      <w:r>
        <w:rPr>
          <w:i/>
          <w:sz w:val="24"/>
        </w:rPr>
        <w:t>in vivo </w:t>
      </w:r>
      <w:r>
        <w:rPr>
          <w:sz w:val="24"/>
        </w:rPr>
        <w:t>Antioxidant Status of </w:t>
      </w:r>
      <w:r>
        <w:rPr>
          <w:i/>
          <w:sz w:val="24"/>
        </w:rPr>
        <w:t>Mucuna pruriens </w:t>
      </w:r>
      <w:r>
        <w:rPr>
          <w:sz w:val="24"/>
        </w:rPr>
        <w:t>(Fabaceae) seeds against Ehrlich Ascites</w:t>
      </w:r>
      <w:r>
        <w:rPr>
          <w:spacing w:val="-5"/>
          <w:sz w:val="24"/>
        </w:rPr>
        <w:t> </w:t>
      </w:r>
      <w:r>
        <w:rPr>
          <w:sz w:val="24"/>
        </w:rPr>
        <w:t>Carcinoma</w:t>
      </w:r>
      <w:r>
        <w:rPr>
          <w:spacing w:val="-6"/>
          <w:sz w:val="24"/>
        </w:rPr>
        <w:t> </w:t>
      </w:r>
      <w:r>
        <w:rPr>
          <w:sz w:val="24"/>
        </w:rPr>
        <w:t>in</w:t>
      </w:r>
      <w:r>
        <w:rPr>
          <w:spacing w:val="-5"/>
          <w:sz w:val="24"/>
        </w:rPr>
        <w:t> </w:t>
      </w:r>
      <w:r>
        <w:rPr>
          <w:sz w:val="24"/>
        </w:rPr>
        <w:t>Swiss</w:t>
      </w:r>
      <w:r>
        <w:rPr>
          <w:spacing w:val="-5"/>
          <w:sz w:val="24"/>
        </w:rPr>
        <w:t> </w:t>
      </w:r>
      <w:r>
        <w:rPr>
          <w:sz w:val="24"/>
        </w:rPr>
        <w:t>Albino</w:t>
      </w:r>
      <w:r>
        <w:rPr>
          <w:spacing w:val="-5"/>
          <w:sz w:val="24"/>
        </w:rPr>
        <w:t> </w:t>
      </w:r>
      <w:r>
        <w:rPr>
          <w:sz w:val="24"/>
        </w:rPr>
        <w:t>Mice.</w:t>
      </w:r>
      <w:r>
        <w:rPr>
          <w:spacing w:val="-3"/>
          <w:sz w:val="24"/>
        </w:rPr>
        <w:t> </w:t>
      </w:r>
      <w:r>
        <w:rPr>
          <w:i/>
          <w:sz w:val="24"/>
        </w:rPr>
        <w:t>Iranian</w:t>
      </w:r>
      <w:r>
        <w:rPr>
          <w:i/>
          <w:spacing w:val="-5"/>
          <w:sz w:val="24"/>
        </w:rPr>
        <w:t> </w:t>
      </w:r>
      <w:r>
        <w:rPr>
          <w:i/>
          <w:sz w:val="24"/>
        </w:rPr>
        <w:t>Journal</w:t>
      </w:r>
      <w:r>
        <w:rPr>
          <w:i/>
          <w:spacing w:val="-5"/>
          <w:sz w:val="24"/>
        </w:rPr>
        <w:t> </w:t>
      </w:r>
      <w:r>
        <w:rPr>
          <w:i/>
          <w:sz w:val="24"/>
        </w:rPr>
        <w:t>of</w:t>
      </w:r>
      <w:r>
        <w:rPr>
          <w:i/>
          <w:spacing w:val="-5"/>
          <w:sz w:val="24"/>
        </w:rPr>
        <w:t> </w:t>
      </w:r>
      <w:r>
        <w:rPr>
          <w:i/>
          <w:sz w:val="24"/>
        </w:rPr>
        <w:t>Pharmacological Therapy </w:t>
      </w:r>
      <w:r>
        <w:rPr>
          <w:b/>
          <w:sz w:val="24"/>
        </w:rPr>
        <w:t>4</w:t>
      </w:r>
      <w:r>
        <w:rPr>
          <w:sz w:val="24"/>
        </w:rPr>
        <w:t>: 46-53.</w:t>
      </w:r>
    </w:p>
    <w:p>
      <w:pPr>
        <w:pStyle w:val="BodyText"/>
        <w:spacing w:before="2"/>
      </w:pPr>
    </w:p>
    <w:p>
      <w:pPr>
        <w:spacing w:before="1"/>
        <w:ind w:left="1849" w:right="1030" w:hanging="1172"/>
        <w:jc w:val="both"/>
        <w:rPr>
          <w:sz w:val="24"/>
        </w:rPr>
      </w:pPr>
      <w:r>
        <w:rPr>
          <w:sz w:val="24"/>
        </w:rPr>
        <w:t>Rajeshwar,</w:t>
      </w:r>
      <w:r>
        <w:rPr>
          <w:spacing w:val="-3"/>
          <w:sz w:val="24"/>
        </w:rPr>
        <w:t> </w:t>
      </w:r>
      <w:r>
        <w:rPr>
          <w:sz w:val="24"/>
        </w:rPr>
        <w:t>Y.,</w:t>
      </w:r>
      <w:r>
        <w:rPr>
          <w:spacing w:val="-2"/>
          <w:sz w:val="24"/>
        </w:rPr>
        <w:t> </w:t>
      </w:r>
      <w:r>
        <w:rPr>
          <w:sz w:val="24"/>
        </w:rPr>
        <w:t>Senthil, K.</w:t>
      </w:r>
      <w:r>
        <w:rPr>
          <w:spacing w:val="-3"/>
          <w:sz w:val="24"/>
        </w:rPr>
        <w:t> </w:t>
      </w:r>
      <w:r>
        <w:rPr>
          <w:sz w:val="24"/>
        </w:rPr>
        <w:t>G.</w:t>
      </w:r>
      <w:r>
        <w:rPr>
          <w:spacing w:val="-2"/>
          <w:sz w:val="24"/>
        </w:rPr>
        <w:t> </w:t>
      </w:r>
      <w:r>
        <w:rPr>
          <w:sz w:val="24"/>
        </w:rPr>
        <w:t>P.,</w:t>
      </w:r>
      <w:r>
        <w:rPr>
          <w:spacing w:val="-2"/>
          <w:sz w:val="24"/>
        </w:rPr>
        <w:t> </w:t>
      </w:r>
      <w:r>
        <w:rPr>
          <w:sz w:val="24"/>
        </w:rPr>
        <w:t>Gupta,</w:t>
      </w:r>
      <w:r>
        <w:rPr>
          <w:spacing w:val="40"/>
          <w:sz w:val="24"/>
        </w:rPr>
        <w:t> </w:t>
      </w:r>
      <w:r>
        <w:rPr>
          <w:sz w:val="24"/>
        </w:rPr>
        <w:t>M.</w:t>
      </w:r>
      <w:r>
        <w:rPr>
          <w:spacing w:val="-2"/>
          <w:sz w:val="24"/>
        </w:rPr>
        <w:t> </w:t>
      </w:r>
      <w:r>
        <w:rPr>
          <w:sz w:val="24"/>
        </w:rPr>
        <w:t>and Mazumder,</w:t>
      </w:r>
      <w:r>
        <w:rPr>
          <w:spacing w:val="-2"/>
          <w:sz w:val="24"/>
        </w:rPr>
        <w:t> </w:t>
      </w:r>
      <w:r>
        <w:rPr>
          <w:sz w:val="24"/>
        </w:rPr>
        <w:t>U.</w:t>
      </w:r>
      <w:r>
        <w:rPr>
          <w:spacing w:val="-2"/>
          <w:sz w:val="24"/>
        </w:rPr>
        <w:t> </w:t>
      </w:r>
      <w:r>
        <w:rPr>
          <w:sz w:val="24"/>
        </w:rPr>
        <w:t>K.</w:t>
      </w:r>
      <w:r>
        <w:rPr>
          <w:spacing w:val="-2"/>
          <w:sz w:val="24"/>
        </w:rPr>
        <w:t> </w:t>
      </w:r>
      <w:r>
        <w:rPr>
          <w:sz w:val="24"/>
        </w:rPr>
        <w:t>(</w:t>
      </w:r>
      <w:r>
        <w:rPr>
          <w:spacing w:val="-3"/>
          <w:sz w:val="24"/>
        </w:rPr>
        <w:t> </w:t>
      </w:r>
      <w:r>
        <w:rPr>
          <w:sz w:val="24"/>
        </w:rPr>
        <w:t>2005a):</w:t>
      </w:r>
      <w:r>
        <w:rPr>
          <w:spacing w:val="40"/>
          <w:sz w:val="24"/>
        </w:rPr>
        <w:t> </w:t>
      </w:r>
      <w:r>
        <w:rPr>
          <w:sz w:val="24"/>
        </w:rPr>
        <w:t>Studies</w:t>
      </w:r>
      <w:r>
        <w:rPr>
          <w:spacing w:val="-2"/>
          <w:sz w:val="24"/>
        </w:rPr>
        <w:t> </w:t>
      </w:r>
      <w:r>
        <w:rPr>
          <w:sz w:val="24"/>
        </w:rPr>
        <w:t>on</w:t>
      </w:r>
      <w:r>
        <w:rPr>
          <w:spacing w:val="-2"/>
          <w:sz w:val="24"/>
        </w:rPr>
        <w:t> </w:t>
      </w:r>
      <w:r>
        <w:rPr>
          <w:i/>
          <w:sz w:val="24"/>
        </w:rPr>
        <w:t>in vitro</w:t>
      </w:r>
      <w:r>
        <w:rPr>
          <w:i/>
          <w:spacing w:val="-1"/>
          <w:sz w:val="24"/>
        </w:rPr>
        <w:t> </w:t>
      </w:r>
      <w:r>
        <w:rPr>
          <w:sz w:val="24"/>
        </w:rPr>
        <w:t>antioxidant</w:t>
      </w:r>
      <w:r>
        <w:rPr>
          <w:spacing w:val="-1"/>
          <w:sz w:val="24"/>
        </w:rPr>
        <w:t> </w:t>
      </w:r>
      <w:r>
        <w:rPr>
          <w:sz w:val="24"/>
        </w:rPr>
        <w:t>activities</w:t>
      </w:r>
      <w:r>
        <w:rPr>
          <w:spacing w:val="-2"/>
          <w:sz w:val="24"/>
        </w:rPr>
        <w:t> </w:t>
      </w:r>
      <w:r>
        <w:rPr>
          <w:sz w:val="24"/>
        </w:rPr>
        <w:t>of</w:t>
      </w:r>
      <w:r>
        <w:rPr>
          <w:spacing w:val="-1"/>
          <w:sz w:val="24"/>
        </w:rPr>
        <w:t> </w:t>
      </w:r>
      <w:r>
        <w:rPr>
          <w:sz w:val="24"/>
        </w:rPr>
        <w:t>methanol</w:t>
      </w:r>
      <w:r>
        <w:rPr>
          <w:spacing w:val="-1"/>
          <w:sz w:val="24"/>
        </w:rPr>
        <w:t> </w:t>
      </w:r>
      <w:r>
        <w:rPr>
          <w:sz w:val="24"/>
        </w:rPr>
        <w:t>extract</w:t>
      </w:r>
      <w:r>
        <w:rPr>
          <w:spacing w:val="-2"/>
          <w:sz w:val="24"/>
        </w:rPr>
        <w:t> </w:t>
      </w:r>
      <w:r>
        <w:rPr>
          <w:sz w:val="24"/>
        </w:rPr>
        <w:t>of </w:t>
      </w:r>
      <w:r>
        <w:rPr>
          <w:i/>
          <w:sz w:val="24"/>
        </w:rPr>
        <w:t>Mucuna</w:t>
      </w:r>
      <w:r>
        <w:rPr>
          <w:i/>
          <w:spacing w:val="-1"/>
          <w:sz w:val="24"/>
        </w:rPr>
        <w:t> </w:t>
      </w:r>
      <w:r>
        <w:rPr>
          <w:i/>
          <w:sz w:val="24"/>
        </w:rPr>
        <w:t>pruriens</w:t>
      </w:r>
      <w:r>
        <w:rPr>
          <w:i/>
          <w:spacing w:val="-1"/>
          <w:sz w:val="24"/>
        </w:rPr>
        <w:t> </w:t>
      </w:r>
      <w:r>
        <w:rPr>
          <w:sz w:val="24"/>
        </w:rPr>
        <w:t>(fabaceae) seeds. </w:t>
      </w:r>
      <w:r>
        <w:rPr>
          <w:i/>
          <w:sz w:val="24"/>
        </w:rPr>
        <w:t>European Bulletin of Drug Research </w:t>
      </w:r>
      <w:r>
        <w:rPr>
          <w:b/>
          <w:sz w:val="24"/>
        </w:rPr>
        <w:t>13</w:t>
      </w:r>
      <w:r>
        <w:rPr>
          <w:sz w:val="24"/>
        </w:rPr>
        <w:t>: 31-35.</w:t>
      </w:r>
    </w:p>
    <w:p>
      <w:pPr>
        <w:pStyle w:val="BodyText"/>
        <w:spacing w:before="4"/>
      </w:pPr>
    </w:p>
    <w:p>
      <w:pPr>
        <w:pStyle w:val="BodyText"/>
        <w:spacing w:before="1"/>
        <w:ind w:left="1530" w:right="997" w:hanging="852"/>
        <w:jc w:val="both"/>
      </w:pPr>
      <w:r>
        <w:rPr/>
        <w:t>Raju, J., Gupta, D., Rao,</w:t>
      </w:r>
      <w:r>
        <w:rPr>
          <w:spacing w:val="-1"/>
        </w:rPr>
        <w:t> </w:t>
      </w:r>
      <w:r>
        <w:rPr/>
        <w:t>A.R., Yadava, P.K., and Baquer, N.Z. (2001): Trigonella foenum graecum (fenugreek) seed powder improves glucose homeostasis in alloxan diabetic rat tissues by reversing the altered glycolytic, gluconeogenic and lipogenic enzymes. </w:t>
      </w:r>
      <w:r>
        <w:rPr>
          <w:i/>
        </w:rPr>
        <w:t>Mol Cell Biochem</w:t>
      </w:r>
      <w:r>
        <w:rPr/>
        <w:t>; </w:t>
      </w:r>
      <w:r>
        <w:rPr>
          <w:b/>
        </w:rPr>
        <w:t>224</w:t>
      </w:r>
      <w:r>
        <w:rPr/>
        <w:t>: 45-51.</w:t>
      </w:r>
    </w:p>
    <w:p>
      <w:pPr>
        <w:pStyle w:val="BodyText"/>
        <w:spacing w:before="240"/>
        <w:ind w:left="678"/>
      </w:pPr>
      <w:r>
        <w:rPr>
          <w:color w:val="221F1F"/>
        </w:rPr>
        <w:t>Rang,</w:t>
      </w:r>
      <w:r>
        <w:rPr>
          <w:color w:val="221F1F"/>
          <w:spacing w:val="-1"/>
        </w:rPr>
        <w:t> </w:t>
      </w:r>
      <w:r>
        <w:rPr>
          <w:color w:val="221F1F"/>
        </w:rPr>
        <w:t>H. P.</w:t>
      </w:r>
      <w:r>
        <w:rPr>
          <w:color w:val="221F1F"/>
          <w:spacing w:val="-1"/>
        </w:rPr>
        <w:t> </w:t>
      </w:r>
      <w:r>
        <w:rPr>
          <w:color w:val="221F1F"/>
        </w:rPr>
        <w:t>Dale, M.M (1991):</w:t>
      </w:r>
      <w:r>
        <w:rPr>
          <w:color w:val="221F1F"/>
          <w:spacing w:val="1"/>
        </w:rPr>
        <w:t> </w:t>
      </w:r>
      <w:r>
        <w:rPr>
          <w:color w:val="221F1F"/>
        </w:rPr>
        <w:t>In: The</w:t>
      </w:r>
      <w:r>
        <w:rPr>
          <w:color w:val="221F1F"/>
          <w:spacing w:val="-1"/>
        </w:rPr>
        <w:t> </w:t>
      </w:r>
      <w:r>
        <w:rPr>
          <w:color w:val="221F1F"/>
        </w:rPr>
        <w:t>endocrine</w:t>
      </w:r>
      <w:r>
        <w:rPr>
          <w:color w:val="221F1F"/>
          <w:spacing w:val="-1"/>
        </w:rPr>
        <w:t> </w:t>
      </w:r>
      <w:r>
        <w:rPr>
          <w:color w:val="221F1F"/>
        </w:rPr>
        <w:t>system Pharmacology</w:t>
      </w:r>
      <w:r>
        <w:rPr>
          <w:color w:val="221F1F"/>
          <w:spacing w:val="-6"/>
        </w:rPr>
        <w:t> </w:t>
      </w:r>
      <w:r>
        <w:rPr>
          <w:color w:val="221F1F"/>
        </w:rPr>
        <w:t>2</w:t>
      </w:r>
      <w:r>
        <w:rPr>
          <w:color w:val="221F1F"/>
          <w:vertAlign w:val="superscript"/>
        </w:rPr>
        <w:t>nd</w:t>
      </w:r>
      <w:r>
        <w:rPr>
          <w:color w:val="221F1F"/>
          <w:spacing w:val="1"/>
          <w:vertAlign w:val="baseline"/>
        </w:rPr>
        <w:t> </w:t>
      </w:r>
      <w:r>
        <w:rPr>
          <w:color w:val="221F1F"/>
          <w:spacing w:val="-4"/>
          <w:vertAlign w:val="baseline"/>
        </w:rPr>
        <w:t>edn.</w:t>
      </w:r>
    </w:p>
    <w:p>
      <w:pPr>
        <w:pStyle w:val="BodyText"/>
        <w:ind w:left="1530"/>
      </w:pPr>
      <w:r>
        <w:rPr>
          <w:color w:val="221F1F"/>
        </w:rPr>
        <w:t>Longman</w:t>
      </w:r>
      <w:r>
        <w:rPr>
          <w:color w:val="221F1F"/>
          <w:spacing w:val="-4"/>
        </w:rPr>
        <w:t> </w:t>
      </w:r>
      <w:r>
        <w:rPr>
          <w:color w:val="221F1F"/>
        </w:rPr>
        <w:t>Group: London,</w:t>
      </w:r>
      <w:r>
        <w:rPr>
          <w:color w:val="221F1F"/>
          <w:spacing w:val="-2"/>
        </w:rPr>
        <w:t> </w:t>
      </w:r>
      <w:r>
        <w:rPr>
          <w:color w:val="221F1F"/>
        </w:rPr>
        <w:t>504-</w:t>
      </w:r>
      <w:r>
        <w:rPr>
          <w:color w:val="221F1F"/>
          <w:spacing w:val="-4"/>
        </w:rPr>
        <w:t>508.</w:t>
      </w:r>
    </w:p>
    <w:p>
      <w:pPr>
        <w:spacing w:before="240"/>
        <w:ind w:left="1530" w:right="993" w:hanging="852"/>
        <w:jc w:val="both"/>
        <w:rPr>
          <w:sz w:val="24"/>
        </w:rPr>
      </w:pPr>
      <w:r>
        <w:rPr>
          <w:sz w:val="24"/>
        </w:rPr>
        <w:t>Rao, V.V., Dwivedi, S.K. and Swarup, D. (1994):</w:t>
      </w:r>
      <w:r>
        <w:rPr>
          <w:spacing w:val="40"/>
          <w:sz w:val="24"/>
        </w:rPr>
        <w:t> </w:t>
      </w:r>
      <w:r>
        <w:rPr>
          <w:sz w:val="24"/>
        </w:rPr>
        <w:t>Hypoglycemic effect of </w:t>
      </w:r>
      <w:r>
        <w:rPr>
          <w:i/>
          <w:sz w:val="24"/>
        </w:rPr>
        <w:t>Caesalpinia bonducella </w:t>
      </w:r>
      <w:r>
        <w:rPr>
          <w:sz w:val="24"/>
        </w:rPr>
        <w:t>in rabbits, </w:t>
      </w:r>
      <w:r>
        <w:rPr>
          <w:i/>
          <w:sz w:val="24"/>
        </w:rPr>
        <w:t>Fitoterapia </w:t>
      </w:r>
      <w:r>
        <w:rPr>
          <w:b/>
          <w:sz w:val="24"/>
        </w:rPr>
        <w:t>LXV</w:t>
      </w:r>
      <w:r>
        <w:rPr>
          <w:sz w:val="24"/>
        </w:rPr>
        <w:t>:</w:t>
      </w:r>
      <w:r>
        <w:rPr>
          <w:spacing w:val="40"/>
          <w:sz w:val="24"/>
        </w:rPr>
        <w:t> </w:t>
      </w:r>
      <w:r>
        <w:rPr>
          <w:sz w:val="24"/>
        </w:rPr>
        <w:t>pp. 245–247.</w:t>
      </w:r>
    </w:p>
    <w:p>
      <w:pPr>
        <w:pStyle w:val="BodyText"/>
        <w:spacing w:before="240"/>
        <w:ind w:left="678"/>
      </w:pPr>
      <w:r>
        <w:rPr/>
        <w:t>Rastogi,</w:t>
      </w:r>
      <w:r>
        <w:rPr>
          <w:spacing w:val="17"/>
        </w:rPr>
        <w:t> </w:t>
      </w:r>
      <w:r>
        <w:rPr/>
        <w:t>P.</w:t>
      </w:r>
      <w:r>
        <w:rPr>
          <w:spacing w:val="17"/>
        </w:rPr>
        <w:t> </w:t>
      </w:r>
      <w:r>
        <w:rPr/>
        <w:t>P.</w:t>
      </w:r>
      <w:r>
        <w:rPr>
          <w:spacing w:val="17"/>
        </w:rPr>
        <w:t> </w:t>
      </w:r>
      <w:r>
        <w:rPr/>
        <w:t>and</w:t>
      </w:r>
      <w:r>
        <w:rPr>
          <w:spacing w:val="17"/>
        </w:rPr>
        <w:t> </w:t>
      </w:r>
      <w:r>
        <w:rPr/>
        <w:t>Mehrotra,</w:t>
      </w:r>
      <w:r>
        <w:rPr>
          <w:spacing w:val="17"/>
        </w:rPr>
        <w:t> </w:t>
      </w:r>
      <w:r>
        <w:rPr/>
        <w:t>B.</w:t>
      </w:r>
      <w:r>
        <w:rPr>
          <w:spacing w:val="17"/>
        </w:rPr>
        <w:t> </w:t>
      </w:r>
      <w:r>
        <w:rPr/>
        <w:t>N.</w:t>
      </w:r>
      <w:r>
        <w:rPr>
          <w:spacing w:val="17"/>
        </w:rPr>
        <w:t> </w:t>
      </w:r>
      <w:r>
        <w:rPr/>
        <w:t>(1979):</w:t>
      </w:r>
      <w:r>
        <w:rPr>
          <w:spacing w:val="17"/>
        </w:rPr>
        <w:t> </w:t>
      </w:r>
      <w:r>
        <w:rPr/>
        <w:t>Compendium</w:t>
      </w:r>
      <w:r>
        <w:rPr>
          <w:spacing w:val="18"/>
        </w:rPr>
        <w:t> </w:t>
      </w:r>
      <w:r>
        <w:rPr/>
        <w:t>of</w:t>
      </w:r>
      <w:r>
        <w:rPr>
          <w:spacing w:val="19"/>
        </w:rPr>
        <w:t> </w:t>
      </w:r>
      <w:r>
        <w:rPr/>
        <w:t>Indian</w:t>
      </w:r>
      <w:r>
        <w:rPr>
          <w:spacing w:val="17"/>
        </w:rPr>
        <w:t> </w:t>
      </w:r>
      <w:r>
        <w:rPr/>
        <w:t>medicinal</w:t>
      </w:r>
      <w:r>
        <w:rPr>
          <w:spacing w:val="17"/>
        </w:rPr>
        <w:t> </w:t>
      </w:r>
      <w:r>
        <w:rPr/>
        <w:t>plants,</w:t>
      </w:r>
      <w:r>
        <w:rPr>
          <w:spacing w:val="18"/>
        </w:rPr>
        <w:t> </w:t>
      </w:r>
      <w:r>
        <w:rPr>
          <w:spacing w:val="-4"/>
        </w:rPr>
        <w:t>vol.</w:t>
      </w:r>
    </w:p>
    <w:p>
      <w:pPr>
        <w:spacing w:before="0"/>
        <w:ind w:left="1954" w:right="0" w:firstLine="0"/>
        <w:jc w:val="left"/>
        <w:rPr>
          <w:sz w:val="24"/>
        </w:rPr>
      </w:pPr>
      <w:r>
        <w:rPr>
          <w:sz w:val="24"/>
        </w:rPr>
        <w:t>5</w:t>
      </w:r>
      <w:r>
        <w:rPr>
          <w:i/>
          <w:sz w:val="24"/>
        </w:rPr>
        <w:t>.</w:t>
      </w:r>
      <w:r>
        <w:rPr>
          <w:i/>
          <w:spacing w:val="-3"/>
          <w:sz w:val="24"/>
        </w:rPr>
        <w:t> </w:t>
      </w:r>
      <w:r>
        <w:rPr>
          <w:i/>
          <w:sz w:val="24"/>
        </w:rPr>
        <w:t>Indian</w:t>
      </w:r>
      <w:r>
        <w:rPr>
          <w:i/>
          <w:spacing w:val="-1"/>
          <w:sz w:val="24"/>
        </w:rPr>
        <w:t> </w:t>
      </w:r>
      <w:r>
        <w:rPr>
          <w:i/>
          <w:sz w:val="24"/>
        </w:rPr>
        <w:t>Journal. Expt.</w:t>
      </w:r>
      <w:r>
        <w:rPr>
          <w:i/>
          <w:spacing w:val="-1"/>
          <w:sz w:val="24"/>
        </w:rPr>
        <w:t> </w:t>
      </w:r>
      <w:r>
        <w:rPr>
          <w:i/>
          <w:sz w:val="24"/>
        </w:rPr>
        <w:t>Biol</w:t>
      </w:r>
      <w:r>
        <w:rPr>
          <w:sz w:val="24"/>
        </w:rPr>
        <w:t>. </w:t>
      </w:r>
      <w:r>
        <w:rPr>
          <w:b/>
          <w:sz w:val="24"/>
        </w:rPr>
        <w:t>18</w:t>
      </w:r>
      <w:r>
        <w:rPr>
          <w:b/>
          <w:spacing w:val="-1"/>
          <w:sz w:val="24"/>
        </w:rPr>
        <w:t> </w:t>
      </w:r>
      <w:r>
        <w:rPr>
          <w:sz w:val="24"/>
        </w:rPr>
        <w:t>(9): 594-</w:t>
      </w:r>
      <w:r>
        <w:rPr>
          <w:spacing w:val="-4"/>
          <w:sz w:val="24"/>
        </w:rPr>
        <w:t>606.</w:t>
      </w:r>
    </w:p>
    <w:p>
      <w:pPr>
        <w:pStyle w:val="BodyText"/>
        <w:spacing w:before="240"/>
        <w:ind w:left="1954" w:right="992" w:hanging="1277"/>
        <w:jc w:val="both"/>
      </w:pPr>
      <w:r>
        <w:rPr/>
        <w:t>Rathi, S. S., Grover, J. K. and Vats, V. (2002): The effect of Momordica charantia and </w:t>
      </w:r>
      <w:r>
        <w:rPr>
          <w:i/>
        </w:rPr>
        <w:t>Mucuna pruriens </w:t>
      </w:r>
      <w:r>
        <w:rPr/>
        <w:t>in experimental diabetes and their effect on key metabolic enzymes involved in carbohydrate metabolism. </w:t>
      </w:r>
      <w:r>
        <w:rPr>
          <w:i/>
        </w:rPr>
        <w:t>Phytotherapy Research </w:t>
      </w:r>
      <w:r>
        <w:rPr>
          <w:b/>
        </w:rPr>
        <w:t>16</w:t>
      </w:r>
      <w:r>
        <w:rPr/>
        <w:t>: </w:t>
      </w:r>
      <w:r>
        <w:rPr>
          <w:spacing w:val="-2"/>
        </w:rPr>
        <w:t>236-243.</w:t>
      </w:r>
    </w:p>
    <w:p>
      <w:pPr>
        <w:pStyle w:val="BodyText"/>
        <w:spacing w:before="241"/>
        <w:ind w:left="1954" w:right="1000" w:hanging="1277"/>
        <w:jc w:val="both"/>
      </w:pPr>
      <w:r>
        <w:rPr/>
        <w:t>Ravikumar, P. and Anuradha, C. V. (1999): Effect of fenugreek seeds on blood lipid peroxidation and antioxidants in diabetic rats. </w:t>
      </w:r>
      <w:r>
        <w:rPr>
          <w:i/>
        </w:rPr>
        <w:t>Phytother. Res</w:t>
      </w:r>
      <w:r>
        <w:rPr/>
        <w:t>.</w:t>
      </w:r>
      <w:r>
        <w:rPr>
          <w:b/>
        </w:rPr>
        <w:t>13</w:t>
      </w:r>
      <w:r>
        <w:rPr/>
        <w:t>: 197-201.</w:t>
      </w:r>
    </w:p>
    <w:p>
      <w:pPr>
        <w:pStyle w:val="BodyText"/>
        <w:spacing w:line="275" w:lineRule="exact" w:before="240"/>
        <w:ind w:left="678"/>
      </w:pPr>
      <w:r>
        <w:rPr/>
        <w:t>Ravindran,</w:t>
      </w:r>
      <w:r>
        <w:rPr>
          <w:spacing w:val="5"/>
        </w:rPr>
        <w:t> </w:t>
      </w:r>
      <w:r>
        <w:rPr/>
        <w:t>V.</w:t>
      </w:r>
      <w:r>
        <w:rPr>
          <w:spacing w:val="6"/>
        </w:rPr>
        <w:t> </w:t>
      </w:r>
      <w:r>
        <w:rPr/>
        <w:t>and</w:t>
      </w:r>
      <w:r>
        <w:rPr>
          <w:spacing w:val="7"/>
        </w:rPr>
        <w:t> </w:t>
      </w:r>
      <w:r>
        <w:rPr/>
        <w:t>Ravindran,</w:t>
      </w:r>
      <w:r>
        <w:rPr>
          <w:spacing w:val="8"/>
        </w:rPr>
        <w:t> </w:t>
      </w:r>
      <w:r>
        <w:rPr/>
        <w:t>G.</w:t>
      </w:r>
      <w:r>
        <w:rPr>
          <w:spacing w:val="6"/>
        </w:rPr>
        <w:t> </w:t>
      </w:r>
      <w:r>
        <w:rPr/>
        <w:t>(1988):</w:t>
      </w:r>
      <w:r>
        <w:rPr>
          <w:spacing w:val="75"/>
        </w:rPr>
        <w:t> </w:t>
      </w:r>
      <w:r>
        <w:rPr/>
        <w:t>Nutritional</w:t>
      </w:r>
      <w:r>
        <w:rPr>
          <w:spacing w:val="8"/>
        </w:rPr>
        <w:t> </w:t>
      </w:r>
      <w:r>
        <w:rPr/>
        <w:t>and</w:t>
      </w:r>
      <w:r>
        <w:rPr>
          <w:spacing w:val="7"/>
        </w:rPr>
        <w:t> </w:t>
      </w:r>
      <w:r>
        <w:rPr/>
        <w:t>antinutritional</w:t>
      </w:r>
      <w:r>
        <w:rPr>
          <w:spacing w:val="7"/>
        </w:rPr>
        <w:t> </w:t>
      </w:r>
      <w:r>
        <w:rPr/>
        <w:t>characteristics</w:t>
      </w:r>
      <w:r>
        <w:rPr>
          <w:spacing w:val="8"/>
        </w:rPr>
        <w:t> </w:t>
      </w:r>
      <w:r>
        <w:rPr>
          <w:spacing w:val="-5"/>
        </w:rPr>
        <w:t>of</w:t>
      </w:r>
    </w:p>
    <w:p>
      <w:pPr>
        <w:spacing w:line="275" w:lineRule="exact" w:before="0"/>
        <w:ind w:left="1954" w:right="0" w:firstLine="0"/>
        <w:jc w:val="left"/>
        <w:rPr>
          <w:sz w:val="24"/>
        </w:rPr>
      </w:pPr>
      <w:r>
        <w:rPr>
          <w:i/>
          <w:sz w:val="24"/>
        </w:rPr>
        <w:t>Mucuna</w:t>
      </w:r>
      <w:r>
        <w:rPr>
          <w:i/>
          <w:spacing w:val="-1"/>
          <w:sz w:val="24"/>
        </w:rPr>
        <w:t> </w:t>
      </w:r>
      <w:r>
        <w:rPr>
          <w:sz w:val="24"/>
        </w:rPr>
        <w:t>bean</w:t>
      </w:r>
      <w:r>
        <w:rPr>
          <w:spacing w:val="-1"/>
          <w:sz w:val="24"/>
        </w:rPr>
        <w:t> </w:t>
      </w:r>
      <w:r>
        <w:rPr>
          <w:sz w:val="24"/>
        </w:rPr>
        <w:t>seeds.</w:t>
      </w:r>
      <w:r>
        <w:rPr>
          <w:spacing w:val="2"/>
          <w:sz w:val="24"/>
        </w:rPr>
        <w:t> </w:t>
      </w:r>
      <w:r>
        <w:rPr>
          <w:i/>
          <w:sz w:val="24"/>
        </w:rPr>
        <w:t>Journal</w:t>
      </w:r>
      <w:r>
        <w:rPr>
          <w:i/>
          <w:spacing w:val="-1"/>
          <w:sz w:val="24"/>
        </w:rPr>
        <w:t> </w:t>
      </w:r>
      <w:r>
        <w:rPr>
          <w:i/>
          <w:sz w:val="24"/>
        </w:rPr>
        <w:t>of Science</w:t>
      </w:r>
      <w:r>
        <w:rPr>
          <w:i/>
          <w:spacing w:val="-2"/>
          <w:sz w:val="24"/>
        </w:rPr>
        <w:t> </w:t>
      </w:r>
      <w:r>
        <w:rPr>
          <w:i/>
          <w:sz w:val="24"/>
        </w:rPr>
        <w:t>of Food</w:t>
      </w:r>
      <w:r>
        <w:rPr>
          <w:i/>
          <w:spacing w:val="-1"/>
          <w:sz w:val="24"/>
        </w:rPr>
        <w:t> </w:t>
      </w:r>
      <w:r>
        <w:rPr>
          <w:i/>
          <w:sz w:val="24"/>
        </w:rPr>
        <w:t>and Agriculture</w:t>
      </w:r>
      <w:r>
        <w:rPr>
          <w:i/>
          <w:spacing w:val="-1"/>
          <w:sz w:val="24"/>
        </w:rPr>
        <w:t> </w:t>
      </w:r>
      <w:r>
        <w:rPr>
          <w:b/>
          <w:sz w:val="24"/>
        </w:rPr>
        <w:t>46</w:t>
      </w:r>
      <w:r>
        <w:rPr>
          <w:sz w:val="24"/>
        </w:rPr>
        <w:t>: 71-</w:t>
      </w:r>
      <w:r>
        <w:rPr>
          <w:spacing w:val="-5"/>
          <w:sz w:val="24"/>
        </w:rPr>
        <w:t>79.</w:t>
      </w:r>
    </w:p>
    <w:p>
      <w:pPr>
        <w:spacing w:after="0" w:line="275" w:lineRule="exact"/>
        <w:jc w:val="left"/>
        <w:rPr>
          <w:sz w:val="24"/>
        </w:rPr>
        <w:sectPr>
          <w:pgSz w:w="12240" w:h="15840"/>
          <w:pgMar w:header="0" w:footer="1056" w:top="1340" w:bottom="1240" w:left="1420" w:right="420"/>
        </w:sectPr>
      </w:pPr>
    </w:p>
    <w:p>
      <w:pPr>
        <w:pStyle w:val="BodyText"/>
        <w:spacing w:before="70"/>
        <w:ind w:left="1954" w:right="993" w:hanging="1277"/>
        <w:jc w:val="both"/>
      </w:pPr>
      <w:r>
        <w:rPr/>
        <mc:AlternateContent>
          <mc:Choice Requires="wps">
            <w:drawing>
              <wp:anchor distT="0" distB="0" distL="0" distR="0" allowOverlap="1" layoutInCell="1" locked="0" behindDoc="1" simplePos="0" relativeHeight="483047936">
                <wp:simplePos x="0" y="0"/>
                <wp:positionH relativeFrom="page">
                  <wp:posOffset>-1402226</wp:posOffset>
                </wp:positionH>
                <wp:positionV relativeFrom="page">
                  <wp:posOffset>4612234</wp:posOffset>
                </wp:positionV>
                <wp:extent cx="10685780" cy="9144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8544;rotation:306" type="#_x0000_t136" fillcolor="#ff5400" stroked="f">
                <o:extrusion v:ext="view" autorotationcenter="t"/>
                <v:textpath style="font-family:&quot;Arial MT&quot;;font-size:72pt;v-text-kern:t;mso-text-shadow:auto" string="UNIVERSITY OF IBADAN"/>
                <w10:wrap type="none"/>
              </v:shape>
            </w:pict>
          </mc:Fallback>
        </mc:AlternateContent>
      </w:r>
      <w:hyperlink r:id="rId66">
        <w:r>
          <w:rPr/>
          <w:t>Razavi, R</w:t>
        </w:r>
      </w:hyperlink>
      <w:r>
        <w:rPr/>
        <w:t>, </w:t>
      </w:r>
      <w:hyperlink r:id="rId67">
        <w:r>
          <w:rPr/>
          <w:t>Chan, Y</w:t>
        </w:r>
      </w:hyperlink>
      <w:r>
        <w:rPr/>
        <w:t>., </w:t>
      </w:r>
      <w:hyperlink r:id="rId68">
        <w:r>
          <w:rPr/>
          <w:t>Afifiyan, F. N.</w:t>
        </w:r>
      </w:hyperlink>
      <w:r>
        <w:rPr/>
        <w:t>, </w:t>
      </w:r>
      <w:hyperlink r:id="rId69">
        <w:r>
          <w:rPr/>
          <w:t>Liu, X. J</w:t>
        </w:r>
      </w:hyperlink>
      <w:r>
        <w:rPr/>
        <w:t>., </w:t>
      </w:r>
      <w:hyperlink r:id="rId70">
        <w:r>
          <w:rPr/>
          <w:t>Wan, X</w:t>
        </w:r>
      </w:hyperlink>
      <w:r>
        <w:rPr/>
        <w:t>., </w:t>
      </w:r>
      <w:hyperlink r:id="rId71">
        <w:r>
          <w:rPr/>
          <w:t>Yantha, J</w:t>
        </w:r>
      </w:hyperlink>
      <w:r>
        <w:rPr/>
        <w:t>., </w:t>
      </w:r>
      <w:hyperlink r:id="rId72">
        <w:r>
          <w:rPr/>
          <w:t>Tsui, H</w:t>
        </w:r>
      </w:hyperlink>
      <w:r>
        <w:rPr/>
        <w:t>., </w:t>
      </w:r>
      <w:hyperlink r:id="rId73">
        <w:r>
          <w:rPr/>
          <w:t>Tang, L</w:t>
        </w:r>
      </w:hyperlink>
      <w:r>
        <w:rPr/>
        <w:t>., </w:t>
      </w:r>
      <w:hyperlink r:id="rId74">
        <w:r>
          <w:rPr/>
          <w:t>Tsai,</w:t>
        </w:r>
        <w:r>
          <w:rPr>
            <w:spacing w:val="15"/>
          </w:rPr>
          <w:t> </w:t>
        </w:r>
        <w:r>
          <w:rPr/>
          <w:t>S</w:t>
        </w:r>
      </w:hyperlink>
      <w:r>
        <w:rPr/>
        <w:t>.,</w:t>
      </w:r>
      <w:r>
        <w:rPr>
          <w:spacing w:val="18"/>
        </w:rPr>
        <w:t> </w:t>
      </w:r>
      <w:hyperlink r:id="rId75">
        <w:r>
          <w:rPr/>
          <w:t>Santamaria,</w:t>
        </w:r>
        <w:r>
          <w:rPr>
            <w:spacing w:val="18"/>
          </w:rPr>
          <w:t> </w:t>
        </w:r>
        <w:r>
          <w:rPr/>
          <w:t>P</w:t>
        </w:r>
      </w:hyperlink>
      <w:r>
        <w:rPr/>
        <w:t>.,</w:t>
      </w:r>
      <w:r>
        <w:rPr>
          <w:spacing w:val="15"/>
        </w:rPr>
        <w:t> </w:t>
      </w:r>
      <w:hyperlink r:id="rId76">
        <w:r>
          <w:rPr/>
          <w:t>Driver,</w:t>
        </w:r>
        <w:r>
          <w:rPr>
            <w:spacing w:val="18"/>
          </w:rPr>
          <w:t> </w:t>
        </w:r>
        <w:r>
          <w:rPr/>
          <w:t>J.</w:t>
        </w:r>
        <w:r>
          <w:rPr>
            <w:spacing w:val="18"/>
          </w:rPr>
          <w:t> </w:t>
        </w:r>
        <w:r>
          <w:rPr/>
          <w:t>P</w:t>
        </w:r>
      </w:hyperlink>
      <w:r>
        <w:rPr/>
        <w:t>.,</w:t>
      </w:r>
      <w:r>
        <w:rPr>
          <w:spacing w:val="15"/>
        </w:rPr>
        <w:t> </w:t>
      </w:r>
      <w:hyperlink r:id="rId77">
        <w:r>
          <w:rPr/>
          <w:t>Serreze,</w:t>
        </w:r>
        <w:r>
          <w:rPr>
            <w:spacing w:val="18"/>
          </w:rPr>
          <w:t> </w:t>
        </w:r>
        <w:r>
          <w:rPr/>
          <w:t>D</w:t>
        </w:r>
      </w:hyperlink>
      <w:r>
        <w:rPr/>
        <w:t>.,</w:t>
      </w:r>
      <w:r>
        <w:rPr>
          <w:spacing w:val="18"/>
        </w:rPr>
        <w:t> </w:t>
      </w:r>
      <w:hyperlink r:id="rId78">
        <w:r>
          <w:rPr/>
          <w:t>Salter,</w:t>
        </w:r>
        <w:r>
          <w:rPr>
            <w:spacing w:val="18"/>
          </w:rPr>
          <w:t> </w:t>
        </w:r>
        <w:r>
          <w:rPr/>
          <w:t>M.</w:t>
        </w:r>
        <w:r>
          <w:rPr>
            <w:spacing w:val="16"/>
          </w:rPr>
          <w:t> </w:t>
        </w:r>
        <w:r>
          <w:rPr/>
          <w:t>W</w:t>
        </w:r>
      </w:hyperlink>
      <w:r>
        <w:rPr/>
        <w:t>.,</w:t>
      </w:r>
      <w:r>
        <w:rPr>
          <w:spacing w:val="18"/>
        </w:rPr>
        <w:t> </w:t>
      </w:r>
      <w:hyperlink r:id="rId79">
        <w:r>
          <w:rPr/>
          <w:t>Dosch,</w:t>
        </w:r>
        <w:r>
          <w:rPr>
            <w:spacing w:val="15"/>
          </w:rPr>
          <w:t> </w:t>
        </w:r>
        <w:r>
          <w:rPr>
            <w:spacing w:val="-5"/>
          </w:rPr>
          <w:t>H.</w:t>
        </w:r>
      </w:hyperlink>
    </w:p>
    <w:p>
      <w:pPr>
        <w:spacing w:before="0"/>
        <w:ind w:left="1954" w:right="0" w:firstLine="0"/>
        <w:jc w:val="left"/>
        <w:rPr>
          <w:sz w:val="24"/>
        </w:rPr>
      </w:pPr>
      <w:hyperlink r:id="rId79">
        <w:r>
          <w:rPr>
            <w:sz w:val="24"/>
          </w:rPr>
          <w:t>M</w:t>
        </w:r>
      </w:hyperlink>
      <w:r>
        <w:rPr>
          <w:sz w:val="24"/>
        </w:rPr>
        <w:t>.</w:t>
      </w:r>
      <w:r>
        <w:rPr>
          <w:spacing w:val="-2"/>
          <w:sz w:val="24"/>
        </w:rPr>
        <w:t> </w:t>
      </w:r>
      <w:r>
        <w:rPr>
          <w:sz w:val="24"/>
        </w:rPr>
        <w:t>(2006):</w:t>
      </w:r>
      <w:r>
        <w:rPr>
          <w:spacing w:val="-1"/>
          <w:sz w:val="24"/>
        </w:rPr>
        <w:t> </w:t>
      </w:r>
      <w:hyperlink r:id="rId80">
        <w:r>
          <w:rPr>
            <w:i/>
            <w:sz w:val="24"/>
          </w:rPr>
          <w:t>Cell.</w:t>
        </w:r>
      </w:hyperlink>
      <w:r>
        <w:rPr>
          <w:i/>
          <w:spacing w:val="-1"/>
          <w:sz w:val="24"/>
        </w:rPr>
        <w:t> </w:t>
      </w:r>
      <w:r>
        <w:rPr>
          <w:sz w:val="24"/>
        </w:rPr>
        <w:t>15:</w:t>
      </w:r>
      <w:r>
        <w:rPr>
          <w:spacing w:val="-1"/>
          <w:sz w:val="24"/>
        </w:rPr>
        <w:t> </w:t>
      </w:r>
      <w:r>
        <w:rPr>
          <w:b/>
          <w:sz w:val="24"/>
        </w:rPr>
        <w:t>127</w:t>
      </w:r>
      <w:r>
        <w:rPr>
          <w:sz w:val="24"/>
        </w:rPr>
        <w:t>(6):1123-</w:t>
      </w:r>
      <w:r>
        <w:rPr>
          <w:spacing w:val="-5"/>
          <w:sz w:val="24"/>
        </w:rPr>
        <w:t>35.</w:t>
      </w:r>
    </w:p>
    <w:p>
      <w:pPr>
        <w:pStyle w:val="BodyText"/>
        <w:spacing w:before="7"/>
      </w:pPr>
    </w:p>
    <w:p>
      <w:pPr>
        <w:spacing w:line="237" w:lineRule="auto" w:before="1"/>
        <w:ind w:left="1669" w:right="994" w:hanging="992"/>
        <w:jc w:val="left"/>
        <w:rPr>
          <w:sz w:val="24"/>
        </w:rPr>
      </w:pPr>
      <w:r>
        <w:rPr>
          <w:sz w:val="24"/>
        </w:rPr>
        <w:t>Reed,</w:t>
      </w:r>
      <w:r>
        <w:rPr>
          <w:spacing w:val="-3"/>
          <w:sz w:val="24"/>
        </w:rPr>
        <w:t> </w:t>
      </w:r>
      <w:r>
        <w:rPr>
          <w:sz w:val="24"/>
        </w:rPr>
        <w:t>M.</w:t>
      </w:r>
      <w:r>
        <w:rPr>
          <w:spacing w:val="-3"/>
          <w:sz w:val="24"/>
        </w:rPr>
        <w:t> </w:t>
      </w:r>
      <w:r>
        <w:rPr>
          <w:sz w:val="24"/>
        </w:rPr>
        <w:t>J.</w:t>
      </w:r>
      <w:r>
        <w:rPr>
          <w:spacing w:val="-3"/>
          <w:sz w:val="24"/>
        </w:rPr>
        <w:t> </w:t>
      </w:r>
      <w:r>
        <w:rPr>
          <w:sz w:val="24"/>
        </w:rPr>
        <w:t>(1999):</w:t>
      </w:r>
      <w:r>
        <w:rPr>
          <w:spacing w:val="-2"/>
          <w:sz w:val="24"/>
        </w:rPr>
        <w:t> </w:t>
      </w:r>
      <w:r>
        <w:rPr>
          <w:i/>
          <w:sz w:val="24"/>
        </w:rPr>
        <w:t>In</w:t>
      </w:r>
      <w:r>
        <w:rPr>
          <w:i/>
          <w:spacing w:val="-3"/>
          <w:sz w:val="24"/>
        </w:rPr>
        <w:t> </w:t>
      </w:r>
      <w:r>
        <w:rPr>
          <w:i/>
          <w:sz w:val="24"/>
        </w:rPr>
        <w:t>vivo</w:t>
      </w:r>
      <w:r>
        <w:rPr>
          <w:i/>
          <w:spacing w:val="-4"/>
          <w:sz w:val="24"/>
        </w:rPr>
        <w:t> </w:t>
      </w:r>
      <w:r>
        <w:rPr>
          <w:sz w:val="24"/>
        </w:rPr>
        <w:t>and</w:t>
      </w:r>
      <w:r>
        <w:rPr>
          <w:spacing w:val="-3"/>
          <w:sz w:val="24"/>
        </w:rPr>
        <w:t> </w:t>
      </w:r>
      <w:r>
        <w:rPr>
          <w:i/>
          <w:sz w:val="24"/>
        </w:rPr>
        <w:t>in</w:t>
      </w:r>
      <w:r>
        <w:rPr>
          <w:i/>
          <w:spacing w:val="-3"/>
          <w:sz w:val="24"/>
        </w:rPr>
        <w:t> </w:t>
      </w:r>
      <w:r>
        <w:rPr>
          <w:i/>
          <w:sz w:val="24"/>
        </w:rPr>
        <w:t>vitro</w:t>
      </w:r>
      <w:r>
        <w:rPr>
          <w:i/>
          <w:spacing w:val="-3"/>
          <w:sz w:val="24"/>
        </w:rPr>
        <w:t> </w:t>
      </w:r>
      <w:r>
        <w:rPr>
          <w:sz w:val="24"/>
        </w:rPr>
        <w:t>models</w:t>
      </w:r>
      <w:r>
        <w:rPr>
          <w:spacing w:val="-3"/>
          <w:sz w:val="24"/>
        </w:rPr>
        <w:t> </w:t>
      </w:r>
      <w:r>
        <w:rPr>
          <w:sz w:val="24"/>
        </w:rPr>
        <w:t>of</w:t>
      </w:r>
      <w:r>
        <w:rPr>
          <w:spacing w:val="-2"/>
          <w:sz w:val="24"/>
        </w:rPr>
        <w:t> </w:t>
      </w:r>
      <w:r>
        <w:rPr>
          <w:sz w:val="24"/>
        </w:rPr>
        <w:t>type</w:t>
      </w:r>
      <w:r>
        <w:rPr>
          <w:spacing w:val="-4"/>
          <w:sz w:val="24"/>
        </w:rPr>
        <w:t> </w:t>
      </w:r>
      <w:r>
        <w:rPr>
          <w:sz w:val="24"/>
        </w:rPr>
        <w:t>2</w:t>
      </w:r>
      <w:r>
        <w:rPr>
          <w:spacing w:val="-3"/>
          <w:sz w:val="24"/>
        </w:rPr>
        <w:t> </w:t>
      </w:r>
      <w:r>
        <w:rPr>
          <w:sz w:val="24"/>
        </w:rPr>
        <w:t>diabetes</w:t>
      </w:r>
      <w:r>
        <w:rPr>
          <w:spacing w:val="-3"/>
          <w:sz w:val="24"/>
        </w:rPr>
        <w:t> </w:t>
      </w:r>
      <w:r>
        <w:rPr>
          <w:sz w:val="24"/>
        </w:rPr>
        <w:t>in</w:t>
      </w:r>
      <w:r>
        <w:rPr>
          <w:spacing w:val="-3"/>
          <w:sz w:val="24"/>
        </w:rPr>
        <w:t> </w:t>
      </w:r>
      <w:r>
        <w:rPr>
          <w:sz w:val="24"/>
        </w:rPr>
        <w:t>pharmaceutical</w:t>
      </w:r>
      <w:r>
        <w:rPr>
          <w:spacing w:val="-3"/>
          <w:sz w:val="24"/>
        </w:rPr>
        <w:t> </w:t>
      </w:r>
      <w:r>
        <w:rPr>
          <w:sz w:val="24"/>
        </w:rPr>
        <w:t>drug discovery. </w:t>
      </w:r>
      <w:r>
        <w:rPr>
          <w:i/>
          <w:sz w:val="24"/>
        </w:rPr>
        <w:t>Diabetes Obes Metab</w:t>
      </w:r>
      <w:r>
        <w:rPr>
          <w:sz w:val="24"/>
        </w:rPr>
        <w:t>; </w:t>
      </w:r>
      <w:r>
        <w:rPr>
          <w:b/>
          <w:sz w:val="24"/>
        </w:rPr>
        <w:t>1</w:t>
      </w:r>
      <w:r>
        <w:rPr>
          <w:sz w:val="24"/>
        </w:rPr>
        <w:t>: 75-86.</w:t>
      </w:r>
    </w:p>
    <w:p>
      <w:pPr>
        <w:pStyle w:val="BodyText"/>
        <w:spacing w:before="8"/>
      </w:pPr>
    </w:p>
    <w:p>
      <w:pPr>
        <w:pStyle w:val="BodyText"/>
        <w:spacing w:line="276" w:lineRule="auto"/>
        <w:ind w:left="1938" w:right="1041" w:hanging="1260"/>
      </w:pPr>
      <w:r>
        <w:rPr/>
        <w:t>Renoux,</w:t>
      </w:r>
      <w:r>
        <w:rPr>
          <w:spacing w:val="-4"/>
        </w:rPr>
        <w:t> </w:t>
      </w:r>
      <w:r>
        <w:rPr/>
        <w:t>R.,</w:t>
      </w:r>
      <w:r>
        <w:rPr>
          <w:spacing w:val="-4"/>
        </w:rPr>
        <w:t> </w:t>
      </w:r>
      <w:r>
        <w:rPr/>
        <w:t>Demazieres,</w:t>
      </w:r>
      <w:r>
        <w:rPr>
          <w:spacing w:val="-4"/>
        </w:rPr>
        <w:t> </w:t>
      </w:r>
      <w:r>
        <w:rPr/>
        <w:t>J.A.,</w:t>
      </w:r>
      <w:r>
        <w:rPr>
          <w:spacing w:val="-4"/>
        </w:rPr>
        <w:t> </w:t>
      </w:r>
      <w:r>
        <w:rPr/>
        <w:t>Cardot,</w:t>
      </w:r>
      <w:r>
        <w:rPr>
          <w:spacing w:val="-6"/>
        </w:rPr>
        <w:t> </w:t>
      </w:r>
      <w:r>
        <w:rPr/>
        <w:t>J.M.,</w:t>
      </w:r>
      <w:r>
        <w:rPr>
          <w:spacing w:val="-4"/>
        </w:rPr>
        <w:t> </w:t>
      </w:r>
      <w:r>
        <w:rPr/>
        <w:t>Aiache,</w:t>
      </w:r>
      <w:r>
        <w:rPr>
          <w:spacing w:val="-4"/>
        </w:rPr>
        <w:t> </w:t>
      </w:r>
      <w:r>
        <w:rPr/>
        <w:t>J.M.,</w:t>
      </w:r>
      <w:r>
        <w:rPr>
          <w:spacing w:val="-2"/>
        </w:rPr>
        <w:t> </w:t>
      </w:r>
      <w:r>
        <w:rPr/>
        <w:t>1996.</w:t>
      </w:r>
      <w:r>
        <w:rPr>
          <w:spacing w:val="-4"/>
        </w:rPr>
        <w:t> </w:t>
      </w:r>
      <w:r>
        <w:rPr/>
        <w:t>Experimentally</w:t>
      </w:r>
      <w:r>
        <w:rPr>
          <w:spacing w:val="-9"/>
        </w:rPr>
        <w:t> </w:t>
      </w:r>
      <w:r>
        <w:rPr/>
        <w:t>designed optimisation of direct compression tablets. </w:t>
      </w:r>
      <w:r>
        <w:rPr>
          <w:i/>
        </w:rPr>
        <w:t>Drug Dev. Ind. Pharm</w:t>
      </w:r>
      <w:r>
        <w:rPr/>
        <w:t>. </w:t>
      </w:r>
      <w:r>
        <w:rPr>
          <w:b/>
        </w:rPr>
        <w:t>22 </w:t>
      </w:r>
      <w:r>
        <w:rPr/>
        <w:t>(2), </w:t>
      </w:r>
      <w:r>
        <w:rPr>
          <w:spacing w:val="-2"/>
        </w:rPr>
        <w:t>103–105.</w:t>
      </w:r>
    </w:p>
    <w:p>
      <w:pPr>
        <w:pStyle w:val="BodyText"/>
        <w:spacing w:before="238"/>
        <w:ind w:left="678"/>
      </w:pPr>
      <w:r>
        <w:rPr/>
        <w:t>Reynolds,</w:t>
      </w:r>
      <w:r>
        <w:rPr>
          <w:spacing w:val="-2"/>
        </w:rPr>
        <w:t> </w:t>
      </w:r>
      <w:r>
        <w:rPr/>
        <w:t>J.</w:t>
      </w:r>
      <w:r>
        <w:rPr>
          <w:spacing w:val="-2"/>
        </w:rPr>
        <w:t> </w:t>
      </w:r>
      <w:r>
        <w:rPr/>
        <w:t>E.</w:t>
      </w:r>
      <w:r>
        <w:rPr>
          <w:spacing w:val="-1"/>
        </w:rPr>
        <w:t> </w:t>
      </w:r>
      <w:r>
        <w:rPr/>
        <w:t>(1989):</w:t>
      </w:r>
      <w:r>
        <w:rPr>
          <w:spacing w:val="-2"/>
        </w:rPr>
        <w:t> </w:t>
      </w:r>
      <w:r>
        <w:rPr/>
        <w:t>The</w:t>
      </w:r>
      <w:r>
        <w:rPr>
          <w:spacing w:val="-3"/>
        </w:rPr>
        <w:t> </w:t>
      </w:r>
      <w:r>
        <w:rPr/>
        <w:t>Extra</w:t>
      </w:r>
      <w:r>
        <w:rPr>
          <w:spacing w:val="-4"/>
        </w:rPr>
        <w:t> </w:t>
      </w:r>
      <w:r>
        <w:rPr/>
        <w:t>Pharmacopoeia. Pharmaceutical</w:t>
      </w:r>
      <w:r>
        <w:rPr>
          <w:spacing w:val="-2"/>
        </w:rPr>
        <w:t> </w:t>
      </w:r>
      <w:r>
        <w:rPr/>
        <w:t>Press,</w:t>
      </w:r>
      <w:r>
        <w:rPr>
          <w:spacing w:val="1"/>
        </w:rPr>
        <w:t> </w:t>
      </w:r>
      <w:r>
        <w:rPr>
          <w:spacing w:val="-2"/>
        </w:rPr>
        <w:t>London.</w:t>
      </w:r>
    </w:p>
    <w:p>
      <w:pPr>
        <w:pStyle w:val="BodyText"/>
        <w:spacing w:before="241"/>
        <w:ind w:left="1954" w:right="992" w:hanging="1277"/>
        <w:jc w:val="both"/>
      </w:pPr>
      <w:r>
        <w:rPr/>
        <w:t>Rice-Evans, C. A., Miller, N. J. A. and Paganga, G. (1996):</w:t>
      </w:r>
      <w:r>
        <w:rPr>
          <w:spacing w:val="40"/>
        </w:rPr>
        <w:t> </w:t>
      </w:r>
      <w:r>
        <w:rPr/>
        <w:t>Structure antioxidant activity relationships of flavonoids and phenolic acids. Free Radica; </w:t>
      </w:r>
      <w:r>
        <w:rPr>
          <w:i/>
        </w:rPr>
        <w:t>Biology and Medicine </w:t>
      </w:r>
      <w:r>
        <w:rPr>
          <w:b/>
        </w:rPr>
        <w:t>20</w:t>
      </w:r>
      <w:r>
        <w:rPr/>
        <w:t>: 933-956.</w:t>
      </w:r>
    </w:p>
    <w:p>
      <w:pPr>
        <w:pStyle w:val="BodyText"/>
        <w:spacing w:before="240"/>
        <w:ind w:left="1954" w:right="999" w:hanging="1277"/>
        <w:jc w:val="both"/>
      </w:pPr>
      <w:r>
        <w:rPr/>
        <w:t>Rickard, S. W. and Thompson, L. U. (1997): Interactions and biological effects of phytic acid. In: Antinutrients and Phytochemicals in Food (Editor, Shahidi F), ACS Symposium Series # 662, American Chemical Society, Washington DC,</w:t>
      </w:r>
      <w:r>
        <w:rPr>
          <w:spacing w:val="80"/>
        </w:rPr>
        <w:t> </w:t>
      </w:r>
      <w:r>
        <w:rPr>
          <w:spacing w:val="-2"/>
        </w:rPr>
        <w:t>294-312.</w:t>
      </w:r>
    </w:p>
    <w:p>
      <w:pPr>
        <w:pStyle w:val="BodyText"/>
        <w:spacing w:before="240"/>
        <w:ind w:left="1810" w:right="995" w:hanging="1133"/>
        <w:jc w:val="both"/>
      </w:pPr>
      <w:r>
        <w:rPr/>
        <w:t>Ringard, J. and Guyot-Hermann, A. (1981): Disintegration mechanism of tablet</w:t>
      </w:r>
      <w:r>
        <w:rPr>
          <w:spacing w:val="80"/>
        </w:rPr>
        <w:t> </w:t>
      </w:r>
      <w:r>
        <w:rPr/>
        <w:t>containing starches: hypothesis about the particle-particle repulsive forces. </w:t>
      </w:r>
      <w:r>
        <w:rPr>
          <w:i/>
        </w:rPr>
        <w:t>Drug Dev. Ind. Pharm</w:t>
      </w:r>
      <w:r>
        <w:rPr/>
        <w:t>., </w:t>
      </w:r>
      <w:r>
        <w:rPr>
          <w:b/>
        </w:rPr>
        <w:t>7</w:t>
      </w:r>
      <w:r>
        <w:rPr/>
        <w:t>: 15 - 177.</w:t>
      </w:r>
    </w:p>
    <w:p>
      <w:pPr>
        <w:pStyle w:val="BodyText"/>
        <w:spacing w:before="240"/>
        <w:ind w:left="1810" w:right="994" w:hanging="1133"/>
        <w:jc w:val="both"/>
      </w:pPr>
      <w:r>
        <w:rPr/>
        <w:t>Rogers-Pamplona</w:t>
      </w:r>
      <w:r>
        <w:rPr>
          <w:spacing w:val="-3"/>
        </w:rPr>
        <w:t> </w:t>
      </w:r>
      <w:r>
        <w:rPr/>
        <w:t>(1999):</w:t>
      </w:r>
      <w:r>
        <w:rPr>
          <w:spacing w:val="-2"/>
        </w:rPr>
        <w:t> </w:t>
      </w:r>
      <w:r>
        <w:rPr/>
        <w:t>The</w:t>
      </w:r>
      <w:r>
        <w:rPr>
          <w:spacing w:val="-4"/>
        </w:rPr>
        <w:t> </w:t>
      </w:r>
      <w:r>
        <w:rPr/>
        <w:t>Medicinal</w:t>
      </w:r>
      <w:r>
        <w:rPr>
          <w:spacing w:val="-2"/>
        </w:rPr>
        <w:t> </w:t>
      </w:r>
      <w:r>
        <w:rPr/>
        <w:t>Plants. In</w:t>
      </w:r>
      <w:r>
        <w:rPr>
          <w:b/>
        </w:rPr>
        <w:t>:</w:t>
      </w:r>
      <w:r>
        <w:rPr>
          <w:b/>
          <w:spacing w:val="-3"/>
        </w:rPr>
        <w:t> </w:t>
      </w:r>
      <w:r>
        <w:rPr/>
        <w:t>Encyclopedia</w:t>
      </w:r>
      <w:r>
        <w:rPr>
          <w:spacing w:val="-3"/>
        </w:rPr>
        <w:t> </w:t>
      </w:r>
      <w:r>
        <w:rPr/>
        <w:t>of</w:t>
      </w:r>
      <w:r>
        <w:rPr>
          <w:spacing w:val="-3"/>
        </w:rPr>
        <w:t> </w:t>
      </w:r>
      <w:r>
        <w:rPr/>
        <w:t>Medicinal</w:t>
      </w:r>
      <w:r>
        <w:rPr>
          <w:spacing w:val="-2"/>
        </w:rPr>
        <w:t> </w:t>
      </w:r>
      <w:r>
        <w:rPr/>
        <w:t>Plants (1). (Ed) Safeliz, Madrid, pp. 5.</w:t>
      </w:r>
    </w:p>
    <w:p>
      <w:pPr>
        <w:pStyle w:val="BodyText"/>
        <w:spacing w:before="240"/>
        <w:ind w:left="1671" w:right="993" w:hanging="994"/>
        <w:jc w:val="both"/>
      </w:pPr>
      <w:r>
        <w:rPr/>
        <w:t>Rollason, J. G., Pincherle, G., Robinson, D. (1972): Serum gammaglutamyltranspeptidase Roman-Ramos R, Alarcon-Aguilar F. Lara-Lemus A, Flores-Saenz J. L., Hypoglycaemic effect of plants used in Mexico as antidiabetics. </w:t>
      </w:r>
      <w:r>
        <w:rPr>
          <w:i/>
        </w:rPr>
        <w:t>Arc. Med. Res</w:t>
      </w:r>
      <w:r>
        <w:rPr/>
        <w:t>. </w:t>
      </w:r>
      <w:r>
        <w:rPr>
          <w:b/>
        </w:rPr>
        <w:t>23</w:t>
      </w:r>
      <w:r>
        <w:rPr/>
        <w:t>: 59-64.</w:t>
      </w:r>
    </w:p>
    <w:p>
      <w:pPr>
        <w:pStyle w:val="BodyText"/>
        <w:spacing w:before="240"/>
        <w:ind w:left="1671" w:right="992" w:hanging="994"/>
        <w:jc w:val="both"/>
      </w:pPr>
      <w:r>
        <w:rPr/>
        <w:t>Roman-Ramos, R, Alarcon-Aguilar, F, Lara-Lemus, A. Flores-Saenz, J. L. (1992): Hypoglycaemic effect of plants used in Mexico as antidiabetics</w:t>
      </w:r>
      <w:r>
        <w:rPr>
          <w:i/>
        </w:rPr>
        <w:t>. Arch Med Res</w:t>
      </w:r>
      <w:r>
        <w:rPr/>
        <w:t>; </w:t>
      </w:r>
      <w:r>
        <w:rPr>
          <w:b/>
        </w:rPr>
        <w:t>23</w:t>
      </w:r>
      <w:r>
        <w:rPr/>
        <w:t>: 59-64</w:t>
      </w:r>
    </w:p>
    <w:p>
      <w:pPr>
        <w:spacing w:before="240"/>
        <w:ind w:left="1671" w:right="992" w:hanging="994"/>
        <w:jc w:val="both"/>
        <w:rPr>
          <w:sz w:val="24"/>
        </w:rPr>
      </w:pPr>
      <w:r>
        <w:rPr>
          <w:sz w:val="24"/>
        </w:rPr>
        <w:t>Rother, K. I. (2007): Diabetes treatment: Bridging the Divide. </w:t>
      </w:r>
      <w:r>
        <w:rPr>
          <w:i/>
          <w:sz w:val="24"/>
        </w:rPr>
        <w:t>New England Journal of Medicine </w:t>
      </w:r>
      <w:r>
        <w:rPr>
          <w:b/>
          <w:sz w:val="24"/>
        </w:rPr>
        <w:t>356 </w:t>
      </w:r>
      <w:r>
        <w:rPr>
          <w:sz w:val="24"/>
        </w:rPr>
        <w:t>(15): 1499-1501.</w:t>
      </w:r>
    </w:p>
    <w:p>
      <w:pPr>
        <w:pStyle w:val="BodyText"/>
        <w:spacing w:before="241"/>
        <w:ind w:left="1671" w:right="996" w:hanging="994"/>
        <w:jc w:val="both"/>
      </w:pPr>
      <w:r>
        <w:rPr/>
        <w:t>Rumpf, H. (1962): The strength of granules and agglomerates. In: Agglomeration.</w:t>
      </w:r>
      <w:r>
        <w:rPr>
          <w:spacing w:val="40"/>
        </w:rPr>
        <w:t> </w:t>
      </w:r>
      <w:r>
        <w:rPr/>
        <w:t>(Ed) Knepper, W. A., Interscience, New York. </w:t>
      </w:r>
      <w:r>
        <w:rPr>
          <w:b/>
        </w:rPr>
        <w:t>5</w:t>
      </w:r>
      <w:r>
        <w:rPr/>
        <w:t>: 379.</w:t>
      </w:r>
    </w:p>
    <w:p>
      <w:pPr>
        <w:pStyle w:val="BodyText"/>
        <w:spacing w:before="240"/>
        <w:ind w:left="1671" w:right="994" w:hanging="994"/>
        <w:jc w:val="both"/>
      </w:pPr>
      <w:r>
        <w:rPr/>
        <w:t>Said, G, Gordon-Goeau C, Slama G, Tchobroutsky G. (1992): Severe early- onset polyneuropathy in insulin-dependent diabetes mellitus: a clinical and pathological study. </w:t>
      </w:r>
      <w:r>
        <w:rPr>
          <w:i/>
        </w:rPr>
        <w:t>N. Engl. J. Med</w:t>
      </w:r>
      <w:r>
        <w:rPr/>
        <w:t>. 1992; 326: 1257-1263.</w:t>
      </w:r>
    </w:p>
    <w:p>
      <w:pPr>
        <w:spacing w:after="0"/>
        <w:jc w:val="both"/>
        <w:sectPr>
          <w:pgSz w:w="12240" w:h="15840"/>
          <w:pgMar w:header="0" w:footer="1056" w:top="1340" w:bottom="1240" w:left="1420" w:right="420"/>
        </w:sectPr>
      </w:pPr>
    </w:p>
    <w:p>
      <w:pPr>
        <w:pStyle w:val="BodyText"/>
        <w:spacing w:before="70"/>
        <w:ind w:left="1810" w:right="994" w:hanging="1133"/>
        <w:jc w:val="both"/>
      </w:pPr>
      <w:r>
        <w:rPr/>
        <mc:AlternateContent>
          <mc:Choice Requires="wps">
            <w:drawing>
              <wp:anchor distT="0" distB="0" distL="0" distR="0" allowOverlap="1" layoutInCell="1" locked="0" behindDoc="1" simplePos="0" relativeHeight="483048448">
                <wp:simplePos x="0" y="0"/>
                <wp:positionH relativeFrom="page">
                  <wp:posOffset>-1402226</wp:posOffset>
                </wp:positionH>
                <wp:positionV relativeFrom="page">
                  <wp:posOffset>4612234</wp:posOffset>
                </wp:positionV>
                <wp:extent cx="10685780" cy="9144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8032;rotation:306" type="#_x0000_t136" fillcolor="#ff5400" stroked="f">
                <o:extrusion v:ext="view" autorotationcenter="t"/>
                <v:textpath style="font-family:&quot;Arial MT&quot;;font-size:72pt;v-text-kern:t;mso-text-shadow:auto" string="UNIVERSITY OF IBADAN"/>
                <w10:wrap type="none"/>
              </v:shape>
            </w:pict>
          </mc:Fallback>
        </mc:AlternateContent>
      </w:r>
      <w:r>
        <w:rPr/>
        <w:t>Sakurai, K. and Ogiso, T. (1991): Inhibitory effect of glutathione on the generation of hydroxyl radicals in the reaction system of glutathione-alloxan. </w:t>
      </w:r>
      <w:r>
        <w:rPr>
          <w:i/>
        </w:rPr>
        <w:t>Chem Pharm Bull </w:t>
      </w:r>
      <w:r>
        <w:rPr>
          <w:b/>
        </w:rPr>
        <w:t>39</w:t>
      </w:r>
      <w:r>
        <w:rPr/>
        <w:t>: 737-742.</w:t>
      </w:r>
    </w:p>
    <w:p>
      <w:pPr>
        <w:pStyle w:val="BodyText"/>
        <w:spacing w:before="241"/>
        <w:ind w:left="1671" w:right="999" w:hanging="994"/>
        <w:jc w:val="both"/>
      </w:pPr>
      <w:r>
        <w:rPr/>
        <w:t>Sakurai, K. and Ogiso, T. (1995): Effect of ferritin on DNA strand breaks in the reaction system of alloxan plus NADPHcytochrome P450 reductase: ferritin's role in diabetogenic action of alloxan. </w:t>
      </w:r>
      <w:r>
        <w:rPr>
          <w:i/>
        </w:rPr>
        <w:t>Biol Pharm Bull </w:t>
      </w:r>
      <w:r>
        <w:rPr>
          <w:b/>
        </w:rPr>
        <w:t>18</w:t>
      </w:r>
      <w:r>
        <w:rPr/>
        <w:t>: 262-266.</w:t>
      </w:r>
    </w:p>
    <w:p>
      <w:pPr>
        <w:pStyle w:val="BodyText"/>
        <w:spacing w:before="240"/>
        <w:ind w:left="1530" w:right="997" w:hanging="852"/>
      </w:pPr>
      <w:r>
        <w:rPr/>
        <w:t>Sandler,</w:t>
      </w:r>
      <w:r>
        <w:rPr>
          <w:spacing w:val="25"/>
        </w:rPr>
        <w:t> </w:t>
      </w:r>
      <w:r>
        <w:rPr/>
        <w:t>S.</w:t>
      </w:r>
      <w:r>
        <w:rPr>
          <w:spacing w:val="25"/>
        </w:rPr>
        <w:t> </w:t>
      </w:r>
      <w:r>
        <w:rPr/>
        <w:t>and</w:t>
      </w:r>
      <w:r>
        <w:rPr>
          <w:spacing w:val="25"/>
        </w:rPr>
        <w:t> </w:t>
      </w:r>
      <w:r>
        <w:rPr/>
        <w:t>Swenne,</w:t>
      </w:r>
      <w:r>
        <w:rPr>
          <w:spacing w:val="29"/>
        </w:rPr>
        <w:t> </w:t>
      </w:r>
      <w:r>
        <w:rPr/>
        <w:t>I.</w:t>
      </w:r>
      <w:r>
        <w:rPr>
          <w:spacing w:val="25"/>
        </w:rPr>
        <w:t> </w:t>
      </w:r>
      <w:r>
        <w:rPr/>
        <w:t>(1983):</w:t>
      </w:r>
      <w:r>
        <w:rPr>
          <w:spacing w:val="25"/>
        </w:rPr>
        <w:t> </w:t>
      </w:r>
      <w:r>
        <w:rPr/>
        <w:t>Streptozotocin,</w:t>
      </w:r>
      <w:r>
        <w:rPr>
          <w:spacing w:val="25"/>
        </w:rPr>
        <w:t> </w:t>
      </w:r>
      <w:r>
        <w:rPr/>
        <w:t>but</w:t>
      </w:r>
      <w:r>
        <w:rPr>
          <w:spacing w:val="26"/>
        </w:rPr>
        <w:t> </w:t>
      </w:r>
      <w:r>
        <w:rPr/>
        <w:t>not</w:t>
      </w:r>
      <w:r>
        <w:rPr>
          <w:spacing w:val="26"/>
        </w:rPr>
        <w:t> </w:t>
      </w:r>
      <w:r>
        <w:rPr/>
        <w:t>alloxan,</w:t>
      </w:r>
      <w:r>
        <w:rPr>
          <w:spacing w:val="25"/>
        </w:rPr>
        <w:t> </w:t>
      </w:r>
      <w:r>
        <w:rPr/>
        <w:t>induces</w:t>
      </w:r>
      <w:r>
        <w:rPr>
          <w:spacing w:val="25"/>
        </w:rPr>
        <w:t> </w:t>
      </w:r>
      <w:r>
        <w:rPr/>
        <w:t>DNA</w:t>
      </w:r>
      <w:r>
        <w:rPr>
          <w:spacing w:val="26"/>
        </w:rPr>
        <w:t> </w:t>
      </w:r>
      <w:r>
        <w:rPr/>
        <w:t>repair synthesis in mouse pancreatic islets </w:t>
      </w:r>
      <w:r>
        <w:rPr>
          <w:i/>
        </w:rPr>
        <w:t>in vitro</w:t>
      </w:r>
      <w:r>
        <w:rPr/>
        <w:t>. </w:t>
      </w:r>
      <w:r>
        <w:rPr>
          <w:i/>
        </w:rPr>
        <w:t>Diabetologia </w:t>
      </w:r>
      <w:r>
        <w:rPr>
          <w:b/>
        </w:rPr>
        <w:t>25</w:t>
      </w:r>
      <w:r>
        <w:rPr/>
        <w:t>: 444-447.</w:t>
      </w:r>
    </w:p>
    <w:p>
      <w:pPr>
        <w:pStyle w:val="BodyText"/>
        <w:spacing w:before="240"/>
        <w:ind w:left="1671" w:right="996" w:hanging="994"/>
        <w:jc w:val="both"/>
      </w:pPr>
      <w:r>
        <w:rPr/>
        <w:t>Saraswat, B., Visen, P. K., Patnaik, G. K., Dhawan, B. N. (1993): Anticholestic effect of picroliv, active hepatoprotective principle of Picrorhiza kuvroog against carbon tetrachloride induced cholestatis. </w:t>
      </w:r>
      <w:r>
        <w:rPr>
          <w:i/>
        </w:rPr>
        <w:t>Indian J. Exp. Biol</w:t>
      </w:r>
      <w:r>
        <w:rPr/>
        <w:t>. </w:t>
      </w:r>
      <w:r>
        <w:rPr>
          <w:b/>
        </w:rPr>
        <w:t>31</w:t>
      </w:r>
      <w:r>
        <w:rPr/>
        <w:t>: 316-318.</w:t>
      </w:r>
    </w:p>
    <w:p>
      <w:pPr>
        <w:pStyle w:val="BodyText"/>
        <w:spacing w:before="243"/>
        <w:ind w:right="327"/>
        <w:jc w:val="center"/>
      </w:pPr>
      <w:r>
        <w:rPr/>
        <w:t>Sarkar,</w:t>
      </w:r>
      <w:r>
        <w:rPr>
          <w:spacing w:val="2"/>
        </w:rPr>
        <w:t> </w:t>
      </w:r>
      <w:r>
        <w:rPr/>
        <w:t>S.,</w:t>
      </w:r>
      <w:r>
        <w:rPr>
          <w:spacing w:val="8"/>
        </w:rPr>
        <w:t> </w:t>
      </w:r>
      <w:r>
        <w:rPr/>
        <w:t>Pranava,</w:t>
      </w:r>
      <w:r>
        <w:rPr>
          <w:spacing w:val="5"/>
        </w:rPr>
        <w:t> </w:t>
      </w:r>
      <w:r>
        <w:rPr/>
        <w:t>M.,</w:t>
      </w:r>
      <w:r>
        <w:rPr>
          <w:spacing w:val="7"/>
        </w:rPr>
        <w:t> </w:t>
      </w:r>
      <w:r>
        <w:rPr/>
        <w:t>Marita,</w:t>
      </w:r>
      <w:r>
        <w:rPr>
          <w:spacing w:val="5"/>
        </w:rPr>
        <w:t> </w:t>
      </w:r>
      <w:r>
        <w:rPr/>
        <w:t>R.</w:t>
      </w:r>
      <w:r>
        <w:rPr>
          <w:spacing w:val="5"/>
        </w:rPr>
        <w:t> </w:t>
      </w:r>
      <w:r>
        <w:rPr/>
        <w:t>(1996):</w:t>
      </w:r>
      <w:r>
        <w:rPr>
          <w:spacing w:val="6"/>
        </w:rPr>
        <w:t> </w:t>
      </w:r>
      <w:r>
        <w:rPr/>
        <w:t>Demonstration</w:t>
      </w:r>
      <w:r>
        <w:rPr>
          <w:spacing w:val="5"/>
        </w:rPr>
        <w:t> </w:t>
      </w:r>
      <w:r>
        <w:rPr/>
        <w:t>of</w:t>
      </w:r>
      <w:r>
        <w:rPr>
          <w:spacing w:val="4"/>
        </w:rPr>
        <w:t> </w:t>
      </w:r>
      <w:r>
        <w:rPr/>
        <w:t>the</w:t>
      </w:r>
      <w:r>
        <w:rPr>
          <w:spacing w:val="7"/>
        </w:rPr>
        <w:t> </w:t>
      </w:r>
      <w:r>
        <w:rPr/>
        <w:t>hypoglycaemic</w:t>
      </w:r>
      <w:r>
        <w:rPr>
          <w:spacing w:val="7"/>
        </w:rPr>
        <w:t> </w:t>
      </w:r>
      <w:r>
        <w:rPr/>
        <w:t>action</w:t>
      </w:r>
      <w:r>
        <w:rPr>
          <w:spacing w:val="5"/>
        </w:rPr>
        <w:t> </w:t>
      </w:r>
      <w:r>
        <w:rPr>
          <w:spacing w:val="-5"/>
        </w:rPr>
        <w:t>of</w:t>
      </w:r>
    </w:p>
    <w:p>
      <w:pPr>
        <w:spacing w:before="137"/>
        <w:ind w:left="346" w:right="0" w:firstLine="0"/>
        <w:jc w:val="center"/>
        <w:rPr>
          <w:sz w:val="24"/>
        </w:rPr>
      </w:pPr>
      <w:r>
        <w:rPr>
          <w:i/>
          <w:sz w:val="24"/>
        </w:rPr>
        <w:t>Momordica</w:t>
      </w:r>
      <w:r>
        <w:rPr>
          <w:i/>
          <w:spacing w:val="-2"/>
          <w:sz w:val="24"/>
        </w:rPr>
        <w:t> </w:t>
      </w:r>
      <w:r>
        <w:rPr>
          <w:i/>
          <w:sz w:val="24"/>
        </w:rPr>
        <w:t>Charantia </w:t>
      </w:r>
      <w:r>
        <w:rPr>
          <w:sz w:val="24"/>
        </w:rPr>
        <w:t>in</w:t>
      </w:r>
      <w:r>
        <w:rPr>
          <w:spacing w:val="-1"/>
          <w:sz w:val="24"/>
        </w:rPr>
        <w:t> </w:t>
      </w:r>
      <w:r>
        <w:rPr>
          <w:sz w:val="24"/>
        </w:rPr>
        <w:t>a</w:t>
      </w:r>
      <w:r>
        <w:rPr>
          <w:spacing w:val="-1"/>
          <w:sz w:val="24"/>
        </w:rPr>
        <w:t> </w:t>
      </w:r>
      <w:r>
        <w:rPr>
          <w:sz w:val="24"/>
        </w:rPr>
        <w:t>validated</w:t>
      </w:r>
      <w:r>
        <w:rPr>
          <w:spacing w:val="-1"/>
          <w:sz w:val="24"/>
        </w:rPr>
        <w:t> </w:t>
      </w:r>
      <w:r>
        <w:rPr>
          <w:sz w:val="24"/>
        </w:rPr>
        <w:t>model of</w:t>
      </w:r>
      <w:r>
        <w:rPr>
          <w:spacing w:val="-1"/>
          <w:sz w:val="24"/>
        </w:rPr>
        <w:t> </w:t>
      </w:r>
      <w:r>
        <w:rPr>
          <w:sz w:val="24"/>
        </w:rPr>
        <w:t>diabetes.</w:t>
      </w:r>
      <w:r>
        <w:rPr>
          <w:spacing w:val="-1"/>
          <w:sz w:val="24"/>
        </w:rPr>
        <w:t> </w:t>
      </w:r>
      <w:r>
        <w:rPr>
          <w:i/>
          <w:sz w:val="24"/>
        </w:rPr>
        <w:t>Pharmacol</w:t>
      </w:r>
      <w:r>
        <w:rPr>
          <w:i/>
          <w:spacing w:val="-1"/>
          <w:sz w:val="24"/>
        </w:rPr>
        <w:t> </w:t>
      </w:r>
      <w:r>
        <w:rPr>
          <w:i/>
          <w:sz w:val="24"/>
        </w:rPr>
        <w:t>Res</w:t>
      </w:r>
      <w:r>
        <w:rPr>
          <w:i/>
          <w:spacing w:val="-1"/>
          <w:sz w:val="24"/>
        </w:rPr>
        <w:t> </w:t>
      </w:r>
      <w:r>
        <w:rPr>
          <w:b/>
          <w:sz w:val="24"/>
        </w:rPr>
        <w:t>33</w:t>
      </w:r>
      <w:r>
        <w:rPr>
          <w:sz w:val="24"/>
        </w:rPr>
        <w:t>:</w:t>
      </w:r>
      <w:r>
        <w:rPr>
          <w:spacing w:val="2"/>
          <w:sz w:val="24"/>
        </w:rPr>
        <w:t> </w:t>
      </w:r>
      <w:r>
        <w:rPr>
          <w:sz w:val="24"/>
        </w:rPr>
        <w:t>1-</w:t>
      </w:r>
      <w:r>
        <w:rPr>
          <w:spacing w:val="-5"/>
          <w:sz w:val="24"/>
        </w:rPr>
        <w:t>4.</w:t>
      </w:r>
    </w:p>
    <w:p>
      <w:pPr>
        <w:pStyle w:val="BodyText"/>
        <w:spacing w:before="143"/>
      </w:pPr>
    </w:p>
    <w:p>
      <w:pPr>
        <w:pStyle w:val="BodyText"/>
        <w:spacing w:line="237" w:lineRule="auto"/>
        <w:ind w:left="1758" w:right="1041" w:hanging="1080"/>
      </w:pPr>
      <w:r>
        <w:rPr/>
        <w:t>Sarr, M. (1988): Pancreas in Experimental Surgery and Physiology: Induced Animal Models</w:t>
      </w:r>
      <w:r>
        <w:rPr>
          <w:spacing w:val="-5"/>
        </w:rPr>
        <w:t> </w:t>
      </w:r>
      <w:r>
        <w:rPr/>
        <w:t>of</w:t>
      </w:r>
      <w:r>
        <w:rPr>
          <w:spacing w:val="-6"/>
        </w:rPr>
        <w:t> </w:t>
      </w:r>
      <w:r>
        <w:rPr/>
        <w:t>Human</w:t>
      </w:r>
      <w:r>
        <w:rPr>
          <w:spacing w:val="-5"/>
        </w:rPr>
        <w:t> </w:t>
      </w:r>
      <w:r>
        <w:rPr/>
        <w:t>Disease,Baltimore,</w:t>
      </w:r>
      <w:r>
        <w:rPr>
          <w:spacing w:val="-5"/>
        </w:rPr>
        <w:t> </w:t>
      </w:r>
      <w:r>
        <w:rPr/>
        <w:t>Md.:</w:t>
      </w:r>
      <w:r>
        <w:rPr>
          <w:spacing w:val="-5"/>
        </w:rPr>
        <w:t> </w:t>
      </w:r>
      <w:r>
        <w:rPr/>
        <w:t>Williams</w:t>
      </w:r>
      <w:r>
        <w:rPr>
          <w:spacing w:val="-5"/>
        </w:rPr>
        <w:t> </w:t>
      </w:r>
      <w:r>
        <w:rPr/>
        <w:t>&amp;</w:t>
      </w:r>
      <w:r>
        <w:rPr>
          <w:spacing w:val="-6"/>
        </w:rPr>
        <w:t> </w:t>
      </w:r>
      <w:r>
        <w:rPr/>
        <w:t>Wilkins.</w:t>
      </w:r>
      <w:r>
        <w:rPr>
          <w:spacing w:val="-2"/>
        </w:rPr>
        <w:t> </w:t>
      </w:r>
      <w:r>
        <w:rPr/>
        <w:t>Pp.</w:t>
      </w:r>
      <w:r>
        <w:rPr>
          <w:spacing w:val="-5"/>
        </w:rPr>
        <w:t> </w:t>
      </w:r>
      <w:r>
        <w:rPr/>
        <w:t>204-21</w:t>
      </w:r>
    </w:p>
    <w:p>
      <w:pPr>
        <w:pStyle w:val="BodyText"/>
        <w:spacing w:before="6"/>
      </w:pPr>
    </w:p>
    <w:p>
      <w:pPr>
        <w:pStyle w:val="BodyText"/>
        <w:ind w:left="1810" w:right="994" w:hanging="1133"/>
        <w:jc w:val="both"/>
      </w:pPr>
      <w:r>
        <w:rPr>
          <w:color w:val="221F1F"/>
        </w:rPr>
        <w:t>Schaefer, E. J., Audelin, M. C., McNamara, J. R., </w:t>
      </w:r>
      <w:r>
        <w:rPr>
          <w:i/>
          <w:color w:val="221F1F"/>
        </w:rPr>
        <w:t>et al. </w:t>
      </w:r>
      <w:r>
        <w:rPr>
          <w:color w:val="221F1F"/>
        </w:rPr>
        <w:t>(2001):</w:t>
      </w:r>
      <w:r>
        <w:rPr>
          <w:color w:val="221F1F"/>
          <w:spacing w:val="80"/>
        </w:rPr>
        <w:t> </w:t>
      </w:r>
      <w:r>
        <w:rPr>
          <w:color w:val="221F1F"/>
        </w:rPr>
        <w:t>Comparison of fasting</w:t>
      </w:r>
      <w:r>
        <w:rPr>
          <w:color w:val="221F1F"/>
          <w:spacing w:val="40"/>
        </w:rPr>
        <w:t> </w:t>
      </w:r>
      <w:r>
        <w:rPr>
          <w:color w:val="221F1F"/>
        </w:rPr>
        <w:t>and postprandial plasma lipoproteins in subjects with and without coronary heart disease. </w:t>
      </w:r>
      <w:r>
        <w:rPr>
          <w:i/>
          <w:color w:val="221F1F"/>
        </w:rPr>
        <w:t>Am J Cardiol</w:t>
      </w:r>
      <w:r>
        <w:rPr>
          <w:color w:val="221F1F"/>
        </w:rPr>
        <w:t>. </w:t>
      </w:r>
      <w:r>
        <w:rPr>
          <w:b/>
          <w:color w:val="221F1F"/>
        </w:rPr>
        <w:t>88</w:t>
      </w:r>
      <w:r>
        <w:rPr>
          <w:color w:val="221F1F"/>
        </w:rPr>
        <w:t>: 1129 – 1133.</w:t>
      </w:r>
    </w:p>
    <w:p>
      <w:pPr>
        <w:pStyle w:val="BodyText"/>
        <w:spacing w:before="240"/>
        <w:ind w:left="1810" w:right="993" w:hanging="1133"/>
        <w:jc w:val="both"/>
      </w:pPr>
      <w:r>
        <w:rPr>
          <w:color w:val="221F1F"/>
        </w:rPr>
        <w:t>Schaefer, E. J., McNamara, J. R., Shah, P. K. </w:t>
      </w:r>
      <w:r>
        <w:rPr>
          <w:i/>
          <w:color w:val="221F1F"/>
        </w:rPr>
        <w:t>et al.</w:t>
      </w:r>
      <w:r>
        <w:rPr>
          <w:i/>
          <w:color w:val="221F1F"/>
          <w:spacing w:val="40"/>
        </w:rPr>
        <w:t> </w:t>
      </w:r>
      <w:r>
        <w:rPr>
          <w:color w:val="221F1F"/>
        </w:rPr>
        <w:t>(2002a):</w:t>
      </w:r>
      <w:r>
        <w:rPr>
          <w:color w:val="221F1F"/>
          <w:spacing w:val="40"/>
        </w:rPr>
        <w:t> </w:t>
      </w:r>
      <w:r>
        <w:rPr>
          <w:color w:val="221F1F"/>
        </w:rPr>
        <w:t>Elevated remnant-like particle cholesterol and triglyceride levels in diabetic men and women in the Framingham Offspring Study.</w:t>
      </w:r>
      <w:r>
        <w:rPr>
          <w:color w:val="221F1F"/>
          <w:spacing w:val="40"/>
        </w:rPr>
        <w:t> </w:t>
      </w:r>
      <w:r>
        <w:rPr>
          <w:i/>
          <w:color w:val="221F1F"/>
        </w:rPr>
        <w:t>Diabetes Care. </w:t>
      </w:r>
      <w:r>
        <w:rPr>
          <w:b/>
          <w:color w:val="221F1F"/>
        </w:rPr>
        <w:t>25: </w:t>
      </w:r>
      <w:r>
        <w:rPr>
          <w:color w:val="221F1F"/>
        </w:rPr>
        <w:t>989–994.</w:t>
      </w:r>
    </w:p>
    <w:p>
      <w:pPr>
        <w:pStyle w:val="BodyText"/>
        <w:spacing w:before="241"/>
        <w:ind w:left="1810" w:right="999" w:hanging="1133"/>
        <w:jc w:val="both"/>
      </w:pPr>
      <w:r>
        <w:rPr>
          <w:color w:val="221F1F"/>
        </w:rPr>
        <w:t>Schaefer, E. J., McNamara, J. R., Tayler, T, </w:t>
      </w:r>
      <w:r>
        <w:rPr>
          <w:i/>
          <w:color w:val="221F1F"/>
        </w:rPr>
        <w:t>et al. </w:t>
      </w:r>
      <w:r>
        <w:rPr>
          <w:color w:val="221F1F"/>
        </w:rPr>
        <w:t>(2002b): Effects of atorvastatin on fasting and postprandial lipoprotein subclasses in coronary heart disease patients versus control subjects. </w:t>
      </w:r>
      <w:r>
        <w:rPr>
          <w:i/>
          <w:color w:val="221F1F"/>
        </w:rPr>
        <w:t>Am J Cardiol</w:t>
      </w:r>
      <w:r>
        <w:rPr>
          <w:color w:val="221F1F"/>
        </w:rPr>
        <w:t>. </w:t>
      </w:r>
      <w:r>
        <w:rPr>
          <w:b/>
          <w:color w:val="221F1F"/>
        </w:rPr>
        <w:t>93</w:t>
      </w:r>
      <w:r>
        <w:rPr>
          <w:color w:val="221F1F"/>
        </w:rPr>
        <w:t>: 31 – 39.</w:t>
      </w:r>
    </w:p>
    <w:p>
      <w:pPr>
        <w:pStyle w:val="BodyText"/>
        <w:spacing w:before="240"/>
        <w:ind w:left="1671" w:right="995" w:hanging="994"/>
        <w:jc w:val="both"/>
      </w:pPr>
      <w:r>
        <w:rPr>
          <w:color w:val="221F1F"/>
        </w:rPr>
        <w:t>Schaefer, E. J., McNamara, J. R., Tayler, T. </w:t>
      </w:r>
      <w:r>
        <w:rPr>
          <w:i/>
          <w:color w:val="221F1F"/>
        </w:rPr>
        <w:t>et al. </w:t>
      </w:r>
      <w:r>
        <w:rPr>
          <w:color w:val="221F1F"/>
        </w:rPr>
        <w:t>(2004): Comparisons of effects of</w:t>
      </w:r>
      <w:r>
        <w:rPr>
          <w:color w:val="221F1F"/>
          <w:spacing w:val="40"/>
        </w:rPr>
        <w:t> </w:t>
      </w:r>
      <w:r>
        <w:rPr>
          <w:color w:val="221F1F"/>
        </w:rPr>
        <w:t>statins (atorvastatin, fluvastatin, lovastatin, pravastatin, and simvastatin) on fasting and postprandial lipoproteins in patients with coronary heart disease versus control subjects. </w:t>
      </w:r>
      <w:r>
        <w:rPr>
          <w:i/>
          <w:color w:val="221F1F"/>
        </w:rPr>
        <w:t>Am J cardiol</w:t>
      </w:r>
      <w:r>
        <w:rPr>
          <w:color w:val="221F1F"/>
        </w:rPr>
        <w:t>. </w:t>
      </w:r>
      <w:r>
        <w:rPr>
          <w:b/>
          <w:color w:val="221F1F"/>
        </w:rPr>
        <w:t>93</w:t>
      </w:r>
      <w:r>
        <w:rPr>
          <w:color w:val="221F1F"/>
        </w:rPr>
        <w:t>; 31 – 39.</w:t>
      </w:r>
    </w:p>
    <w:p>
      <w:pPr>
        <w:pStyle w:val="BodyText"/>
        <w:spacing w:before="240"/>
        <w:ind w:right="317"/>
        <w:jc w:val="center"/>
        <w:rPr>
          <w:i/>
        </w:rPr>
      </w:pPr>
      <w:r>
        <w:rPr/>
        <w:t>Schales,</w:t>
      </w:r>
      <w:r>
        <w:rPr>
          <w:spacing w:val="39"/>
        </w:rPr>
        <w:t> </w:t>
      </w:r>
      <w:r>
        <w:rPr/>
        <w:t>O</w:t>
      </w:r>
      <w:r>
        <w:rPr>
          <w:spacing w:val="44"/>
        </w:rPr>
        <w:t> </w:t>
      </w:r>
      <w:r>
        <w:rPr/>
        <w:t>and</w:t>
      </w:r>
      <w:r>
        <w:rPr>
          <w:spacing w:val="42"/>
        </w:rPr>
        <w:t> </w:t>
      </w:r>
      <w:r>
        <w:rPr/>
        <w:t>Schales</w:t>
      </w:r>
      <w:r>
        <w:rPr>
          <w:spacing w:val="44"/>
        </w:rPr>
        <w:t> </w:t>
      </w:r>
      <w:r>
        <w:rPr/>
        <w:t>S.</w:t>
      </w:r>
      <w:r>
        <w:rPr>
          <w:spacing w:val="42"/>
        </w:rPr>
        <w:t> </w:t>
      </w:r>
      <w:r>
        <w:rPr/>
        <w:t>S.</w:t>
      </w:r>
      <w:r>
        <w:rPr>
          <w:spacing w:val="42"/>
        </w:rPr>
        <w:t> </w:t>
      </w:r>
      <w:r>
        <w:rPr/>
        <w:t>(1971):</w:t>
      </w:r>
      <w:r>
        <w:rPr>
          <w:spacing w:val="42"/>
        </w:rPr>
        <w:t> </w:t>
      </w:r>
      <w:r>
        <w:rPr/>
        <w:t>Determination</w:t>
      </w:r>
      <w:r>
        <w:rPr>
          <w:spacing w:val="42"/>
        </w:rPr>
        <w:t> </w:t>
      </w:r>
      <w:r>
        <w:rPr/>
        <w:t>of</w:t>
      </w:r>
      <w:r>
        <w:rPr>
          <w:spacing w:val="42"/>
        </w:rPr>
        <w:t> </w:t>
      </w:r>
      <w:r>
        <w:rPr/>
        <w:t>chloride</w:t>
      </w:r>
      <w:r>
        <w:rPr>
          <w:spacing w:val="42"/>
        </w:rPr>
        <w:t> </w:t>
      </w:r>
      <w:r>
        <w:rPr/>
        <w:t>in</w:t>
      </w:r>
      <w:r>
        <w:rPr>
          <w:spacing w:val="43"/>
        </w:rPr>
        <w:t> </w:t>
      </w:r>
      <w:r>
        <w:rPr/>
        <w:t>laboratory.</w:t>
      </w:r>
      <w:r>
        <w:rPr>
          <w:spacing w:val="46"/>
        </w:rPr>
        <w:t> </w:t>
      </w:r>
      <w:r>
        <w:rPr>
          <w:i/>
        </w:rPr>
        <w:t>J.</w:t>
      </w:r>
      <w:r>
        <w:rPr>
          <w:i/>
          <w:spacing w:val="42"/>
        </w:rPr>
        <w:t> </w:t>
      </w:r>
      <w:r>
        <w:rPr>
          <w:i/>
          <w:spacing w:val="-2"/>
        </w:rPr>
        <w:t>Biol.</w:t>
      </w:r>
    </w:p>
    <w:p>
      <w:pPr>
        <w:spacing w:before="0"/>
        <w:ind w:left="1671" w:right="0" w:firstLine="0"/>
        <w:jc w:val="left"/>
        <w:rPr>
          <w:sz w:val="24"/>
        </w:rPr>
      </w:pPr>
      <w:r>
        <w:rPr>
          <w:i/>
          <w:sz w:val="24"/>
        </w:rPr>
        <w:t>Chem.</w:t>
      </w:r>
      <w:r>
        <w:rPr>
          <w:i/>
          <w:spacing w:val="-2"/>
          <w:sz w:val="24"/>
        </w:rPr>
        <w:t> </w:t>
      </w:r>
      <w:r>
        <w:rPr>
          <w:b/>
          <w:sz w:val="24"/>
        </w:rPr>
        <w:t>140</w:t>
      </w:r>
      <w:r>
        <w:rPr>
          <w:sz w:val="24"/>
        </w:rPr>
        <w:t>: </w:t>
      </w:r>
      <w:r>
        <w:rPr>
          <w:spacing w:val="-5"/>
          <w:sz w:val="24"/>
        </w:rPr>
        <w:t>879</w:t>
      </w:r>
    </w:p>
    <w:p>
      <w:pPr>
        <w:pStyle w:val="BodyText"/>
        <w:spacing w:before="241"/>
        <w:ind w:right="325"/>
        <w:jc w:val="center"/>
      </w:pPr>
      <w:r>
        <w:rPr/>
        <w:t>Scheffe</w:t>
      </w:r>
      <w:r>
        <w:rPr>
          <w:spacing w:val="58"/>
        </w:rPr>
        <w:t> </w:t>
      </w:r>
      <w:r>
        <w:rPr/>
        <w:t>H.A.</w:t>
      </w:r>
      <w:r>
        <w:rPr>
          <w:spacing w:val="58"/>
        </w:rPr>
        <w:t> </w:t>
      </w:r>
      <w:r>
        <w:rPr/>
        <w:t>(1953):</w:t>
      </w:r>
      <w:r>
        <w:rPr>
          <w:spacing w:val="58"/>
        </w:rPr>
        <w:t> </w:t>
      </w:r>
      <w:r>
        <w:rPr/>
        <w:t>A</w:t>
      </w:r>
      <w:r>
        <w:rPr>
          <w:spacing w:val="60"/>
        </w:rPr>
        <w:t> </w:t>
      </w:r>
      <w:r>
        <w:rPr/>
        <w:t>method</w:t>
      </w:r>
      <w:r>
        <w:rPr>
          <w:spacing w:val="58"/>
        </w:rPr>
        <w:t> </w:t>
      </w:r>
      <w:r>
        <w:rPr/>
        <w:t>of</w:t>
      </w:r>
      <w:r>
        <w:rPr>
          <w:spacing w:val="58"/>
        </w:rPr>
        <w:t> </w:t>
      </w:r>
      <w:r>
        <w:rPr/>
        <w:t>judging</w:t>
      </w:r>
      <w:r>
        <w:rPr>
          <w:spacing w:val="56"/>
        </w:rPr>
        <w:t> </w:t>
      </w:r>
      <w:r>
        <w:rPr/>
        <w:t>all</w:t>
      </w:r>
      <w:r>
        <w:rPr>
          <w:spacing w:val="61"/>
        </w:rPr>
        <w:t> </w:t>
      </w:r>
      <w:r>
        <w:rPr/>
        <w:t>contracts</w:t>
      </w:r>
      <w:r>
        <w:rPr>
          <w:spacing w:val="59"/>
        </w:rPr>
        <w:t> </w:t>
      </w:r>
      <w:r>
        <w:rPr/>
        <w:t>in</w:t>
      </w:r>
      <w:r>
        <w:rPr>
          <w:spacing w:val="59"/>
        </w:rPr>
        <w:t> </w:t>
      </w:r>
      <w:r>
        <w:rPr/>
        <w:t>the</w:t>
      </w:r>
      <w:r>
        <w:rPr>
          <w:spacing w:val="58"/>
        </w:rPr>
        <w:t> </w:t>
      </w:r>
      <w:r>
        <w:rPr/>
        <w:t>analysis</w:t>
      </w:r>
      <w:r>
        <w:rPr>
          <w:spacing w:val="59"/>
        </w:rPr>
        <w:t> </w:t>
      </w:r>
      <w:r>
        <w:rPr/>
        <w:t>of</w:t>
      </w:r>
      <w:r>
        <w:rPr>
          <w:spacing w:val="59"/>
        </w:rPr>
        <w:t> </w:t>
      </w:r>
      <w:r>
        <w:rPr>
          <w:spacing w:val="-2"/>
        </w:rPr>
        <w:t>variance.</w:t>
      </w:r>
    </w:p>
    <w:p>
      <w:pPr>
        <w:spacing w:before="0"/>
        <w:ind w:left="1671" w:right="0" w:firstLine="0"/>
        <w:jc w:val="left"/>
        <w:rPr>
          <w:sz w:val="24"/>
        </w:rPr>
      </w:pPr>
      <w:r>
        <w:rPr>
          <w:i/>
          <w:sz w:val="24"/>
        </w:rPr>
        <w:t>Journal</w:t>
      </w:r>
      <w:r>
        <w:rPr>
          <w:i/>
          <w:spacing w:val="-1"/>
          <w:sz w:val="24"/>
        </w:rPr>
        <w:t> </w:t>
      </w:r>
      <w:r>
        <w:rPr>
          <w:i/>
          <w:sz w:val="24"/>
        </w:rPr>
        <w:t>of</w:t>
      </w:r>
      <w:r>
        <w:rPr>
          <w:i/>
          <w:spacing w:val="-1"/>
          <w:sz w:val="24"/>
        </w:rPr>
        <w:t> </w:t>
      </w:r>
      <w:r>
        <w:rPr>
          <w:i/>
          <w:sz w:val="24"/>
        </w:rPr>
        <w:t>Biometrika </w:t>
      </w:r>
      <w:r>
        <w:rPr>
          <w:b/>
          <w:sz w:val="24"/>
        </w:rPr>
        <w:t>40</w:t>
      </w:r>
      <w:r>
        <w:rPr>
          <w:sz w:val="24"/>
        </w:rPr>
        <w:t>:</w:t>
      </w:r>
      <w:r>
        <w:rPr>
          <w:spacing w:val="-1"/>
          <w:sz w:val="24"/>
        </w:rPr>
        <w:t> </w:t>
      </w:r>
      <w:r>
        <w:rPr>
          <w:spacing w:val="-4"/>
          <w:sz w:val="24"/>
        </w:rPr>
        <w:t>p.87</w:t>
      </w:r>
    </w:p>
    <w:p>
      <w:pPr>
        <w:pStyle w:val="BodyText"/>
        <w:spacing w:before="240"/>
        <w:ind w:left="1530" w:right="997" w:hanging="852"/>
      </w:pPr>
      <w:r>
        <w:rPr/>
        <w:t>Schroeder,</w:t>
      </w:r>
      <w:r>
        <w:rPr>
          <w:spacing w:val="28"/>
        </w:rPr>
        <w:t> </w:t>
      </w:r>
      <w:r>
        <w:rPr/>
        <w:t>H.</w:t>
      </w:r>
      <w:r>
        <w:rPr>
          <w:spacing w:val="31"/>
        </w:rPr>
        <w:t> </w:t>
      </w:r>
      <w:r>
        <w:rPr/>
        <w:t>A.</w:t>
      </w:r>
      <w:r>
        <w:rPr>
          <w:spacing w:val="28"/>
        </w:rPr>
        <w:t> </w:t>
      </w:r>
      <w:r>
        <w:rPr/>
        <w:t>(1996):</w:t>
      </w:r>
      <w:r>
        <w:rPr>
          <w:spacing w:val="29"/>
        </w:rPr>
        <w:t> </w:t>
      </w:r>
      <w:r>
        <w:rPr/>
        <w:t>Chromium</w:t>
      </w:r>
      <w:r>
        <w:rPr>
          <w:spacing w:val="29"/>
        </w:rPr>
        <w:t> </w:t>
      </w:r>
      <w:r>
        <w:rPr/>
        <w:t>deficiency in</w:t>
      </w:r>
      <w:r>
        <w:rPr>
          <w:spacing w:val="29"/>
        </w:rPr>
        <w:t> </w:t>
      </w:r>
      <w:r>
        <w:rPr/>
        <w:t>rats:</w:t>
      </w:r>
      <w:r>
        <w:rPr>
          <w:spacing w:val="30"/>
        </w:rPr>
        <w:t> </w:t>
      </w:r>
      <w:r>
        <w:rPr/>
        <w:t>a</w:t>
      </w:r>
      <w:r>
        <w:rPr>
          <w:spacing w:val="28"/>
        </w:rPr>
        <w:t> </w:t>
      </w:r>
      <w:r>
        <w:rPr/>
        <w:t>syndrome</w:t>
      </w:r>
      <w:r>
        <w:rPr>
          <w:spacing w:val="28"/>
        </w:rPr>
        <w:t> </w:t>
      </w:r>
      <w:r>
        <w:rPr/>
        <w:t>simulating</w:t>
      </w:r>
      <w:r>
        <w:rPr>
          <w:spacing w:val="27"/>
        </w:rPr>
        <w:t> </w:t>
      </w:r>
      <w:r>
        <w:rPr/>
        <w:t>diabetes mellitus with retarded growth, </w:t>
      </w:r>
      <w:r>
        <w:rPr>
          <w:i/>
        </w:rPr>
        <w:t>J. Nutri., </w:t>
      </w:r>
      <w:r>
        <w:rPr>
          <w:b/>
        </w:rPr>
        <w:t>88</w:t>
      </w:r>
      <w:r>
        <w:rPr/>
        <w:t>: 439-445.</w:t>
      </w:r>
    </w:p>
    <w:p>
      <w:pPr>
        <w:spacing w:after="0"/>
        <w:sectPr>
          <w:pgSz w:w="12240" w:h="15840"/>
          <w:pgMar w:header="0" w:footer="1056" w:top="1340" w:bottom="1240" w:left="1420" w:right="420"/>
        </w:sectPr>
      </w:pPr>
    </w:p>
    <w:p>
      <w:pPr>
        <w:pStyle w:val="BodyText"/>
        <w:spacing w:before="70"/>
        <w:ind w:left="678"/>
        <w:rPr>
          <w:i/>
        </w:rPr>
      </w:pPr>
      <w:r>
        <w:rPr/>
        <mc:AlternateContent>
          <mc:Choice Requires="wps">
            <w:drawing>
              <wp:anchor distT="0" distB="0" distL="0" distR="0" allowOverlap="1" layoutInCell="1" locked="0" behindDoc="1" simplePos="0" relativeHeight="483048960">
                <wp:simplePos x="0" y="0"/>
                <wp:positionH relativeFrom="page">
                  <wp:posOffset>-1402226</wp:posOffset>
                </wp:positionH>
                <wp:positionV relativeFrom="page">
                  <wp:posOffset>4612234</wp:posOffset>
                </wp:positionV>
                <wp:extent cx="10685780" cy="9144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7520;rotation:306" type="#_x0000_t136" fillcolor="#ff5400" stroked="f">
                <o:extrusion v:ext="view" autorotationcenter="t"/>
                <v:textpath style="font-family:&quot;Arial MT&quot;;font-size:72pt;v-text-kern:t;mso-text-shadow:auto" string="UNIVERSITY OF IBADAN"/>
                <w10:wrap type="none"/>
              </v:shape>
            </w:pict>
          </mc:Fallback>
        </mc:AlternateContent>
      </w:r>
      <w:r>
        <w:rPr/>
        <w:t>Searcy,</w:t>
      </w:r>
      <w:r>
        <w:rPr>
          <w:spacing w:val="6"/>
        </w:rPr>
        <w:t> </w:t>
      </w:r>
      <w:r>
        <w:rPr/>
        <w:t>R.</w:t>
      </w:r>
      <w:r>
        <w:rPr>
          <w:spacing w:val="10"/>
        </w:rPr>
        <w:t> </w:t>
      </w:r>
      <w:r>
        <w:rPr/>
        <w:t>L.,</w:t>
      </w:r>
      <w:r>
        <w:rPr>
          <w:spacing w:val="8"/>
        </w:rPr>
        <w:t> </w:t>
      </w:r>
      <w:r>
        <w:rPr/>
        <w:t>Reardon,</w:t>
      </w:r>
      <w:r>
        <w:rPr>
          <w:spacing w:val="7"/>
        </w:rPr>
        <w:t> </w:t>
      </w:r>
      <w:r>
        <w:rPr/>
        <w:t>J.</w:t>
      </w:r>
      <w:r>
        <w:rPr>
          <w:spacing w:val="8"/>
        </w:rPr>
        <w:t> </w:t>
      </w:r>
      <w:r>
        <w:rPr/>
        <w:t>E.</w:t>
      </w:r>
      <w:r>
        <w:rPr>
          <w:spacing w:val="8"/>
        </w:rPr>
        <w:t> </w:t>
      </w:r>
      <w:r>
        <w:rPr/>
        <w:t>and</w:t>
      </w:r>
      <w:r>
        <w:rPr>
          <w:spacing w:val="8"/>
        </w:rPr>
        <w:t> </w:t>
      </w:r>
      <w:r>
        <w:rPr/>
        <w:t>Foreman,</w:t>
      </w:r>
      <w:r>
        <w:rPr>
          <w:spacing w:val="8"/>
        </w:rPr>
        <w:t> </w:t>
      </w:r>
      <w:r>
        <w:rPr/>
        <w:t>J.</w:t>
      </w:r>
      <w:r>
        <w:rPr>
          <w:spacing w:val="8"/>
        </w:rPr>
        <w:t> </w:t>
      </w:r>
      <w:r>
        <w:rPr/>
        <w:t>A.</w:t>
      </w:r>
      <w:r>
        <w:rPr>
          <w:spacing w:val="7"/>
        </w:rPr>
        <w:t> </w:t>
      </w:r>
      <w:r>
        <w:rPr/>
        <w:t>(1967):</w:t>
      </w:r>
      <w:r>
        <w:rPr>
          <w:spacing w:val="8"/>
        </w:rPr>
        <w:t> </w:t>
      </w:r>
      <w:r>
        <w:rPr/>
        <w:t>Urea</w:t>
      </w:r>
      <w:r>
        <w:rPr>
          <w:spacing w:val="9"/>
        </w:rPr>
        <w:t> </w:t>
      </w:r>
      <w:r>
        <w:rPr/>
        <w:t>determination.</w:t>
      </w:r>
      <w:r>
        <w:rPr>
          <w:spacing w:val="16"/>
        </w:rPr>
        <w:t> </w:t>
      </w:r>
      <w:r>
        <w:rPr>
          <w:i/>
        </w:rPr>
        <w:t>Am.</w:t>
      </w:r>
      <w:r>
        <w:rPr>
          <w:i/>
          <w:spacing w:val="7"/>
        </w:rPr>
        <w:t> </w:t>
      </w:r>
      <w:r>
        <w:rPr>
          <w:i/>
        </w:rPr>
        <w:t>J.</w:t>
      </w:r>
      <w:r>
        <w:rPr>
          <w:i/>
          <w:spacing w:val="9"/>
        </w:rPr>
        <w:t> </w:t>
      </w:r>
      <w:r>
        <w:rPr>
          <w:i/>
          <w:spacing w:val="-4"/>
        </w:rPr>
        <w:t>Med.</w:t>
      </w:r>
    </w:p>
    <w:p>
      <w:pPr>
        <w:spacing w:before="0"/>
        <w:ind w:left="1530" w:right="0" w:firstLine="0"/>
        <w:jc w:val="left"/>
        <w:rPr>
          <w:sz w:val="24"/>
        </w:rPr>
      </w:pPr>
      <w:r>
        <w:rPr>
          <w:i/>
          <w:sz w:val="24"/>
        </w:rPr>
        <w:t>Technol</w:t>
      </w:r>
      <w:r>
        <w:rPr>
          <w:sz w:val="24"/>
        </w:rPr>
        <w:t>.,</w:t>
      </w:r>
      <w:r>
        <w:rPr>
          <w:spacing w:val="-2"/>
          <w:sz w:val="24"/>
        </w:rPr>
        <w:t> </w:t>
      </w:r>
      <w:r>
        <w:rPr>
          <w:b/>
          <w:sz w:val="24"/>
        </w:rPr>
        <w:t>33</w:t>
      </w:r>
      <w:r>
        <w:rPr>
          <w:sz w:val="24"/>
        </w:rPr>
        <w:t>:</w:t>
      </w:r>
      <w:r>
        <w:rPr>
          <w:spacing w:val="-1"/>
          <w:sz w:val="24"/>
        </w:rPr>
        <w:t> </w:t>
      </w:r>
      <w:r>
        <w:rPr>
          <w:sz w:val="24"/>
        </w:rPr>
        <w:t>15-</w:t>
      </w:r>
      <w:r>
        <w:rPr>
          <w:spacing w:val="-5"/>
          <w:sz w:val="24"/>
        </w:rPr>
        <w:t>20.</w:t>
      </w:r>
    </w:p>
    <w:p>
      <w:pPr>
        <w:pStyle w:val="BodyText"/>
        <w:spacing w:before="240"/>
        <w:ind w:left="1530" w:right="992" w:hanging="852"/>
        <w:jc w:val="both"/>
      </w:pPr>
      <w:r>
        <w:rPr/>
        <w:t>Selby, J. V., FitzSimmons, S. C., Newman, J. M., Katz, P. P., Sepe, S., Showstack, J. (1990): The natural history and epidemiology of diabetic nephropathy: implications for prevention and control. JAMA </w:t>
      </w:r>
      <w:r>
        <w:rPr>
          <w:b/>
        </w:rPr>
        <w:t>263</w:t>
      </w:r>
      <w:r>
        <w:rPr/>
        <w:t>: 1954-1960.</w:t>
      </w:r>
    </w:p>
    <w:p>
      <w:pPr>
        <w:pStyle w:val="BodyText"/>
        <w:spacing w:before="241"/>
        <w:ind w:left="678"/>
      </w:pPr>
      <w:r>
        <w:rPr/>
        <w:t>Serturner</w:t>
      </w:r>
      <w:r>
        <w:rPr>
          <w:spacing w:val="25"/>
        </w:rPr>
        <w:t> </w:t>
      </w:r>
      <w:r>
        <w:rPr>
          <w:b/>
        </w:rPr>
        <w:t>(</w:t>
      </w:r>
      <w:r>
        <w:rPr/>
        <w:t>1803):</w:t>
      </w:r>
      <w:r>
        <w:rPr>
          <w:spacing w:val="24"/>
        </w:rPr>
        <w:t> </w:t>
      </w:r>
      <w:r>
        <w:rPr/>
        <w:t>From</w:t>
      </w:r>
      <w:r>
        <w:rPr>
          <w:spacing w:val="24"/>
        </w:rPr>
        <w:t> </w:t>
      </w:r>
      <w:r>
        <w:rPr/>
        <w:t>the</w:t>
      </w:r>
      <w:r>
        <w:rPr>
          <w:spacing w:val="25"/>
        </w:rPr>
        <w:t> </w:t>
      </w:r>
      <w:r>
        <w:rPr/>
        <w:t>Plant</w:t>
      </w:r>
      <w:r>
        <w:rPr>
          <w:spacing w:val="25"/>
        </w:rPr>
        <w:t> </w:t>
      </w:r>
      <w:r>
        <w:rPr/>
        <w:t>to</w:t>
      </w:r>
      <w:r>
        <w:rPr>
          <w:spacing w:val="25"/>
        </w:rPr>
        <w:t> </w:t>
      </w:r>
      <w:r>
        <w:rPr/>
        <w:t>the</w:t>
      </w:r>
      <w:r>
        <w:rPr>
          <w:spacing w:val="24"/>
        </w:rPr>
        <w:t> </w:t>
      </w:r>
      <w:r>
        <w:rPr/>
        <w:t>Medicine.</w:t>
      </w:r>
      <w:r>
        <w:rPr>
          <w:spacing w:val="28"/>
        </w:rPr>
        <w:t> </w:t>
      </w:r>
      <w:r>
        <w:rPr/>
        <w:t>In:</w:t>
      </w:r>
      <w:r>
        <w:rPr>
          <w:spacing w:val="25"/>
        </w:rPr>
        <w:t> </w:t>
      </w:r>
      <w:r>
        <w:rPr/>
        <w:t>Encyclopedia</w:t>
      </w:r>
      <w:r>
        <w:rPr>
          <w:spacing w:val="24"/>
        </w:rPr>
        <w:t> </w:t>
      </w:r>
      <w:r>
        <w:rPr/>
        <w:t>of</w:t>
      </w:r>
      <w:r>
        <w:rPr>
          <w:spacing w:val="24"/>
        </w:rPr>
        <w:t> </w:t>
      </w:r>
      <w:r>
        <w:rPr/>
        <w:t>Medicinal</w:t>
      </w:r>
      <w:r>
        <w:rPr>
          <w:spacing w:val="26"/>
        </w:rPr>
        <w:t> </w:t>
      </w:r>
      <w:r>
        <w:rPr>
          <w:spacing w:val="-2"/>
        </w:rPr>
        <w:t>Plants</w:t>
      </w:r>
    </w:p>
    <w:p>
      <w:pPr>
        <w:pStyle w:val="BodyText"/>
        <w:ind w:left="1530"/>
      </w:pPr>
      <w:r>
        <w:rPr/>
        <w:t>(</w:t>
      </w:r>
      <w:r>
        <w:rPr>
          <w:b/>
        </w:rPr>
        <w:t>1</w:t>
      </w:r>
      <w:r>
        <w:rPr/>
        <w:t>):</w:t>
      </w:r>
      <w:r>
        <w:rPr>
          <w:spacing w:val="-1"/>
        </w:rPr>
        <w:t> </w:t>
      </w:r>
      <w:r>
        <w:rPr/>
        <w:t>Ed.</w:t>
      </w:r>
      <w:r>
        <w:rPr>
          <w:spacing w:val="-1"/>
        </w:rPr>
        <w:t> </w:t>
      </w:r>
      <w:r>
        <w:rPr/>
        <w:t>Safeliz,</w:t>
      </w:r>
      <w:r>
        <w:rPr>
          <w:spacing w:val="-1"/>
        </w:rPr>
        <w:t> </w:t>
      </w:r>
      <w:r>
        <w:rPr/>
        <w:t>Spain,</w:t>
      </w:r>
      <w:r>
        <w:rPr>
          <w:spacing w:val="-1"/>
        </w:rPr>
        <w:t> </w:t>
      </w:r>
      <w:r>
        <w:rPr/>
        <w:t>pp.</w:t>
      </w:r>
      <w:r>
        <w:rPr>
          <w:spacing w:val="-1"/>
        </w:rPr>
        <w:t> </w:t>
      </w:r>
      <w:r>
        <w:rPr>
          <w:spacing w:val="-5"/>
        </w:rPr>
        <w:t>5.</w:t>
      </w:r>
    </w:p>
    <w:p>
      <w:pPr>
        <w:pStyle w:val="BodyText"/>
        <w:spacing w:before="240"/>
        <w:ind w:left="1671" w:right="997" w:hanging="994"/>
        <w:jc w:val="both"/>
      </w:pPr>
      <w:r>
        <w:rPr/>
        <w:t>Shabana, M.M., Mirhom, Y.W., Genenah, A.A. </w:t>
      </w:r>
      <w:r>
        <w:rPr>
          <w:i/>
        </w:rPr>
        <w:t>et al</w:t>
      </w:r>
      <w:r>
        <w:rPr/>
        <w:t>. (1990): Study into wild Egyptian plants of potential medicinal activity. Ninth communication: Hypoglycaemic activity of some selected plants in normal fasting and alloxanised rats. Archiv Fur Exp Veterinarmedizin, </w:t>
      </w:r>
      <w:r>
        <w:rPr>
          <w:b/>
        </w:rPr>
        <w:t>44</w:t>
      </w:r>
      <w:r>
        <w:rPr/>
        <w:t>: 389-394.</w:t>
      </w:r>
    </w:p>
    <w:p>
      <w:pPr>
        <w:pStyle w:val="BodyText"/>
        <w:spacing w:before="7"/>
      </w:pPr>
    </w:p>
    <w:p>
      <w:pPr>
        <w:pStyle w:val="BodyText"/>
        <w:spacing w:line="237" w:lineRule="auto"/>
        <w:ind w:left="1669" w:right="1386" w:hanging="992"/>
      </w:pPr>
      <w:r>
        <w:rPr/>
        <w:t>Shafrir,</w:t>
      </w:r>
      <w:r>
        <w:rPr>
          <w:spacing w:val="-4"/>
        </w:rPr>
        <w:t> </w:t>
      </w:r>
      <w:r>
        <w:rPr/>
        <w:t>E.,</w:t>
      </w:r>
      <w:r>
        <w:rPr>
          <w:spacing w:val="-5"/>
        </w:rPr>
        <w:t> </w:t>
      </w:r>
      <w:r>
        <w:rPr/>
        <w:t>(1992):</w:t>
      </w:r>
      <w:r>
        <w:rPr>
          <w:spacing w:val="-5"/>
        </w:rPr>
        <w:t> </w:t>
      </w:r>
      <w:r>
        <w:rPr/>
        <w:t>Animal</w:t>
      </w:r>
      <w:r>
        <w:rPr>
          <w:spacing w:val="-4"/>
        </w:rPr>
        <w:t> </w:t>
      </w:r>
      <w:r>
        <w:rPr/>
        <w:t>models</w:t>
      </w:r>
      <w:r>
        <w:rPr>
          <w:spacing w:val="-4"/>
        </w:rPr>
        <w:t> </w:t>
      </w:r>
      <w:r>
        <w:rPr/>
        <w:t>of</w:t>
      </w:r>
      <w:r>
        <w:rPr>
          <w:spacing w:val="-4"/>
        </w:rPr>
        <w:t> </w:t>
      </w:r>
      <w:r>
        <w:rPr/>
        <w:t>non-insulin</w:t>
      </w:r>
      <w:r>
        <w:rPr>
          <w:spacing w:val="-3"/>
        </w:rPr>
        <w:t> </w:t>
      </w:r>
      <w:r>
        <w:rPr/>
        <w:t>dependent</w:t>
      </w:r>
      <w:r>
        <w:rPr>
          <w:spacing w:val="-4"/>
        </w:rPr>
        <w:t> </w:t>
      </w:r>
      <w:r>
        <w:rPr/>
        <w:t>diabetes.</w:t>
      </w:r>
      <w:r>
        <w:rPr>
          <w:spacing w:val="-4"/>
        </w:rPr>
        <w:t> </w:t>
      </w:r>
      <w:r>
        <w:rPr>
          <w:i/>
        </w:rPr>
        <w:t>Diabetes</w:t>
      </w:r>
      <w:r>
        <w:rPr>
          <w:i/>
          <w:spacing w:val="-4"/>
        </w:rPr>
        <w:t> </w:t>
      </w:r>
      <w:r>
        <w:rPr>
          <w:i/>
        </w:rPr>
        <w:t>Metab Rev</w:t>
      </w:r>
      <w:r>
        <w:rPr/>
        <w:t>; </w:t>
      </w:r>
      <w:r>
        <w:rPr>
          <w:b/>
        </w:rPr>
        <w:t>8</w:t>
      </w:r>
      <w:r>
        <w:rPr/>
        <w:t>, 179-208.</w:t>
      </w:r>
    </w:p>
    <w:p>
      <w:pPr>
        <w:pStyle w:val="BodyText"/>
        <w:spacing w:before="6"/>
      </w:pPr>
    </w:p>
    <w:p>
      <w:pPr>
        <w:pStyle w:val="BodyText"/>
        <w:ind w:left="1758" w:right="994" w:hanging="1080"/>
        <w:jc w:val="both"/>
      </w:pPr>
      <w:r>
        <w:rPr/>
        <w:t>Shamsuddin, A. M., Vucenik, I. and Cole, K. E. (1997): A novel anticancer agent. </w:t>
      </w:r>
      <w:r>
        <w:rPr>
          <w:i/>
        </w:rPr>
        <w:t>Life Science</w:t>
      </w:r>
      <w:r>
        <w:rPr>
          <w:i/>
          <w:spacing w:val="80"/>
        </w:rPr>
        <w:t> </w:t>
      </w:r>
      <w:r>
        <w:rPr>
          <w:b/>
        </w:rPr>
        <w:t>61</w:t>
      </w:r>
      <w:r>
        <w:rPr/>
        <w:t>: 343-354.</w:t>
      </w:r>
    </w:p>
    <w:p>
      <w:pPr>
        <w:pStyle w:val="BodyText"/>
        <w:spacing w:before="240"/>
        <w:ind w:left="1489" w:right="994" w:hanging="812"/>
        <w:jc w:val="both"/>
      </w:pPr>
      <w:r>
        <w:rPr/>
        <w:t>Shangraw, R., Mitrevej, A. and Shah, M. (1980): New era of tablet disintegrants. </w:t>
      </w:r>
      <w:r>
        <w:rPr>
          <w:i/>
        </w:rPr>
        <w:t>Powder Technol., </w:t>
      </w:r>
      <w:r>
        <w:rPr>
          <w:b/>
        </w:rPr>
        <w:t>4</w:t>
      </w:r>
      <w:r>
        <w:rPr/>
        <w:t>: 49-57.</w:t>
      </w:r>
    </w:p>
    <w:p>
      <w:pPr>
        <w:pStyle w:val="BodyText"/>
        <w:spacing w:before="240"/>
        <w:ind w:left="1386" w:right="1005" w:hanging="708"/>
        <w:jc w:val="both"/>
      </w:pPr>
      <w:r>
        <w:rPr/>
        <w:t>Sharma, R. D., Raghuran, and T. C., Raos, N. S. (1990): Effect of fenugreek seeds on blood glucose and serum lipids in type I diabetes. </w:t>
      </w:r>
      <w:r>
        <w:rPr>
          <w:i/>
        </w:rPr>
        <w:t>Eur. J. Clin. Nutr</w:t>
      </w:r>
      <w:r>
        <w:rPr/>
        <w:t>., </w:t>
      </w:r>
      <w:r>
        <w:rPr>
          <w:b/>
        </w:rPr>
        <w:t>44</w:t>
      </w:r>
      <w:r>
        <w:rPr/>
        <w:t>: 301-306.</w:t>
      </w:r>
    </w:p>
    <w:p>
      <w:pPr>
        <w:spacing w:before="241"/>
        <w:ind w:left="1386" w:right="993" w:hanging="708"/>
        <w:jc w:val="both"/>
        <w:rPr>
          <w:sz w:val="24"/>
        </w:rPr>
      </w:pPr>
      <w:r>
        <w:rPr>
          <w:sz w:val="24"/>
        </w:rPr>
        <w:t>Sharma, S. R., Dwivedi, S K., Swarup, D. (1997): Hypoglycaemic, antihyperglycaemic and hypolipidemic activities of </w:t>
      </w:r>
      <w:r>
        <w:rPr>
          <w:i/>
          <w:sz w:val="24"/>
        </w:rPr>
        <w:t>Caesalpinia bonducella </w:t>
      </w:r>
      <w:r>
        <w:rPr>
          <w:sz w:val="24"/>
        </w:rPr>
        <w:t>seeds in rats. </w:t>
      </w:r>
      <w:r>
        <w:rPr>
          <w:i/>
          <w:sz w:val="24"/>
        </w:rPr>
        <w:t>J Ethnopharmacol </w:t>
      </w:r>
      <w:r>
        <w:rPr>
          <w:b/>
          <w:sz w:val="24"/>
        </w:rPr>
        <w:t>58</w:t>
      </w:r>
      <w:r>
        <w:rPr>
          <w:sz w:val="24"/>
        </w:rPr>
        <w:t>: 39-44.</w:t>
      </w:r>
    </w:p>
    <w:p>
      <w:pPr>
        <w:pStyle w:val="BodyText"/>
        <w:spacing w:before="240"/>
        <w:ind w:left="1386" w:right="996" w:hanging="708"/>
        <w:jc w:val="both"/>
      </w:pPr>
      <w:r>
        <w:rPr/>
        <w:t>Sheela, C. G. and Augusti, K. T. (1992): Antidiabetic effects of S-allyl cysteine</w:t>
      </w:r>
      <w:r>
        <w:rPr>
          <w:spacing w:val="40"/>
        </w:rPr>
        <w:t> </w:t>
      </w:r>
      <w:r>
        <w:rPr/>
        <w:t>sulphoxide isolated from garlic </w:t>
      </w:r>
      <w:r>
        <w:rPr>
          <w:i/>
        </w:rPr>
        <w:t>Allium sativum </w:t>
      </w:r>
      <w:r>
        <w:rPr/>
        <w:t>Linn. Indian J Exp Biol., </w:t>
      </w:r>
      <w:r>
        <w:rPr>
          <w:b/>
        </w:rPr>
        <w:t>30</w:t>
      </w:r>
      <w:r>
        <w:rPr/>
        <w:t>: 523- </w:t>
      </w:r>
      <w:r>
        <w:rPr>
          <w:spacing w:val="-4"/>
        </w:rPr>
        <w:t>526.</w:t>
      </w:r>
    </w:p>
    <w:p>
      <w:pPr>
        <w:pStyle w:val="BodyText"/>
        <w:spacing w:before="240"/>
        <w:ind w:left="1386" w:right="1001" w:hanging="708"/>
        <w:jc w:val="both"/>
      </w:pPr>
      <w:r>
        <w:rPr/>
        <w:t>Sheela, C. G., Kumud, K., Augusti, K. T. (1995):</w:t>
      </w:r>
      <w:r>
        <w:rPr>
          <w:spacing w:val="40"/>
        </w:rPr>
        <w:t> </w:t>
      </w:r>
      <w:r>
        <w:rPr/>
        <w:t>Antidiabetic effects of onion and garlic sulfoxide amino acids in rats</w:t>
      </w:r>
      <w:r>
        <w:rPr>
          <w:i/>
        </w:rPr>
        <w:t>. Planta Med</w:t>
      </w:r>
      <w:r>
        <w:rPr/>
        <w:t>., </w:t>
      </w:r>
      <w:r>
        <w:rPr>
          <w:b/>
        </w:rPr>
        <w:t>61</w:t>
      </w:r>
      <w:r>
        <w:rPr/>
        <w:t>: 356-357.</w:t>
      </w:r>
    </w:p>
    <w:p>
      <w:pPr>
        <w:pStyle w:val="BodyText"/>
        <w:spacing w:before="240"/>
        <w:ind w:left="1386" w:right="999" w:hanging="708"/>
        <w:jc w:val="both"/>
      </w:pPr>
      <w:r>
        <w:rPr/>
        <w:t>Shotton, E. and Ganderton, D. (1960): The strength of compressed tablet II. The bonding of granules during compression. </w:t>
      </w:r>
      <w:r>
        <w:rPr>
          <w:i/>
        </w:rPr>
        <w:t>J. Pharm. Pharmacol</w:t>
      </w:r>
      <w:r>
        <w:rPr/>
        <w:t>., </w:t>
      </w:r>
      <w:r>
        <w:rPr>
          <w:b/>
        </w:rPr>
        <w:t>12</w:t>
      </w:r>
      <w:r>
        <w:rPr/>
        <w:t>: 93-96.</w:t>
      </w:r>
    </w:p>
    <w:p>
      <w:pPr>
        <w:spacing w:before="240"/>
        <w:ind w:left="1386" w:right="993" w:hanging="708"/>
        <w:jc w:val="both"/>
        <w:rPr>
          <w:sz w:val="24"/>
        </w:rPr>
      </w:pPr>
      <w:r>
        <w:rPr>
          <w:sz w:val="24"/>
        </w:rPr>
        <w:t>Shotton, E. and Obiorah, B. A. (1973): The effect of particle shape and crystal habit on properties of sodium chloride. </w:t>
      </w:r>
      <w:r>
        <w:rPr>
          <w:i/>
          <w:sz w:val="24"/>
        </w:rPr>
        <w:t>Journal of Pharmacy and Pharmacology </w:t>
      </w:r>
      <w:r>
        <w:rPr>
          <w:b/>
          <w:sz w:val="24"/>
        </w:rPr>
        <w:t>25</w:t>
      </w:r>
      <w:r>
        <w:rPr>
          <w:sz w:val="24"/>
        </w:rPr>
        <w:t>: 37 </w:t>
      </w:r>
      <w:r>
        <w:rPr>
          <w:sz w:val="24"/>
        </w:rPr>
        <w:t>– </w:t>
      </w:r>
      <w:r>
        <w:rPr>
          <w:spacing w:val="-4"/>
          <w:sz w:val="24"/>
        </w:rPr>
        <w:t>43.</w:t>
      </w:r>
    </w:p>
    <w:p>
      <w:pPr>
        <w:pStyle w:val="BodyText"/>
        <w:spacing w:before="241"/>
        <w:ind w:left="577" w:right="992"/>
        <w:jc w:val="right"/>
        <w:rPr>
          <w:i/>
        </w:rPr>
      </w:pPr>
      <w:r>
        <w:rPr/>
        <w:t>Siddhuraju,</w:t>
      </w:r>
      <w:r>
        <w:rPr>
          <w:spacing w:val="11"/>
        </w:rPr>
        <w:t> </w:t>
      </w:r>
      <w:r>
        <w:rPr/>
        <w:t>P.</w:t>
      </w:r>
      <w:r>
        <w:rPr>
          <w:spacing w:val="12"/>
        </w:rPr>
        <w:t> </w:t>
      </w:r>
      <w:r>
        <w:rPr/>
        <w:t>and</w:t>
      </w:r>
      <w:r>
        <w:rPr>
          <w:spacing w:val="11"/>
        </w:rPr>
        <w:t> </w:t>
      </w:r>
      <w:r>
        <w:rPr/>
        <w:t>Becker,</w:t>
      </w:r>
      <w:r>
        <w:rPr>
          <w:spacing w:val="12"/>
        </w:rPr>
        <w:t> </w:t>
      </w:r>
      <w:r>
        <w:rPr/>
        <w:t>K.</w:t>
      </w:r>
      <w:r>
        <w:rPr>
          <w:spacing w:val="12"/>
        </w:rPr>
        <w:t> </w:t>
      </w:r>
      <w:r>
        <w:rPr/>
        <w:t>(2005):</w:t>
      </w:r>
      <w:r>
        <w:rPr>
          <w:spacing w:val="13"/>
        </w:rPr>
        <w:t> </w:t>
      </w:r>
      <w:r>
        <w:rPr/>
        <w:t>Nutritional</w:t>
      </w:r>
      <w:r>
        <w:rPr>
          <w:spacing w:val="13"/>
        </w:rPr>
        <w:t> </w:t>
      </w:r>
      <w:r>
        <w:rPr/>
        <w:t>and</w:t>
      </w:r>
      <w:r>
        <w:rPr>
          <w:spacing w:val="13"/>
        </w:rPr>
        <w:t> </w:t>
      </w:r>
      <w:r>
        <w:rPr/>
        <w:t>antinutritional</w:t>
      </w:r>
      <w:r>
        <w:rPr>
          <w:spacing w:val="10"/>
        </w:rPr>
        <w:t> </w:t>
      </w:r>
      <w:r>
        <w:rPr/>
        <w:t>composition</w:t>
      </w:r>
      <w:r>
        <w:rPr>
          <w:spacing w:val="16"/>
        </w:rPr>
        <w:t> </w:t>
      </w:r>
      <w:r>
        <w:rPr>
          <w:i/>
        </w:rPr>
        <w:t>in</w:t>
      </w:r>
      <w:r>
        <w:rPr>
          <w:i/>
          <w:spacing w:val="12"/>
        </w:rPr>
        <w:t> </w:t>
      </w:r>
      <w:r>
        <w:rPr>
          <w:i/>
          <w:spacing w:val="-2"/>
        </w:rPr>
        <w:t>vitro</w:t>
      </w:r>
    </w:p>
    <w:p>
      <w:pPr>
        <w:pStyle w:val="BodyText"/>
        <w:ind w:left="577" w:right="1002"/>
        <w:jc w:val="right"/>
      </w:pPr>
      <w:r>
        <w:rPr/>
        <w:t>amino</w:t>
      </w:r>
      <w:r>
        <w:rPr>
          <w:spacing w:val="74"/>
        </w:rPr>
        <w:t> </w:t>
      </w:r>
      <w:r>
        <w:rPr/>
        <w:t>acid</w:t>
      </w:r>
      <w:r>
        <w:rPr>
          <w:spacing w:val="76"/>
        </w:rPr>
        <w:t> </w:t>
      </w:r>
      <w:r>
        <w:rPr/>
        <w:t>digestibility,</w:t>
      </w:r>
      <w:r>
        <w:rPr>
          <w:spacing w:val="75"/>
        </w:rPr>
        <w:t> </w:t>
      </w:r>
      <w:r>
        <w:rPr/>
        <w:t>starch</w:t>
      </w:r>
      <w:r>
        <w:rPr>
          <w:spacing w:val="75"/>
        </w:rPr>
        <w:t> </w:t>
      </w:r>
      <w:r>
        <w:rPr/>
        <w:t>digestibility</w:t>
      </w:r>
      <w:r>
        <w:rPr>
          <w:spacing w:val="70"/>
        </w:rPr>
        <w:t> </w:t>
      </w:r>
      <w:r>
        <w:rPr/>
        <w:t>and</w:t>
      </w:r>
      <w:r>
        <w:rPr>
          <w:spacing w:val="75"/>
        </w:rPr>
        <w:t> </w:t>
      </w:r>
      <w:r>
        <w:rPr/>
        <w:t>predicted</w:t>
      </w:r>
      <w:r>
        <w:rPr>
          <w:spacing w:val="50"/>
          <w:w w:val="150"/>
        </w:rPr>
        <w:t> </w:t>
      </w:r>
      <w:r>
        <w:rPr/>
        <w:t>glycemic</w:t>
      </w:r>
      <w:r>
        <w:rPr>
          <w:spacing w:val="74"/>
        </w:rPr>
        <w:t> </w:t>
      </w:r>
      <w:r>
        <w:rPr/>
        <w:t>index</w:t>
      </w:r>
      <w:r>
        <w:rPr>
          <w:spacing w:val="77"/>
        </w:rPr>
        <w:t> </w:t>
      </w:r>
      <w:r>
        <w:rPr>
          <w:spacing w:val="-5"/>
        </w:rPr>
        <w:t>of</w:t>
      </w:r>
    </w:p>
    <w:p>
      <w:pPr>
        <w:spacing w:after="0"/>
        <w:jc w:val="right"/>
        <w:sectPr>
          <w:pgSz w:w="12240" w:h="15840"/>
          <w:pgMar w:header="0" w:footer="1056" w:top="1340" w:bottom="1240" w:left="1420" w:right="420"/>
        </w:sectPr>
      </w:pPr>
    </w:p>
    <w:p>
      <w:pPr>
        <w:spacing w:before="70"/>
        <w:ind w:left="1386" w:right="997" w:firstLine="0"/>
        <w:jc w:val="left"/>
        <w:rPr>
          <w:sz w:val="24"/>
        </w:rPr>
      </w:pPr>
      <w:r>
        <w:rPr/>
        <mc:AlternateContent>
          <mc:Choice Requires="wps">
            <w:drawing>
              <wp:anchor distT="0" distB="0" distL="0" distR="0" allowOverlap="1" layoutInCell="1" locked="0" behindDoc="1" simplePos="0" relativeHeight="483049472">
                <wp:simplePos x="0" y="0"/>
                <wp:positionH relativeFrom="page">
                  <wp:posOffset>-1402226</wp:posOffset>
                </wp:positionH>
                <wp:positionV relativeFrom="page">
                  <wp:posOffset>4612234</wp:posOffset>
                </wp:positionV>
                <wp:extent cx="10685780" cy="91440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7008;rotation:306" type="#_x0000_t136" fillcolor="#ff5400" stroked="f">
                <o:extrusion v:ext="view" autorotationcenter="t"/>
                <v:textpath style="font-family:&quot;Arial MT&quot;;font-size:72pt;v-text-kern:t;mso-text-shadow:auto" string="UNIVERSITY OF IBADAN"/>
                <w10:wrap type="none"/>
              </v:shape>
            </w:pict>
          </mc:Fallback>
        </mc:AlternateContent>
      </w:r>
      <w:r>
        <w:rPr>
          <w:sz w:val="24"/>
        </w:rPr>
        <w:t>differentially</w:t>
      </w:r>
      <w:r>
        <w:rPr>
          <w:spacing w:val="29"/>
          <w:sz w:val="24"/>
        </w:rPr>
        <w:t> </w:t>
      </w:r>
      <w:r>
        <w:rPr>
          <w:sz w:val="24"/>
        </w:rPr>
        <w:t>processed</w:t>
      </w:r>
      <w:r>
        <w:rPr>
          <w:spacing w:val="38"/>
          <w:sz w:val="24"/>
        </w:rPr>
        <w:t> </w:t>
      </w:r>
      <w:r>
        <w:rPr>
          <w:i/>
          <w:sz w:val="24"/>
        </w:rPr>
        <w:t>Mucuna</w:t>
      </w:r>
      <w:r>
        <w:rPr>
          <w:i/>
          <w:spacing w:val="34"/>
          <w:sz w:val="24"/>
        </w:rPr>
        <w:t> </w:t>
      </w:r>
      <w:r>
        <w:rPr>
          <w:sz w:val="24"/>
        </w:rPr>
        <w:t>beans</w:t>
      </w:r>
      <w:r>
        <w:rPr>
          <w:spacing w:val="34"/>
          <w:sz w:val="24"/>
        </w:rPr>
        <w:t> </w:t>
      </w:r>
      <w:r>
        <w:rPr>
          <w:sz w:val="24"/>
        </w:rPr>
        <w:t>(</w:t>
      </w:r>
      <w:r>
        <w:rPr>
          <w:i/>
          <w:sz w:val="24"/>
        </w:rPr>
        <w:t>Mucuna</w:t>
      </w:r>
      <w:r>
        <w:rPr>
          <w:i/>
          <w:spacing w:val="36"/>
          <w:sz w:val="24"/>
        </w:rPr>
        <w:t> </w:t>
      </w:r>
      <w:r>
        <w:rPr>
          <w:i/>
          <w:sz w:val="24"/>
        </w:rPr>
        <w:t>pruriens</w:t>
      </w:r>
      <w:r>
        <w:rPr>
          <w:i/>
          <w:spacing w:val="35"/>
          <w:sz w:val="24"/>
        </w:rPr>
        <w:t> </w:t>
      </w:r>
      <w:r>
        <w:rPr>
          <w:sz w:val="24"/>
        </w:rPr>
        <w:t>var.</w:t>
      </w:r>
      <w:r>
        <w:rPr>
          <w:spacing w:val="33"/>
          <w:sz w:val="24"/>
        </w:rPr>
        <w:t> </w:t>
      </w:r>
      <w:r>
        <w:rPr>
          <w:i/>
          <w:sz w:val="24"/>
        </w:rPr>
        <w:t>utilis</w:t>
      </w:r>
      <w:r>
        <w:rPr>
          <w:sz w:val="24"/>
        </w:rPr>
        <w:t>):</w:t>
      </w:r>
      <w:r>
        <w:rPr>
          <w:spacing w:val="33"/>
          <w:sz w:val="24"/>
        </w:rPr>
        <w:t> </w:t>
      </w:r>
      <w:r>
        <w:rPr>
          <w:sz w:val="24"/>
        </w:rPr>
        <w:t>An</w:t>
      </w:r>
      <w:r>
        <w:rPr>
          <w:spacing w:val="34"/>
          <w:sz w:val="24"/>
        </w:rPr>
        <w:t> </w:t>
      </w:r>
      <w:r>
        <w:rPr>
          <w:sz w:val="24"/>
        </w:rPr>
        <w:t>under- utilized legume. </w:t>
      </w:r>
      <w:r>
        <w:rPr>
          <w:i/>
          <w:sz w:val="24"/>
        </w:rPr>
        <w:t>Food Chemistry </w:t>
      </w:r>
      <w:r>
        <w:rPr>
          <w:b/>
          <w:sz w:val="24"/>
        </w:rPr>
        <w:t>91</w:t>
      </w:r>
      <w:r>
        <w:rPr>
          <w:sz w:val="24"/>
        </w:rPr>
        <w:t>:275-286.</w:t>
      </w:r>
    </w:p>
    <w:p>
      <w:pPr>
        <w:spacing w:before="240"/>
        <w:ind w:left="1386" w:right="994" w:hanging="708"/>
        <w:jc w:val="both"/>
        <w:rPr>
          <w:sz w:val="24"/>
        </w:rPr>
      </w:pPr>
      <w:r>
        <w:rPr>
          <w:sz w:val="24"/>
        </w:rPr>
        <w:t>Siddhuraju, P., Becker, K. and Makkar, H. P. S. (2000): Studies on the nutritional composition and antinutritional factors of</w:t>
      </w:r>
      <w:r>
        <w:rPr>
          <w:spacing w:val="-1"/>
          <w:sz w:val="24"/>
        </w:rPr>
        <w:t> </w:t>
      </w:r>
      <w:r>
        <w:rPr>
          <w:sz w:val="24"/>
        </w:rPr>
        <w:t>three</w:t>
      </w:r>
      <w:r>
        <w:rPr>
          <w:spacing w:val="-1"/>
          <w:sz w:val="24"/>
        </w:rPr>
        <w:t> </w:t>
      </w:r>
      <w:r>
        <w:rPr>
          <w:sz w:val="24"/>
        </w:rPr>
        <w:t>different germplasm seed materials of an underutilized tropical legume. </w:t>
      </w:r>
      <w:r>
        <w:rPr>
          <w:i/>
          <w:sz w:val="24"/>
        </w:rPr>
        <w:t>Mucuna pruriens </w:t>
      </w:r>
      <w:r>
        <w:rPr>
          <w:sz w:val="24"/>
        </w:rPr>
        <w:t>var. </w:t>
      </w:r>
      <w:r>
        <w:rPr>
          <w:i/>
          <w:sz w:val="24"/>
        </w:rPr>
        <w:t>utilis</w:t>
      </w:r>
      <w:r>
        <w:rPr>
          <w:sz w:val="24"/>
        </w:rPr>
        <w:t>. </w:t>
      </w:r>
      <w:r>
        <w:rPr>
          <w:i/>
          <w:sz w:val="24"/>
        </w:rPr>
        <w:t>Journal of Agricultural Food Chemistry </w:t>
      </w:r>
      <w:r>
        <w:rPr>
          <w:b/>
          <w:sz w:val="24"/>
        </w:rPr>
        <w:t>48</w:t>
      </w:r>
      <w:r>
        <w:rPr>
          <w:sz w:val="24"/>
        </w:rPr>
        <w:t>: 6048-6060.</w:t>
      </w:r>
    </w:p>
    <w:p>
      <w:pPr>
        <w:pStyle w:val="BodyText"/>
        <w:spacing w:before="241"/>
        <w:ind w:left="1671" w:right="1001" w:hanging="994"/>
        <w:jc w:val="both"/>
      </w:pPr>
      <w:r>
        <w:rPr>
          <w:color w:val="221F1F"/>
        </w:rPr>
        <w:t>Siegel, R.D., Cupples, A., Schaefer, E.J., Wilson, P.W.F. (1996). Lipoproteins, apoliproteins, and low density lipoprotein size among diabetics in the Framingham Offspring study. </w:t>
      </w:r>
      <w:r>
        <w:rPr>
          <w:i/>
          <w:color w:val="221F1F"/>
        </w:rPr>
        <w:t>Metabolism</w:t>
      </w:r>
      <w:r>
        <w:rPr>
          <w:color w:val="221F1F"/>
        </w:rPr>
        <w:t>. </w:t>
      </w:r>
      <w:r>
        <w:rPr>
          <w:b/>
          <w:color w:val="221F1F"/>
        </w:rPr>
        <w:t>45</w:t>
      </w:r>
      <w:r>
        <w:rPr>
          <w:color w:val="221F1F"/>
        </w:rPr>
        <w:t>: 1267-72</w:t>
      </w:r>
    </w:p>
    <w:p>
      <w:pPr>
        <w:pStyle w:val="BodyText"/>
        <w:ind w:left="1530" w:right="998" w:hanging="852"/>
        <w:jc w:val="both"/>
      </w:pPr>
      <w:r>
        <w:rPr/>
        <w:t>Singer, D. E, Moulton A. W., Nathan, D. M. (1989): Diabetic myocardial infarction: interaction</w:t>
      </w:r>
      <w:r>
        <w:rPr>
          <w:spacing w:val="-3"/>
        </w:rPr>
        <w:t> </w:t>
      </w:r>
      <w:r>
        <w:rPr/>
        <w:t>of</w:t>
      </w:r>
      <w:r>
        <w:rPr>
          <w:spacing w:val="-2"/>
        </w:rPr>
        <w:t> </w:t>
      </w:r>
      <w:r>
        <w:rPr/>
        <w:t>diabetes</w:t>
      </w:r>
      <w:r>
        <w:rPr>
          <w:spacing w:val="-1"/>
        </w:rPr>
        <w:t> </w:t>
      </w:r>
      <w:r>
        <w:rPr/>
        <w:t>with</w:t>
      </w:r>
      <w:r>
        <w:rPr>
          <w:spacing w:val="-1"/>
        </w:rPr>
        <w:t> </w:t>
      </w:r>
      <w:r>
        <w:rPr/>
        <w:t>other</w:t>
      </w:r>
      <w:r>
        <w:rPr>
          <w:spacing w:val="-1"/>
        </w:rPr>
        <w:t> </w:t>
      </w:r>
      <w:r>
        <w:rPr/>
        <w:t>pre</w:t>
      </w:r>
      <w:r>
        <w:rPr>
          <w:spacing w:val="-2"/>
        </w:rPr>
        <w:t> </w:t>
      </w:r>
      <w:r>
        <w:rPr/>
        <w:t>infarction</w:t>
      </w:r>
      <w:r>
        <w:rPr>
          <w:spacing w:val="-1"/>
        </w:rPr>
        <w:t> </w:t>
      </w:r>
      <w:r>
        <w:rPr/>
        <w:t>risk</w:t>
      </w:r>
      <w:r>
        <w:rPr>
          <w:spacing w:val="-1"/>
        </w:rPr>
        <w:t> </w:t>
      </w:r>
      <w:r>
        <w:rPr/>
        <w:t>factors.</w:t>
      </w:r>
      <w:r>
        <w:rPr>
          <w:spacing w:val="2"/>
        </w:rPr>
        <w:t> </w:t>
      </w:r>
      <w:r>
        <w:rPr>
          <w:i/>
        </w:rPr>
        <w:t>Diabetes </w:t>
      </w:r>
      <w:r>
        <w:rPr>
          <w:b/>
        </w:rPr>
        <w:t>38</w:t>
      </w:r>
      <w:r>
        <w:rPr/>
        <w:t>:350-</w:t>
      </w:r>
      <w:r>
        <w:rPr>
          <w:spacing w:val="-4"/>
        </w:rPr>
        <w:t>357.</w:t>
      </w:r>
    </w:p>
    <w:p>
      <w:pPr>
        <w:pStyle w:val="BodyText"/>
        <w:spacing w:before="240"/>
        <w:ind w:left="1530" w:right="998" w:hanging="852"/>
        <w:jc w:val="both"/>
      </w:pPr>
      <w:r>
        <w:rPr/>
        <w:t>Singh, P., Desai, S. J., Simonelli, A. P. and Higuichi, W. I. (1968): Role of wetting on the rate of drug release from inert matrices</w:t>
      </w:r>
      <w:r>
        <w:rPr>
          <w:i/>
        </w:rPr>
        <w:t>. J. Pharm. Sci., </w:t>
      </w:r>
      <w:r>
        <w:rPr>
          <w:b/>
        </w:rPr>
        <w:t>57</w:t>
      </w:r>
      <w:r>
        <w:rPr/>
        <w:t>: 217 - 226.</w:t>
      </w:r>
    </w:p>
    <w:p>
      <w:pPr>
        <w:spacing w:before="240"/>
        <w:ind w:left="1530" w:right="992" w:hanging="852"/>
        <w:jc w:val="both"/>
        <w:rPr>
          <w:sz w:val="24"/>
        </w:rPr>
      </w:pPr>
      <w:r>
        <w:rPr>
          <w:sz w:val="24"/>
        </w:rPr>
        <w:t>Skim F., Lazrek, H.B., Kaaya, A. </w:t>
      </w:r>
      <w:r>
        <w:rPr>
          <w:i/>
          <w:sz w:val="24"/>
        </w:rPr>
        <w:t>et al</w:t>
      </w:r>
      <w:r>
        <w:rPr>
          <w:sz w:val="24"/>
        </w:rPr>
        <w:t>. (1999): Pharmacological studies of two antidiabetic plants: </w:t>
      </w:r>
      <w:r>
        <w:rPr>
          <w:i/>
          <w:sz w:val="24"/>
        </w:rPr>
        <w:t>Globularia alypum </w:t>
      </w:r>
      <w:r>
        <w:rPr>
          <w:sz w:val="24"/>
        </w:rPr>
        <w:t>and </w:t>
      </w:r>
      <w:r>
        <w:rPr>
          <w:i/>
          <w:sz w:val="24"/>
        </w:rPr>
        <w:t>Zygophyllum gaetulum</w:t>
      </w:r>
      <w:r>
        <w:rPr>
          <w:sz w:val="24"/>
        </w:rPr>
        <w:t>. </w:t>
      </w:r>
      <w:r>
        <w:rPr>
          <w:i/>
          <w:sz w:val="24"/>
        </w:rPr>
        <w:t>Therapie, </w:t>
      </w:r>
      <w:r>
        <w:rPr>
          <w:b/>
          <w:sz w:val="24"/>
        </w:rPr>
        <w:t>54</w:t>
      </w:r>
      <w:r>
        <w:rPr>
          <w:sz w:val="24"/>
        </w:rPr>
        <w:t>: pp 711 - 715.</w:t>
      </w:r>
    </w:p>
    <w:p>
      <w:pPr>
        <w:spacing w:before="240"/>
        <w:ind w:left="1530" w:right="998" w:hanging="852"/>
        <w:jc w:val="both"/>
        <w:rPr>
          <w:sz w:val="24"/>
        </w:rPr>
      </w:pPr>
      <w:r>
        <w:rPr>
          <w:sz w:val="24"/>
        </w:rPr>
        <w:t>Sridhar, K. R. and Bhat, R. (2007): Agrobotanical, nutritional and bioactive potential of unconventional legume – </w:t>
      </w:r>
      <w:r>
        <w:rPr>
          <w:i/>
          <w:sz w:val="24"/>
        </w:rPr>
        <w:t>Mucuna. J. Livestock Research for Rural Development </w:t>
      </w:r>
      <w:r>
        <w:rPr>
          <w:b/>
          <w:sz w:val="24"/>
        </w:rPr>
        <w:t>19 </w:t>
      </w:r>
      <w:r>
        <w:rPr>
          <w:sz w:val="24"/>
        </w:rPr>
        <w:t>(9).</w:t>
      </w:r>
    </w:p>
    <w:p>
      <w:pPr>
        <w:pStyle w:val="BodyText"/>
        <w:spacing w:before="240"/>
        <w:ind w:left="1489" w:right="995" w:hanging="812"/>
        <w:jc w:val="both"/>
      </w:pPr>
      <w:r>
        <w:rPr/>
        <w:t>Subramoniam, A., Pushpangadan, P., Rajasekharan, S. (1996): Effect of </w:t>
      </w:r>
      <w:r>
        <w:rPr>
          <w:i/>
        </w:rPr>
        <w:t>Artemisia pallen </w:t>
      </w:r>
      <w:r>
        <w:rPr/>
        <w:t>Wall. on blood glucose levels in normal and alloxan-induced diabetic rats</w:t>
      </w:r>
      <w:r>
        <w:rPr>
          <w:i/>
        </w:rPr>
        <w:t>. J. Ethnopharmacol </w:t>
      </w:r>
      <w:r>
        <w:rPr/>
        <w:t>1996; </w:t>
      </w:r>
      <w:r>
        <w:rPr>
          <w:b/>
        </w:rPr>
        <w:t>50</w:t>
      </w:r>
      <w:r>
        <w:rPr/>
        <w:t>: 13-17.</w:t>
      </w:r>
    </w:p>
    <w:p>
      <w:pPr>
        <w:pStyle w:val="BodyText"/>
        <w:spacing w:before="241"/>
        <w:ind w:left="1530" w:right="1003" w:hanging="852"/>
        <w:jc w:val="both"/>
      </w:pPr>
      <w:r>
        <w:rPr/>
        <w:t>Szkudelski, T (2001): The mechanism of alloxan and streptozotocin action in B cells of</w:t>
      </w:r>
      <w:r>
        <w:rPr>
          <w:spacing w:val="40"/>
        </w:rPr>
        <w:t> </w:t>
      </w:r>
      <w:r>
        <w:rPr/>
        <w:t>the rat pancrease, </w:t>
      </w:r>
      <w:r>
        <w:rPr>
          <w:i/>
        </w:rPr>
        <w:t>Physiol. Res. </w:t>
      </w:r>
      <w:r>
        <w:rPr>
          <w:b/>
        </w:rPr>
        <w:t>50</w:t>
      </w:r>
      <w:r>
        <w:rPr/>
        <w:t>: 536-546.</w:t>
      </w:r>
    </w:p>
    <w:p>
      <w:pPr>
        <w:pStyle w:val="BodyText"/>
        <w:spacing w:before="240"/>
        <w:ind w:left="1671" w:right="996" w:hanging="994"/>
        <w:jc w:val="both"/>
      </w:pPr>
      <w:r>
        <w:rPr/>
        <w:t>Szkudelski, T., Kandulska, K., Okulicz, M. (1998): Alloxan </w:t>
      </w:r>
      <w:r>
        <w:rPr>
          <w:i/>
        </w:rPr>
        <w:t>in vivo </w:t>
      </w:r>
      <w:r>
        <w:rPr/>
        <w:t>does not only exert deleterious effects on pancreatic B cells. </w:t>
      </w:r>
      <w:r>
        <w:rPr>
          <w:i/>
        </w:rPr>
        <w:t>Physiol Res </w:t>
      </w:r>
      <w:r>
        <w:rPr>
          <w:b/>
        </w:rPr>
        <w:t>47</w:t>
      </w:r>
      <w:r>
        <w:rPr/>
        <w:t>: 343-346.</w:t>
      </w:r>
    </w:p>
    <w:p>
      <w:pPr>
        <w:pStyle w:val="BodyText"/>
        <w:spacing w:before="240"/>
        <w:ind w:left="678"/>
      </w:pPr>
      <w:r>
        <w:rPr/>
        <w:t>Taiwo,</w:t>
      </w:r>
      <w:r>
        <w:rPr>
          <w:spacing w:val="66"/>
          <w:w w:val="150"/>
        </w:rPr>
        <w:t> </w:t>
      </w:r>
      <w:r>
        <w:rPr/>
        <w:t>O.B.</w:t>
      </w:r>
      <w:r>
        <w:rPr>
          <w:spacing w:val="70"/>
          <w:w w:val="150"/>
        </w:rPr>
        <w:t> </w:t>
      </w:r>
      <w:r>
        <w:rPr/>
        <w:t>(1998):</w:t>
      </w:r>
      <w:r>
        <w:rPr>
          <w:spacing w:val="71"/>
          <w:w w:val="150"/>
        </w:rPr>
        <w:t> </w:t>
      </w:r>
      <w:r>
        <w:rPr/>
        <w:t>Antimalarial,</w:t>
      </w:r>
      <w:r>
        <w:rPr>
          <w:spacing w:val="68"/>
          <w:w w:val="150"/>
        </w:rPr>
        <w:t> </w:t>
      </w:r>
      <w:r>
        <w:rPr/>
        <w:t>immunomodulatory</w:t>
      </w:r>
      <w:r>
        <w:rPr>
          <w:spacing w:val="66"/>
          <w:w w:val="150"/>
        </w:rPr>
        <w:t> </w:t>
      </w:r>
      <w:r>
        <w:rPr/>
        <w:t>and</w:t>
      </w:r>
      <w:r>
        <w:rPr>
          <w:spacing w:val="69"/>
          <w:w w:val="150"/>
        </w:rPr>
        <w:t> </w:t>
      </w:r>
      <w:r>
        <w:rPr/>
        <w:t>contractile</w:t>
      </w:r>
      <w:r>
        <w:rPr>
          <w:spacing w:val="68"/>
          <w:w w:val="150"/>
        </w:rPr>
        <w:t> </w:t>
      </w:r>
      <w:r>
        <w:rPr/>
        <w:t>activities</w:t>
      </w:r>
      <w:r>
        <w:rPr>
          <w:spacing w:val="76"/>
          <w:w w:val="150"/>
        </w:rPr>
        <w:t> </w:t>
      </w:r>
      <w:r>
        <w:rPr>
          <w:spacing w:val="-5"/>
        </w:rPr>
        <w:t>of</w:t>
      </w:r>
    </w:p>
    <w:p>
      <w:pPr>
        <w:spacing w:before="0"/>
        <w:ind w:left="1671" w:right="0" w:firstLine="0"/>
        <w:jc w:val="left"/>
        <w:rPr>
          <w:sz w:val="24"/>
        </w:rPr>
      </w:pPr>
      <w:r>
        <w:rPr>
          <w:i/>
          <w:sz w:val="24"/>
        </w:rPr>
        <w:t>Alstonia</w:t>
      </w:r>
      <w:r>
        <w:rPr>
          <w:i/>
          <w:spacing w:val="-3"/>
          <w:sz w:val="24"/>
        </w:rPr>
        <w:t> </w:t>
      </w:r>
      <w:r>
        <w:rPr>
          <w:i/>
          <w:sz w:val="24"/>
        </w:rPr>
        <w:t>boonei </w:t>
      </w:r>
      <w:r>
        <w:rPr>
          <w:sz w:val="24"/>
        </w:rPr>
        <w:t>(Apocyneceae). Ph.D</w:t>
      </w:r>
      <w:r>
        <w:rPr>
          <w:spacing w:val="-1"/>
          <w:sz w:val="24"/>
        </w:rPr>
        <w:t> </w:t>
      </w:r>
      <w:r>
        <w:rPr>
          <w:sz w:val="24"/>
        </w:rPr>
        <w:t>Thesis. University</w:t>
      </w:r>
      <w:r>
        <w:rPr>
          <w:spacing w:val="-6"/>
          <w:sz w:val="24"/>
        </w:rPr>
        <w:t> </w:t>
      </w:r>
      <w:r>
        <w:rPr>
          <w:sz w:val="24"/>
        </w:rPr>
        <w:t>of</w:t>
      </w:r>
      <w:r>
        <w:rPr>
          <w:spacing w:val="3"/>
          <w:sz w:val="24"/>
        </w:rPr>
        <w:t> </w:t>
      </w:r>
      <w:r>
        <w:rPr>
          <w:spacing w:val="-2"/>
          <w:sz w:val="24"/>
        </w:rPr>
        <w:t>Ibadan.</w:t>
      </w:r>
    </w:p>
    <w:p>
      <w:pPr>
        <w:pStyle w:val="BodyText"/>
        <w:spacing w:before="240"/>
        <w:ind w:left="1671" w:right="996" w:hanging="994"/>
        <w:jc w:val="both"/>
      </w:pPr>
      <w:r>
        <w:rPr/>
        <w:t>Takahashi,</w:t>
      </w:r>
      <w:r>
        <w:rPr>
          <w:spacing w:val="-3"/>
        </w:rPr>
        <w:t> </w:t>
      </w:r>
      <w:r>
        <w:rPr/>
        <w:t>M.</w:t>
      </w:r>
      <w:r>
        <w:rPr>
          <w:spacing w:val="-2"/>
        </w:rPr>
        <w:t> </w:t>
      </w:r>
      <w:r>
        <w:rPr/>
        <w:t>and</w:t>
      </w:r>
      <w:r>
        <w:rPr>
          <w:spacing w:val="-3"/>
        </w:rPr>
        <w:t> </w:t>
      </w:r>
      <w:r>
        <w:rPr/>
        <w:t>Riperton,</w:t>
      </w:r>
      <w:r>
        <w:rPr>
          <w:spacing w:val="-4"/>
        </w:rPr>
        <w:t> </w:t>
      </w:r>
      <w:r>
        <w:rPr/>
        <w:t>J.</w:t>
      </w:r>
      <w:r>
        <w:rPr>
          <w:spacing w:val="-3"/>
        </w:rPr>
        <w:t> </w:t>
      </w:r>
      <w:r>
        <w:rPr/>
        <w:t>C.</w:t>
      </w:r>
      <w:r>
        <w:rPr>
          <w:spacing w:val="-4"/>
        </w:rPr>
        <w:t> </w:t>
      </w:r>
      <w:r>
        <w:rPr/>
        <w:t>(1949):</w:t>
      </w:r>
      <w:r>
        <w:rPr>
          <w:spacing w:val="-3"/>
        </w:rPr>
        <w:t> </w:t>
      </w:r>
      <w:r>
        <w:rPr/>
        <w:t>Koa</w:t>
      </w:r>
      <w:r>
        <w:rPr>
          <w:spacing w:val="-5"/>
        </w:rPr>
        <w:t> </w:t>
      </w:r>
      <w:r>
        <w:rPr/>
        <w:t>haole</w:t>
      </w:r>
      <w:r>
        <w:rPr>
          <w:spacing w:val="-3"/>
        </w:rPr>
        <w:t> </w:t>
      </w:r>
      <w:r>
        <w:rPr/>
        <w:t>(</w:t>
      </w:r>
      <w:r>
        <w:rPr>
          <w:i/>
        </w:rPr>
        <w:t>Leucaena</w:t>
      </w:r>
      <w:r>
        <w:rPr>
          <w:i/>
          <w:spacing w:val="-2"/>
        </w:rPr>
        <w:t> </w:t>
      </w:r>
      <w:r>
        <w:rPr>
          <w:i/>
        </w:rPr>
        <w:t>glauca</w:t>
      </w:r>
      <w:r>
        <w:rPr/>
        <w:t>):</w:t>
      </w:r>
      <w:r>
        <w:rPr>
          <w:spacing w:val="-3"/>
        </w:rPr>
        <w:t> </w:t>
      </w:r>
      <w:r>
        <w:rPr/>
        <w:t>Its</w:t>
      </w:r>
      <w:r>
        <w:rPr>
          <w:spacing w:val="-2"/>
        </w:rPr>
        <w:t> </w:t>
      </w:r>
      <w:r>
        <w:rPr/>
        <w:t>establishment, culture and utilization as a forage crop. Hawaii Agricultural Station Bulletin </w:t>
      </w:r>
      <w:r>
        <w:rPr>
          <w:b/>
        </w:rPr>
        <w:t>100</w:t>
      </w:r>
      <w:r>
        <w:rPr/>
        <w:t>: 1-56.</w:t>
      </w:r>
    </w:p>
    <w:p>
      <w:pPr>
        <w:pStyle w:val="BodyText"/>
        <w:spacing w:before="241"/>
        <w:ind w:left="1386" w:right="996" w:hanging="708"/>
        <w:jc w:val="both"/>
      </w:pPr>
      <w:r>
        <w:rPr/>
        <w:t>Talman, F.A.J. (1977): Tablets, In: Bently‘s Textbook of Pharmaceutics. Rawlings. E.A (Ed.) 8</w:t>
      </w:r>
      <w:r>
        <w:rPr>
          <w:vertAlign w:val="superscript"/>
        </w:rPr>
        <w:t>th</w:t>
      </w:r>
      <w:r>
        <w:rPr>
          <w:vertAlign w:val="baseline"/>
        </w:rPr>
        <w:t> ed. Bailliere Tindall, Sussex, pp. 269-316.</w:t>
      </w:r>
    </w:p>
    <w:p>
      <w:pPr>
        <w:pStyle w:val="BodyText"/>
        <w:spacing w:before="240"/>
        <w:ind w:left="1386" w:right="997" w:hanging="708"/>
        <w:jc w:val="both"/>
      </w:pPr>
      <w:r>
        <w:rPr/>
        <w:t>Talwar,</w:t>
      </w:r>
      <w:r>
        <w:rPr>
          <w:spacing w:val="-2"/>
        </w:rPr>
        <w:t> </w:t>
      </w:r>
      <w:r>
        <w:rPr/>
        <w:t>G.</w:t>
      </w:r>
      <w:r>
        <w:rPr>
          <w:spacing w:val="-2"/>
        </w:rPr>
        <w:t> </w:t>
      </w:r>
      <w:r>
        <w:rPr/>
        <w:t>P.,</w:t>
      </w:r>
      <w:r>
        <w:rPr>
          <w:spacing w:val="-1"/>
        </w:rPr>
        <w:t> </w:t>
      </w:r>
      <w:r>
        <w:rPr/>
        <w:t>Srivastava, L</w:t>
      </w:r>
      <w:r>
        <w:rPr>
          <w:spacing w:val="-6"/>
        </w:rPr>
        <w:t> </w:t>
      </w:r>
      <w:r>
        <w:rPr/>
        <w:t>M.</w:t>
      </w:r>
      <w:r>
        <w:rPr>
          <w:spacing w:val="-1"/>
        </w:rPr>
        <w:t> </w:t>
      </w:r>
      <w:r>
        <w:rPr/>
        <w:t>and</w:t>
      </w:r>
      <w:r>
        <w:rPr>
          <w:spacing w:val="-1"/>
        </w:rPr>
        <w:t> </w:t>
      </w:r>
      <w:r>
        <w:rPr/>
        <w:t>Mudgil,</w:t>
      </w:r>
      <w:r>
        <w:rPr>
          <w:spacing w:val="-1"/>
        </w:rPr>
        <w:t> </w:t>
      </w:r>
      <w:r>
        <w:rPr/>
        <w:t>K.</w:t>
      </w:r>
      <w:r>
        <w:rPr>
          <w:spacing w:val="-2"/>
        </w:rPr>
        <w:t> </w:t>
      </w:r>
      <w:r>
        <w:rPr/>
        <w:t>D. (1989): Text</w:t>
      </w:r>
      <w:r>
        <w:rPr>
          <w:spacing w:val="-1"/>
        </w:rPr>
        <w:t> </w:t>
      </w:r>
      <w:r>
        <w:rPr/>
        <w:t>Book</w:t>
      </w:r>
      <w:r>
        <w:rPr>
          <w:spacing w:val="-1"/>
        </w:rPr>
        <w:t> </w:t>
      </w:r>
      <w:r>
        <w:rPr/>
        <w:t>of</w:t>
      </w:r>
      <w:r>
        <w:rPr>
          <w:spacing w:val="-2"/>
        </w:rPr>
        <w:t> </w:t>
      </w:r>
      <w:r>
        <w:rPr/>
        <w:t>Biochemistry</w:t>
      </w:r>
      <w:r>
        <w:rPr>
          <w:spacing w:val="-4"/>
        </w:rPr>
        <w:t> </w:t>
      </w:r>
      <w:r>
        <w:rPr/>
        <w:t>and Human Biology. Prentice Hall of India Private Limited, India.</w:t>
      </w:r>
    </w:p>
    <w:p>
      <w:pPr>
        <w:spacing w:after="0"/>
        <w:jc w:val="both"/>
        <w:sectPr>
          <w:pgSz w:w="12240" w:h="15840"/>
          <w:pgMar w:header="0" w:footer="1056" w:top="1340" w:bottom="1240" w:left="1420" w:right="420"/>
        </w:sectPr>
      </w:pPr>
    </w:p>
    <w:p>
      <w:pPr>
        <w:pStyle w:val="BodyText"/>
        <w:spacing w:before="70"/>
        <w:ind w:left="1386" w:right="1000" w:hanging="708"/>
        <w:jc w:val="both"/>
      </w:pPr>
      <w:r>
        <w:rPr/>
        <mc:AlternateContent>
          <mc:Choice Requires="wps">
            <w:drawing>
              <wp:anchor distT="0" distB="0" distL="0" distR="0" allowOverlap="1" layoutInCell="1" locked="0" behindDoc="1" simplePos="0" relativeHeight="483049984">
                <wp:simplePos x="0" y="0"/>
                <wp:positionH relativeFrom="page">
                  <wp:posOffset>-1402226</wp:posOffset>
                </wp:positionH>
                <wp:positionV relativeFrom="page">
                  <wp:posOffset>4612234</wp:posOffset>
                </wp:positionV>
                <wp:extent cx="10685780" cy="91440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6496;rotation:306" type="#_x0000_t136" fillcolor="#ff5400" stroked="f">
                <o:extrusion v:ext="view" autorotationcenter="t"/>
                <v:textpath style="font-family:&quot;Arial MT&quot;;font-size:72pt;v-text-kern:t;mso-text-shadow:auto" string="UNIVERSITY OF IBADAN"/>
                <w10:wrap type="none"/>
              </v:shape>
            </w:pict>
          </mc:Fallback>
        </mc:AlternateContent>
      </w:r>
      <w:r>
        <w:rPr/>
        <w:t>Tasaka, y., Inoue, Y., Matsumoto, h., Hirata, Y. (1988): Changes in plasma glucagon, pancreatic</w:t>
      </w:r>
      <w:r>
        <w:rPr>
          <w:spacing w:val="-3"/>
        </w:rPr>
        <w:t> </w:t>
      </w:r>
      <w:r>
        <w:rPr/>
        <w:t>polypeptide</w:t>
      </w:r>
      <w:r>
        <w:rPr>
          <w:spacing w:val="-1"/>
        </w:rPr>
        <w:t> </w:t>
      </w:r>
      <w:r>
        <w:rPr/>
        <w:t>and</w:t>
      </w:r>
      <w:r>
        <w:rPr>
          <w:spacing w:val="-2"/>
        </w:rPr>
        <w:t> </w:t>
      </w:r>
      <w:r>
        <w:rPr/>
        <w:t>insulin</w:t>
      </w:r>
      <w:r>
        <w:rPr>
          <w:spacing w:val="-2"/>
        </w:rPr>
        <w:t> </w:t>
      </w:r>
      <w:r>
        <w:rPr/>
        <w:t>during</w:t>
      </w:r>
      <w:r>
        <w:rPr>
          <w:spacing w:val="-5"/>
        </w:rPr>
        <w:t> </w:t>
      </w:r>
      <w:r>
        <w:rPr/>
        <w:t>development</w:t>
      </w:r>
      <w:r>
        <w:rPr>
          <w:spacing w:val="-2"/>
        </w:rPr>
        <w:t> </w:t>
      </w:r>
      <w:r>
        <w:rPr/>
        <w:t>of</w:t>
      </w:r>
      <w:r>
        <w:rPr>
          <w:spacing w:val="-3"/>
        </w:rPr>
        <w:t> </w:t>
      </w:r>
      <w:r>
        <w:rPr/>
        <w:t>alloxan</w:t>
      </w:r>
      <w:r>
        <w:rPr>
          <w:spacing w:val="-2"/>
        </w:rPr>
        <w:t> </w:t>
      </w:r>
      <w:r>
        <w:rPr/>
        <w:t>diabetes</w:t>
      </w:r>
      <w:r>
        <w:rPr>
          <w:spacing w:val="-2"/>
        </w:rPr>
        <w:t> </w:t>
      </w:r>
      <w:r>
        <w:rPr/>
        <w:t>mellitus in dog. </w:t>
      </w:r>
      <w:r>
        <w:rPr>
          <w:i/>
        </w:rPr>
        <w:t>Endocrinol. JPN</w:t>
      </w:r>
      <w:r>
        <w:rPr/>
        <w:t>. 35: 399 – 404.</w:t>
      </w:r>
    </w:p>
    <w:p>
      <w:pPr>
        <w:pStyle w:val="BodyText"/>
        <w:spacing w:before="241"/>
        <w:ind w:left="1671" w:right="993" w:hanging="994"/>
        <w:jc w:val="both"/>
      </w:pPr>
      <w:r>
        <w:rPr/>
        <w:t>Tiedge, M., Lortz, S., Drinkgern, J., Lenzen, S. (1997): Relation between antioxidant enzyme gene expression and antioxidative defense status of insulin-producing cells. </w:t>
      </w:r>
      <w:r>
        <w:rPr>
          <w:i/>
        </w:rPr>
        <w:t>Diabetes </w:t>
      </w:r>
      <w:r>
        <w:rPr>
          <w:b/>
        </w:rPr>
        <w:t>46</w:t>
      </w:r>
      <w:r>
        <w:rPr/>
        <w:t>: 1733-1742.</w:t>
      </w:r>
    </w:p>
    <w:p>
      <w:pPr>
        <w:pStyle w:val="BodyText"/>
        <w:spacing w:before="240"/>
        <w:ind w:left="1530" w:right="997" w:hanging="852"/>
      </w:pPr>
      <w:r>
        <w:rPr/>
        <w:t>Trease,</w:t>
      </w:r>
      <w:r>
        <w:rPr>
          <w:spacing w:val="30"/>
        </w:rPr>
        <w:t> </w:t>
      </w:r>
      <w:r>
        <w:rPr/>
        <w:t>G.</w:t>
      </w:r>
      <w:r>
        <w:rPr>
          <w:spacing w:val="29"/>
        </w:rPr>
        <w:t> </w:t>
      </w:r>
      <w:r>
        <w:rPr/>
        <w:t>E.</w:t>
      </w:r>
      <w:r>
        <w:rPr>
          <w:spacing w:val="28"/>
        </w:rPr>
        <w:t> </w:t>
      </w:r>
      <w:r>
        <w:rPr/>
        <w:t>and</w:t>
      </w:r>
      <w:r>
        <w:rPr>
          <w:spacing w:val="30"/>
        </w:rPr>
        <w:t> </w:t>
      </w:r>
      <w:r>
        <w:rPr/>
        <w:t>Evans,</w:t>
      </w:r>
      <w:r>
        <w:rPr>
          <w:spacing w:val="29"/>
        </w:rPr>
        <w:t> </w:t>
      </w:r>
      <w:r>
        <w:rPr/>
        <w:t>W.</w:t>
      </w:r>
      <w:r>
        <w:rPr>
          <w:spacing w:val="27"/>
        </w:rPr>
        <w:t> </w:t>
      </w:r>
      <w:r>
        <w:rPr/>
        <w:t>C.</w:t>
      </w:r>
      <w:r>
        <w:rPr>
          <w:spacing w:val="27"/>
        </w:rPr>
        <w:t> </w:t>
      </w:r>
      <w:r>
        <w:rPr/>
        <w:t>(1983):</w:t>
      </w:r>
      <w:r>
        <w:rPr>
          <w:spacing w:val="29"/>
        </w:rPr>
        <w:t> </w:t>
      </w:r>
      <w:r>
        <w:rPr/>
        <w:t>Textbook</w:t>
      </w:r>
      <w:r>
        <w:rPr>
          <w:spacing w:val="27"/>
        </w:rPr>
        <w:t> </w:t>
      </w:r>
      <w:r>
        <w:rPr/>
        <w:t>of</w:t>
      </w:r>
      <w:r>
        <w:rPr>
          <w:spacing w:val="27"/>
        </w:rPr>
        <w:t> </w:t>
      </w:r>
      <w:r>
        <w:rPr/>
        <w:t>Pharmacognosy,</w:t>
      </w:r>
      <w:r>
        <w:rPr>
          <w:spacing w:val="27"/>
        </w:rPr>
        <w:t> </w:t>
      </w:r>
      <w:r>
        <w:rPr/>
        <w:t>Tindall,</w:t>
      </w:r>
      <w:r>
        <w:rPr>
          <w:spacing w:val="30"/>
        </w:rPr>
        <w:t> </w:t>
      </w:r>
      <w:r>
        <w:rPr/>
        <w:t>London, UK, 12th edition.</w:t>
      </w:r>
    </w:p>
    <w:p>
      <w:pPr>
        <w:pStyle w:val="BodyText"/>
        <w:spacing w:before="240"/>
        <w:ind w:left="1386" w:right="993" w:hanging="708"/>
        <w:jc w:val="both"/>
      </w:pPr>
      <w:r>
        <w:rPr/>
        <w:t>Trease, G. E. and Evans, W. C. (1989): Carbohydrate, volatile oils, resins, acids, alcohols, esters and alkaloids. In: textbook of Pharmacognosy. 13</w:t>
      </w:r>
      <w:r>
        <w:rPr>
          <w:vertAlign w:val="superscript"/>
        </w:rPr>
        <w:t>th</w:t>
      </w:r>
      <w:r>
        <w:rPr>
          <w:vertAlign w:val="baseline"/>
        </w:rPr>
        <w:t> ed. pp. 333 – 335, 504 – 594, 612 – 638.</w:t>
      </w:r>
    </w:p>
    <w:p>
      <w:pPr>
        <w:spacing w:before="240"/>
        <w:ind w:left="1386" w:right="993" w:hanging="708"/>
        <w:jc w:val="both"/>
        <w:rPr>
          <w:sz w:val="24"/>
        </w:rPr>
      </w:pPr>
      <w:r>
        <w:rPr>
          <w:sz w:val="24"/>
        </w:rPr>
        <w:t>Tripathi, Y. B. and Upadhyay, A. K. (2002): Effect of the alcohol extract of the seeds of </w:t>
      </w:r>
      <w:r>
        <w:rPr>
          <w:i/>
          <w:sz w:val="24"/>
        </w:rPr>
        <w:t>Mucuna pruriens </w:t>
      </w:r>
      <w:r>
        <w:rPr>
          <w:sz w:val="24"/>
        </w:rPr>
        <w:t>on free radicals and oxidative stress in albino rats. </w:t>
      </w:r>
      <w:r>
        <w:rPr>
          <w:i/>
          <w:sz w:val="24"/>
        </w:rPr>
        <w:t>Phytotherapy Research </w:t>
      </w:r>
      <w:r>
        <w:rPr>
          <w:b/>
          <w:sz w:val="24"/>
        </w:rPr>
        <w:t>16</w:t>
      </w:r>
      <w:r>
        <w:rPr>
          <w:sz w:val="24"/>
        </w:rPr>
        <w:t>: 534-538.</w:t>
      </w:r>
    </w:p>
    <w:p>
      <w:pPr>
        <w:pStyle w:val="BodyText"/>
        <w:spacing w:before="7"/>
      </w:pPr>
    </w:p>
    <w:p>
      <w:pPr>
        <w:pStyle w:val="BodyText"/>
        <w:spacing w:line="237" w:lineRule="auto"/>
        <w:ind w:left="1669" w:right="994" w:hanging="992"/>
      </w:pPr>
      <w:r>
        <w:rPr/>
        <w:t>Turner,</w:t>
      </w:r>
      <w:r>
        <w:rPr>
          <w:spacing w:val="-4"/>
        </w:rPr>
        <w:t> </w:t>
      </w:r>
      <w:r>
        <w:rPr/>
        <w:t>R.</w:t>
      </w:r>
      <w:r>
        <w:rPr>
          <w:spacing w:val="-4"/>
        </w:rPr>
        <w:t> </w:t>
      </w:r>
      <w:r>
        <w:rPr/>
        <w:t>(1965):</w:t>
      </w:r>
      <w:r>
        <w:rPr>
          <w:spacing w:val="-4"/>
        </w:rPr>
        <w:t> </w:t>
      </w:r>
      <w:r>
        <w:rPr/>
        <w:t>Screening</w:t>
      </w:r>
      <w:r>
        <w:rPr>
          <w:spacing w:val="-6"/>
        </w:rPr>
        <w:t> </w:t>
      </w:r>
      <w:r>
        <w:rPr/>
        <w:t>Method</w:t>
      </w:r>
      <w:r>
        <w:rPr>
          <w:spacing w:val="-4"/>
        </w:rPr>
        <w:t> </w:t>
      </w:r>
      <w:r>
        <w:rPr/>
        <w:t>in</w:t>
      </w:r>
      <w:r>
        <w:rPr>
          <w:spacing w:val="-4"/>
        </w:rPr>
        <w:t> </w:t>
      </w:r>
      <w:r>
        <w:rPr/>
        <w:t>Pharmacology.</w:t>
      </w:r>
      <w:r>
        <w:rPr>
          <w:spacing w:val="-4"/>
        </w:rPr>
        <w:t> </w:t>
      </w:r>
      <w:r>
        <w:rPr/>
        <w:t>Anti-diabetic</w:t>
      </w:r>
      <w:r>
        <w:rPr>
          <w:spacing w:val="-4"/>
        </w:rPr>
        <w:t> </w:t>
      </w:r>
      <w:r>
        <w:rPr/>
        <w:t>agent,</w:t>
      </w:r>
      <w:r>
        <w:rPr>
          <w:spacing w:val="-4"/>
        </w:rPr>
        <w:t> </w:t>
      </w:r>
      <w:r>
        <w:rPr/>
        <w:t>Academic Press New York , London, 13, 158.</w:t>
      </w:r>
    </w:p>
    <w:p>
      <w:pPr>
        <w:pStyle w:val="BodyText"/>
        <w:spacing w:before="6"/>
      </w:pPr>
    </w:p>
    <w:p>
      <w:pPr>
        <w:pStyle w:val="BodyText"/>
        <w:ind w:right="315"/>
        <w:jc w:val="center"/>
      </w:pPr>
      <w:r>
        <w:rPr/>
        <w:t>Vadivel,</w:t>
      </w:r>
      <w:r>
        <w:rPr>
          <w:spacing w:val="15"/>
        </w:rPr>
        <w:t> </w:t>
      </w:r>
      <w:r>
        <w:rPr/>
        <w:t>V.</w:t>
      </w:r>
      <w:r>
        <w:rPr>
          <w:spacing w:val="18"/>
        </w:rPr>
        <w:t> </w:t>
      </w:r>
      <w:r>
        <w:rPr/>
        <w:t>and</w:t>
      </w:r>
      <w:r>
        <w:rPr>
          <w:spacing w:val="17"/>
        </w:rPr>
        <w:t> </w:t>
      </w:r>
      <w:r>
        <w:rPr/>
        <w:t>Janaradhanan,</w:t>
      </w:r>
      <w:r>
        <w:rPr>
          <w:spacing w:val="21"/>
        </w:rPr>
        <w:t> </w:t>
      </w:r>
      <w:r>
        <w:rPr/>
        <w:t>K.</w:t>
      </w:r>
      <w:r>
        <w:rPr>
          <w:spacing w:val="18"/>
        </w:rPr>
        <w:t> </w:t>
      </w:r>
      <w:r>
        <w:rPr/>
        <w:t>(2000):</w:t>
      </w:r>
      <w:r>
        <w:rPr>
          <w:spacing w:val="17"/>
        </w:rPr>
        <w:t> </w:t>
      </w:r>
      <w:r>
        <w:rPr/>
        <w:t>Nutritional</w:t>
      </w:r>
      <w:r>
        <w:rPr>
          <w:spacing w:val="19"/>
        </w:rPr>
        <w:t> </w:t>
      </w:r>
      <w:r>
        <w:rPr/>
        <w:t>and</w:t>
      </w:r>
      <w:r>
        <w:rPr>
          <w:spacing w:val="17"/>
        </w:rPr>
        <w:t> </w:t>
      </w:r>
      <w:r>
        <w:rPr/>
        <w:t>anti-nutritional</w:t>
      </w:r>
      <w:r>
        <w:rPr>
          <w:spacing w:val="21"/>
        </w:rPr>
        <w:t> </w:t>
      </w:r>
      <w:r>
        <w:rPr/>
        <w:t>composition</w:t>
      </w:r>
      <w:r>
        <w:rPr>
          <w:spacing w:val="19"/>
        </w:rPr>
        <w:t> </w:t>
      </w:r>
      <w:r>
        <w:rPr>
          <w:spacing w:val="-5"/>
        </w:rPr>
        <w:t>of</w:t>
      </w:r>
    </w:p>
    <w:p>
      <w:pPr>
        <w:spacing w:before="0"/>
        <w:ind w:left="0" w:right="267" w:firstLine="0"/>
        <w:jc w:val="center"/>
        <w:rPr>
          <w:sz w:val="24"/>
        </w:rPr>
      </w:pPr>
      <w:r>
        <w:rPr>
          <w:i/>
          <w:sz w:val="24"/>
        </w:rPr>
        <w:t>Mucuna</w:t>
      </w:r>
      <w:r>
        <w:rPr>
          <w:i/>
          <w:spacing w:val="-2"/>
          <w:sz w:val="24"/>
        </w:rPr>
        <w:t> </w:t>
      </w:r>
      <w:r>
        <w:rPr>
          <w:i/>
          <w:sz w:val="24"/>
        </w:rPr>
        <w:t>pruriens</w:t>
      </w:r>
      <w:r>
        <w:rPr>
          <w:sz w:val="24"/>
        </w:rPr>
        <w:t>.</w:t>
      </w:r>
      <w:r>
        <w:rPr>
          <w:spacing w:val="1"/>
          <w:sz w:val="24"/>
        </w:rPr>
        <w:t> </w:t>
      </w:r>
      <w:r>
        <w:rPr>
          <w:sz w:val="24"/>
        </w:rPr>
        <w:t>International</w:t>
      </w:r>
      <w:r>
        <w:rPr>
          <w:spacing w:val="-2"/>
          <w:sz w:val="24"/>
        </w:rPr>
        <w:t> </w:t>
      </w:r>
      <w:r>
        <w:rPr>
          <w:sz w:val="24"/>
        </w:rPr>
        <w:t>Journal</w:t>
      </w:r>
      <w:r>
        <w:rPr>
          <w:spacing w:val="-1"/>
          <w:sz w:val="24"/>
        </w:rPr>
        <w:t> </w:t>
      </w:r>
      <w:r>
        <w:rPr>
          <w:sz w:val="24"/>
        </w:rPr>
        <w:t>of</w:t>
      </w:r>
      <w:r>
        <w:rPr>
          <w:spacing w:val="-2"/>
          <w:sz w:val="24"/>
        </w:rPr>
        <w:t> </w:t>
      </w:r>
      <w:r>
        <w:rPr>
          <w:sz w:val="24"/>
        </w:rPr>
        <w:t>Food</w:t>
      </w:r>
      <w:r>
        <w:rPr>
          <w:spacing w:val="-1"/>
          <w:sz w:val="24"/>
        </w:rPr>
        <w:t> </w:t>
      </w:r>
      <w:r>
        <w:rPr>
          <w:sz w:val="24"/>
        </w:rPr>
        <w:t>Science</w:t>
      </w:r>
      <w:r>
        <w:rPr>
          <w:spacing w:val="-1"/>
          <w:sz w:val="24"/>
        </w:rPr>
        <w:t> </w:t>
      </w:r>
      <w:r>
        <w:rPr>
          <w:sz w:val="24"/>
        </w:rPr>
        <w:t>Nutrition.</w:t>
      </w:r>
      <w:r>
        <w:rPr>
          <w:spacing w:val="1"/>
          <w:sz w:val="24"/>
        </w:rPr>
        <w:t> </w:t>
      </w:r>
      <w:r>
        <w:rPr>
          <w:b/>
          <w:sz w:val="24"/>
        </w:rPr>
        <w:t>51</w:t>
      </w:r>
      <w:r>
        <w:rPr>
          <w:sz w:val="24"/>
        </w:rPr>
        <w:t>:</w:t>
      </w:r>
      <w:r>
        <w:rPr>
          <w:spacing w:val="-1"/>
          <w:sz w:val="24"/>
        </w:rPr>
        <w:t> </w:t>
      </w:r>
      <w:r>
        <w:rPr>
          <w:spacing w:val="-2"/>
          <w:sz w:val="24"/>
        </w:rPr>
        <w:t>p.279</w:t>
      </w:r>
    </w:p>
    <w:p>
      <w:pPr>
        <w:pStyle w:val="BodyText"/>
        <w:spacing w:before="240"/>
        <w:ind w:left="1530" w:right="997" w:hanging="852"/>
        <w:rPr>
          <w:b/>
        </w:rPr>
      </w:pPr>
      <w:r>
        <w:rPr/>
        <w:t>Vaidya,</w:t>
      </w:r>
      <w:r>
        <w:rPr>
          <w:spacing w:val="-3"/>
        </w:rPr>
        <w:t> </w:t>
      </w:r>
      <w:r>
        <w:rPr/>
        <w:t>R.</w:t>
      </w:r>
      <w:r>
        <w:rPr>
          <w:spacing w:val="-3"/>
        </w:rPr>
        <w:t> </w:t>
      </w:r>
      <w:r>
        <w:rPr/>
        <w:t>A.,</w:t>
      </w:r>
      <w:r>
        <w:rPr>
          <w:spacing w:val="-1"/>
        </w:rPr>
        <w:t> </w:t>
      </w:r>
      <w:r>
        <w:rPr/>
        <w:t>Allorkar, S.</w:t>
      </w:r>
      <w:r>
        <w:rPr>
          <w:spacing w:val="-3"/>
        </w:rPr>
        <w:t> </w:t>
      </w:r>
      <w:r>
        <w:rPr/>
        <w:t>D.,</w:t>
      </w:r>
      <w:r>
        <w:rPr>
          <w:spacing w:val="-3"/>
        </w:rPr>
        <w:t> </w:t>
      </w:r>
      <w:r>
        <w:rPr/>
        <w:t>Seth,</w:t>
      </w:r>
      <w:r>
        <w:rPr>
          <w:spacing w:val="-3"/>
        </w:rPr>
        <w:t> </w:t>
      </w:r>
      <w:r>
        <w:rPr/>
        <w:t>A.</w:t>
      </w:r>
      <w:r>
        <w:rPr>
          <w:spacing w:val="-3"/>
        </w:rPr>
        <w:t> </w:t>
      </w:r>
      <w:r>
        <w:rPr/>
        <w:t>R.</w:t>
      </w:r>
      <w:r>
        <w:rPr>
          <w:spacing w:val="-1"/>
        </w:rPr>
        <w:t> </w:t>
      </w:r>
      <w:r>
        <w:rPr/>
        <w:t>and</w:t>
      </w:r>
      <w:r>
        <w:rPr>
          <w:spacing w:val="-3"/>
        </w:rPr>
        <w:t> </w:t>
      </w:r>
      <w:r>
        <w:rPr/>
        <w:t>Panday,</w:t>
      </w:r>
      <w:r>
        <w:rPr>
          <w:spacing w:val="-1"/>
        </w:rPr>
        <w:t> </w:t>
      </w:r>
      <w:r>
        <w:rPr/>
        <w:t>S.</w:t>
      </w:r>
      <w:r>
        <w:rPr>
          <w:spacing w:val="-3"/>
        </w:rPr>
        <w:t> </w:t>
      </w:r>
      <w:r>
        <w:rPr/>
        <w:t>K.</w:t>
      </w:r>
      <w:r>
        <w:rPr>
          <w:spacing w:val="-1"/>
        </w:rPr>
        <w:t> </w:t>
      </w:r>
      <w:r>
        <w:rPr/>
        <w:t>(1978):</w:t>
      </w:r>
      <w:r>
        <w:rPr>
          <w:spacing w:val="-3"/>
        </w:rPr>
        <w:t> </w:t>
      </w:r>
      <w:r>
        <w:rPr/>
        <w:t>Clinical</w:t>
      </w:r>
      <w:r>
        <w:rPr>
          <w:spacing w:val="-3"/>
        </w:rPr>
        <w:t> </w:t>
      </w:r>
      <w:r>
        <w:rPr/>
        <w:t>investigation of </w:t>
      </w:r>
      <w:r>
        <w:rPr>
          <w:i/>
        </w:rPr>
        <w:t>Mucuna pruriens</w:t>
      </w:r>
      <w:r>
        <w:rPr/>
        <w:t>. </w:t>
      </w:r>
      <w:r>
        <w:rPr>
          <w:i/>
        </w:rPr>
        <w:t>Neurology</w:t>
      </w:r>
      <w:r>
        <w:rPr/>
        <w:t>, </w:t>
      </w:r>
      <w:r>
        <w:rPr>
          <w:b/>
        </w:rPr>
        <w:t>26</w:t>
      </w:r>
      <w:r>
        <w:rPr/>
        <w:t>: p. 179-186</w:t>
      </w:r>
      <w:r>
        <w:rPr>
          <w:b/>
        </w:rPr>
        <w:t>.</w:t>
      </w:r>
    </w:p>
    <w:p>
      <w:pPr>
        <w:spacing w:before="241"/>
        <w:ind w:left="1671" w:right="996" w:hanging="994"/>
        <w:jc w:val="both"/>
        <w:rPr>
          <w:sz w:val="24"/>
        </w:rPr>
      </w:pPr>
      <w:r>
        <w:rPr>
          <w:sz w:val="24"/>
        </w:rPr>
        <w:t>Varthalis, S. and Pilpel, N. (1976): Anomalies in some properties of powder mixtures. </w:t>
      </w:r>
      <w:r>
        <w:rPr>
          <w:i/>
          <w:sz w:val="24"/>
        </w:rPr>
        <w:t>J</w:t>
      </w:r>
      <w:r>
        <w:rPr>
          <w:sz w:val="24"/>
        </w:rPr>
        <w:t>.</w:t>
      </w:r>
      <w:r>
        <w:rPr>
          <w:spacing w:val="40"/>
          <w:sz w:val="24"/>
        </w:rPr>
        <w:t> </w:t>
      </w:r>
      <w:r>
        <w:rPr>
          <w:i/>
          <w:sz w:val="24"/>
        </w:rPr>
        <w:t>of Pharmacy and Pharmacology</w:t>
      </w:r>
      <w:r>
        <w:rPr>
          <w:sz w:val="24"/>
        </w:rPr>
        <w:t>. </w:t>
      </w:r>
      <w:r>
        <w:rPr>
          <w:b/>
          <w:sz w:val="24"/>
        </w:rPr>
        <w:t>28</w:t>
      </w:r>
      <w:r>
        <w:rPr>
          <w:sz w:val="24"/>
        </w:rPr>
        <w:t>: 415-419.</w:t>
      </w:r>
    </w:p>
    <w:p>
      <w:pPr>
        <w:pStyle w:val="BodyText"/>
        <w:spacing w:line="276" w:lineRule="auto" w:before="242"/>
        <w:ind w:left="1669" w:right="1679" w:hanging="932"/>
      </w:pPr>
      <w:r>
        <w:rPr/>
        <w:t>Verma,</w:t>
      </w:r>
      <w:r>
        <w:rPr>
          <w:spacing w:val="-3"/>
        </w:rPr>
        <w:t> </w:t>
      </w:r>
      <w:r>
        <w:rPr/>
        <w:t>D.</w:t>
      </w:r>
      <w:r>
        <w:rPr>
          <w:spacing w:val="-3"/>
        </w:rPr>
        <w:t> </w:t>
      </w:r>
      <w:r>
        <w:rPr/>
        <w:t>M.,</w:t>
      </w:r>
      <w:r>
        <w:rPr>
          <w:spacing w:val="-2"/>
        </w:rPr>
        <w:t> </w:t>
      </w:r>
      <w:r>
        <w:rPr/>
        <w:t>Balakrishnan</w:t>
      </w:r>
      <w:r>
        <w:rPr>
          <w:spacing w:val="-3"/>
        </w:rPr>
        <w:t> </w:t>
      </w:r>
      <w:r>
        <w:rPr/>
        <w:t>and</w:t>
      </w:r>
      <w:r>
        <w:rPr>
          <w:spacing w:val="-3"/>
        </w:rPr>
        <w:t> </w:t>
      </w:r>
      <w:r>
        <w:rPr/>
        <w:t>Dixit,</w:t>
      </w:r>
      <w:r>
        <w:rPr>
          <w:spacing w:val="-3"/>
        </w:rPr>
        <w:t> </w:t>
      </w:r>
      <w:r>
        <w:rPr/>
        <w:t>R.</w:t>
      </w:r>
      <w:r>
        <w:rPr>
          <w:spacing w:val="-3"/>
        </w:rPr>
        <w:t> </w:t>
      </w:r>
      <w:r>
        <w:rPr/>
        <w:t>D.</w:t>
      </w:r>
      <w:r>
        <w:rPr>
          <w:spacing w:val="-3"/>
        </w:rPr>
        <w:t> </w:t>
      </w:r>
      <w:r>
        <w:rPr/>
        <w:t>(1993):</w:t>
      </w:r>
      <w:r>
        <w:rPr>
          <w:spacing w:val="-3"/>
        </w:rPr>
        <w:t> </w:t>
      </w:r>
      <w:r>
        <w:rPr/>
        <w:t>Flora</w:t>
      </w:r>
      <w:r>
        <w:rPr>
          <w:spacing w:val="-5"/>
        </w:rPr>
        <w:t> </w:t>
      </w:r>
      <w:r>
        <w:rPr/>
        <w:t>of</w:t>
      </w:r>
      <w:r>
        <w:rPr>
          <w:spacing w:val="-3"/>
        </w:rPr>
        <w:t> </w:t>
      </w:r>
      <w:r>
        <w:rPr/>
        <w:t>Madhya</w:t>
      </w:r>
      <w:r>
        <w:rPr>
          <w:spacing w:val="-4"/>
        </w:rPr>
        <w:t> </w:t>
      </w:r>
      <w:r>
        <w:rPr/>
        <w:t>Pradesh. (Botanical Survey of India). Lucknow page 190-191.</w:t>
      </w:r>
    </w:p>
    <w:p>
      <w:pPr>
        <w:pStyle w:val="BodyText"/>
        <w:ind w:left="1669" w:right="1041" w:hanging="992"/>
      </w:pPr>
      <w:r>
        <w:rPr/>
        <w:t>Viberti,</w:t>
      </w:r>
      <w:r>
        <w:rPr>
          <w:spacing w:val="-3"/>
        </w:rPr>
        <w:t> </w:t>
      </w:r>
      <w:r>
        <w:rPr/>
        <w:t>G.</w:t>
      </w:r>
      <w:r>
        <w:rPr>
          <w:spacing w:val="-3"/>
        </w:rPr>
        <w:t> </w:t>
      </w:r>
      <w:r>
        <w:rPr/>
        <w:t>C.,</w:t>
      </w:r>
      <w:r>
        <w:rPr>
          <w:spacing w:val="-3"/>
        </w:rPr>
        <w:t> </w:t>
      </w:r>
      <w:r>
        <w:rPr/>
        <w:t>Hill,</w:t>
      </w:r>
      <w:r>
        <w:rPr>
          <w:spacing w:val="-3"/>
        </w:rPr>
        <w:t> </w:t>
      </w:r>
      <w:r>
        <w:rPr/>
        <w:t>R.</w:t>
      </w:r>
      <w:r>
        <w:rPr>
          <w:spacing w:val="-3"/>
        </w:rPr>
        <w:t> </w:t>
      </w:r>
      <w:r>
        <w:rPr/>
        <w:t>D.,</w:t>
      </w:r>
      <w:r>
        <w:rPr>
          <w:spacing w:val="-3"/>
        </w:rPr>
        <w:t> </w:t>
      </w:r>
      <w:r>
        <w:rPr/>
        <w:t>Jarrett,</w:t>
      </w:r>
      <w:r>
        <w:rPr>
          <w:spacing w:val="-3"/>
        </w:rPr>
        <w:t> </w:t>
      </w:r>
      <w:r>
        <w:rPr/>
        <w:t>R.</w:t>
      </w:r>
      <w:r>
        <w:rPr>
          <w:spacing w:val="-3"/>
        </w:rPr>
        <w:t> </w:t>
      </w:r>
      <w:r>
        <w:rPr/>
        <w:t>J.,</w:t>
      </w:r>
      <w:r>
        <w:rPr>
          <w:spacing w:val="-3"/>
        </w:rPr>
        <w:t> </w:t>
      </w:r>
      <w:r>
        <w:rPr/>
        <w:t>Argyropoulos,</w:t>
      </w:r>
      <w:r>
        <w:rPr>
          <w:spacing w:val="-3"/>
        </w:rPr>
        <w:t> </w:t>
      </w:r>
      <w:r>
        <w:rPr/>
        <w:t>A.,</w:t>
      </w:r>
      <w:r>
        <w:rPr>
          <w:spacing w:val="-3"/>
        </w:rPr>
        <w:t> </w:t>
      </w:r>
      <w:r>
        <w:rPr/>
        <w:t>Mahmud,</w:t>
      </w:r>
      <w:r>
        <w:rPr>
          <w:spacing w:val="-3"/>
        </w:rPr>
        <w:t> </w:t>
      </w:r>
      <w:r>
        <w:rPr/>
        <w:t>U.,</w:t>
      </w:r>
      <w:r>
        <w:rPr>
          <w:spacing w:val="-3"/>
        </w:rPr>
        <w:t> </w:t>
      </w:r>
      <w:r>
        <w:rPr/>
        <w:t>Keen,</w:t>
      </w:r>
      <w:r>
        <w:rPr>
          <w:spacing w:val="-3"/>
        </w:rPr>
        <w:t> </w:t>
      </w:r>
      <w:r>
        <w:rPr/>
        <w:t>H.</w:t>
      </w:r>
      <w:r>
        <w:rPr>
          <w:spacing w:val="-3"/>
        </w:rPr>
        <w:t> </w:t>
      </w:r>
      <w:r>
        <w:rPr/>
        <w:t>(1982): Microalbuminuria as a predictor of clinical nephropathy in insulin-dependent diabetes mellitus. Lancet. </w:t>
      </w:r>
      <w:r>
        <w:rPr>
          <w:b/>
        </w:rPr>
        <w:t>26</w:t>
      </w:r>
      <w:r>
        <w:rPr/>
        <w:t>:1(8287):1430–1432.</w:t>
      </w:r>
    </w:p>
    <w:p>
      <w:pPr>
        <w:pStyle w:val="BodyText"/>
        <w:spacing w:before="237"/>
        <w:ind w:left="1671" w:right="994" w:hanging="994"/>
        <w:jc w:val="both"/>
      </w:pPr>
      <w:r>
        <w:rPr/>
        <w:t>Viberti, G, Keen, H. (1984): The patterns of proteinuria in diabetes mellitus. Relevance to pathogenesis and prevention of diabetic nephropathy. </w:t>
      </w:r>
      <w:r>
        <w:rPr>
          <w:i/>
        </w:rPr>
        <w:t>Diabetes J</w:t>
      </w:r>
      <w:r>
        <w:rPr/>
        <w:t>. </w:t>
      </w:r>
      <w:r>
        <w:rPr>
          <w:b/>
        </w:rPr>
        <w:t>33</w:t>
      </w:r>
      <w:r>
        <w:rPr/>
        <w:t>(7): 686– </w:t>
      </w:r>
      <w:r>
        <w:rPr>
          <w:spacing w:val="-4"/>
        </w:rPr>
        <w:t>692.</w:t>
      </w:r>
    </w:p>
    <w:p>
      <w:pPr>
        <w:pStyle w:val="BodyText"/>
        <w:spacing w:before="240"/>
        <w:ind w:left="678"/>
      </w:pPr>
      <w:r>
        <w:rPr/>
        <w:t>W.H.O.</w:t>
      </w:r>
      <w:r>
        <w:rPr>
          <w:spacing w:val="-1"/>
        </w:rPr>
        <w:t> </w:t>
      </w:r>
      <w:r>
        <w:rPr/>
        <w:t>(1998): World</w:t>
      </w:r>
      <w:r>
        <w:rPr>
          <w:spacing w:val="-1"/>
        </w:rPr>
        <w:t> </w:t>
      </w:r>
      <w:r>
        <w:rPr/>
        <w:t>Malaria</w:t>
      </w:r>
      <w:r>
        <w:rPr>
          <w:spacing w:val="-2"/>
        </w:rPr>
        <w:t> </w:t>
      </w:r>
      <w:r>
        <w:rPr/>
        <w:t>Situation</w:t>
      </w:r>
      <w:r>
        <w:rPr>
          <w:spacing w:val="-1"/>
        </w:rPr>
        <w:t> </w:t>
      </w:r>
      <w:r>
        <w:rPr/>
        <w:t>Wld. Hlth. Stat.</w:t>
      </w:r>
      <w:r>
        <w:rPr>
          <w:spacing w:val="-1"/>
        </w:rPr>
        <w:t> </w:t>
      </w:r>
      <w:r>
        <w:rPr/>
        <w:t>Quart.,</w:t>
      </w:r>
      <w:r>
        <w:rPr>
          <w:spacing w:val="3"/>
        </w:rPr>
        <w:t> </w:t>
      </w:r>
      <w:r>
        <w:rPr>
          <w:b/>
        </w:rPr>
        <w:t>43</w:t>
      </w:r>
      <w:r>
        <w:rPr/>
        <w:t>:</w:t>
      </w:r>
      <w:r>
        <w:rPr>
          <w:spacing w:val="-1"/>
        </w:rPr>
        <w:t> </w:t>
      </w:r>
      <w:r>
        <w:rPr/>
        <w:t>68 -</w:t>
      </w:r>
      <w:r>
        <w:rPr>
          <w:spacing w:val="-1"/>
        </w:rPr>
        <w:t> </w:t>
      </w:r>
      <w:r>
        <w:rPr>
          <w:spacing w:val="-5"/>
        </w:rPr>
        <w:t>78.</w:t>
      </w:r>
    </w:p>
    <w:p>
      <w:pPr>
        <w:pStyle w:val="BodyText"/>
        <w:spacing w:line="276" w:lineRule="auto" w:before="243"/>
        <w:ind w:left="1669" w:right="994" w:hanging="992"/>
      </w:pPr>
      <w:r>
        <w:rPr/>
        <w:t>Wade A., Weller P.J. (Eds), (1994):</w:t>
      </w:r>
      <w:r>
        <w:rPr>
          <w:spacing w:val="40"/>
        </w:rPr>
        <w:t> </w:t>
      </w:r>
      <w:r>
        <w:rPr/>
        <w:t>Handbook of Pharmaceutical Excipients, 2nd Ed., American</w:t>
      </w:r>
      <w:r>
        <w:rPr>
          <w:spacing w:val="-5"/>
        </w:rPr>
        <w:t> </w:t>
      </w:r>
      <w:r>
        <w:rPr/>
        <w:t>Pharmaceutical</w:t>
      </w:r>
      <w:r>
        <w:rPr>
          <w:spacing w:val="-5"/>
        </w:rPr>
        <w:t> </w:t>
      </w:r>
      <w:r>
        <w:rPr/>
        <w:t>Association,</w:t>
      </w:r>
      <w:r>
        <w:rPr>
          <w:spacing w:val="-2"/>
        </w:rPr>
        <w:t> </w:t>
      </w:r>
      <w:r>
        <w:rPr/>
        <w:t>Washington,</w:t>
      </w:r>
      <w:r>
        <w:rPr>
          <w:spacing w:val="-5"/>
        </w:rPr>
        <w:t> </w:t>
      </w:r>
      <w:r>
        <w:rPr/>
        <w:t>(a)</w:t>
      </w:r>
      <w:r>
        <w:rPr>
          <w:spacing w:val="-5"/>
        </w:rPr>
        <w:t> </w:t>
      </w:r>
      <w:r>
        <w:rPr/>
        <w:t>pp:</w:t>
      </w:r>
      <w:r>
        <w:rPr>
          <w:spacing w:val="-5"/>
        </w:rPr>
        <w:t> </w:t>
      </w:r>
      <w:r>
        <w:rPr/>
        <w:t>252,</w:t>
      </w:r>
      <w:r>
        <w:rPr>
          <w:spacing w:val="-5"/>
        </w:rPr>
        <w:t> </w:t>
      </w:r>
      <w:r>
        <w:rPr/>
        <w:t>(b)</w:t>
      </w:r>
      <w:r>
        <w:rPr>
          <w:spacing w:val="-6"/>
        </w:rPr>
        <w:t> </w:t>
      </w:r>
      <w:r>
        <w:rPr/>
        <w:t>pp:</w:t>
      </w:r>
      <w:r>
        <w:rPr>
          <w:spacing w:val="-5"/>
        </w:rPr>
        <w:t> </w:t>
      </w:r>
      <w:r>
        <w:rPr/>
        <w:t>56,</w:t>
      </w:r>
      <w:r>
        <w:rPr>
          <w:spacing w:val="-3"/>
        </w:rPr>
        <w:t> </w:t>
      </w:r>
      <w:r>
        <w:rPr/>
        <w:t>c) pp: 84.</w:t>
      </w:r>
    </w:p>
    <w:p>
      <w:pPr>
        <w:spacing w:after="0" w:line="276" w:lineRule="auto"/>
        <w:sectPr>
          <w:pgSz w:w="12240" w:h="15840"/>
          <w:pgMar w:header="0" w:footer="1056" w:top="1340" w:bottom="1240" w:left="1420" w:right="420"/>
        </w:sectPr>
      </w:pPr>
    </w:p>
    <w:p>
      <w:pPr>
        <w:pStyle w:val="BodyText"/>
        <w:spacing w:before="70"/>
        <w:ind w:left="1671" w:right="1002" w:hanging="994"/>
        <w:jc w:val="both"/>
      </w:pPr>
      <w:r>
        <w:rPr/>
        <mc:AlternateContent>
          <mc:Choice Requires="wps">
            <w:drawing>
              <wp:anchor distT="0" distB="0" distL="0" distR="0" allowOverlap="1" layoutInCell="1" locked="0" behindDoc="1" simplePos="0" relativeHeight="483050496">
                <wp:simplePos x="0" y="0"/>
                <wp:positionH relativeFrom="page">
                  <wp:posOffset>-1402226</wp:posOffset>
                </wp:positionH>
                <wp:positionV relativeFrom="page">
                  <wp:posOffset>4612234</wp:posOffset>
                </wp:positionV>
                <wp:extent cx="10685780" cy="91440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5984;rotation:306" type="#_x0000_t136" fillcolor="#ff5400" stroked="f">
                <o:extrusion v:ext="view" autorotationcenter="t"/>
                <v:textpath style="font-family:&quot;Arial MT&quot;;font-size:72pt;v-text-kern:t;mso-text-shadow:auto" string="UNIVERSITY OF IBADAN"/>
                <w10:wrap type="none"/>
              </v:shape>
            </w:pict>
          </mc:Fallback>
        </mc:AlternateContent>
      </w:r>
      <w:r>
        <w:rPr/>
        <w:t>Walters, M. I and Gerarde, H. W. (1970): An ultramicromethod for the determination of conjugated and total bilirubin in serum or plasma. </w:t>
      </w:r>
      <w:r>
        <w:rPr>
          <w:i/>
        </w:rPr>
        <w:t>J. Microchem </w:t>
      </w:r>
      <w:r>
        <w:rPr>
          <w:b/>
        </w:rPr>
        <w:t>15</w:t>
      </w:r>
      <w:r>
        <w:rPr/>
        <w:t>: 231-243</w:t>
      </w:r>
    </w:p>
    <w:p>
      <w:pPr>
        <w:pStyle w:val="BodyText"/>
        <w:spacing w:before="240"/>
        <w:ind w:left="1671" w:right="991" w:hanging="994"/>
        <w:jc w:val="both"/>
      </w:pPr>
      <w:r>
        <w:rPr/>
        <w:t>Wan, L. S. C. and Prasad, K. P.</w:t>
      </w:r>
      <w:r>
        <w:rPr>
          <w:spacing w:val="-1"/>
        </w:rPr>
        <w:t> </w:t>
      </w:r>
      <w:r>
        <w:rPr/>
        <w:t>P. (1989): Uptake of water into tablets with low substitute carboxymethylcellulose sodium as disintegrant. </w:t>
      </w:r>
      <w:r>
        <w:rPr>
          <w:i/>
        </w:rPr>
        <w:t>Int. J. Pharm</w:t>
      </w:r>
      <w:r>
        <w:rPr/>
        <w:t>. </w:t>
      </w:r>
      <w:r>
        <w:rPr>
          <w:b/>
        </w:rPr>
        <w:t>55</w:t>
      </w:r>
      <w:r>
        <w:rPr/>
        <w:t>: 115 - 121.</w:t>
      </w:r>
    </w:p>
    <w:p>
      <w:pPr>
        <w:pStyle w:val="BodyText"/>
        <w:spacing w:before="241"/>
        <w:ind w:left="1671" w:right="993" w:hanging="994"/>
        <w:jc w:val="both"/>
      </w:pPr>
      <w:r>
        <w:rPr/>
        <w:t>Warrier, P. K, Nambiar, N. P, and Ramakutty, C. (1996): Indian medicinal plants- a compendium of 500 species, Vol. 4 Orient Longman Ltd., Madras p. 68-72.</w:t>
      </w:r>
    </w:p>
    <w:p>
      <w:pPr>
        <w:pStyle w:val="BodyText"/>
        <w:spacing w:before="240"/>
        <w:ind w:left="1671" w:right="992" w:hanging="994"/>
        <w:jc w:val="both"/>
      </w:pPr>
      <w:r>
        <w:rPr/>
        <w:t>Weaver, D.C., McDaniel, M.l., Naber, S.P., Barray, C.D., Lacy, P.E. (1978): Alloxan stimulation and inhibition of insulin release from isolated rat islets of Langerhans. </w:t>
      </w:r>
      <w:r>
        <w:rPr>
          <w:i/>
        </w:rPr>
        <w:t>Diabetes </w:t>
      </w:r>
      <w:r>
        <w:rPr>
          <w:b/>
        </w:rPr>
        <w:t>27</w:t>
      </w:r>
      <w:r>
        <w:rPr/>
        <w:t>: 1205-1214..</w:t>
      </w:r>
    </w:p>
    <w:p>
      <w:pPr>
        <w:spacing w:before="240"/>
        <w:ind w:left="678" w:right="0" w:firstLine="0"/>
        <w:jc w:val="left"/>
        <w:rPr>
          <w:sz w:val="24"/>
        </w:rPr>
      </w:pPr>
      <w:r>
        <w:rPr>
          <w:sz w:val="24"/>
        </w:rPr>
        <w:t>Wheat, L.</w:t>
      </w:r>
      <w:r>
        <w:rPr>
          <w:spacing w:val="-1"/>
          <w:sz w:val="24"/>
        </w:rPr>
        <w:t> </w:t>
      </w:r>
      <w:r>
        <w:rPr>
          <w:sz w:val="24"/>
        </w:rPr>
        <w:t>J.</w:t>
      </w:r>
      <w:r>
        <w:rPr>
          <w:spacing w:val="-1"/>
          <w:sz w:val="24"/>
        </w:rPr>
        <w:t> </w:t>
      </w:r>
      <w:r>
        <w:rPr>
          <w:sz w:val="24"/>
        </w:rPr>
        <w:t>(1980): Infection</w:t>
      </w:r>
      <w:r>
        <w:rPr>
          <w:spacing w:val="-1"/>
          <w:sz w:val="24"/>
        </w:rPr>
        <w:t> </w:t>
      </w:r>
      <w:r>
        <w:rPr>
          <w:sz w:val="24"/>
        </w:rPr>
        <w:t>and</w:t>
      </w:r>
      <w:r>
        <w:rPr>
          <w:spacing w:val="-1"/>
          <w:sz w:val="24"/>
        </w:rPr>
        <w:t> </w:t>
      </w:r>
      <w:r>
        <w:rPr>
          <w:sz w:val="24"/>
        </w:rPr>
        <w:t>diabetes</w:t>
      </w:r>
      <w:r>
        <w:rPr>
          <w:spacing w:val="-1"/>
          <w:sz w:val="24"/>
        </w:rPr>
        <w:t> </w:t>
      </w:r>
      <w:r>
        <w:rPr>
          <w:sz w:val="24"/>
        </w:rPr>
        <w:t>mellitus.</w:t>
      </w:r>
      <w:r>
        <w:rPr>
          <w:spacing w:val="-1"/>
          <w:sz w:val="24"/>
        </w:rPr>
        <w:t> </w:t>
      </w:r>
      <w:r>
        <w:rPr>
          <w:i/>
          <w:sz w:val="24"/>
        </w:rPr>
        <w:t>Diabetes</w:t>
      </w:r>
      <w:r>
        <w:rPr>
          <w:i/>
          <w:spacing w:val="-1"/>
          <w:sz w:val="24"/>
        </w:rPr>
        <w:t> </w:t>
      </w:r>
      <w:r>
        <w:rPr>
          <w:i/>
          <w:sz w:val="24"/>
        </w:rPr>
        <w:t>Care</w:t>
      </w:r>
      <w:r>
        <w:rPr>
          <w:sz w:val="24"/>
        </w:rPr>
        <w:t>,</w:t>
      </w:r>
      <w:r>
        <w:rPr>
          <w:spacing w:val="-1"/>
          <w:sz w:val="24"/>
        </w:rPr>
        <w:t> </w:t>
      </w:r>
      <w:r>
        <w:rPr>
          <w:b/>
          <w:sz w:val="24"/>
        </w:rPr>
        <w:t>3:</w:t>
      </w:r>
      <w:r>
        <w:rPr>
          <w:b/>
          <w:spacing w:val="-2"/>
          <w:sz w:val="24"/>
        </w:rPr>
        <w:t> </w:t>
      </w:r>
      <w:r>
        <w:rPr>
          <w:sz w:val="24"/>
        </w:rPr>
        <w:t>187-</w:t>
      </w:r>
      <w:r>
        <w:rPr>
          <w:spacing w:val="-5"/>
          <w:sz w:val="24"/>
        </w:rPr>
        <w:t>197</w:t>
      </w:r>
    </w:p>
    <w:p>
      <w:pPr>
        <w:pStyle w:val="BodyText"/>
        <w:spacing w:before="240"/>
        <w:ind w:left="1669" w:right="1041" w:hanging="992"/>
      </w:pPr>
      <w:r>
        <w:rPr/>
        <w:t>WHO</w:t>
      </w:r>
      <w:r>
        <w:rPr>
          <w:spacing w:val="-4"/>
        </w:rPr>
        <w:t> </w:t>
      </w:r>
      <w:r>
        <w:rPr/>
        <w:t>study</w:t>
      </w:r>
      <w:r>
        <w:rPr>
          <w:spacing w:val="-6"/>
        </w:rPr>
        <w:t> </w:t>
      </w:r>
      <w:r>
        <w:rPr/>
        <w:t>group</w:t>
      </w:r>
      <w:r>
        <w:rPr>
          <w:spacing w:val="-4"/>
        </w:rPr>
        <w:t> </w:t>
      </w:r>
      <w:r>
        <w:rPr/>
        <w:t>report</w:t>
      </w:r>
      <w:r>
        <w:rPr>
          <w:spacing w:val="-2"/>
        </w:rPr>
        <w:t> </w:t>
      </w:r>
      <w:r>
        <w:rPr/>
        <w:t>on</w:t>
      </w:r>
      <w:r>
        <w:rPr>
          <w:spacing w:val="-3"/>
        </w:rPr>
        <w:t> </w:t>
      </w:r>
      <w:r>
        <w:rPr/>
        <w:t>diabetes</w:t>
      </w:r>
      <w:r>
        <w:rPr>
          <w:spacing w:val="-3"/>
        </w:rPr>
        <w:t> </w:t>
      </w:r>
      <w:r>
        <w:rPr/>
        <w:t>mellitus.</w:t>
      </w:r>
      <w:r>
        <w:rPr>
          <w:spacing w:val="-3"/>
        </w:rPr>
        <w:t> </w:t>
      </w:r>
      <w:r>
        <w:rPr/>
        <w:t>(1985):</w:t>
      </w:r>
      <w:r>
        <w:rPr>
          <w:spacing w:val="-3"/>
        </w:rPr>
        <w:t> </w:t>
      </w:r>
      <w:r>
        <w:rPr/>
        <w:t>WHO</w:t>
      </w:r>
      <w:r>
        <w:rPr>
          <w:spacing w:val="-3"/>
        </w:rPr>
        <w:t> </w:t>
      </w:r>
      <w:r>
        <w:rPr/>
        <w:t>technical</w:t>
      </w:r>
      <w:r>
        <w:rPr>
          <w:spacing w:val="-3"/>
        </w:rPr>
        <w:t> </w:t>
      </w:r>
      <w:r>
        <w:rPr/>
        <w:t>report</w:t>
      </w:r>
      <w:r>
        <w:rPr>
          <w:spacing w:val="-3"/>
        </w:rPr>
        <w:t> </w:t>
      </w:r>
      <w:r>
        <w:rPr/>
        <w:t>series</w:t>
      </w:r>
      <w:r>
        <w:rPr>
          <w:spacing w:val="-3"/>
        </w:rPr>
        <w:t> </w:t>
      </w:r>
      <w:r>
        <w:rPr/>
        <w:t>727, WHO Geneva</w:t>
      </w:r>
    </w:p>
    <w:p>
      <w:pPr>
        <w:pStyle w:val="BodyText"/>
        <w:spacing w:before="240"/>
        <w:ind w:left="1671" w:right="1002" w:hanging="994"/>
        <w:jc w:val="both"/>
      </w:pPr>
      <w:r>
        <w:rPr/>
        <w:t>Wills, R. B. H, Bone, K. and Morgan, M. (2000): Herbal products: active constituents, modes</w:t>
      </w:r>
      <w:r>
        <w:rPr>
          <w:spacing w:val="80"/>
        </w:rPr>
        <w:t> </w:t>
      </w:r>
      <w:r>
        <w:rPr/>
        <w:t>of action and quality control. </w:t>
      </w:r>
      <w:r>
        <w:rPr>
          <w:i/>
        </w:rPr>
        <w:t>J. Nutrition Research Review </w:t>
      </w:r>
      <w:r>
        <w:rPr>
          <w:b/>
        </w:rPr>
        <w:t>13</w:t>
      </w:r>
      <w:r>
        <w:rPr/>
        <w:t>: 47-77.</w:t>
      </w:r>
    </w:p>
    <w:p>
      <w:pPr>
        <w:pStyle w:val="BodyText"/>
        <w:spacing w:before="240"/>
        <w:ind w:left="1671" w:right="995" w:hanging="994"/>
        <w:jc w:val="both"/>
      </w:pPr>
      <w:r>
        <w:rPr/>
        <w:t>Wilmot-Dear, C. M. (1984): A revision of Mucuna (Leguminosae-Phaseolae) in China</w:t>
      </w:r>
      <w:r>
        <w:rPr>
          <w:spacing w:val="40"/>
        </w:rPr>
        <w:t> </w:t>
      </w:r>
      <w:r>
        <w:rPr/>
        <w:t>and Japan, Kew Bulletin 39(1): 23-65.</w:t>
      </w:r>
    </w:p>
    <w:p>
      <w:pPr>
        <w:pStyle w:val="BodyText"/>
        <w:spacing w:before="240"/>
        <w:ind w:left="1671" w:right="998" w:hanging="994"/>
        <w:jc w:val="both"/>
      </w:pPr>
      <w:r>
        <w:rPr/>
        <w:t>Wilmot-Dear, C. M. (1991): A revision of Mucuna (Leguminosea-Phaseolae) in the Philippines, Kew Bulletin 46(2): 213-251.</w:t>
      </w:r>
    </w:p>
    <w:p>
      <w:pPr>
        <w:pStyle w:val="BodyText"/>
        <w:spacing w:before="5"/>
      </w:pPr>
    </w:p>
    <w:p>
      <w:pPr>
        <w:pStyle w:val="BodyText"/>
        <w:spacing w:before="1"/>
        <w:ind w:left="1758" w:right="997" w:hanging="1080"/>
      </w:pPr>
      <w:r>
        <w:rPr/>
        <w:t>Winzell,</w:t>
      </w:r>
      <w:r>
        <w:rPr>
          <w:spacing w:val="-6"/>
        </w:rPr>
        <w:t> </w:t>
      </w:r>
      <w:r>
        <w:rPr/>
        <w:t>M.</w:t>
      </w:r>
      <w:r>
        <w:rPr>
          <w:spacing w:val="-3"/>
        </w:rPr>
        <w:t> </w:t>
      </w:r>
      <w:r>
        <w:rPr/>
        <w:t>S.</w:t>
      </w:r>
      <w:r>
        <w:rPr>
          <w:spacing w:val="-3"/>
        </w:rPr>
        <w:t> </w:t>
      </w:r>
      <w:r>
        <w:rPr/>
        <w:t>(2004):</w:t>
      </w:r>
      <w:r>
        <w:rPr>
          <w:spacing w:val="-2"/>
        </w:rPr>
        <w:t> </w:t>
      </w:r>
      <w:r>
        <w:rPr/>
        <w:t>The</w:t>
      </w:r>
      <w:r>
        <w:rPr>
          <w:spacing w:val="-5"/>
        </w:rPr>
        <w:t> </w:t>
      </w:r>
      <w:r>
        <w:rPr/>
        <w:t>high-fat</w:t>
      </w:r>
      <w:r>
        <w:rPr>
          <w:spacing w:val="-3"/>
        </w:rPr>
        <w:t> </w:t>
      </w:r>
      <w:r>
        <w:rPr/>
        <w:t>diet-fed</w:t>
      </w:r>
      <w:r>
        <w:rPr>
          <w:spacing w:val="-3"/>
        </w:rPr>
        <w:t> </w:t>
      </w:r>
      <w:r>
        <w:rPr/>
        <w:t>mouse:</w:t>
      </w:r>
      <w:r>
        <w:rPr>
          <w:spacing w:val="-3"/>
        </w:rPr>
        <w:t> </w:t>
      </w:r>
      <w:r>
        <w:rPr/>
        <w:t>a</w:t>
      </w:r>
      <w:r>
        <w:rPr>
          <w:spacing w:val="-3"/>
        </w:rPr>
        <w:t> </w:t>
      </w:r>
      <w:r>
        <w:rPr/>
        <w:t>model</w:t>
      </w:r>
      <w:r>
        <w:rPr>
          <w:spacing w:val="-3"/>
        </w:rPr>
        <w:t> </w:t>
      </w:r>
      <w:r>
        <w:rPr/>
        <w:t>for</w:t>
      </w:r>
      <w:r>
        <w:rPr>
          <w:spacing w:val="-4"/>
        </w:rPr>
        <w:t> </w:t>
      </w:r>
      <w:r>
        <w:rPr/>
        <w:t>studying</w:t>
      </w:r>
      <w:r>
        <w:rPr>
          <w:spacing w:val="-4"/>
        </w:rPr>
        <w:t> </w:t>
      </w:r>
      <w:r>
        <w:rPr/>
        <w:t>mechanisms</w:t>
      </w:r>
      <w:r>
        <w:rPr>
          <w:spacing w:val="-3"/>
        </w:rPr>
        <w:t> </w:t>
      </w:r>
      <w:r>
        <w:rPr/>
        <w:t>and treatment of impaired glucose tolerance and type 2 diabetes</w:t>
      </w:r>
      <w:r>
        <w:rPr>
          <w:i/>
        </w:rPr>
        <w:t>. Diabetes</w:t>
      </w:r>
      <w:r>
        <w:rPr/>
        <w:t>; </w:t>
      </w:r>
      <w:r>
        <w:rPr>
          <w:b/>
        </w:rPr>
        <w:t>53 </w:t>
      </w:r>
      <w:r>
        <w:rPr/>
        <w:t>(Suppl 3): S215-9.</w:t>
      </w:r>
    </w:p>
    <w:p>
      <w:pPr>
        <w:pStyle w:val="BodyText"/>
        <w:spacing w:before="2"/>
      </w:pPr>
    </w:p>
    <w:p>
      <w:pPr>
        <w:pStyle w:val="BodyText"/>
        <w:ind w:left="1671" w:right="999" w:hanging="994"/>
        <w:jc w:val="both"/>
      </w:pPr>
      <w:r>
        <w:rPr/>
        <w:t>World Health Organization, (1980): Second report of the WHO Expert Committee on Diabetes Mellitus. Technical report series. 646-666.</w:t>
      </w:r>
    </w:p>
    <w:p>
      <w:pPr>
        <w:spacing w:before="240"/>
        <w:ind w:left="1671" w:right="994" w:hanging="994"/>
        <w:jc w:val="left"/>
        <w:rPr>
          <w:sz w:val="24"/>
        </w:rPr>
      </w:pPr>
      <w:r>
        <w:rPr>
          <w:sz w:val="24"/>
        </w:rPr>
        <w:t>Wray,</w:t>
      </w:r>
      <w:r>
        <w:rPr>
          <w:spacing w:val="-4"/>
          <w:sz w:val="24"/>
        </w:rPr>
        <w:t> </w:t>
      </w:r>
      <w:r>
        <w:rPr>
          <w:sz w:val="24"/>
        </w:rPr>
        <w:t>P.</w:t>
      </w:r>
      <w:r>
        <w:rPr>
          <w:spacing w:val="-4"/>
          <w:sz w:val="24"/>
        </w:rPr>
        <w:t> </w:t>
      </w:r>
      <w:r>
        <w:rPr>
          <w:sz w:val="24"/>
        </w:rPr>
        <w:t>E.</w:t>
      </w:r>
      <w:r>
        <w:rPr>
          <w:spacing w:val="-4"/>
          <w:sz w:val="24"/>
        </w:rPr>
        <w:t> </w:t>
      </w:r>
      <w:r>
        <w:rPr>
          <w:sz w:val="24"/>
        </w:rPr>
        <w:t>(1992):</w:t>
      </w:r>
      <w:r>
        <w:rPr>
          <w:spacing w:val="-4"/>
          <w:sz w:val="24"/>
        </w:rPr>
        <w:t> </w:t>
      </w:r>
      <w:r>
        <w:rPr>
          <w:sz w:val="24"/>
        </w:rPr>
        <w:t>The</w:t>
      </w:r>
      <w:r>
        <w:rPr>
          <w:spacing w:val="-3"/>
          <w:sz w:val="24"/>
        </w:rPr>
        <w:t> </w:t>
      </w:r>
      <w:r>
        <w:rPr>
          <w:sz w:val="24"/>
        </w:rPr>
        <w:t>physics</w:t>
      </w:r>
      <w:r>
        <w:rPr>
          <w:spacing w:val="-4"/>
          <w:sz w:val="24"/>
        </w:rPr>
        <w:t> </w:t>
      </w:r>
      <w:r>
        <w:rPr>
          <w:sz w:val="24"/>
        </w:rPr>
        <w:t>of</w:t>
      </w:r>
      <w:r>
        <w:rPr>
          <w:spacing w:val="-5"/>
          <w:sz w:val="24"/>
        </w:rPr>
        <w:t> </w:t>
      </w:r>
      <w:r>
        <w:rPr>
          <w:sz w:val="24"/>
        </w:rPr>
        <w:t>tablet</w:t>
      </w:r>
      <w:r>
        <w:rPr>
          <w:spacing w:val="-4"/>
          <w:sz w:val="24"/>
        </w:rPr>
        <w:t> </w:t>
      </w:r>
      <w:r>
        <w:rPr>
          <w:sz w:val="24"/>
        </w:rPr>
        <w:t>compression</w:t>
      </w:r>
      <w:r>
        <w:rPr>
          <w:spacing w:val="-4"/>
          <w:sz w:val="24"/>
        </w:rPr>
        <w:t> </w:t>
      </w:r>
      <w:r>
        <w:rPr>
          <w:sz w:val="24"/>
        </w:rPr>
        <w:t>revisited.</w:t>
      </w:r>
      <w:r>
        <w:rPr>
          <w:spacing w:val="-4"/>
          <w:sz w:val="24"/>
        </w:rPr>
        <w:t> </w:t>
      </w:r>
      <w:r>
        <w:rPr>
          <w:i/>
          <w:sz w:val="24"/>
        </w:rPr>
        <w:t>Drug</w:t>
      </w:r>
      <w:r>
        <w:rPr>
          <w:i/>
          <w:spacing w:val="-4"/>
          <w:sz w:val="24"/>
        </w:rPr>
        <w:t> </w:t>
      </w:r>
      <w:r>
        <w:rPr>
          <w:i/>
          <w:sz w:val="24"/>
        </w:rPr>
        <w:t>Development</w:t>
      </w:r>
      <w:r>
        <w:rPr>
          <w:i/>
          <w:spacing w:val="-4"/>
          <w:sz w:val="24"/>
        </w:rPr>
        <w:t> </w:t>
      </w:r>
      <w:r>
        <w:rPr>
          <w:i/>
          <w:sz w:val="24"/>
        </w:rPr>
        <w:t>and Industrial Pharmacy </w:t>
      </w:r>
      <w:r>
        <w:rPr>
          <w:b/>
          <w:sz w:val="24"/>
        </w:rPr>
        <w:t>18</w:t>
      </w:r>
      <w:r>
        <w:rPr>
          <w:sz w:val="24"/>
        </w:rPr>
        <w:t>: 627 – 658.</w:t>
      </w:r>
    </w:p>
    <w:p>
      <w:pPr>
        <w:spacing w:before="240"/>
        <w:ind w:left="1671" w:right="994" w:hanging="994"/>
        <w:jc w:val="left"/>
        <w:rPr>
          <w:sz w:val="24"/>
        </w:rPr>
      </w:pPr>
      <w:r>
        <w:rPr>
          <w:sz w:val="24"/>
        </w:rPr>
        <w:t>Yamini,</w:t>
      </w:r>
      <w:r>
        <w:rPr>
          <w:spacing w:val="-4"/>
          <w:sz w:val="24"/>
        </w:rPr>
        <w:t> </w:t>
      </w:r>
      <w:r>
        <w:rPr>
          <w:sz w:val="24"/>
        </w:rPr>
        <w:t>B.T.,</w:t>
      </w:r>
      <w:r>
        <w:rPr>
          <w:spacing w:val="-4"/>
          <w:sz w:val="24"/>
        </w:rPr>
        <w:t> </w:t>
      </w:r>
      <w:r>
        <w:rPr>
          <w:sz w:val="24"/>
        </w:rPr>
        <w:t>Anil,</w:t>
      </w:r>
      <w:r>
        <w:rPr>
          <w:spacing w:val="-4"/>
          <w:sz w:val="24"/>
        </w:rPr>
        <w:t> </w:t>
      </w:r>
      <w:r>
        <w:rPr>
          <w:sz w:val="24"/>
        </w:rPr>
        <w:t>K.U.</w:t>
      </w:r>
      <w:r>
        <w:rPr>
          <w:spacing w:val="-2"/>
          <w:sz w:val="24"/>
        </w:rPr>
        <w:t> </w:t>
      </w:r>
      <w:r>
        <w:rPr>
          <w:sz w:val="24"/>
        </w:rPr>
        <w:t>(2001).</w:t>
      </w:r>
      <w:r>
        <w:rPr>
          <w:spacing w:val="-4"/>
          <w:sz w:val="24"/>
        </w:rPr>
        <w:t> </w:t>
      </w:r>
      <w:r>
        <w:rPr>
          <w:sz w:val="24"/>
        </w:rPr>
        <w:t>Antioxidant</w:t>
      </w:r>
      <w:r>
        <w:rPr>
          <w:spacing w:val="-4"/>
          <w:sz w:val="24"/>
        </w:rPr>
        <w:t> </w:t>
      </w:r>
      <w:r>
        <w:rPr>
          <w:sz w:val="24"/>
        </w:rPr>
        <w:t>property</w:t>
      </w:r>
      <w:r>
        <w:rPr>
          <w:spacing w:val="-8"/>
          <w:sz w:val="24"/>
        </w:rPr>
        <w:t> </w:t>
      </w:r>
      <w:r>
        <w:rPr>
          <w:sz w:val="24"/>
        </w:rPr>
        <w:t>of</w:t>
      </w:r>
      <w:r>
        <w:rPr>
          <w:spacing w:val="-4"/>
          <w:sz w:val="24"/>
        </w:rPr>
        <w:t> </w:t>
      </w:r>
      <w:r>
        <w:rPr>
          <w:i/>
          <w:sz w:val="24"/>
        </w:rPr>
        <w:t>Mucuna</w:t>
      </w:r>
      <w:r>
        <w:rPr>
          <w:i/>
          <w:spacing w:val="-4"/>
          <w:sz w:val="24"/>
        </w:rPr>
        <w:t> </w:t>
      </w:r>
      <w:r>
        <w:rPr>
          <w:i/>
          <w:sz w:val="24"/>
        </w:rPr>
        <w:t>pruriens</w:t>
      </w:r>
      <w:r>
        <w:rPr>
          <w:i/>
          <w:spacing w:val="-1"/>
          <w:sz w:val="24"/>
        </w:rPr>
        <w:t> </w:t>
      </w:r>
      <w:r>
        <w:rPr>
          <w:sz w:val="24"/>
        </w:rPr>
        <w:t>Linn.</w:t>
      </w:r>
      <w:r>
        <w:rPr>
          <w:spacing w:val="-4"/>
          <w:sz w:val="24"/>
        </w:rPr>
        <w:t> </w:t>
      </w:r>
      <w:r>
        <w:rPr>
          <w:i/>
          <w:sz w:val="24"/>
        </w:rPr>
        <w:t>Current Science</w:t>
      </w:r>
      <w:r>
        <w:rPr>
          <w:sz w:val="24"/>
        </w:rPr>
        <w:t>, </w:t>
      </w:r>
      <w:r>
        <w:rPr>
          <w:b/>
          <w:sz w:val="24"/>
        </w:rPr>
        <w:t>80</w:t>
      </w:r>
      <w:r>
        <w:rPr>
          <w:sz w:val="24"/>
        </w:rPr>
        <w:t>: 1377-1378.</w:t>
      </w:r>
    </w:p>
    <w:p>
      <w:pPr>
        <w:pStyle w:val="BodyText"/>
        <w:spacing w:line="360" w:lineRule="auto" w:before="243"/>
        <w:ind w:left="1758" w:right="1041" w:hanging="1080"/>
      </w:pPr>
      <w:r>
        <w:rPr/>
        <w:t>Yen,</w:t>
      </w:r>
      <w:r>
        <w:rPr>
          <w:spacing w:val="40"/>
        </w:rPr>
        <w:t> </w:t>
      </w:r>
      <w:r>
        <w:rPr/>
        <w:t>P.M.,</w:t>
      </w:r>
      <w:r>
        <w:rPr>
          <w:spacing w:val="40"/>
        </w:rPr>
        <w:t> </w:t>
      </w:r>
      <w:r>
        <w:rPr/>
        <w:t>and</w:t>
      </w:r>
      <w:r>
        <w:rPr>
          <w:spacing w:val="40"/>
        </w:rPr>
        <w:t> </w:t>
      </w:r>
      <w:r>
        <w:rPr/>
        <w:t>Yung,</w:t>
      </w:r>
      <w:r>
        <w:rPr>
          <w:spacing w:val="40"/>
        </w:rPr>
        <w:t> </w:t>
      </w:r>
      <w:r>
        <w:rPr/>
        <w:t>W.W.</w:t>
      </w:r>
      <w:r>
        <w:rPr>
          <w:spacing w:val="40"/>
        </w:rPr>
        <w:t> </w:t>
      </w:r>
      <w:r>
        <w:rPr/>
        <w:t>(1971):</w:t>
      </w:r>
      <w:r>
        <w:rPr>
          <w:spacing w:val="40"/>
        </w:rPr>
        <w:t> </w:t>
      </w:r>
      <w:r>
        <w:rPr/>
        <w:t>New</w:t>
      </w:r>
      <w:r>
        <w:rPr>
          <w:spacing w:val="40"/>
        </w:rPr>
        <w:t> </w:t>
      </w:r>
      <w:r>
        <w:rPr/>
        <w:t>advances</w:t>
      </w:r>
      <w:r>
        <w:rPr>
          <w:spacing w:val="40"/>
        </w:rPr>
        <w:t> </w:t>
      </w:r>
      <w:r>
        <w:rPr/>
        <w:t>in</w:t>
      </w:r>
      <w:r>
        <w:rPr>
          <w:spacing w:val="40"/>
        </w:rPr>
        <w:t> </w:t>
      </w:r>
      <w:r>
        <w:rPr/>
        <w:t>understanding</w:t>
      </w:r>
      <w:r>
        <w:rPr>
          <w:spacing w:val="40"/>
        </w:rPr>
        <w:t> </w:t>
      </w:r>
      <w:r>
        <w:rPr/>
        <w:t>the</w:t>
      </w:r>
      <w:r>
        <w:rPr>
          <w:spacing w:val="40"/>
        </w:rPr>
        <w:t> </w:t>
      </w:r>
      <w:r>
        <w:rPr/>
        <w:t>molecular- mechanisms of thyroid hormone action. </w:t>
      </w:r>
      <w:r>
        <w:rPr>
          <w:i/>
        </w:rPr>
        <w:t>Trends Endocrinol Metab </w:t>
      </w:r>
      <w:r>
        <w:rPr>
          <w:b/>
        </w:rPr>
        <w:t>5</w:t>
      </w:r>
      <w:r>
        <w:rPr/>
        <w:t>: 65-72.</w:t>
      </w:r>
    </w:p>
    <w:p>
      <w:pPr>
        <w:pStyle w:val="BodyText"/>
        <w:spacing w:before="238"/>
        <w:ind w:left="1671" w:right="994" w:hanging="994"/>
        <w:jc w:val="both"/>
      </w:pPr>
      <w:r>
        <w:rPr/>
        <w:t>York, P. and Pilpel, N. (1973): The tensile strength and compression behaviour of lactose, four fatty acids and their mixtures in relation to tableting. </w:t>
      </w:r>
      <w:r>
        <w:rPr>
          <w:i/>
        </w:rPr>
        <w:t>J. Pharm.</w:t>
      </w:r>
      <w:r>
        <w:rPr>
          <w:i/>
          <w:spacing w:val="40"/>
        </w:rPr>
        <w:t> </w:t>
      </w:r>
      <w:r>
        <w:rPr>
          <w:i/>
        </w:rPr>
        <w:t>Pharmacol</w:t>
      </w:r>
      <w:r>
        <w:rPr/>
        <w:t>., </w:t>
      </w:r>
      <w:r>
        <w:rPr>
          <w:b/>
        </w:rPr>
        <w:t>25</w:t>
      </w:r>
      <w:r>
        <w:rPr/>
        <w:t>: 1 - 11.</w:t>
      </w:r>
    </w:p>
    <w:p>
      <w:pPr>
        <w:spacing w:after="0"/>
        <w:jc w:val="both"/>
        <w:sectPr>
          <w:pgSz w:w="12240" w:h="15840"/>
          <w:pgMar w:header="0" w:footer="1056" w:top="1340" w:bottom="1240" w:left="1420" w:right="420"/>
        </w:sectPr>
      </w:pPr>
    </w:p>
    <w:p>
      <w:pPr>
        <w:pStyle w:val="BodyText"/>
        <w:spacing w:before="70"/>
        <w:ind w:left="1758" w:right="1041" w:hanging="1080"/>
      </w:pPr>
      <w:r>
        <w:rPr/>
        <mc:AlternateContent>
          <mc:Choice Requires="wps">
            <w:drawing>
              <wp:anchor distT="0" distB="0" distL="0" distR="0" allowOverlap="1" layoutInCell="1" locked="0" behindDoc="1" simplePos="0" relativeHeight="483051008">
                <wp:simplePos x="0" y="0"/>
                <wp:positionH relativeFrom="page">
                  <wp:posOffset>-1402226</wp:posOffset>
                </wp:positionH>
                <wp:positionV relativeFrom="page">
                  <wp:posOffset>4612234</wp:posOffset>
                </wp:positionV>
                <wp:extent cx="10685780" cy="91440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5472;rotation:306" type="#_x0000_t136" fillcolor="#ff5400" stroked="f">
                <o:extrusion v:ext="view" autorotationcenter="t"/>
                <v:textpath style="font-family:&quot;Arial MT&quot;;font-size:72pt;v-text-kern:t;mso-text-shadow:auto" string="UNIVERSITY OF IBADAN"/>
                <w10:wrap type="none"/>
              </v:shape>
            </w:pict>
          </mc:Fallback>
        </mc:AlternateContent>
      </w:r>
      <w:r>
        <w:rPr/>
        <w:t>Yoshikawa, M. (1997): A novel locus, Mody4, distal to D7 Mit189 on chromosome 7 determines</w:t>
      </w:r>
      <w:r>
        <w:rPr>
          <w:spacing w:val="-5"/>
        </w:rPr>
        <w:t> </w:t>
      </w:r>
      <w:r>
        <w:rPr/>
        <w:t>early-onset</w:t>
      </w:r>
      <w:r>
        <w:rPr>
          <w:spacing w:val="-5"/>
        </w:rPr>
        <w:t> </w:t>
      </w:r>
      <w:r>
        <w:rPr/>
        <w:t>NIDDM</w:t>
      </w:r>
      <w:r>
        <w:rPr>
          <w:spacing w:val="-5"/>
        </w:rPr>
        <w:t> </w:t>
      </w:r>
      <w:r>
        <w:rPr/>
        <w:t>in</w:t>
      </w:r>
      <w:r>
        <w:rPr>
          <w:spacing w:val="-5"/>
        </w:rPr>
        <w:t> </w:t>
      </w:r>
      <w:r>
        <w:rPr/>
        <w:t>nonobese</w:t>
      </w:r>
      <w:r>
        <w:rPr>
          <w:spacing w:val="-7"/>
        </w:rPr>
        <w:t> </w:t>
      </w:r>
      <w:r>
        <w:rPr/>
        <w:t>C57BL/6</w:t>
      </w:r>
      <w:r>
        <w:rPr>
          <w:spacing w:val="-5"/>
        </w:rPr>
        <w:t> </w:t>
      </w:r>
      <w:r>
        <w:rPr/>
        <w:t>(Akita)</w:t>
      </w:r>
      <w:r>
        <w:rPr>
          <w:spacing w:val="-5"/>
        </w:rPr>
        <w:t> </w:t>
      </w:r>
      <w:r>
        <w:rPr/>
        <w:t>mutant</w:t>
      </w:r>
      <w:r>
        <w:rPr>
          <w:spacing w:val="-5"/>
        </w:rPr>
        <w:t> </w:t>
      </w:r>
      <w:r>
        <w:rPr/>
        <w:t>mice. </w:t>
      </w:r>
      <w:r>
        <w:rPr>
          <w:i/>
        </w:rPr>
        <w:t>Diabetes</w:t>
      </w:r>
      <w:r>
        <w:rPr/>
        <w:t>; 46: 887-94.</w:t>
      </w:r>
    </w:p>
    <w:p>
      <w:pPr>
        <w:pStyle w:val="BodyText"/>
      </w:pPr>
    </w:p>
    <w:p>
      <w:pPr>
        <w:pStyle w:val="BodyText"/>
      </w:pPr>
    </w:p>
    <w:p>
      <w:pPr>
        <w:pStyle w:val="BodyText"/>
      </w:pPr>
    </w:p>
    <w:p>
      <w:pPr>
        <w:pStyle w:val="BodyText"/>
      </w:pPr>
    </w:p>
    <w:p>
      <w:pPr>
        <w:pStyle w:val="BodyText"/>
      </w:pPr>
    </w:p>
    <w:p>
      <w:pPr>
        <w:pStyle w:val="BodyText"/>
        <w:spacing w:before="8"/>
      </w:pPr>
    </w:p>
    <w:p>
      <w:pPr>
        <w:spacing w:before="0"/>
        <w:ind w:left="678" w:right="0" w:firstLine="0"/>
        <w:jc w:val="left"/>
        <w:rPr>
          <w:b/>
          <w:sz w:val="24"/>
        </w:rPr>
      </w:pPr>
      <w:r>
        <w:rPr/>
        <w:drawing>
          <wp:anchor distT="0" distB="0" distL="0" distR="0" allowOverlap="1" layoutInCell="1" locked="0" behindDoc="0" simplePos="0" relativeHeight="15877632">
            <wp:simplePos x="0" y="0"/>
            <wp:positionH relativeFrom="page">
              <wp:posOffset>1332229</wp:posOffset>
            </wp:positionH>
            <wp:positionV relativeFrom="paragraph">
              <wp:posOffset>527819</wp:posOffset>
            </wp:positionV>
            <wp:extent cx="5536564" cy="5748654"/>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81" cstate="print"/>
                    <a:stretch>
                      <a:fillRect/>
                    </a:stretch>
                  </pic:blipFill>
                  <pic:spPr>
                    <a:xfrm>
                      <a:off x="0" y="0"/>
                      <a:ext cx="5536564" cy="5748654"/>
                    </a:xfrm>
                    <a:prstGeom prst="rect">
                      <a:avLst/>
                    </a:prstGeom>
                  </pic:spPr>
                </pic:pic>
              </a:graphicData>
            </a:graphic>
          </wp:anchor>
        </w:drawing>
      </w:r>
      <w:r>
        <w:rPr>
          <w:b/>
          <w:sz w:val="24"/>
        </w:rPr>
        <w:t>Appendix</w:t>
      </w:r>
      <w:r>
        <w:rPr>
          <w:b/>
          <w:spacing w:val="-2"/>
          <w:sz w:val="24"/>
        </w:rPr>
        <w:t> </w:t>
      </w:r>
      <w:r>
        <w:rPr>
          <w:b/>
          <w:sz w:val="24"/>
        </w:rPr>
        <w:t>1:</w:t>
      </w:r>
      <w:r>
        <w:rPr>
          <w:b/>
          <w:spacing w:val="-1"/>
          <w:sz w:val="24"/>
        </w:rPr>
        <w:t> </w:t>
      </w:r>
      <w:r>
        <w:rPr>
          <w:b/>
          <w:sz w:val="24"/>
        </w:rPr>
        <w:t>Absorbance maxima</w:t>
      </w:r>
      <w:r>
        <w:rPr>
          <w:b/>
          <w:spacing w:val="-2"/>
          <w:sz w:val="24"/>
        </w:rPr>
        <w:t> </w:t>
      </w:r>
      <w:r>
        <w:rPr>
          <w:b/>
          <w:sz w:val="24"/>
        </w:rPr>
        <w:t>for </w:t>
      </w:r>
      <w:r>
        <w:rPr>
          <w:b/>
          <w:i/>
          <w:sz w:val="24"/>
        </w:rPr>
        <w:t>M</w:t>
      </w:r>
      <w:r>
        <w:rPr>
          <w:b/>
          <w:i/>
          <w:spacing w:val="-1"/>
          <w:sz w:val="24"/>
        </w:rPr>
        <w:t> </w:t>
      </w:r>
      <w:r>
        <w:rPr>
          <w:b/>
          <w:i/>
          <w:sz w:val="24"/>
        </w:rPr>
        <w:t>pruriens</w:t>
      </w:r>
      <w:r>
        <w:rPr>
          <w:b/>
          <w:i/>
          <w:spacing w:val="-1"/>
          <w:sz w:val="24"/>
        </w:rPr>
        <w:t> </w:t>
      </w:r>
      <w:r>
        <w:rPr>
          <w:b/>
          <w:sz w:val="24"/>
        </w:rPr>
        <w:t>ethanol</w:t>
      </w:r>
      <w:r>
        <w:rPr>
          <w:b/>
          <w:spacing w:val="-1"/>
          <w:sz w:val="24"/>
        </w:rPr>
        <w:t> </w:t>
      </w:r>
      <w:r>
        <w:rPr>
          <w:b/>
          <w:sz w:val="24"/>
        </w:rPr>
        <w:t>seed</w:t>
      </w:r>
      <w:r>
        <w:rPr>
          <w:b/>
          <w:spacing w:val="-1"/>
          <w:sz w:val="24"/>
        </w:rPr>
        <w:t> </w:t>
      </w:r>
      <w:r>
        <w:rPr>
          <w:b/>
          <w:spacing w:val="-2"/>
          <w:sz w:val="24"/>
        </w:rPr>
        <w:t>extract</w:t>
      </w:r>
    </w:p>
    <w:p>
      <w:pPr>
        <w:spacing w:after="0"/>
        <w:jc w:val="left"/>
        <w:rPr>
          <w:sz w:val="24"/>
        </w:rPr>
        <w:sectPr>
          <w:pgSz w:w="12240" w:h="15840"/>
          <w:pgMar w:header="0" w:footer="1056" w:top="1340" w:bottom="1240" w:left="1420" w:right="420"/>
        </w:sectPr>
      </w:pPr>
    </w:p>
    <w:p>
      <w:pPr>
        <w:spacing w:before="71"/>
        <w:ind w:left="678" w:right="0" w:firstLine="0"/>
        <w:jc w:val="left"/>
        <w:rPr>
          <w:b/>
          <w:i/>
          <w:sz w:val="24"/>
        </w:rPr>
      </w:pPr>
      <w:r>
        <w:rPr/>
        <mc:AlternateContent>
          <mc:Choice Requires="wps">
            <w:drawing>
              <wp:anchor distT="0" distB="0" distL="0" distR="0" allowOverlap="1" layoutInCell="1" locked="0" behindDoc="1" simplePos="0" relativeHeight="483052032">
                <wp:simplePos x="0" y="0"/>
                <wp:positionH relativeFrom="page">
                  <wp:posOffset>-1402226</wp:posOffset>
                </wp:positionH>
                <wp:positionV relativeFrom="page">
                  <wp:posOffset>4612234</wp:posOffset>
                </wp:positionV>
                <wp:extent cx="10685780" cy="91440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4448;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78656">
            <wp:simplePos x="0" y="0"/>
            <wp:positionH relativeFrom="page">
              <wp:posOffset>1332229</wp:posOffset>
            </wp:positionH>
            <wp:positionV relativeFrom="paragraph">
              <wp:posOffset>1229360</wp:posOffset>
            </wp:positionV>
            <wp:extent cx="5212079" cy="4572000"/>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82" cstate="print"/>
                    <a:stretch>
                      <a:fillRect/>
                    </a:stretch>
                  </pic:blipFill>
                  <pic:spPr>
                    <a:xfrm>
                      <a:off x="0" y="0"/>
                      <a:ext cx="5212079" cy="4572000"/>
                    </a:xfrm>
                    <a:prstGeom prst="rect">
                      <a:avLst/>
                    </a:prstGeom>
                  </pic:spPr>
                </pic:pic>
              </a:graphicData>
            </a:graphic>
          </wp:anchor>
        </w:drawing>
      </w:r>
      <w:r>
        <w:rPr>
          <w:b/>
          <w:sz w:val="24"/>
        </w:rPr>
        <w:t>Appendix</w:t>
      </w:r>
      <w:r>
        <w:rPr>
          <w:b/>
          <w:spacing w:val="-3"/>
          <w:sz w:val="24"/>
        </w:rPr>
        <w:t> </w:t>
      </w:r>
      <w:r>
        <w:rPr>
          <w:b/>
          <w:sz w:val="24"/>
        </w:rPr>
        <w:t>2:</w:t>
      </w:r>
      <w:r>
        <w:rPr>
          <w:b/>
          <w:spacing w:val="-1"/>
          <w:sz w:val="24"/>
        </w:rPr>
        <w:t> </w:t>
      </w:r>
      <w:r>
        <w:rPr>
          <w:b/>
          <w:sz w:val="24"/>
        </w:rPr>
        <w:t>Beer</w:t>
      </w:r>
      <w:r>
        <w:rPr>
          <w:b/>
          <w:spacing w:val="-1"/>
          <w:sz w:val="24"/>
        </w:rPr>
        <w:t> </w:t>
      </w:r>
      <w:r>
        <w:rPr>
          <w:b/>
          <w:sz w:val="24"/>
        </w:rPr>
        <w:t>Lambert</w:t>
      </w:r>
      <w:r>
        <w:rPr>
          <w:b/>
          <w:spacing w:val="-1"/>
          <w:sz w:val="24"/>
        </w:rPr>
        <w:t> </w:t>
      </w:r>
      <w:r>
        <w:rPr>
          <w:b/>
          <w:sz w:val="24"/>
        </w:rPr>
        <w:t>plot</w:t>
      </w:r>
      <w:r>
        <w:rPr>
          <w:b/>
          <w:spacing w:val="-2"/>
          <w:sz w:val="24"/>
        </w:rPr>
        <w:t> </w:t>
      </w:r>
      <w:r>
        <w:rPr>
          <w:b/>
          <w:sz w:val="24"/>
        </w:rPr>
        <w:t>(calibration</w:t>
      </w:r>
      <w:r>
        <w:rPr>
          <w:b/>
          <w:spacing w:val="1"/>
          <w:sz w:val="24"/>
        </w:rPr>
        <w:t> </w:t>
      </w:r>
      <w:r>
        <w:rPr>
          <w:b/>
          <w:sz w:val="24"/>
        </w:rPr>
        <w:t>plot)</w:t>
      </w:r>
      <w:r>
        <w:rPr>
          <w:b/>
          <w:spacing w:val="-2"/>
          <w:sz w:val="24"/>
        </w:rPr>
        <w:t> </w:t>
      </w:r>
      <w:r>
        <w:rPr>
          <w:b/>
          <w:sz w:val="24"/>
        </w:rPr>
        <w:t>for</w:t>
      </w:r>
      <w:r>
        <w:rPr>
          <w:b/>
          <w:spacing w:val="1"/>
          <w:sz w:val="24"/>
        </w:rPr>
        <w:t> </w:t>
      </w:r>
      <w:r>
        <w:rPr>
          <w:b/>
          <w:i/>
          <w:sz w:val="24"/>
        </w:rPr>
        <w:t>M. </w:t>
      </w:r>
      <w:r>
        <w:rPr>
          <w:b/>
          <w:i/>
          <w:spacing w:val="-2"/>
          <w:sz w:val="24"/>
        </w:rPr>
        <w:t>pruriens</w:t>
      </w:r>
    </w:p>
    <w:p>
      <w:pPr>
        <w:spacing w:after="0"/>
        <w:jc w:val="left"/>
        <w:rPr>
          <w:sz w:val="24"/>
        </w:rPr>
        <w:sectPr>
          <w:pgSz w:w="12240" w:h="15840"/>
          <w:pgMar w:header="0" w:footer="1056" w:top="1620" w:bottom="1240" w:left="1420" w:right="420"/>
        </w:sectPr>
      </w:pPr>
    </w:p>
    <w:p>
      <w:pPr>
        <w:spacing w:line="360" w:lineRule="auto" w:before="70"/>
        <w:ind w:left="678" w:right="0" w:firstLine="0"/>
        <w:jc w:val="left"/>
        <w:rPr>
          <w:b/>
          <w:sz w:val="24"/>
        </w:rPr>
      </w:pPr>
      <w:r>
        <w:rPr/>
        <mc:AlternateContent>
          <mc:Choice Requires="wps">
            <w:drawing>
              <wp:anchor distT="0" distB="0" distL="0" distR="0" allowOverlap="1" layoutInCell="1" locked="0" behindDoc="1" simplePos="0" relativeHeight="483053056">
                <wp:simplePos x="0" y="0"/>
                <wp:positionH relativeFrom="page">
                  <wp:posOffset>-1402226</wp:posOffset>
                </wp:positionH>
                <wp:positionV relativeFrom="page">
                  <wp:posOffset>4612234</wp:posOffset>
                </wp:positionV>
                <wp:extent cx="10685780" cy="91440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342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80"/>
          <w:w w:val="150"/>
          <w:sz w:val="24"/>
        </w:rPr>
        <w:t> </w:t>
      </w:r>
      <w:r>
        <w:rPr>
          <w:b/>
          <w:sz w:val="24"/>
        </w:rPr>
        <w:t>3:</w:t>
      </w:r>
      <w:r>
        <w:rPr>
          <w:b/>
          <w:spacing w:val="80"/>
          <w:w w:val="150"/>
          <w:sz w:val="24"/>
        </w:rPr>
        <w:t> </w:t>
      </w:r>
      <w:r>
        <w:rPr>
          <w:b/>
          <w:sz w:val="24"/>
        </w:rPr>
        <w:t>Dissolution</w:t>
      </w:r>
      <w:r>
        <w:rPr>
          <w:b/>
          <w:spacing w:val="80"/>
          <w:w w:val="150"/>
          <w:sz w:val="24"/>
        </w:rPr>
        <w:t> </w:t>
      </w:r>
      <w:r>
        <w:rPr>
          <w:b/>
          <w:sz w:val="24"/>
        </w:rPr>
        <w:t>profiles</w:t>
      </w:r>
      <w:r>
        <w:rPr>
          <w:b/>
          <w:spacing w:val="80"/>
          <w:w w:val="150"/>
          <w:sz w:val="24"/>
        </w:rPr>
        <w:t> </w:t>
      </w:r>
      <w:r>
        <w:rPr>
          <w:b/>
          <w:sz w:val="24"/>
        </w:rPr>
        <w:t>of</w:t>
      </w:r>
      <w:r>
        <w:rPr>
          <w:b/>
          <w:spacing w:val="80"/>
          <w:w w:val="150"/>
          <w:sz w:val="24"/>
        </w:rPr>
        <w:t> </w:t>
      </w:r>
      <w:r>
        <w:rPr>
          <w:b/>
          <w:i/>
          <w:sz w:val="24"/>
        </w:rPr>
        <w:t>M.</w:t>
      </w:r>
      <w:r>
        <w:rPr>
          <w:b/>
          <w:i/>
          <w:spacing w:val="80"/>
          <w:w w:val="150"/>
          <w:sz w:val="24"/>
        </w:rPr>
        <w:t> </w:t>
      </w:r>
      <w:r>
        <w:rPr>
          <w:b/>
          <w:i/>
          <w:sz w:val="24"/>
        </w:rPr>
        <w:t>pruriens</w:t>
      </w:r>
      <w:r>
        <w:rPr>
          <w:b/>
          <w:i/>
          <w:spacing w:val="80"/>
          <w:w w:val="150"/>
          <w:sz w:val="24"/>
        </w:rPr>
        <w:t> </w:t>
      </w:r>
      <w:r>
        <w:rPr>
          <w:b/>
          <w:sz w:val="24"/>
        </w:rPr>
        <w:t>tablets</w:t>
      </w:r>
      <w:r>
        <w:rPr>
          <w:b/>
          <w:spacing w:val="80"/>
          <w:w w:val="150"/>
          <w:sz w:val="24"/>
        </w:rPr>
        <w:t> </w:t>
      </w:r>
      <w:r>
        <w:rPr>
          <w:b/>
          <w:sz w:val="24"/>
        </w:rPr>
        <w:t>prepared</w:t>
      </w:r>
      <w:r>
        <w:rPr>
          <w:b/>
          <w:spacing w:val="80"/>
          <w:w w:val="150"/>
          <w:sz w:val="24"/>
        </w:rPr>
        <w:t> </w:t>
      </w:r>
      <w:r>
        <w:rPr>
          <w:b/>
          <w:sz w:val="24"/>
        </w:rPr>
        <w:t>by</w:t>
      </w:r>
      <w:r>
        <w:rPr>
          <w:b/>
          <w:spacing w:val="80"/>
          <w:w w:val="150"/>
          <w:sz w:val="24"/>
        </w:rPr>
        <w:t> </w:t>
      </w:r>
      <w:r>
        <w:rPr>
          <w:b/>
          <w:sz w:val="24"/>
        </w:rPr>
        <w:t>direct compression using Avicel</w:t>
      </w:r>
      <w:r>
        <w:rPr>
          <w:b/>
          <w:sz w:val="24"/>
          <w:vertAlign w:val="superscript"/>
        </w:rPr>
        <w:t>®</w:t>
      </w:r>
      <w:r>
        <w:rPr>
          <w:b/>
          <w:spacing w:val="-3"/>
          <w:sz w:val="24"/>
          <w:vertAlign w:val="baseline"/>
        </w:rPr>
        <w:t> </w:t>
      </w:r>
      <w:r>
        <w:rPr>
          <w:b/>
          <w:sz w:val="24"/>
          <w:vertAlign w:val="baseline"/>
        </w:rPr>
        <w:t>as directly compressible diluent.</w:t>
      </w:r>
    </w:p>
    <w:p>
      <w:pPr>
        <w:pStyle w:val="BodyText"/>
        <w:rPr>
          <w:b/>
          <w:sz w:val="20"/>
        </w:rPr>
      </w:pPr>
    </w:p>
    <w:p>
      <w:pPr>
        <w:pStyle w:val="BodyText"/>
        <w:spacing w:before="93"/>
        <w:rPr>
          <w:b/>
          <w:sz w:val="2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6"/>
        <w:gridCol w:w="2498"/>
        <w:gridCol w:w="1727"/>
        <w:gridCol w:w="1453"/>
        <w:gridCol w:w="1885"/>
      </w:tblGrid>
      <w:tr>
        <w:trPr>
          <w:trHeight w:val="799" w:hRule="atLeast"/>
        </w:trPr>
        <w:tc>
          <w:tcPr>
            <w:tcW w:w="1396" w:type="dxa"/>
            <w:tcBorders>
              <w:top w:val="single" w:sz="4" w:space="0" w:color="000000"/>
              <w:bottom w:val="single" w:sz="4" w:space="0" w:color="000000"/>
            </w:tcBorders>
          </w:tcPr>
          <w:p>
            <w:pPr>
              <w:pStyle w:val="TableParagraph"/>
              <w:spacing w:line="275" w:lineRule="exact"/>
              <w:ind w:left="328"/>
              <w:rPr>
                <w:b/>
                <w:sz w:val="24"/>
              </w:rPr>
            </w:pPr>
            <w:r>
              <w:rPr>
                <w:b/>
                <w:spacing w:val="-2"/>
                <w:sz w:val="24"/>
              </w:rPr>
              <w:t>Diluents</w:t>
            </w:r>
          </w:p>
        </w:tc>
        <w:tc>
          <w:tcPr>
            <w:tcW w:w="2498" w:type="dxa"/>
            <w:tcBorders>
              <w:top w:val="single" w:sz="4" w:space="0" w:color="000000"/>
              <w:bottom w:val="single" w:sz="4" w:space="0" w:color="000000"/>
            </w:tcBorders>
          </w:tcPr>
          <w:p>
            <w:pPr>
              <w:pStyle w:val="TableParagraph"/>
              <w:spacing w:line="275" w:lineRule="exact"/>
              <w:ind w:left="211"/>
              <w:rPr>
                <w:b/>
                <w:sz w:val="24"/>
              </w:rPr>
            </w:pPr>
            <w:r>
              <w:rPr>
                <w:b/>
                <w:sz w:val="24"/>
              </w:rPr>
              <w:t>Weight</w:t>
            </w:r>
            <w:r>
              <w:rPr>
                <w:b/>
                <w:spacing w:val="-3"/>
                <w:sz w:val="24"/>
              </w:rPr>
              <w:t> </w:t>
            </w:r>
            <w:r>
              <w:rPr>
                <w:b/>
                <w:sz w:val="24"/>
              </w:rPr>
              <w:t>(mg)</w:t>
            </w:r>
            <w:r>
              <w:rPr>
                <w:b/>
                <w:spacing w:val="-2"/>
                <w:sz w:val="24"/>
              </w:rPr>
              <w:t> </w:t>
            </w:r>
            <w:r>
              <w:rPr>
                <w:b/>
                <w:spacing w:val="-5"/>
                <w:sz w:val="24"/>
              </w:rPr>
              <w:t>of</w:t>
            </w:r>
          </w:p>
          <w:p>
            <w:pPr>
              <w:pStyle w:val="TableParagraph"/>
              <w:spacing w:before="139"/>
              <w:ind w:left="211"/>
              <w:rPr>
                <w:b/>
                <w:sz w:val="24"/>
              </w:rPr>
            </w:pPr>
            <w:r>
              <w:rPr>
                <w:b/>
                <w:spacing w:val="-2"/>
                <w:sz w:val="24"/>
              </w:rPr>
              <w:t>diluents/combination</w:t>
            </w:r>
          </w:p>
        </w:tc>
        <w:tc>
          <w:tcPr>
            <w:tcW w:w="1727" w:type="dxa"/>
            <w:tcBorders>
              <w:top w:val="single" w:sz="4" w:space="0" w:color="000000"/>
              <w:bottom w:val="single" w:sz="4" w:space="0" w:color="000000"/>
            </w:tcBorders>
          </w:tcPr>
          <w:p>
            <w:pPr>
              <w:pStyle w:val="TableParagraph"/>
              <w:spacing w:line="275" w:lineRule="exact"/>
              <w:ind w:left="184"/>
              <w:rPr>
                <w:b/>
                <w:sz w:val="24"/>
              </w:rPr>
            </w:pPr>
            <w:r>
              <w:rPr>
                <w:b/>
                <w:spacing w:val="-2"/>
                <w:sz w:val="24"/>
              </w:rPr>
              <w:t>Compression</w:t>
            </w:r>
          </w:p>
          <w:p>
            <w:pPr>
              <w:pStyle w:val="TableParagraph"/>
              <w:spacing w:before="139"/>
              <w:ind w:left="121"/>
              <w:rPr>
                <w:b/>
                <w:sz w:val="24"/>
              </w:rPr>
            </w:pPr>
            <w:r>
              <w:rPr>
                <w:b/>
                <w:sz w:val="24"/>
              </w:rPr>
              <w:t>Pressure</w:t>
            </w:r>
            <w:r>
              <w:rPr>
                <w:b/>
                <w:spacing w:val="-4"/>
                <w:sz w:val="24"/>
              </w:rPr>
              <w:t> (KN)</w:t>
            </w:r>
          </w:p>
        </w:tc>
        <w:tc>
          <w:tcPr>
            <w:tcW w:w="1453" w:type="dxa"/>
            <w:tcBorders>
              <w:top w:val="single" w:sz="4" w:space="0" w:color="000000"/>
              <w:bottom w:val="single" w:sz="4" w:space="0" w:color="000000"/>
            </w:tcBorders>
          </w:tcPr>
          <w:p>
            <w:pPr>
              <w:pStyle w:val="TableParagraph"/>
              <w:spacing w:line="275" w:lineRule="exact"/>
              <w:ind w:left="130"/>
              <w:rPr>
                <w:b/>
                <w:sz w:val="24"/>
              </w:rPr>
            </w:pPr>
            <w:r>
              <w:rPr>
                <w:b/>
                <w:sz w:val="24"/>
              </w:rPr>
              <w:t>Time</w:t>
            </w:r>
            <w:r>
              <w:rPr>
                <w:b/>
                <w:spacing w:val="-4"/>
                <w:sz w:val="24"/>
              </w:rPr>
              <w:t> </w:t>
            </w:r>
            <w:r>
              <w:rPr>
                <w:b/>
                <w:spacing w:val="-2"/>
                <w:sz w:val="24"/>
              </w:rPr>
              <w:t>(min)</w:t>
            </w:r>
          </w:p>
        </w:tc>
        <w:tc>
          <w:tcPr>
            <w:tcW w:w="1885" w:type="dxa"/>
            <w:tcBorders>
              <w:top w:val="single" w:sz="4" w:space="0" w:color="000000"/>
              <w:bottom w:val="single" w:sz="4" w:space="0" w:color="000000"/>
            </w:tcBorders>
          </w:tcPr>
          <w:p>
            <w:pPr>
              <w:pStyle w:val="TableParagraph"/>
              <w:spacing w:line="275" w:lineRule="exact"/>
              <w:ind w:left="165"/>
              <w:rPr>
                <w:b/>
                <w:sz w:val="24"/>
              </w:rPr>
            </w:pPr>
            <w:r>
              <w:rPr>
                <w:b/>
                <w:sz w:val="24"/>
              </w:rPr>
              <w:t>Cumulative</w:t>
            </w:r>
            <w:r>
              <w:rPr>
                <w:b/>
                <w:spacing w:val="-4"/>
                <w:sz w:val="24"/>
              </w:rPr>
              <w:t> </w:t>
            </w:r>
            <w:r>
              <w:rPr>
                <w:b/>
                <w:spacing w:val="-10"/>
                <w:sz w:val="24"/>
              </w:rPr>
              <w:t>%</w:t>
            </w:r>
          </w:p>
          <w:p>
            <w:pPr>
              <w:pStyle w:val="TableParagraph"/>
              <w:spacing w:before="139"/>
              <w:ind w:left="232"/>
              <w:rPr>
                <w:b/>
                <w:sz w:val="24"/>
              </w:rPr>
            </w:pPr>
            <w:r>
              <w:rPr>
                <w:b/>
                <w:sz w:val="24"/>
              </w:rPr>
              <w:t>Drug</w:t>
            </w:r>
            <w:r>
              <w:rPr>
                <w:b/>
                <w:spacing w:val="-2"/>
                <w:sz w:val="24"/>
              </w:rPr>
              <w:t> Release</w:t>
            </w:r>
          </w:p>
        </w:tc>
      </w:tr>
      <w:tr>
        <w:trPr>
          <w:trHeight w:val="374" w:hRule="atLeast"/>
        </w:trPr>
        <w:tc>
          <w:tcPr>
            <w:tcW w:w="1396" w:type="dxa"/>
            <w:tcBorders>
              <w:top w:val="single" w:sz="4" w:space="0" w:color="000000"/>
            </w:tcBorders>
          </w:tcPr>
          <w:p>
            <w:pPr>
              <w:pStyle w:val="TableParagraph"/>
              <w:spacing w:line="273" w:lineRule="exact"/>
              <w:ind w:left="122"/>
              <w:rPr>
                <w:sz w:val="24"/>
              </w:rPr>
            </w:pPr>
            <w:r>
              <w:rPr>
                <w:spacing w:val="-2"/>
                <w:sz w:val="24"/>
              </w:rPr>
              <w:t>Avicel</w:t>
            </w:r>
            <w:r>
              <w:rPr>
                <w:spacing w:val="-2"/>
                <w:sz w:val="24"/>
                <w:vertAlign w:val="superscript"/>
              </w:rPr>
              <w:t>®</w:t>
            </w:r>
          </w:p>
        </w:tc>
        <w:tc>
          <w:tcPr>
            <w:tcW w:w="2498" w:type="dxa"/>
            <w:tcBorders>
              <w:top w:val="single" w:sz="4" w:space="0" w:color="000000"/>
            </w:tcBorders>
          </w:tcPr>
          <w:p>
            <w:pPr>
              <w:pStyle w:val="TableParagraph"/>
              <w:spacing w:line="273" w:lineRule="exact"/>
              <w:ind w:right="390"/>
              <w:jc w:val="center"/>
              <w:rPr>
                <w:sz w:val="24"/>
              </w:rPr>
            </w:pPr>
            <w:r>
              <w:rPr>
                <w:spacing w:val="-5"/>
                <w:sz w:val="24"/>
              </w:rPr>
              <w:t>400</w:t>
            </w:r>
          </w:p>
        </w:tc>
        <w:tc>
          <w:tcPr>
            <w:tcW w:w="1727" w:type="dxa"/>
            <w:tcBorders>
              <w:top w:val="single" w:sz="4" w:space="0" w:color="000000"/>
            </w:tcBorders>
          </w:tcPr>
          <w:p>
            <w:pPr>
              <w:pStyle w:val="TableParagraph"/>
              <w:spacing w:line="273" w:lineRule="exact"/>
              <w:ind w:right="103"/>
              <w:jc w:val="center"/>
              <w:rPr>
                <w:sz w:val="24"/>
              </w:rPr>
            </w:pPr>
            <w:r>
              <w:rPr>
                <w:spacing w:val="-10"/>
                <w:sz w:val="24"/>
              </w:rPr>
              <w:t>5</w:t>
            </w:r>
          </w:p>
        </w:tc>
        <w:tc>
          <w:tcPr>
            <w:tcW w:w="1453" w:type="dxa"/>
            <w:tcBorders>
              <w:top w:val="single" w:sz="4" w:space="0" w:color="000000"/>
            </w:tcBorders>
          </w:tcPr>
          <w:p>
            <w:pPr>
              <w:pStyle w:val="TableParagraph"/>
              <w:spacing w:line="273" w:lineRule="exact"/>
              <w:ind w:right="14"/>
              <w:jc w:val="center"/>
              <w:rPr>
                <w:sz w:val="24"/>
              </w:rPr>
            </w:pPr>
            <w:r>
              <w:rPr>
                <w:spacing w:val="-10"/>
                <w:sz w:val="24"/>
              </w:rPr>
              <w:t>5</w:t>
            </w:r>
          </w:p>
        </w:tc>
        <w:tc>
          <w:tcPr>
            <w:tcW w:w="1885" w:type="dxa"/>
            <w:tcBorders>
              <w:top w:val="single" w:sz="4" w:space="0" w:color="000000"/>
            </w:tcBorders>
          </w:tcPr>
          <w:p>
            <w:pPr>
              <w:pStyle w:val="TableParagraph"/>
              <w:spacing w:line="273" w:lineRule="exact"/>
              <w:ind w:left="540"/>
              <w:rPr>
                <w:sz w:val="24"/>
              </w:rPr>
            </w:pPr>
            <w:r>
              <w:rPr>
                <w:spacing w:val="-2"/>
                <w:sz w:val="24"/>
              </w:rPr>
              <w:t>20.54</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10</w:t>
            </w:r>
          </w:p>
        </w:tc>
        <w:tc>
          <w:tcPr>
            <w:tcW w:w="1885" w:type="dxa"/>
          </w:tcPr>
          <w:p>
            <w:pPr>
              <w:pStyle w:val="TableParagraph"/>
              <w:spacing w:before="63"/>
              <w:ind w:left="540"/>
              <w:rPr>
                <w:sz w:val="24"/>
              </w:rPr>
            </w:pPr>
            <w:r>
              <w:rPr>
                <w:spacing w:val="-2"/>
                <w:sz w:val="24"/>
              </w:rPr>
              <w:t>26.51</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15</w:t>
            </w:r>
          </w:p>
        </w:tc>
        <w:tc>
          <w:tcPr>
            <w:tcW w:w="1885" w:type="dxa"/>
          </w:tcPr>
          <w:p>
            <w:pPr>
              <w:pStyle w:val="TableParagraph"/>
              <w:spacing w:before="64"/>
              <w:ind w:left="540"/>
              <w:rPr>
                <w:sz w:val="24"/>
              </w:rPr>
            </w:pPr>
            <w:r>
              <w:rPr>
                <w:spacing w:val="-2"/>
                <w:sz w:val="24"/>
              </w:rPr>
              <w:t>33.65</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30</w:t>
            </w:r>
          </w:p>
        </w:tc>
        <w:tc>
          <w:tcPr>
            <w:tcW w:w="1885" w:type="dxa"/>
          </w:tcPr>
          <w:p>
            <w:pPr>
              <w:pStyle w:val="TableParagraph"/>
              <w:spacing w:before="63"/>
              <w:ind w:left="540"/>
              <w:rPr>
                <w:sz w:val="24"/>
              </w:rPr>
            </w:pPr>
            <w:r>
              <w:rPr>
                <w:spacing w:val="-2"/>
                <w:sz w:val="24"/>
              </w:rPr>
              <w:t>43.62</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45</w:t>
            </w:r>
          </w:p>
        </w:tc>
        <w:tc>
          <w:tcPr>
            <w:tcW w:w="1885" w:type="dxa"/>
          </w:tcPr>
          <w:p>
            <w:pPr>
              <w:pStyle w:val="TableParagraph"/>
              <w:spacing w:before="64"/>
              <w:ind w:left="540"/>
              <w:rPr>
                <w:sz w:val="24"/>
              </w:rPr>
            </w:pPr>
            <w:r>
              <w:rPr>
                <w:spacing w:val="-2"/>
                <w:sz w:val="24"/>
              </w:rPr>
              <w:t>57.07</w:t>
            </w:r>
          </w:p>
        </w:tc>
      </w:tr>
      <w:tr>
        <w:trPr>
          <w:trHeight w:val="412"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60</w:t>
            </w:r>
          </w:p>
        </w:tc>
        <w:tc>
          <w:tcPr>
            <w:tcW w:w="1885" w:type="dxa"/>
          </w:tcPr>
          <w:p>
            <w:pPr>
              <w:pStyle w:val="TableParagraph"/>
              <w:spacing w:before="63"/>
              <w:ind w:left="540"/>
              <w:rPr>
                <w:sz w:val="24"/>
              </w:rPr>
            </w:pPr>
            <w:r>
              <w:rPr>
                <w:spacing w:val="-2"/>
                <w:sz w:val="24"/>
              </w:rPr>
              <w:t>73.32</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75</w:t>
            </w:r>
          </w:p>
        </w:tc>
        <w:tc>
          <w:tcPr>
            <w:tcW w:w="1885" w:type="dxa"/>
          </w:tcPr>
          <w:p>
            <w:pPr>
              <w:pStyle w:val="TableParagraph"/>
              <w:spacing w:before="63"/>
              <w:ind w:left="540"/>
              <w:rPr>
                <w:sz w:val="24"/>
              </w:rPr>
            </w:pPr>
            <w:r>
              <w:rPr>
                <w:spacing w:val="-2"/>
                <w:sz w:val="24"/>
              </w:rPr>
              <w:t>92.57</w:t>
            </w:r>
          </w:p>
        </w:tc>
      </w:tr>
      <w:tr>
        <w:trPr>
          <w:trHeight w:val="413"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90</w:t>
            </w:r>
          </w:p>
        </w:tc>
        <w:tc>
          <w:tcPr>
            <w:tcW w:w="1885" w:type="dxa"/>
          </w:tcPr>
          <w:p>
            <w:pPr>
              <w:pStyle w:val="TableParagraph"/>
              <w:spacing w:before="64"/>
              <w:ind w:left="540"/>
              <w:rPr>
                <w:sz w:val="24"/>
              </w:rPr>
            </w:pPr>
            <w:r>
              <w:rPr>
                <w:spacing w:val="-2"/>
                <w:sz w:val="24"/>
              </w:rPr>
              <w:t>100.00</w:t>
            </w:r>
          </w:p>
        </w:tc>
      </w:tr>
      <w:tr>
        <w:trPr>
          <w:trHeight w:val="413"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spacing w:before="63"/>
              <w:ind w:right="103"/>
              <w:jc w:val="center"/>
              <w:rPr>
                <w:sz w:val="24"/>
              </w:rPr>
            </w:pPr>
            <w:r>
              <w:rPr>
                <w:spacing w:val="-5"/>
                <w:sz w:val="24"/>
              </w:rPr>
              <w:t>10</w:t>
            </w:r>
          </w:p>
        </w:tc>
        <w:tc>
          <w:tcPr>
            <w:tcW w:w="1453" w:type="dxa"/>
          </w:tcPr>
          <w:p>
            <w:pPr>
              <w:pStyle w:val="TableParagraph"/>
              <w:spacing w:before="63"/>
              <w:ind w:right="14"/>
              <w:jc w:val="center"/>
              <w:rPr>
                <w:sz w:val="24"/>
              </w:rPr>
            </w:pPr>
            <w:r>
              <w:rPr>
                <w:spacing w:val="-10"/>
                <w:sz w:val="24"/>
              </w:rPr>
              <w:t>5</w:t>
            </w:r>
          </w:p>
        </w:tc>
        <w:tc>
          <w:tcPr>
            <w:tcW w:w="1885" w:type="dxa"/>
          </w:tcPr>
          <w:p>
            <w:pPr>
              <w:pStyle w:val="TableParagraph"/>
              <w:spacing w:before="63"/>
              <w:ind w:right="142"/>
              <w:jc w:val="center"/>
              <w:rPr>
                <w:sz w:val="24"/>
              </w:rPr>
            </w:pPr>
            <w:r>
              <w:rPr>
                <w:spacing w:val="-4"/>
                <w:sz w:val="24"/>
              </w:rPr>
              <w:t>7.56</w:t>
            </w:r>
          </w:p>
        </w:tc>
      </w:tr>
      <w:tr>
        <w:trPr>
          <w:trHeight w:val="413"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10</w:t>
            </w:r>
          </w:p>
        </w:tc>
        <w:tc>
          <w:tcPr>
            <w:tcW w:w="1885" w:type="dxa"/>
          </w:tcPr>
          <w:p>
            <w:pPr>
              <w:pStyle w:val="TableParagraph"/>
              <w:spacing w:before="64"/>
              <w:ind w:left="540"/>
              <w:rPr>
                <w:sz w:val="24"/>
              </w:rPr>
            </w:pPr>
            <w:r>
              <w:rPr>
                <w:spacing w:val="-2"/>
                <w:sz w:val="24"/>
              </w:rPr>
              <w:t>14.71</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15</w:t>
            </w:r>
          </w:p>
        </w:tc>
        <w:tc>
          <w:tcPr>
            <w:tcW w:w="1885" w:type="dxa"/>
          </w:tcPr>
          <w:p>
            <w:pPr>
              <w:pStyle w:val="TableParagraph"/>
              <w:spacing w:before="63"/>
              <w:ind w:left="540"/>
              <w:rPr>
                <w:sz w:val="24"/>
              </w:rPr>
            </w:pPr>
            <w:r>
              <w:rPr>
                <w:spacing w:val="-2"/>
                <w:sz w:val="24"/>
              </w:rPr>
              <w:t>23.03</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30</w:t>
            </w:r>
          </w:p>
        </w:tc>
        <w:tc>
          <w:tcPr>
            <w:tcW w:w="1885" w:type="dxa"/>
          </w:tcPr>
          <w:p>
            <w:pPr>
              <w:pStyle w:val="TableParagraph"/>
              <w:spacing w:before="64"/>
              <w:ind w:left="540"/>
              <w:rPr>
                <w:sz w:val="24"/>
              </w:rPr>
            </w:pPr>
            <w:r>
              <w:rPr>
                <w:spacing w:val="-2"/>
                <w:sz w:val="24"/>
              </w:rPr>
              <w:t>33.68</w:t>
            </w:r>
          </w:p>
        </w:tc>
      </w:tr>
      <w:tr>
        <w:trPr>
          <w:trHeight w:val="413"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45</w:t>
            </w:r>
          </w:p>
        </w:tc>
        <w:tc>
          <w:tcPr>
            <w:tcW w:w="1885" w:type="dxa"/>
          </w:tcPr>
          <w:p>
            <w:pPr>
              <w:pStyle w:val="TableParagraph"/>
              <w:spacing w:before="63"/>
              <w:ind w:left="540"/>
              <w:rPr>
                <w:sz w:val="24"/>
              </w:rPr>
            </w:pPr>
            <w:r>
              <w:rPr>
                <w:spacing w:val="-2"/>
                <w:sz w:val="24"/>
              </w:rPr>
              <w:t>49.08</w:t>
            </w:r>
          </w:p>
        </w:tc>
      </w:tr>
      <w:tr>
        <w:trPr>
          <w:trHeight w:val="413"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60</w:t>
            </w:r>
          </w:p>
        </w:tc>
        <w:tc>
          <w:tcPr>
            <w:tcW w:w="1885" w:type="dxa"/>
          </w:tcPr>
          <w:p>
            <w:pPr>
              <w:pStyle w:val="TableParagraph"/>
              <w:spacing w:before="64"/>
              <w:ind w:left="540"/>
              <w:rPr>
                <w:sz w:val="24"/>
              </w:rPr>
            </w:pPr>
            <w:r>
              <w:rPr>
                <w:spacing w:val="-2"/>
                <w:sz w:val="24"/>
              </w:rPr>
              <w:t>67.40</w:t>
            </w:r>
          </w:p>
        </w:tc>
      </w:tr>
      <w:tr>
        <w:trPr>
          <w:trHeight w:val="414"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3"/>
              <w:ind w:right="134"/>
              <w:jc w:val="center"/>
              <w:rPr>
                <w:sz w:val="24"/>
              </w:rPr>
            </w:pPr>
            <w:r>
              <w:rPr>
                <w:spacing w:val="-5"/>
                <w:sz w:val="24"/>
              </w:rPr>
              <w:t>75</w:t>
            </w:r>
          </w:p>
        </w:tc>
        <w:tc>
          <w:tcPr>
            <w:tcW w:w="1885" w:type="dxa"/>
          </w:tcPr>
          <w:p>
            <w:pPr>
              <w:pStyle w:val="TableParagraph"/>
              <w:spacing w:before="63"/>
              <w:ind w:left="540"/>
              <w:rPr>
                <w:sz w:val="24"/>
              </w:rPr>
            </w:pPr>
            <w:r>
              <w:rPr>
                <w:spacing w:val="-2"/>
                <w:sz w:val="24"/>
              </w:rPr>
              <w:t>88.28</w:t>
            </w:r>
          </w:p>
        </w:tc>
      </w:tr>
      <w:tr>
        <w:trPr>
          <w:trHeight w:val="413" w:hRule="atLeast"/>
        </w:trPr>
        <w:tc>
          <w:tcPr>
            <w:tcW w:w="1396" w:type="dxa"/>
          </w:tcPr>
          <w:p>
            <w:pPr>
              <w:pStyle w:val="TableParagraph"/>
              <w:rPr>
                <w:sz w:val="22"/>
              </w:rPr>
            </w:pPr>
          </w:p>
        </w:tc>
        <w:tc>
          <w:tcPr>
            <w:tcW w:w="2498" w:type="dxa"/>
          </w:tcPr>
          <w:p>
            <w:pPr>
              <w:pStyle w:val="TableParagraph"/>
              <w:rPr>
                <w:sz w:val="22"/>
              </w:rPr>
            </w:pPr>
          </w:p>
        </w:tc>
        <w:tc>
          <w:tcPr>
            <w:tcW w:w="1727" w:type="dxa"/>
          </w:tcPr>
          <w:p>
            <w:pPr>
              <w:pStyle w:val="TableParagraph"/>
              <w:rPr>
                <w:sz w:val="22"/>
              </w:rPr>
            </w:pPr>
          </w:p>
        </w:tc>
        <w:tc>
          <w:tcPr>
            <w:tcW w:w="1453" w:type="dxa"/>
          </w:tcPr>
          <w:p>
            <w:pPr>
              <w:pStyle w:val="TableParagraph"/>
              <w:spacing w:before="64"/>
              <w:ind w:right="134"/>
              <w:jc w:val="center"/>
              <w:rPr>
                <w:sz w:val="24"/>
              </w:rPr>
            </w:pPr>
            <w:r>
              <w:rPr>
                <w:spacing w:val="-5"/>
                <w:sz w:val="24"/>
              </w:rPr>
              <w:t>90</w:t>
            </w:r>
          </w:p>
        </w:tc>
        <w:tc>
          <w:tcPr>
            <w:tcW w:w="1885" w:type="dxa"/>
          </w:tcPr>
          <w:p>
            <w:pPr>
              <w:pStyle w:val="TableParagraph"/>
              <w:spacing w:before="64"/>
              <w:ind w:left="540"/>
              <w:rPr>
                <w:sz w:val="24"/>
              </w:rPr>
            </w:pPr>
            <w:r>
              <w:rPr>
                <w:spacing w:val="-2"/>
                <w:sz w:val="24"/>
              </w:rPr>
              <w:t>98.34</w:t>
            </w:r>
          </w:p>
        </w:tc>
      </w:tr>
      <w:tr>
        <w:trPr>
          <w:trHeight w:val="483" w:hRule="atLeast"/>
        </w:trPr>
        <w:tc>
          <w:tcPr>
            <w:tcW w:w="1396" w:type="dxa"/>
            <w:tcBorders>
              <w:bottom w:val="single" w:sz="4" w:space="0" w:color="000000"/>
            </w:tcBorders>
          </w:tcPr>
          <w:p>
            <w:pPr>
              <w:pStyle w:val="TableParagraph"/>
              <w:rPr>
                <w:sz w:val="22"/>
              </w:rPr>
            </w:pPr>
          </w:p>
        </w:tc>
        <w:tc>
          <w:tcPr>
            <w:tcW w:w="2498" w:type="dxa"/>
            <w:tcBorders>
              <w:bottom w:val="single" w:sz="4" w:space="0" w:color="000000"/>
            </w:tcBorders>
          </w:tcPr>
          <w:p>
            <w:pPr>
              <w:pStyle w:val="TableParagraph"/>
              <w:rPr>
                <w:sz w:val="22"/>
              </w:rPr>
            </w:pPr>
          </w:p>
        </w:tc>
        <w:tc>
          <w:tcPr>
            <w:tcW w:w="1727" w:type="dxa"/>
            <w:tcBorders>
              <w:bottom w:val="single" w:sz="4" w:space="0" w:color="000000"/>
            </w:tcBorders>
          </w:tcPr>
          <w:p>
            <w:pPr>
              <w:pStyle w:val="TableParagraph"/>
              <w:rPr>
                <w:sz w:val="22"/>
              </w:rPr>
            </w:pPr>
          </w:p>
        </w:tc>
        <w:tc>
          <w:tcPr>
            <w:tcW w:w="1453" w:type="dxa"/>
            <w:tcBorders>
              <w:bottom w:val="single" w:sz="4" w:space="0" w:color="000000"/>
            </w:tcBorders>
          </w:tcPr>
          <w:p>
            <w:pPr>
              <w:pStyle w:val="TableParagraph"/>
              <w:spacing w:before="63"/>
              <w:ind w:left="418"/>
              <w:rPr>
                <w:sz w:val="24"/>
              </w:rPr>
            </w:pPr>
            <w:r>
              <w:rPr>
                <w:spacing w:val="-5"/>
                <w:sz w:val="24"/>
              </w:rPr>
              <w:t>105</w:t>
            </w:r>
          </w:p>
        </w:tc>
        <w:tc>
          <w:tcPr>
            <w:tcW w:w="1885" w:type="dxa"/>
            <w:tcBorders>
              <w:bottom w:val="single" w:sz="4" w:space="0" w:color="000000"/>
            </w:tcBorders>
          </w:tcPr>
          <w:p>
            <w:pPr>
              <w:pStyle w:val="TableParagraph"/>
              <w:spacing w:before="63"/>
              <w:ind w:left="480"/>
              <w:rPr>
                <w:sz w:val="24"/>
              </w:rPr>
            </w:pPr>
            <w:r>
              <w:rPr>
                <w:spacing w:val="-2"/>
                <w:sz w:val="24"/>
              </w:rPr>
              <w:t>100.00</w:t>
            </w:r>
          </w:p>
        </w:tc>
      </w:tr>
    </w:tbl>
    <w:p>
      <w:pPr>
        <w:spacing w:after="0"/>
        <w:rPr>
          <w:sz w:val="24"/>
        </w:rPr>
        <w:sectPr>
          <w:pgSz w:w="12240" w:h="15840"/>
          <w:pgMar w:header="0" w:footer="1056" w:top="1760" w:bottom="1240" w:left="1420" w:right="420"/>
        </w:sectPr>
      </w:pPr>
    </w:p>
    <w:p>
      <w:pPr>
        <w:spacing w:line="278" w:lineRule="auto" w:before="70"/>
        <w:ind w:left="678" w:right="1679" w:firstLine="0"/>
        <w:jc w:val="left"/>
        <w:rPr>
          <w:b/>
          <w:sz w:val="24"/>
        </w:rPr>
      </w:pPr>
      <w:r>
        <w:rPr/>
        <mc:AlternateContent>
          <mc:Choice Requires="wps">
            <w:drawing>
              <wp:anchor distT="0" distB="0" distL="0" distR="0" allowOverlap="1" layoutInCell="1" locked="0" behindDoc="1" simplePos="0" relativeHeight="483053568">
                <wp:simplePos x="0" y="0"/>
                <wp:positionH relativeFrom="page">
                  <wp:posOffset>-1402226</wp:posOffset>
                </wp:positionH>
                <wp:positionV relativeFrom="page">
                  <wp:posOffset>4612234</wp:posOffset>
                </wp:positionV>
                <wp:extent cx="10685780" cy="91440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291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5"/>
          <w:sz w:val="24"/>
        </w:rPr>
        <w:t> </w:t>
      </w:r>
      <w:r>
        <w:rPr>
          <w:b/>
          <w:sz w:val="24"/>
        </w:rPr>
        <w:t>4:</w:t>
      </w:r>
      <w:r>
        <w:rPr>
          <w:b/>
          <w:spacing w:val="-5"/>
          <w:sz w:val="24"/>
        </w:rPr>
        <w:t> </w:t>
      </w:r>
      <w:r>
        <w:rPr>
          <w:b/>
          <w:sz w:val="24"/>
        </w:rPr>
        <w:t>Dissolution</w:t>
      </w:r>
      <w:r>
        <w:rPr>
          <w:b/>
          <w:spacing w:val="-5"/>
          <w:sz w:val="24"/>
        </w:rPr>
        <w:t> </w:t>
      </w:r>
      <w:r>
        <w:rPr>
          <w:b/>
          <w:sz w:val="24"/>
        </w:rPr>
        <w:t>profiles</w:t>
      </w:r>
      <w:r>
        <w:rPr>
          <w:b/>
          <w:spacing w:val="-5"/>
          <w:sz w:val="24"/>
        </w:rPr>
        <w:t> </w:t>
      </w:r>
      <w:r>
        <w:rPr>
          <w:b/>
          <w:sz w:val="24"/>
        </w:rPr>
        <w:t>of</w:t>
      </w:r>
      <w:r>
        <w:rPr>
          <w:b/>
          <w:spacing w:val="-2"/>
          <w:sz w:val="24"/>
        </w:rPr>
        <w:t> </w:t>
      </w:r>
      <w:r>
        <w:rPr>
          <w:b/>
          <w:i/>
          <w:sz w:val="24"/>
        </w:rPr>
        <w:t>M.</w:t>
      </w:r>
      <w:r>
        <w:rPr>
          <w:b/>
          <w:i/>
          <w:spacing w:val="-5"/>
          <w:sz w:val="24"/>
        </w:rPr>
        <w:t> </w:t>
      </w:r>
      <w:r>
        <w:rPr>
          <w:b/>
          <w:i/>
          <w:sz w:val="24"/>
        </w:rPr>
        <w:t>pruriens</w:t>
      </w:r>
      <w:r>
        <w:rPr>
          <w:b/>
          <w:i/>
          <w:spacing w:val="-5"/>
          <w:sz w:val="24"/>
        </w:rPr>
        <w:t> </w:t>
      </w:r>
      <w:r>
        <w:rPr>
          <w:b/>
          <w:sz w:val="24"/>
        </w:rPr>
        <w:t>tablets</w:t>
      </w:r>
      <w:r>
        <w:rPr>
          <w:b/>
          <w:spacing w:val="-5"/>
          <w:sz w:val="24"/>
        </w:rPr>
        <w:t> </w:t>
      </w:r>
      <w:r>
        <w:rPr>
          <w:b/>
          <w:sz w:val="24"/>
        </w:rPr>
        <w:t>prepared</w:t>
      </w:r>
      <w:r>
        <w:rPr>
          <w:b/>
          <w:spacing w:val="-5"/>
          <w:sz w:val="24"/>
        </w:rPr>
        <w:t> </w:t>
      </w:r>
      <w:r>
        <w:rPr>
          <w:b/>
          <w:sz w:val="24"/>
        </w:rPr>
        <w:t>by</w:t>
      </w:r>
      <w:r>
        <w:rPr>
          <w:b/>
          <w:spacing w:val="-5"/>
          <w:sz w:val="24"/>
        </w:rPr>
        <w:t> </w:t>
      </w:r>
      <w:r>
        <w:rPr>
          <w:b/>
          <w:sz w:val="24"/>
        </w:rPr>
        <w:t>direct compression using Cellactose as diluent.</w:t>
      </w:r>
    </w:p>
    <w:p>
      <w:pPr>
        <w:pStyle w:val="BodyText"/>
        <w:spacing w:before="1"/>
        <w:rPr>
          <w:b/>
          <w:sz w:val="17"/>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3"/>
        <w:gridCol w:w="2500"/>
        <w:gridCol w:w="1725"/>
        <w:gridCol w:w="1449"/>
        <w:gridCol w:w="1880"/>
      </w:tblGrid>
      <w:tr>
        <w:trPr>
          <w:trHeight w:val="827" w:hRule="atLeast"/>
        </w:trPr>
        <w:tc>
          <w:tcPr>
            <w:tcW w:w="1403" w:type="dxa"/>
            <w:tcBorders>
              <w:top w:val="single" w:sz="4" w:space="0" w:color="000000"/>
              <w:bottom w:val="single" w:sz="4" w:space="0" w:color="000000"/>
            </w:tcBorders>
          </w:tcPr>
          <w:p>
            <w:pPr>
              <w:pStyle w:val="TableParagraph"/>
              <w:spacing w:line="275" w:lineRule="exact"/>
              <w:ind w:left="333"/>
              <w:rPr>
                <w:b/>
                <w:sz w:val="24"/>
              </w:rPr>
            </w:pPr>
            <w:r>
              <w:rPr>
                <w:b/>
                <w:spacing w:val="-2"/>
                <w:sz w:val="24"/>
              </w:rPr>
              <w:t>Diluents</w:t>
            </w:r>
          </w:p>
        </w:tc>
        <w:tc>
          <w:tcPr>
            <w:tcW w:w="2500" w:type="dxa"/>
            <w:tcBorders>
              <w:top w:val="single" w:sz="4" w:space="0" w:color="000000"/>
              <w:bottom w:val="single" w:sz="4" w:space="0" w:color="000000"/>
            </w:tcBorders>
          </w:tcPr>
          <w:p>
            <w:pPr>
              <w:pStyle w:val="TableParagraph"/>
              <w:spacing w:line="275" w:lineRule="exact"/>
              <w:ind w:left="214"/>
              <w:rPr>
                <w:b/>
                <w:sz w:val="24"/>
              </w:rPr>
            </w:pPr>
            <w:r>
              <w:rPr>
                <w:b/>
                <w:sz w:val="24"/>
              </w:rPr>
              <w:t>Weight</w:t>
            </w:r>
            <w:r>
              <w:rPr>
                <w:b/>
                <w:spacing w:val="-4"/>
                <w:sz w:val="24"/>
              </w:rPr>
              <w:t> </w:t>
            </w:r>
            <w:r>
              <w:rPr>
                <w:b/>
                <w:sz w:val="24"/>
              </w:rPr>
              <w:t>(mg)</w:t>
            </w:r>
            <w:r>
              <w:rPr>
                <w:b/>
                <w:spacing w:val="-2"/>
                <w:sz w:val="24"/>
              </w:rPr>
              <w:t> </w:t>
            </w:r>
            <w:r>
              <w:rPr>
                <w:b/>
                <w:spacing w:val="-5"/>
                <w:sz w:val="24"/>
              </w:rPr>
              <w:t>of</w:t>
            </w:r>
          </w:p>
          <w:p>
            <w:pPr>
              <w:pStyle w:val="TableParagraph"/>
              <w:spacing w:before="139"/>
              <w:ind w:left="214"/>
              <w:rPr>
                <w:b/>
                <w:sz w:val="24"/>
              </w:rPr>
            </w:pPr>
            <w:r>
              <w:rPr>
                <w:b/>
                <w:spacing w:val="-2"/>
                <w:sz w:val="24"/>
              </w:rPr>
              <w:t>diluents/combination</w:t>
            </w:r>
          </w:p>
        </w:tc>
        <w:tc>
          <w:tcPr>
            <w:tcW w:w="1725" w:type="dxa"/>
            <w:tcBorders>
              <w:top w:val="single" w:sz="4" w:space="0" w:color="000000"/>
              <w:bottom w:val="single" w:sz="4" w:space="0" w:color="000000"/>
            </w:tcBorders>
          </w:tcPr>
          <w:p>
            <w:pPr>
              <w:pStyle w:val="TableParagraph"/>
              <w:spacing w:line="275" w:lineRule="exact"/>
              <w:ind w:left="187"/>
              <w:rPr>
                <w:b/>
                <w:sz w:val="24"/>
              </w:rPr>
            </w:pPr>
            <w:r>
              <w:rPr>
                <w:b/>
                <w:spacing w:val="-2"/>
                <w:sz w:val="24"/>
              </w:rPr>
              <w:t>Compression</w:t>
            </w:r>
          </w:p>
          <w:p>
            <w:pPr>
              <w:pStyle w:val="TableParagraph"/>
              <w:spacing w:before="139"/>
              <w:ind w:left="124"/>
              <w:rPr>
                <w:b/>
                <w:sz w:val="24"/>
              </w:rPr>
            </w:pPr>
            <w:r>
              <w:rPr>
                <w:b/>
                <w:sz w:val="24"/>
              </w:rPr>
              <w:t>Pressure</w:t>
            </w:r>
            <w:r>
              <w:rPr>
                <w:b/>
                <w:spacing w:val="-4"/>
                <w:sz w:val="24"/>
              </w:rPr>
              <w:t> (KN)</w:t>
            </w:r>
          </w:p>
        </w:tc>
        <w:tc>
          <w:tcPr>
            <w:tcW w:w="1449" w:type="dxa"/>
            <w:tcBorders>
              <w:top w:val="single" w:sz="4" w:space="0" w:color="000000"/>
              <w:bottom w:val="single" w:sz="4" w:space="0" w:color="000000"/>
            </w:tcBorders>
          </w:tcPr>
          <w:p>
            <w:pPr>
              <w:pStyle w:val="TableParagraph"/>
              <w:spacing w:line="275" w:lineRule="exact"/>
              <w:ind w:left="128"/>
              <w:rPr>
                <w:b/>
                <w:sz w:val="24"/>
              </w:rPr>
            </w:pPr>
            <w:r>
              <w:rPr>
                <w:b/>
                <w:sz w:val="24"/>
              </w:rPr>
              <w:t>Time</w:t>
            </w:r>
            <w:r>
              <w:rPr>
                <w:b/>
                <w:spacing w:val="-4"/>
                <w:sz w:val="24"/>
              </w:rPr>
              <w:t> </w:t>
            </w:r>
            <w:r>
              <w:rPr>
                <w:b/>
                <w:spacing w:val="-2"/>
                <w:sz w:val="24"/>
              </w:rPr>
              <w:t>(min)</w:t>
            </w:r>
          </w:p>
        </w:tc>
        <w:tc>
          <w:tcPr>
            <w:tcW w:w="1880" w:type="dxa"/>
            <w:tcBorders>
              <w:top w:val="single" w:sz="4" w:space="0" w:color="000000"/>
              <w:bottom w:val="single" w:sz="4" w:space="0" w:color="000000"/>
            </w:tcBorders>
          </w:tcPr>
          <w:p>
            <w:pPr>
              <w:pStyle w:val="TableParagraph"/>
              <w:spacing w:line="275" w:lineRule="exact"/>
              <w:ind w:left="167"/>
              <w:rPr>
                <w:b/>
                <w:sz w:val="24"/>
              </w:rPr>
            </w:pPr>
            <w:r>
              <w:rPr>
                <w:b/>
                <w:sz w:val="24"/>
              </w:rPr>
              <w:t>Cumulative</w:t>
            </w:r>
            <w:r>
              <w:rPr>
                <w:b/>
                <w:spacing w:val="-4"/>
                <w:sz w:val="24"/>
              </w:rPr>
              <w:t> </w:t>
            </w:r>
            <w:r>
              <w:rPr>
                <w:b/>
                <w:spacing w:val="-10"/>
                <w:sz w:val="24"/>
              </w:rPr>
              <w:t>%</w:t>
            </w:r>
          </w:p>
          <w:p>
            <w:pPr>
              <w:pStyle w:val="TableParagraph"/>
              <w:spacing w:before="139"/>
              <w:ind w:left="234"/>
              <w:rPr>
                <w:b/>
                <w:sz w:val="24"/>
              </w:rPr>
            </w:pPr>
            <w:r>
              <w:rPr>
                <w:b/>
                <w:sz w:val="24"/>
              </w:rPr>
              <w:t>Drug</w:t>
            </w:r>
            <w:r>
              <w:rPr>
                <w:b/>
                <w:spacing w:val="-2"/>
                <w:sz w:val="24"/>
              </w:rPr>
              <w:t> Release</w:t>
            </w:r>
          </w:p>
        </w:tc>
      </w:tr>
      <w:tr>
        <w:trPr>
          <w:trHeight w:val="344" w:hRule="atLeast"/>
        </w:trPr>
        <w:tc>
          <w:tcPr>
            <w:tcW w:w="1403" w:type="dxa"/>
            <w:tcBorders>
              <w:top w:val="single" w:sz="4" w:space="0" w:color="000000"/>
            </w:tcBorders>
          </w:tcPr>
          <w:p>
            <w:pPr>
              <w:pStyle w:val="TableParagraph"/>
              <w:spacing w:line="270" w:lineRule="exact"/>
              <w:ind w:left="122"/>
              <w:rPr>
                <w:sz w:val="24"/>
              </w:rPr>
            </w:pPr>
            <w:r>
              <w:rPr>
                <w:spacing w:val="-2"/>
                <w:sz w:val="24"/>
              </w:rPr>
              <w:t>Cellactose</w:t>
            </w:r>
          </w:p>
        </w:tc>
        <w:tc>
          <w:tcPr>
            <w:tcW w:w="2500" w:type="dxa"/>
            <w:tcBorders>
              <w:top w:val="single" w:sz="4" w:space="0" w:color="000000"/>
            </w:tcBorders>
          </w:tcPr>
          <w:p>
            <w:pPr>
              <w:pStyle w:val="TableParagraph"/>
              <w:spacing w:line="270" w:lineRule="exact"/>
              <w:ind w:left="815"/>
              <w:rPr>
                <w:sz w:val="24"/>
              </w:rPr>
            </w:pPr>
            <w:r>
              <w:rPr>
                <w:spacing w:val="-5"/>
                <w:sz w:val="24"/>
              </w:rPr>
              <w:t>400</w:t>
            </w:r>
          </w:p>
        </w:tc>
        <w:tc>
          <w:tcPr>
            <w:tcW w:w="1725" w:type="dxa"/>
            <w:tcBorders>
              <w:top w:val="single" w:sz="4" w:space="0" w:color="000000"/>
            </w:tcBorders>
          </w:tcPr>
          <w:p>
            <w:pPr>
              <w:pStyle w:val="TableParagraph"/>
              <w:spacing w:line="270" w:lineRule="exact"/>
              <w:ind w:right="95"/>
              <w:jc w:val="center"/>
              <w:rPr>
                <w:sz w:val="24"/>
              </w:rPr>
            </w:pPr>
            <w:r>
              <w:rPr>
                <w:spacing w:val="-10"/>
                <w:sz w:val="24"/>
              </w:rPr>
              <w:t>5</w:t>
            </w:r>
          </w:p>
        </w:tc>
        <w:tc>
          <w:tcPr>
            <w:tcW w:w="1449" w:type="dxa"/>
            <w:tcBorders>
              <w:top w:val="single" w:sz="4" w:space="0" w:color="000000"/>
            </w:tcBorders>
          </w:tcPr>
          <w:p>
            <w:pPr>
              <w:pStyle w:val="TableParagraph"/>
              <w:spacing w:line="270" w:lineRule="exact"/>
              <w:ind w:left="120" w:right="129"/>
              <w:jc w:val="center"/>
              <w:rPr>
                <w:sz w:val="24"/>
              </w:rPr>
            </w:pPr>
            <w:r>
              <w:rPr>
                <w:spacing w:val="-10"/>
                <w:sz w:val="24"/>
              </w:rPr>
              <w:t>5</w:t>
            </w:r>
          </w:p>
        </w:tc>
        <w:tc>
          <w:tcPr>
            <w:tcW w:w="1880" w:type="dxa"/>
            <w:tcBorders>
              <w:top w:val="single" w:sz="4" w:space="0" w:color="000000"/>
            </w:tcBorders>
          </w:tcPr>
          <w:p>
            <w:pPr>
              <w:pStyle w:val="TableParagraph"/>
              <w:spacing w:line="270" w:lineRule="exact"/>
              <w:ind w:left="542"/>
              <w:rPr>
                <w:sz w:val="24"/>
              </w:rPr>
            </w:pPr>
            <w:r>
              <w:rPr>
                <w:spacing w:val="-4"/>
                <w:sz w:val="24"/>
              </w:rPr>
              <w:t>8.23</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10</w:t>
            </w:r>
          </w:p>
        </w:tc>
        <w:tc>
          <w:tcPr>
            <w:tcW w:w="1880" w:type="dxa"/>
          </w:tcPr>
          <w:p>
            <w:pPr>
              <w:pStyle w:val="TableParagraph"/>
              <w:spacing w:before="64"/>
              <w:ind w:left="482"/>
              <w:rPr>
                <w:sz w:val="24"/>
              </w:rPr>
            </w:pPr>
            <w:r>
              <w:rPr>
                <w:spacing w:val="-2"/>
                <w:sz w:val="24"/>
              </w:rPr>
              <w:t>14.66</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3"/>
              <w:ind w:right="129"/>
              <w:jc w:val="center"/>
              <w:rPr>
                <w:sz w:val="24"/>
              </w:rPr>
            </w:pPr>
            <w:r>
              <w:rPr>
                <w:spacing w:val="-5"/>
                <w:sz w:val="24"/>
              </w:rPr>
              <w:t>15</w:t>
            </w:r>
          </w:p>
        </w:tc>
        <w:tc>
          <w:tcPr>
            <w:tcW w:w="1880" w:type="dxa"/>
          </w:tcPr>
          <w:p>
            <w:pPr>
              <w:pStyle w:val="TableParagraph"/>
              <w:spacing w:before="63"/>
              <w:ind w:left="482"/>
              <w:rPr>
                <w:sz w:val="24"/>
              </w:rPr>
            </w:pPr>
            <w:r>
              <w:rPr>
                <w:spacing w:val="-2"/>
                <w:sz w:val="24"/>
              </w:rPr>
              <w:t>22.08</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30</w:t>
            </w:r>
          </w:p>
        </w:tc>
        <w:tc>
          <w:tcPr>
            <w:tcW w:w="1880" w:type="dxa"/>
          </w:tcPr>
          <w:p>
            <w:pPr>
              <w:pStyle w:val="TableParagraph"/>
              <w:spacing w:before="64"/>
              <w:ind w:left="482"/>
              <w:rPr>
                <w:sz w:val="24"/>
              </w:rPr>
            </w:pPr>
            <w:r>
              <w:rPr>
                <w:spacing w:val="-2"/>
                <w:sz w:val="24"/>
              </w:rPr>
              <w:t>32.74</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3"/>
              <w:ind w:right="129"/>
              <w:jc w:val="center"/>
              <w:rPr>
                <w:sz w:val="24"/>
              </w:rPr>
            </w:pPr>
            <w:r>
              <w:rPr>
                <w:spacing w:val="-5"/>
                <w:sz w:val="24"/>
              </w:rPr>
              <w:t>45</w:t>
            </w:r>
          </w:p>
        </w:tc>
        <w:tc>
          <w:tcPr>
            <w:tcW w:w="1880" w:type="dxa"/>
          </w:tcPr>
          <w:p>
            <w:pPr>
              <w:pStyle w:val="TableParagraph"/>
              <w:spacing w:before="63"/>
              <w:ind w:left="482"/>
              <w:rPr>
                <w:sz w:val="24"/>
              </w:rPr>
            </w:pPr>
            <w:r>
              <w:rPr>
                <w:spacing w:val="-2"/>
                <w:sz w:val="24"/>
              </w:rPr>
              <w:t>47.34</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60</w:t>
            </w:r>
          </w:p>
        </w:tc>
        <w:tc>
          <w:tcPr>
            <w:tcW w:w="1880" w:type="dxa"/>
          </w:tcPr>
          <w:p>
            <w:pPr>
              <w:pStyle w:val="TableParagraph"/>
              <w:spacing w:before="64"/>
              <w:ind w:left="482"/>
              <w:rPr>
                <w:sz w:val="24"/>
              </w:rPr>
            </w:pPr>
            <w:r>
              <w:rPr>
                <w:spacing w:val="-2"/>
                <w:sz w:val="24"/>
              </w:rPr>
              <w:t>64.78</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3"/>
              <w:ind w:right="129"/>
              <w:jc w:val="center"/>
              <w:rPr>
                <w:sz w:val="24"/>
              </w:rPr>
            </w:pPr>
            <w:r>
              <w:rPr>
                <w:spacing w:val="-5"/>
                <w:sz w:val="24"/>
              </w:rPr>
              <w:t>75</w:t>
            </w:r>
          </w:p>
        </w:tc>
        <w:tc>
          <w:tcPr>
            <w:tcW w:w="1880" w:type="dxa"/>
          </w:tcPr>
          <w:p>
            <w:pPr>
              <w:pStyle w:val="TableParagraph"/>
              <w:spacing w:before="63"/>
              <w:ind w:left="482"/>
              <w:rPr>
                <w:sz w:val="24"/>
              </w:rPr>
            </w:pPr>
            <w:r>
              <w:rPr>
                <w:spacing w:val="-2"/>
                <w:sz w:val="24"/>
              </w:rPr>
              <w:t>85.30</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90</w:t>
            </w:r>
          </w:p>
        </w:tc>
        <w:tc>
          <w:tcPr>
            <w:tcW w:w="1880" w:type="dxa"/>
          </w:tcPr>
          <w:p>
            <w:pPr>
              <w:pStyle w:val="TableParagraph"/>
              <w:spacing w:before="64"/>
              <w:ind w:left="422"/>
              <w:rPr>
                <w:sz w:val="24"/>
              </w:rPr>
            </w:pPr>
            <w:r>
              <w:rPr>
                <w:spacing w:val="-2"/>
                <w:sz w:val="24"/>
              </w:rPr>
              <w:t>100.00</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spacing w:before="63"/>
              <w:ind w:right="95"/>
              <w:jc w:val="center"/>
              <w:rPr>
                <w:sz w:val="24"/>
              </w:rPr>
            </w:pPr>
            <w:r>
              <w:rPr>
                <w:spacing w:val="-5"/>
                <w:sz w:val="24"/>
              </w:rPr>
              <w:t>10</w:t>
            </w:r>
          </w:p>
        </w:tc>
        <w:tc>
          <w:tcPr>
            <w:tcW w:w="1449" w:type="dxa"/>
          </w:tcPr>
          <w:p>
            <w:pPr>
              <w:pStyle w:val="TableParagraph"/>
              <w:spacing w:before="63"/>
              <w:ind w:left="120" w:right="129"/>
              <w:jc w:val="center"/>
              <w:rPr>
                <w:sz w:val="24"/>
              </w:rPr>
            </w:pPr>
            <w:r>
              <w:rPr>
                <w:spacing w:val="-10"/>
                <w:sz w:val="24"/>
              </w:rPr>
              <w:t>5</w:t>
            </w:r>
          </w:p>
        </w:tc>
        <w:tc>
          <w:tcPr>
            <w:tcW w:w="1880" w:type="dxa"/>
          </w:tcPr>
          <w:p>
            <w:pPr>
              <w:pStyle w:val="TableParagraph"/>
              <w:spacing w:before="63"/>
              <w:ind w:right="133"/>
              <w:jc w:val="center"/>
              <w:rPr>
                <w:sz w:val="24"/>
              </w:rPr>
            </w:pPr>
            <w:r>
              <w:rPr>
                <w:spacing w:val="-4"/>
                <w:sz w:val="24"/>
              </w:rPr>
              <w:t>8.23</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10</w:t>
            </w:r>
          </w:p>
        </w:tc>
        <w:tc>
          <w:tcPr>
            <w:tcW w:w="1880" w:type="dxa"/>
          </w:tcPr>
          <w:p>
            <w:pPr>
              <w:pStyle w:val="TableParagraph"/>
              <w:spacing w:before="64"/>
              <w:ind w:left="542"/>
              <w:rPr>
                <w:sz w:val="24"/>
              </w:rPr>
            </w:pPr>
            <w:r>
              <w:rPr>
                <w:spacing w:val="-2"/>
                <w:sz w:val="24"/>
              </w:rPr>
              <w:t>13.70</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3"/>
              <w:ind w:right="129"/>
              <w:jc w:val="center"/>
              <w:rPr>
                <w:sz w:val="24"/>
              </w:rPr>
            </w:pPr>
            <w:r>
              <w:rPr>
                <w:spacing w:val="-5"/>
                <w:sz w:val="24"/>
              </w:rPr>
              <w:t>15</w:t>
            </w:r>
          </w:p>
        </w:tc>
        <w:tc>
          <w:tcPr>
            <w:tcW w:w="1880" w:type="dxa"/>
          </w:tcPr>
          <w:p>
            <w:pPr>
              <w:pStyle w:val="TableParagraph"/>
              <w:spacing w:before="63"/>
              <w:ind w:left="542"/>
              <w:rPr>
                <w:sz w:val="24"/>
              </w:rPr>
            </w:pPr>
            <w:r>
              <w:rPr>
                <w:spacing w:val="-2"/>
                <w:sz w:val="24"/>
              </w:rPr>
              <w:t>19.90</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30</w:t>
            </w:r>
          </w:p>
        </w:tc>
        <w:tc>
          <w:tcPr>
            <w:tcW w:w="1880" w:type="dxa"/>
          </w:tcPr>
          <w:p>
            <w:pPr>
              <w:pStyle w:val="TableParagraph"/>
              <w:spacing w:before="64"/>
              <w:ind w:left="542"/>
              <w:rPr>
                <w:sz w:val="24"/>
              </w:rPr>
            </w:pPr>
            <w:r>
              <w:rPr>
                <w:spacing w:val="-2"/>
                <w:sz w:val="24"/>
              </w:rPr>
              <w:t>27.17</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3"/>
              <w:ind w:right="129"/>
              <w:jc w:val="center"/>
              <w:rPr>
                <w:sz w:val="24"/>
              </w:rPr>
            </w:pPr>
            <w:r>
              <w:rPr>
                <w:spacing w:val="-5"/>
                <w:sz w:val="24"/>
              </w:rPr>
              <w:t>45</w:t>
            </w:r>
          </w:p>
        </w:tc>
        <w:tc>
          <w:tcPr>
            <w:tcW w:w="1880" w:type="dxa"/>
          </w:tcPr>
          <w:p>
            <w:pPr>
              <w:pStyle w:val="TableParagraph"/>
              <w:spacing w:before="63"/>
              <w:ind w:left="542"/>
              <w:rPr>
                <w:sz w:val="24"/>
              </w:rPr>
            </w:pPr>
            <w:r>
              <w:rPr>
                <w:spacing w:val="-2"/>
                <w:sz w:val="24"/>
              </w:rPr>
              <w:t>37.45</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60</w:t>
            </w:r>
          </w:p>
        </w:tc>
        <w:tc>
          <w:tcPr>
            <w:tcW w:w="1880" w:type="dxa"/>
          </w:tcPr>
          <w:p>
            <w:pPr>
              <w:pStyle w:val="TableParagraph"/>
              <w:spacing w:before="64"/>
              <w:ind w:left="542"/>
              <w:rPr>
                <w:sz w:val="24"/>
              </w:rPr>
            </w:pPr>
            <w:r>
              <w:rPr>
                <w:spacing w:val="-2"/>
                <w:sz w:val="24"/>
              </w:rPr>
              <w:t>48.97</w:t>
            </w:r>
          </w:p>
        </w:tc>
      </w:tr>
      <w:tr>
        <w:trPr>
          <w:trHeight w:val="414"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3"/>
              <w:ind w:right="129"/>
              <w:jc w:val="center"/>
              <w:rPr>
                <w:sz w:val="24"/>
              </w:rPr>
            </w:pPr>
            <w:r>
              <w:rPr>
                <w:spacing w:val="-5"/>
                <w:sz w:val="24"/>
              </w:rPr>
              <w:t>75</w:t>
            </w:r>
          </w:p>
        </w:tc>
        <w:tc>
          <w:tcPr>
            <w:tcW w:w="1880" w:type="dxa"/>
          </w:tcPr>
          <w:p>
            <w:pPr>
              <w:pStyle w:val="TableParagraph"/>
              <w:spacing w:before="63"/>
              <w:ind w:left="542"/>
              <w:rPr>
                <w:sz w:val="24"/>
              </w:rPr>
            </w:pPr>
            <w:r>
              <w:rPr>
                <w:spacing w:val="-2"/>
                <w:sz w:val="24"/>
              </w:rPr>
              <w:t>65.13</w:t>
            </w:r>
          </w:p>
        </w:tc>
      </w:tr>
      <w:tr>
        <w:trPr>
          <w:trHeight w:val="413" w:hRule="atLeast"/>
        </w:trPr>
        <w:tc>
          <w:tcPr>
            <w:tcW w:w="1403" w:type="dxa"/>
          </w:tcPr>
          <w:p>
            <w:pPr>
              <w:pStyle w:val="TableParagraph"/>
              <w:rPr>
                <w:sz w:val="24"/>
              </w:rPr>
            </w:pPr>
          </w:p>
        </w:tc>
        <w:tc>
          <w:tcPr>
            <w:tcW w:w="2500" w:type="dxa"/>
          </w:tcPr>
          <w:p>
            <w:pPr>
              <w:pStyle w:val="TableParagraph"/>
              <w:rPr>
                <w:sz w:val="24"/>
              </w:rPr>
            </w:pPr>
          </w:p>
        </w:tc>
        <w:tc>
          <w:tcPr>
            <w:tcW w:w="1725" w:type="dxa"/>
          </w:tcPr>
          <w:p>
            <w:pPr>
              <w:pStyle w:val="TableParagraph"/>
              <w:rPr>
                <w:sz w:val="24"/>
              </w:rPr>
            </w:pPr>
          </w:p>
        </w:tc>
        <w:tc>
          <w:tcPr>
            <w:tcW w:w="1449" w:type="dxa"/>
          </w:tcPr>
          <w:p>
            <w:pPr>
              <w:pStyle w:val="TableParagraph"/>
              <w:spacing w:before="64"/>
              <w:ind w:right="129"/>
              <w:jc w:val="center"/>
              <w:rPr>
                <w:sz w:val="24"/>
              </w:rPr>
            </w:pPr>
            <w:r>
              <w:rPr>
                <w:spacing w:val="-5"/>
                <w:sz w:val="24"/>
              </w:rPr>
              <w:t>90</w:t>
            </w:r>
          </w:p>
        </w:tc>
        <w:tc>
          <w:tcPr>
            <w:tcW w:w="1880" w:type="dxa"/>
          </w:tcPr>
          <w:p>
            <w:pPr>
              <w:pStyle w:val="TableParagraph"/>
              <w:spacing w:before="64"/>
              <w:ind w:left="542"/>
              <w:rPr>
                <w:sz w:val="24"/>
              </w:rPr>
            </w:pPr>
            <w:r>
              <w:rPr>
                <w:spacing w:val="-2"/>
                <w:sz w:val="24"/>
              </w:rPr>
              <w:t>84.42</w:t>
            </w:r>
          </w:p>
        </w:tc>
      </w:tr>
      <w:tr>
        <w:trPr>
          <w:trHeight w:val="483" w:hRule="atLeast"/>
        </w:trPr>
        <w:tc>
          <w:tcPr>
            <w:tcW w:w="1403" w:type="dxa"/>
            <w:tcBorders>
              <w:bottom w:val="single" w:sz="4" w:space="0" w:color="000000"/>
            </w:tcBorders>
          </w:tcPr>
          <w:p>
            <w:pPr>
              <w:pStyle w:val="TableParagraph"/>
              <w:rPr>
                <w:sz w:val="24"/>
              </w:rPr>
            </w:pPr>
          </w:p>
        </w:tc>
        <w:tc>
          <w:tcPr>
            <w:tcW w:w="2500" w:type="dxa"/>
            <w:tcBorders>
              <w:bottom w:val="single" w:sz="4" w:space="0" w:color="000000"/>
            </w:tcBorders>
          </w:tcPr>
          <w:p>
            <w:pPr>
              <w:pStyle w:val="TableParagraph"/>
              <w:rPr>
                <w:sz w:val="24"/>
              </w:rPr>
            </w:pPr>
          </w:p>
        </w:tc>
        <w:tc>
          <w:tcPr>
            <w:tcW w:w="1725" w:type="dxa"/>
            <w:tcBorders>
              <w:bottom w:val="single" w:sz="4" w:space="0" w:color="000000"/>
            </w:tcBorders>
          </w:tcPr>
          <w:p>
            <w:pPr>
              <w:pStyle w:val="TableParagraph"/>
              <w:rPr>
                <w:sz w:val="24"/>
              </w:rPr>
            </w:pPr>
          </w:p>
        </w:tc>
        <w:tc>
          <w:tcPr>
            <w:tcW w:w="1449" w:type="dxa"/>
            <w:tcBorders>
              <w:bottom w:val="single" w:sz="4" w:space="0" w:color="000000"/>
            </w:tcBorders>
          </w:tcPr>
          <w:p>
            <w:pPr>
              <w:pStyle w:val="TableParagraph"/>
              <w:spacing w:before="63"/>
              <w:ind w:left="418"/>
              <w:rPr>
                <w:sz w:val="24"/>
              </w:rPr>
            </w:pPr>
            <w:r>
              <w:rPr>
                <w:spacing w:val="-5"/>
                <w:sz w:val="24"/>
              </w:rPr>
              <w:t>105</w:t>
            </w:r>
          </w:p>
        </w:tc>
        <w:tc>
          <w:tcPr>
            <w:tcW w:w="1880" w:type="dxa"/>
            <w:tcBorders>
              <w:bottom w:val="single" w:sz="4" w:space="0" w:color="000000"/>
            </w:tcBorders>
          </w:tcPr>
          <w:p>
            <w:pPr>
              <w:pStyle w:val="TableParagraph"/>
              <w:spacing w:before="63"/>
              <w:ind w:left="482"/>
              <w:rPr>
                <w:sz w:val="24"/>
              </w:rPr>
            </w:pPr>
            <w:r>
              <w:rPr>
                <w:spacing w:val="-2"/>
                <w:sz w:val="24"/>
              </w:rPr>
              <w:t>100.00</w:t>
            </w:r>
          </w:p>
        </w:tc>
      </w:tr>
    </w:tbl>
    <w:p>
      <w:pPr>
        <w:spacing w:after="0"/>
        <w:rPr>
          <w:sz w:val="24"/>
        </w:rPr>
        <w:sectPr>
          <w:pgSz w:w="12240" w:h="15840"/>
          <w:pgMar w:header="0" w:footer="1056" w:top="1760" w:bottom="1240" w:left="1420" w:right="420"/>
        </w:sectPr>
      </w:pPr>
    </w:p>
    <w:p>
      <w:pPr>
        <w:spacing w:line="276" w:lineRule="auto" w:before="77"/>
        <w:ind w:left="678" w:right="1679" w:firstLine="0"/>
        <w:jc w:val="left"/>
        <w:rPr>
          <w:b/>
          <w:sz w:val="24"/>
        </w:rPr>
      </w:pPr>
      <w:r>
        <w:rPr/>
        <mc:AlternateContent>
          <mc:Choice Requires="wps">
            <w:drawing>
              <wp:anchor distT="0" distB="0" distL="0" distR="0" allowOverlap="1" layoutInCell="1" locked="0" behindDoc="1" simplePos="0" relativeHeight="483054080">
                <wp:simplePos x="0" y="0"/>
                <wp:positionH relativeFrom="page">
                  <wp:posOffset>-1402226</wp:posOffset>
                </wp:positionH>
                <wp:positionV relativeFrom="page">
                  <wp:posOffset>4612234</wp:posOffset>
                </wp:positionV>
                <wp:extent cx="10685780" cy="91440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2400;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5"/>
          <w:sz w:val="24"/>
        </w:rPr>
        <w:t> </w:t>
      </w:r>
      <w:r>
        <w:rPr>
          <w:b/>
          <w:sz w:val="24"/>
        </w:rPr>
        <w:t>5:</w:t>
      </w:r>
      <w:r>
        <w:rPr>
          <w:b/>
          <w:spacing w:val="-5"/>
          <w:sz w:val="24"/>
        </w:rPr>
        <w:t> </w:t>
      </w:r>
      <w:r>
        <w:rPr>
          <w:b/>
          <w:sz w:val="24"/>
        </w:rPr>
        <w:t>Dissolution</w:t>
      </w:r>
      <w:r>
        <w:rPr>
          <w:b/>
          <w:spacing w:val="-5"/>
          <w:sz w:val="24"/>
        </w:rPr>
        <w:t> </w:t>
      </w:r>
      <w:r>
        <w:rPr>
          <w:b/>
          <w:sz w:val="24"/>
        </w:rPr>
        <w:t>profiles</w:t>
      </w:r>
      <w:r>
        <w:rPr>
          <w:b/>
          <w:spacing w:val="-5"/>
          <w:sz w:val="24"/>
        </w:rPr>
        <w:t> </w:t>
      </w:r>
      <w:r>
        <w:rPr>
          <w:b/>
          <w:sz w:val="24"/>
        </w:rPr>
        <w:t>of</w:t>
      </w:r>
      <w:r>
        <w:rPr>
          <w:b/>
          <w:spacing w:val="-2"/>
          <w:sz w:val="24"/>
        </w:rPr>
        <w:t> </w:t>
      </w:r>
      <w:r>
        <w:rPr>
          <w:b/>
          <w:i/>
          <w:sz w:val="24"/>
        </w:rPr>
        <w:t>M.</w:t>
      </w:r>
      <w:r>
        <w:rPr>
          <w:b/>
          <w:i/>
          <w:spacing w:val="-5"/>
          <w:sz w:val="24"/>
        </w:rPr>
        <w:t> </w:t>
      </w:r>
      <w:r>
        <w:rPr>
          <w:b/>
          <w:i/>
          <w:sz w:val="24"/>
        </w:rPr>
        <w:t>pruriens</w:t>
      </w:r>
      <w:r>
        <w:rPr>
          <w:b/>
          <w:i/>
          <w:spacing w:val="-5"/>
          <w:sz w:val="24"/>
        </w:rPr>
        <w:t> </w:t>
      </w:r>
      <w:r>
        <w:rPr>
          <w:b/>
          <w:sz w:val="24"/>
        </w:rPr>
        <w:t>tablets</w:t>
      </w:r>
      <w:r>
        <w:rPr>
          <w:b/>
          <w:spacing w:val="-5"/>
          <w:sz w:val="24"/>
        </w:rPr>
        <w:t> </w:t>
      </w:r>
      <w:r>
        <w:rPr>
          <w:b/>
          <w:sz w:val="24"/>
        </w:rPr>
        <w:t>prepared</w:t>
      </w:r>
      <w:r>
        <w:rPr>
          <w:b/>
          <w:spacing w:val="-5"/>
          <w:sz w:val="24"/>
        </w:rPr>
        <w:t> </w:t>
      </w:r>
      <w:r>
        <w:rPr>
          <w:b/>
          <w:sz w:val="24"/>
        </w:rPr>
        <w:t>by</w:t>
      </w:r>
      <w:r>
        <w:rPr>
          <w:b/>
          <w:spacing w:val="-5"/>
          <w:sz w:val="24"/>
        </w:rPr>
        <w:t> </w:t>
      </w:r>
      <w:r>
        <w:rPr>
          <w:b/>
          <w:sz w:val="24"/>
        </w:rPr>
        <w:t>direct compression using lactose as diluent.</w:t>
      </w:r>
    </w:p>
    <w:p>
      <w:pPr>
        <w:pStyle w:val="BodyText"/>
        <w:rPr>
          <w:b/>
          <w:sz w:val="20"/>
        </w:rPr>
      </w:pPr>
    </w:p>
    <w:p>
      <w:pPr>
        <w:pStyle w:val="BodyText"/>
        <w:spacing w:before="155"/>
        <w:rPr>
          <w:b/>
          <w:sz w:val="2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6"/>
        <w:gridCol w:w="2497"/>
        <w:gridCol w:w="1727"/>
        <w:gridCol w:w="1453"/>
        <w:gridCol w:w="1885"/>
      </w:tblGrid>
      <w:tr>
        <w:trPr>
          <w:trHeight w:val="827" w:hRule="atLeast"/>
        </w:trPr>
        <w:tc>
          <w:tcPr>
            <w:tcW w:w="1396" w:type="dxa"/>
            <w:tcBorders>
              <w:top w:val="single" w:sz="4" w:space="0" w:color="000000"/>
              <w:bottom w:val="single" w:sz="4" w:space="0" w:color="000000"/>
            </w:tcBorders>
          </w:tcPr>
          <w:p>
            <w:pPr>
              <w:pStyle w:val="TableParagraph"/>
              <w:spacing w:line="275" w:lineRule="exact"/>
              <w:ind w:left="328"/>
              <w:rPr>
                <w:b/>
                <w:sz w:val="24"/>
              </w:rPr>
            </w:pPr>
            <w:r>
              <w:rPr>
                <w:b/>
                <w:spacing w:val="-2"/>
                <w:sz w:val="24"/>
              </w:rPr>
              <w:t>Diluents</w:t>
            </w:r>
          </w:p>
        </w:tc>
        <w:tc>
          <w:tcPr>
            <w:tcW w:w="2497" w:type="dxa"/>
            <w:tcBorders>
              <w:top w:val="single" w:sz="4" w:space="0" w:color="000000"/>
              <w:bottom w:val="single" w:sz="4" w:space="0" w:color="000000"/>
            </w:tcBorders>
          </w:tcPr>
          <w:p>
            <w:pPr>
              <w:pStyle w:val="TableParagraph"/>
              <w:spacing w:line="275" w:lineRule="exact"/>
              <w:ind w:left="211"/>
              <w:rPr>
                <w:b/>
                <w:sz w:val="24"/>
              </w:rPr>
            </w:pPr>
            <w:r>
              <w:rPr>
                <w:b/>
                <w:sz w:val="24"/>
              </w:rPr>
              <w:t>Weight</w:t>
            </w:r>
            <w:r>
              <w:rPr>
                <w:b/>
                <w:spacing w:val="-3"/>
                <w:sz w:val="24"/>
              </w:rPr>
              <w:t> </w:t>
            </w:r>
            <w:r>
              <w:rPr>
                <w:b/>
                <w:sz w:val="24"/>
              </w:rPr>
              <w:t>(mg)</w:t>
            </w:r>
            <w:r>
              <w:rPr>
                <w:b/>
                <w:spacing w:val="-2"/>
                <w:sz w:val="24"/>
              </w:rPr>
              <w:t> </w:t>
            </w:r>
            <w:r>
              <w:rPr>
                <w:b/>
                <w:spacing w:val="-5"/>
                <w:sz w:val="24"/>
              </w:rPr>
              <w:t>of</w:t>
            </w:r>
          </w:p>
          <w:p>
            <w:pPr>
              <w:pStyle w:val="TableParagraph"/>
              <w:spacing w:before="139"/>
              <w:ind w:left="211"/>
              <w:rPr>
                <w:b/>
                <w:sz w:val="24"/>
              </w:rPr>
            </w:pPr>
            <w:r>
              <w:rPr>
                <w:b/>
                <w:spacing w:val="-2"/>
                <w:sz w:val="24"/>
              </w:rPr>
              <w:t>diluents/combination</w:t>
            </w:r>
          </w:p>
        </w:tc>
        <w:tc>
          <w:tcPr>
            <w:tcW w:w="1727" w:type="dxa"/>
            <w:tcBorders>
              <w:top w:val="single" w:sz="4" w:space="0" w:color="000000"/>
              <w:bottom w:val="single" w:sz="4" w:space="0" w:color="000000"/>
            </w:tcBorders>
          </w:tcPr>
          <w:p>
            <w:pPr>
              <w:pStyle w:val="TableParagraph"/>
              <w:spacing w:line="275" w:lineRule="exact"/>
              <w:ind w:left="185"/>
              <w:rPr>
                <w:b/>
                <w:sz w:val="24"/>
              </w:rPr>
            </w:pPr>
            <w:r>
              <w:rPr>
                <w:b/>
                <w:spacing w:val="-2"/>
                <w:sz w:val="24"/>
              </w:rPr>
              <w:t>Compression</w:t>
            </w:r>
          </w:p>
          <w:p>
            <w:pPr>
              <w:pStyle w:val="TableParagraph"/>
              <w:spacing w:before="139"/>
              <w:ind w:left="122"/>
              <w:rPr>
                <w:b/>
                <w:sz w:val="24"/>
              </w:rPr>
            </w:pPr>
            <w:r>
              <w:rPr>
                <w:b/>
                <w:sz w:val="24"/>
              </w:rPr>
              <w:t>Pressure</w:t>
            </w:r>
            <w:r>
              <w:rPr>
                <w:b/>
                <w:spacing w:val="-4"/>
                <w:sz w:val="24"/>
              </w:rPr>
              <w:t> (KN)</w:t>
            </w:r>
          </w:p>
        </w:tc>
        <w:tc>
          <w:tcPr>
            <w:tcW w:w="1453" w:type="dxa"/>
            <w:tcBorders>
              <w:top w:val="single" w:sz="4" w:space="0" w:color="000000"/>
              <w:bottom w:val="single" w:sz="4" w:space="0" w:color="000000"/>
            </w:tcBorders>
          </w:tcPr>
          <w:p>
            <w:pPr>
              <w:pStyle w:val="TableParagraph"/>
              <w:spacing w:line="275" w:lineRule="exact"/>
              <w:ind w:left="98" w:right="134"/>
              <w:jc w:val="center"/>
              <w:rPr>
                <w:b/>
                <w:sz w:val="24"/>
              </w:rPr>
            </w:pPr>
            <w:r>
              <w:rPr>
                <w:b/>
                <w:sz w:val="24"/>
              </w:rPr>
              <w:t>Time</w:t>
            </w:r>
            <w:r>
              <w:rPr>
                <w:b/>
                <w:spacing w:val="-4"/>
                <w:sz w:val="24"/>
              </w:rPr>
              <w:t> </w:t>
            </w:r>
            <w:r>
              <w:rPr>
                <w:b/>
                <w:spacing w:val="-2"/>
                <w:sz w:val="24"/>
              </w:rPr>
              <w:t>(min)</w:t>
            </w:r>
          </w:p>
        </w:tc>
        <w:tc>
          <w:tcPr>
            <w:tcW w:w="1885" w:type="dxa"/>
            <w:tcBorders>
              <w:top w:val="single" w:sz="4" w:space="0" w:color="000000"/>
              <w:bottom w:val="single" w:sz="4" w:space="0" w:color="000000"/>
            </w:tcBorders>
          </w:tcPr>
          <w:p>
            <w:pPr>
              <w:pStyle w:val="TableParagraph"/>
              <w:spacing w:line="275" w:lineRule="exact"/>
              <w:ind w:left="166"/>
              <w:rPr>
                <w:b/>
                <w:sz w:val="24"/>
              </w:rPr>
            </w:pPr>
            <w:r>
              <w:rPr>
                <w:b/>
                <w:sz w:val="24"/>
              </w:rPr>
              <w:t>Cumulative</w:t>
            </w:r>
            <w:r>
              <w:rPr>
                <w:b/>
                <w:spacing w:val="-4"/>
                <w:sz w:val="24"/>
              </w:rPr>
              <w:t> </w:t>
            </w:r>
            <w:r>
              <w:rPr>
                <w:b/>
                <w:spacing w:val="-10"/>
                <w:sz w:val="24"/>
              </w:rPr>
              <w:t>%</w:t>
            </w:r>
          </w:p>
          <w:p>
            <w:pPr>
              <w:pStyle w:val="TableParagraph"/>
              <w:spacing w:before="139"/>
              <w:ind w:left="233"/>
              <w:rPr>
                <w:b/>
                <w:sz w:val="24"/>
              </w:rPr>
            </w:pPr>
            <w:r>
              <w:rPr>
                <w:b/>
                <w:sz w:val="24"/>
              </w:rPr>
              <w:t>Drug</w:t>
            </w:r>
            <w:r>
              <w:rPr>
                <w:b/>
                <w:spacing w:val="-2"/>
                <w:sz w:val="24"/>
              </w:rPr>
              <w:t> Release</w:t>
            </w:r>
          </w:p>
        </w:tc>
      </w:tr>
      <w:tr>
        <w:trPr>
          <w:trHeight w:val="344" w:hRule="atLeast"/>
        </w:trPr>
        <w:tc>
          <w:tcPr>
            <w:tcW w:w="1396" w:type="dxa"/>
            <w:tcBorders>
              <w:top w:val="single" w:sz="4" w:space="0" w:color="000000"/>
            </w:tcBorders>
          </w:tcPr>
          <w:p>
            <w:pPr>
              <w:pStyle w:val="TableParagraph"/>
              <w:spacing w:line="270" w:lineRule="exact"/>
              <w:ind w:left="122"/>
              <w:rPr>
                <w:sz w:val="24"/>
              </w:rPr>
            </w:pPr>
            <w:r>
              <w:rPr>
                <w:spacing w:val="-2"/>
                <w:sz w:val="24"/>
              </w:rPr>
              <w:t>Lactose</w:t>
            </w:r>
          </w:p>
        </w:tc>
        <w:tc>
          <w:tcPr>
            <w:tcW w:w="2497" w:type="dxa"/>
            <w:tcBorders>
              <w:top w:val="single" w:sz="4" w:space="0" w:color="000000"/>
            </w:tcBorders>
          </w:tcPr>
          <w:p>
            <w:pPr>
              <w:pStyle w:val="TableParagraph"/>
              <w:spacing w:line="270" w:lineRule="exact"/>
              <w:ind w:left="812"/>
              <w:rPr>
                <w:sz w:val="24"/>
              </w:rPr>
            </w:pPr>
            <w:r>
              <w:rPr>
                <w:spacing w:val="-5"/>
                <w:sz w:val="24"/>
              </w:rPr>
              <w:t>400</w:t>
            </w:r>
          </w:p>
        </w:tc>
        <w:tc>
          <w:tcPr>
            <w:tcW w:w="1727" w:type="dxa"/>
            <w:tcBorders>
              <w:top w:val="single" w:sz="4" w:space="0" w:color="000000"/>
            </w:tcBorders>
          </w:tcPr>
          <w:p>
            <w:pPr>
              <w:pStyle w:val="TableParagraph"/>
              <w:spacing w:line="270" w:lineRule="exact"/>
              <w:ind w:left="2" w:right="103"/>
              <w:jc w:val="center"/>
              <w:rPr>
                <w:sz w:val="24"/>
              </w:rPr>
            </w:pPr>
            <w:r>
              <w:rPr>
                <w:spacing w:val="-10"/>
                <w:sz w:val="24"/>
              </w:rPr>
              <w:t>5</w:t>
            </w:r>
          </w:p>
        </w:tc>
        <w:tc>
          <w:tcPr>
            <w:tcW w:w="1453" w:type="dxa"/>
            <w:tcBorders>
              <w:top w:val="single" w:sz="4" w:space="0" w:color="000000"/>
            </w:tcBorders>
          </w:tcPr>
          <w:p>
            <w:pPr>
              <w:pStyle w:val="TableParagraph"/>
              <w:spacing w:line="270" w:lineRule="exact"/>
              <w:ind w:right="12"/>
              <w:jc w:val="center"/>
              <w:rPr>
                <w:sz w:val="24"/>
              </w:rPr>
            </w:pPr>
            <w:r>
              <w:rPr>
                <w:spacing w:val="-10"/>
                <w:sz w:val="24"/>
              </w:rPr>
              <w:t>5</w:t>
            </w:r>
          </w:p>
        </w:tc>
        <w:tc>
          <w:tcPr>
            <w:tcW w:w="1885" w:type="dxa"/>
            <w:tcBorders>
              <w:top w:val="single" w:sz="4" w:space="0" w:color="000000"/>
            </w:tcBorders>
          </w:tcPr>
          <w:p>
            <w:pPr>
              <w:pStyle w:val="TableParagraph"/>
              <w:spacing w:line="270" w:lineRule="exact"/>
              <w:ind w:left="541"/>
              <w:rPr>
                <w:sz w:val="24"/>
              </w:rPr>
            </w:pPr>
            <w:r>
              <w:rPr>
                <w:spacing w:val="-4"/>
                <w:sz w:val="24"/>
              </w:rPr>
              <w:t>7.23</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10</w:t>
            </w:r>
          </w:p>
        </w:tc>
        <w:tc>
          <w:tcPr>
            <w:tcW w:w="1885" w:type="dxa"/>
          </w:tcPr>
          <w:p>
            <w:pPr>
              <w:pStyle w:val="TableParagraph"/>
              <w:spacing w:before="64"/>
              <w:ind w:left="481"/>
              <w:rPr>
                <w:sz w:val="24"/>
              </w:rPr>
            </w:pPr>
            <w:r>
              <w:rPr>
                <w:spacing w:val="-2"/>
                <w:sz w:val="24"/>
              </w:rPr>
              <w:t>17.86</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3"/>
              <w:ind w:left="2" w:right="134"/>
              <w:jc w:val="center"/>
              <w:rPr>
                <w:sz w:val="24"/>
              </w:rPr>
            </w:pPr>
            <w:r>
              <w:rPr>
                <w:spacing w:val="-5"/>
                <w:sz w:val="24"/>
              </w:rPr>
              <w:t>15</w:t>
            </w:r>
          </w:p>
        </w:tc>
        <w:tc>
          <w:tcPr>
            <w:tcW w:w="1885" w:type="dxa"/>
          </w:tcPr>
          <w:p>
            <w:pPr>
              <w:pStyle w:val="TableParagraph"/>
              <w:spacing w:before="63"/>
              <w:ind w:left="481"/>
              <w:rPr>
                <w:sz w:val="24"/>
              </w:rPr>
            </w:pPr>
            <w:r>
              <w:rPr>
                <w:spacing w:val="-2"/>
                <w:sz w:val="24"/>
              </w:rPr>
              <w:t>29.12</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30</w:t>
            </w:r>
          </w:p>
        </w:tc>
        <w:tc>
          <w:tcPr>
            <w:tcW w:w="1885" w:type="dxa"/>
          </w:tcPr>
          <w:p>
            <w:pPr>
              <w:pStyle w:val="TableParagraph"/>
              <w:spacing w:before="64"/>
              <w:ind w:left="481"/>
              <w:rPr>
                <w:sz w:val="24"/>
              </w:rPr>
            </w:pPr>
            <w:r>
              <w:rPr>
                <w:spacing w:val="-2"/>
                <w:sz w:val="24"/>
              </w:rPr>
              <w:t>50.47</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3"/>
              <w:ind w:left="2" w:right="134"/>
              <w:jc w:val="center"/>
              <w:rPr>
                <w:sz w:val="24"/>
              </w:rPr>
            </w:pPr>
            <w:r>
              <w:rPr>
                <w:spacing w:val="-5"/>
                <w:sz w:val="24"/>
              </w:rPr>
              <w:t>45</w:t>
            </w:r>
          </w:p>
        </w:tc>
        <w:tc>
          <w:tcPr>
            <w:tcW w:w="1885" w:type="dxa"/>
          </w:tcPr>
          <w:p>
            <w:pPr>
              <w:pStyle w:val="TableParagraph"/>
              <w:spacing w:before="63"/>
              <w:ind w:left="481"/>
              <w:rPr>
                <w:sz w:val="24"/>
              </w:rPr>
            </w:pPr>
            <w:r>
              <w:rPr>
                <w:spacing w:val="-2"/>
                <w:sz w:val="24"/>
              </w:rPr>
              <w:t>76.67</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60</w:t>
            </w:r>
          </w:p>
        </w:tc>
        <w:tc>
          <w:tcPr>
            <w:tcW w:w="1885" w:type="dxa"/>
          </w:tcPr>
          <w:p>
            <w:pPr>
              <w:pStyle w:val="TableParagraph"/>
              <w:spacing w:before="64"/>
              <w:ind w:left="481"/>
              <w:rPr>
                <w:sz w:val="24"/>
              </w:rPr>
            </w:pPr>
            <w:r>
              <w:rPr>
                <w:spacing w:val="-2"/>
                <w:sz w:val="24"/>
              </w:rPr>
              <w:t>64.78</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3"/>
              <w:ind w:left="2" w:right="134"/>
              <w:jc w:val="center"/>
              <w:rPr>
                <w:sz w:val="24"/>
              </w:rPr>
            </w:pPr>
            <w:r>
              <w:rPr>
                <w:spacing w:val="-5"/>
                <w:sz w:val="24"/>
              </w:rPr>
              <w:t>75</w:t>
            </w:r>
          </w:p>
        </w:tc>
        <w:tc>
          <w:tcPr>
            <w:tcW w:w="1885" w:type="dxa"/>
          </w:tcPr>
          <w:p>
            <w:pPr>
              <w:pStyle w:val="TableParagraph"/>
              <w:spacing w:before="63"/>
              <w:ind w:left="481"/>
              <w:rPr>
                <w:sz w:val="24"/>
              </w:rPr>
            </w:pPr>
            <w:r>
              <w:rPr>
                <w:spacing w:val="-2"/>
                <w:sz w:val="24"/>
              </w:rPr>
              <w:t>100.00</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90</w:t>
            </w:r>
          </w:p>
        </w:tc>
        <w:tc>
          <w:tcPr>
            <w:tcW w:w="1885" w:type="dxa"/>
          </w:tcPr>
          <w:p>
            <w:pPr>
              <w:pStyle w:val="TableParagraph"/>
              <w:spacing w:before="64"/>
              <w:ind w:left="481"/>
              <w:rPr>
                <w:sz w:val="24"/>
              </w:rPr>
            </w:pPr>
            <w:r>
              <w:rPr>
                <w:spacing w:val="-2"/>
                <w:sz w:val="24"/>
              </w:rPr>
              <w:t>100.00</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spacing w:before="63"/>
              <w:ind w:left="2" w:right="103"/>
              <w:jc w:val="center"/>
              <w:rPr>
                <w:sz w:val="24"/>
              </w:rPr>
            </w:pPr>
            <w:r>
              <w:rPr>
                <w:spacing w:val="-5"/>
                <w:sz w:val="24"/>
              </w:rPr>
              <w:t>10</w:t>
            </w:r>
          </w:p>
        </w:tc>
        <w:tc>
          <w:tcPr>
            <w:tcW w:w="1453" w:type="dxa"/>
          </w:tcPr>
          <w:p>
            <w:pPr>
              <w:pStyle w:val="TableParagraph"/>
              <w:spacing w:before="63"/>
              <w:ind w:right="12"/>
              <w:jc w:val="center"/>
              <w:rPr>
                <w:sz w:val="24"/>
              </w:rPr>
            </w:pPr>
            <w:r>
              <w:rPr>
                <w:spacing w:val="-10"/>
                <w:sz w:val="24"/>
              </w:rPr>
              <w:t>5</w:t>
            </w:r>
          </w:p>
        </w:tc>
        <w:tc>
          <w:tcPr>
            <w:tcW w:w="1885" w:type="dxa"/>
          </w:tcPr>
          <w:p>
            <w:pPr>
              <w:pStyle w:val="TableParagraph"/>
              <w:spacing w:before="63"/>
              <w:ind w:left="2" w:right="142"/>
              <w:jc w:val="center"/>
              <w:rPr>
                <w:sz w:val="24"/>
              </w:rPr>
            </w:pPr>
            <w:r>
              <w:rPr>
                <w:spacing w:val="-4"/>
                <w:sz w:val="24"/>
              </w:rPr>
              <w:t>9.32</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10</w:t>
            </w:r>
          </w:p>
        </w:tc>
        <w:tc>
          <w:tcPr>
            <w:tcW w:w="1885" w:type="dxa"/>
          </w:tcPr>
          <w:p>
            <w:pPr>
              <w:pStyle w:val="TableParagraph"/>
              <w:spacing w:before="64"/>
              <w:ind w:left="541"/>
              <w:rPr>
                <w:sz w:val="24"/>
              </w:rPr>
            </w:pPr>
            <w:r>
              <w:rPr>
                <w:spacing w:val="-2"/>
                <w:sz w:val="24"/>
              </w:rPr>
              <w:t>15.40</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3"/>
              <w:ind w:left="2" w:right="134"/>
              <w:jc w:val="center"/>
              <w:rPr>
                <w:sz w:val="24"/>
              </w:rPr>
            </w:pPr>
            <w:r>
              <w:rPr>
                <w:spacing w:val="-5"/>
                <w:sz w:val="24"/>
              </w:rPr>
              <w:t>15</w:t>
            </w:r>
          </w:p>
        </w:tc>
        <w:tc>
          <w:tcPr>
            <w:tcW w:w="1885" w:type="dxa"/>
          </w:tcPr>
          <w:p>
            <w:pPr>
              <w:pStyle w:val="TableParagraph"/>
              <w:spacing w:before="63"/>
              <w:ind w:left="541"/>
              <w:rPr>
                <w:sz w:val="24"/>
              </w:rPr>
            </w:pPr>
            <w:r>
              <w:rPr>
                <w:spacing w:val="-2"/>
                <w:sz w:val="24"/>
              </w:rPr>
              <w:t>25.63</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30</w:t>
            </w:r>
          </w:p>
        </w:tc>
        <w:tc>
          <w:tcPr>
            <w:tcW w:w="1885" w:type="dxa"/>
          </w:tcPr>
          <w:p>
            <w:pPr>
              <w:pStyle w:val="TableParagraph"/>
              <w:spacing w:before="64"/>
              <w:ind w:left="541"/>
              <w:rPr>
                <w:sz w:val="24"/>
              </w:rPr>
            </w:pPr>
            <w:r>
              <w:rPr>
                <w:spacing w:val="-2"/>
                <w:sz w:val="24"/>
              </w:rPr>
              <w:t>46.68</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3"/>
              <w:ind w:left="2" w:right="134"/>
              <w:jc w:val="center"/>
              <w:rPr>
                <w:sz w:val="24"/>
              </w:rPr>
            </w:pPr>
            <w:r>
              <w:rPr>
                <w:spacing w:val="-5"/>
                <w:sz w:val="24"/>
              </w:rPr>
              <w:t>45</w:t>
            </w:r>
          </w:p>
        </w:tc>
        <w:tc>
          <w:tcPr>
            <w:tcW w:w="1885" w:type="dxa"/>
          </w:tcPr>
          <w:p>
            <w:pPr>
              <w:pStyle w:val="TableParagraph"/>
              <w:spacing w:before="63"/>
              <w:ind w:left="541"/>
              <w:rPr>
                <w:sz w:val="24"/>
              </w:rPr>
            </w:pPr>
            <w:r>
              <w:rPr>
                <w:spacing w:val="-2"/>
                <w:sz w:val="24"/>
              </w:rPr>
              <w:t>70.59</w:t>
            </w:r>
          </w:p>
        </w:tc>
      </w:tr>
      <w:tr>
        <w:trPr>
          <w:trHeight w:val="413"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4"/>
              <w:ind w:left="2" w:right="134"/>
              <w:jc w:val="center"/>
              <w:rPr>
                <w:sz w:val="24"/>
              </w:rPr>
            </w:pPr>
            <w:r>
              <w:rPr>
                <w:spacing w:val="-5"/>
                <w:sz w:val="24"/>
              </w:rPr>
              <w:t>60</w:t>
            </w:r>
          </w:p>
        </w:tc>
        <w:tc>
          <w:tcPr>
            <w:tcW w:w="1885" w:type="dxa"/>
          </w:tcPr>
          <w:p>
            <w:pPr>
              <w:pStyle w:val="TableParagraph"/>
              <w:spacing w:before="64"/>
              <w:ind w:left="541"/>
              <w:rPr>
                <w:sz w:val="24"/>
              </w:rPr>
            </w:pPr>
            <w:r>
              <w:rPr>
                <w:spacing w:val="-2"/>
                <w:sz w:val="24"/>
              </w:rPr>
              <w:t>97.62</w:t>
            </w:r>
          </w:p>
        </w:tc>
      </w:tr>
      <w:tr>
        <w:trPr>
          <w:trHeight w:val="414" w:hRule="atLeast"/>
        </w:trPr>
        <w:tc>
          <w:tcPr>
            <w:tcW w:w="1396" w:type="dxa"/>
          </w:tcPr>
          <w:p>
            <w:pPr>
              <w:pStyle w:val="TableParagraph"/>
              <w:rPr>
                <w:sz w:val="24"/>
              </w:rPr>
            </w:pPr>
          </w:p>
        </w:tc>
        <w:tc>
          <w:tcPr>
            <w:tcW w:w="2497" w:type="dxa"/>
          </w:tcPr>
          <w:p>
            <w:pPr>
              <w:pStyle w:val="TableParagraph"/>
              <w:rPr>
                <w:sz w:val="24"/>
              </w:rPr>
            </w:pPr>
          </w:p>
        </w:tc>
        <w:tc>
          <w:tcPr>
            <w:tcW w:w="1727" w:type="dxa"/>
          </w:tcPr>
          <w:p>
            <w:pPr>
              <w:pStyle w:val="TableParagraph"/>
              <w:rPr>
                <w:sz w:val="24"/>
              </w:rPr>
            </w:pPr>
          </w:p>
        </w:tc>
        <w:tc>
          <w:tcPr>
            <w:tcW w:w="1453" w:type="dxa"/>
          </w:tcPr>
          <w:p>
            <w:pPr>
              <w:pStyle w:val="TableParagraph"/>
              <w:spacing w:before="63"/>
              <w:ind w:left="2" w:right="134"/>
              <w:jc w:val="center"/>
              <w:rPr>
                <w:sz w:val="24"/>
              </w:rPr>
            </w:pPr>
            <w:r>
              <w:rPr>
                <w:spacing w:val="-5"/>
                <w:sz w:val="24"/>
              </w:rPr>
              <w:t>75</w:t>
            </w:r>
          </w:p>
        </w:tc>
        <w:tc>
          <w:tcPr>
            <w:tcW w:w="1885" w:type="dxa"/>
          </w:tcPr>
          <w:p>
            <w:pPr>
              <w:pStyle w:val="TableParagraph"/>
              <w:spacing w:before="63"/>
              <w:ind w:left="481"/>
              <w:rPr>
                <w:sz w:val="24"/>
              </w:rPr>
            </w:pPr>
            <w:r>
              <w:rPr>
                <w:spacing w:val="-2"/>
                <w:sz w:val="24"/>
              </w:rPr>
              <w:t>100.00</w:t>
            </w:r>
          </w:p>
        </w:tc>
      </w:tr>
      <w:tr>
        <w:trPr>
          <w:trHeight w:val="482" w:hRule="atLeast"/>
        </w:trPr>
        <w:tc>
          <w:tcPr>
            <w:tcW w:w="1396" w:type="dxa"/>
            <w:tcBorders>
              <w:bottom w:val="single" w:sz="4" w:space="0" w:color="000000"/>
            </w:tcBorders>
          </w:tcPr>
          <w:p>
            <w:pPr>
              <w:pStyle w:val="TableParagraph"/>
              <w:rPr>
                <w:sz w:val="24"/>
              </w:rPr>
            </w:pPr>
          </w:p>
        </w:tc>
        <w:tc>
          <w:tcPr>
            <w:tcW w:w="2497" w:type="dxa"/>
            <w:tcBorders>
              <w:bottom w:val="single" w:sz="4" w:space="0" w:color="000000"/>
            </w:tcBorders>
          </w:tcPr>
          <w:p>
            <w:pPr>
              <w:pStyle w:val="TableParagraph"/>
              <w:rPr>
                <w:sz w:val="24"/>
              </w:rPr>
            </w:pPr>
          </w:p>
        </w:tc>
        <w:tc>
          <w:tcPr>
            <w:tcW w:w="1727" w:type="dxa"/>
            <w:tcBorders>
              <w:bottom w:val="single" w:sz="4" w:space="0" w:color="000000"/>
            </w:tcBorders>
          </w:tcPr>
          <w:p>
            <w:pPr>
              <w:pStyle w:val="TableParagraph"/>
              <w:rPr>
                <w:sz w:val="24"/>
              </w:rPr>
            </w:pPr>
          </w:p>
        </w:tc>
        <w:tc>
          <w:tcPr>
            <w:tcW w:w="1453" w:type="dxa"/>
            <w:tcBorders>
              <w:bottom w:val="single" w:sz="4" w:space="0" w:color="000000"/>
            </w:tcBorders>
          </w:tcPr>
          <w:p>
            <w:pPr>
              <w:pStyle w:val="TableParagraph"/>
              <w:spacing w:before="64"/>
              <w:ind w:left="2" w:right="134"/>
              <w:jc w:val="center"/>
              <w:rPr>
                <w:sz w:val="24"/>
              </w:rPr>
            </w:pPr>
            <w:r>
              <w:rPr>
                <w:spacing w:val="-5"/>
                <w:sz w:val="24"/>
              </w:rPr>
              <w:t>90</w:t>
            </w:r>
          </w:p>
        </w:tc>
        <w:tc>
          <w:tcPr>
            <w:tcW w:w="1885" w:type="dxa"/>
            <w:tcBorders>
              <w:bottom w:val="single" w:sz="4" w:space="0" w:color="000000"/>
            </w:tcBorders>
          </w:tcPr>
          <w:p>
            <w:pPr>
              <w:pStyle w:val="TableParagraph"/>
              <w:spacing w:before="64"/>
              <w:ind w:left="481"/>
              <w:rPr>
                <w:sz w:val="24"/>
              </w:rPr>
            </w:pPr>
            <w:r>
              <w:rPr>
                <w:spacing w:val="-2"/>
                <w:sz w:val="24"/>
              </w:rPr>
              <w:t>100.00</w:t>
            </w:r>
          </w:p>
        </w:tc>
      </w:tr>
    </w:tbl>
    <w:p>
      <w:pPr>
        <w:spacing w:after="0"/>
        <w:rPr>
          <w:sz w:val="24"/>
        </w:rPr>
        <w:sectPr>
          <w:pgSz w:w="12240" w:h="15840"/>
          <w:pgMar w:header="0" w:footer="1056" w:top="1340" w:bottom="1240" w:left="1420" w:right="420"/>
        </w:sectPr>
      </w:pPr>
    </w:p>
    <w:p>
      <w:pPr>
        <w:spacing w:line="360" w:lineRule="auto" w:before="77"/>
        <w:ind w:left="2096" w:right="994" w:hanging="1419"/>
        <w:jc w:val="left"/>
        <w:rPr>
          <w:b/>
          <w:sz w:val="24"/>
        </w:rPr>
      </w:pPr>
      <w:r>
        <w:rPr/>
        <mc:AlternateContent>
          <mc:Choice Requires="wps">
            <w:drawing>
              <wp:anchor distT="0" distB="0" distL="0" distR="0" allowOverlap="1" layoutInCell="1" locked="0" behindDoc="1" simplePos="0" relativeHeight="483054592">
                <wp:simplePos x="0" y="0"/>
                <wp:positionH relativeFrom="page">
                  <wp:posOffset>-1402226</wp:posOffset>
                </wp:positionH>
                <wp:positionV relativeFrom="page">
                  <wp:posOffset>4612234</wp:posOffset>
                </wp:positionV>
                <wp:extent cx="10685780" cy="9144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1888;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35"/>
          <w:sz w:val="24"/>
        </w:rPr>
        <w:t> </w:t>
      </w:r>
      <w:r>
        <w:rPr>
          <w:b/>
          <w:sz w:val="24"/>
        </w:rPr>
        <w:t>6:</w:t>
      </w:r>
      <w:r>
        <w:rPr>
          <w:b/>
          <w:spacing w:val="34"/>
          <w:sz w:val="24"/>
        </w:rPr>
        <w:t> </w:t>
      </w:r>
      <w:r>
        <w:rPr>
          <w:b/>
          <w:sz w:val="24"/>
        </w:rPr>
        <w:t>Dissolution</w:t>
      </w:r>
      <w:r>
        <w:rPr>
          <w:b/>
          <w:spacing w:val="35"/>
          <w:sz w:val="24"/>
        </w:rPr>
        <w:t> </w:t>
      </w:r>
      <w:r>
        <w:rPr>
          <w:b/>
          <w:sz w:val="24"/>
        </w:rPr>
        <w:t>profiles</w:t>
      </w:r>
      <w:r>
        <w:rPr>
          <w:b/>
          <w:spacing w:val="35"/>
          <w:sz w:val="24"/>
        </w:rPr>
        <w:t> </w:t>
      </w:r>
      <w:r>
        <w:rPr>
          <w:b/>
          <w:sz w:val="24"/>
        </w:rPr>
        <w:t>of</w:t>
      </w:r>
      <w:r>
        <w:rPr>
          <w:b/>
          <w:spacing w:val="39"/>
          <w:sz w:val="24"/>
        </w:rPr>
        <w:t> </w:t>
      </w:r>
      <w:r>
        <w:rPr>
          <w:b/>
          <w:i/>
          <w:sz w:val="24"/>
        </w:rPr>
        <w:t>M.</w:t>
      </w:r>
      <w:r>
        <w:rPr>
          <w:b/>
          <w:i/>
          <w:spacing w:val="35"/>
          <w:sz w:val="24"/>
        </w:rPr>
        <w:t> </w:t>
      </w:r>
      <w:r>
        <w:rPr>
          <w:b/>
          <w:i/>
          <w:sz w:val="24"/>
        </w:rPr>
        <w:t>pruriens</w:t>
      </w:r>
      <w:r>
        <w:rPr>
          <w:b/>
          <w:i/>
          <w:spacing w:val="36"/>
          <w:sz w:val="24"/>
        </w:rPr>
        <w:t> </w:t>
      </w:r>
      <w:r>
        <w:rPr>
          <w:b/>
          <w:sz w:val="24"/>
        </w:rPr>
        <w:t>tablets</w:t>
      </w:r>
      <w:r>
        <w:rPr>
          <w:b/>
          <w:spacing w:val="34"/>
          <w:sz w:val="24"/>
        </w:rPr>
        <w:t> </w:t>
      </w:r>
      <w:r>
        <w:rPr>
          <w:b/>
          <w:sz w:val="24"/>
        </w:rPr>
        <w:t>prepared</w:t>
      </w:r>
      <w:r>
        <w:rPr>
          <w:b/>
          <w:spacing w:val="35"/>
          <w:sz w:val="24"/>
        </w:rPr>
        <w:t> </w:t>
      </w:r>
      <w:r>
        <w:rPr>
          <w:b/>
          <w:sz w:val="24"/>
        </w:rPr>
        <w:t>by</w:t>
      </w:r>
      <w:r>
        <w:rPr>
          <w:b/>
          <w:spacing w:val="35"/>
          <w:sz w:val="24"/>
        </w:rPr>
        <w:t> </w:t>
      </w:r>
      <w:r>
        <w:rPr>
          <w:b/>
          <w:sz w:val="24"/>
        </w:rPr>
        <w:t>using</w:t>
      </w:r>
      <w:r>
        <w:rPr>
          <w:b/>
          <w:spacing w:val="35"/>
          <w:sz w:val="24"/>
        </w:rPr>
        <w:t> </w:t>
      </w:r>
      <w:r>
        <w:rPr>
          <w:b/>
          <w:sz w:val="24"/>
        </w:rPr>
        <w:t>PVP</w:t>
      </w:r>
      <w:r>
        <w:rPr>
          <w:b/>
          <w:spacing w:val="34"/>
          <w:sz w:val="24"/>
        </w:rPr>
        <w:t> </w:t>
      </w:r>
      <w:r>
        <w:rPr>
          <w:b/>
          <w:sz w:val="24"/>
        </w:rPr>
        <w:t>as binding agent.</w:t>
      </w:r>
    </w:p>
    <w:p>
      <w:pPr>
        <w:pStyle w:val="BodyText"/>
        <w:spacing w:before="1"/>
        <w:rPr>
          <w:b/>
          <w:sz w:val="8"/>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7"/>
        <w:gridCol w:w="1904"/>
        <w:gridCol w:w="1797"/>
        <w:gridCol w:w="1818"/>
        <w:gridCol w:w="1638"/>
      </w:tblGrid>
      <w:tr>
        <w:trPr>
          <w:trHeight w:val="827" w:hRule="atLeast"/>
        </w:trPr>
        <w:tc>
          <w:tcPr>
            <w:tcW w:w="1407" w:type="dxa"/>
            <w:tcBorders>
              <w:top w:val="single" w:sz="4" w:space="0" w:color="000000"/>
              <w:bottom w:val="single" w:sz="4" w:space="0" w:color="000000"/>
            </w:tcBorders>
          </w:tcPr>
          <w:p>
            <w:pPr>
              <w:pStyle w:val="TableParagraph"/>
              <w:spacing w:line="275" w:lineRule="exact"/>
              <w:ind w:left="347"/>
              <w:rPr>
                <w:b/>
                <w:sz w:val="24"/>
              </w:rPr>
            </w:pPr>
            <w:r>
              <w:rPr>
                <w:b/>
                <w:spacing w:val="-2"/>
                <w:sz w:val="24"/>
              </w:rPr>
              <w:t>Binding</w:t>
            </w:r>
          </w:p>
          <w:p>
            <w:pPr>
              <w:pStyle w:val="TableParagraph"/>
              <w:spacing w:before="137"/>
              <w:ind w:left="448"/>
              <w:rPr>
                <w:b/>
                <w:sz w:val="24"/>
              </w:rPr>
            </w:pPr>
            <w:r>
              <w:rPr>
                <w:b/>
                <w:spacing w:val="-4"/>
                <w:sz w:val="24"/>
              </w:rPr>
              <w:t>Agent</w:t>
            </w:r>
          </w:p>
        </w:tc>
        <w:tc>
          <w:tcPr>
            <w:tcW w:w="1904" w:type="dxa"/>
            <w:tcBorders>
              <w:top w:val="single" w:sz="4" w:space="0" w:color="000000"/>
              <w:bottom w:val="single" w:sz="4" w:space="0" w:color="000000"/>
            </w:tcBorders>
          </w:tcPr>
          <w:p>
            <w:pPr>
              <w:pStyle w:val="TableParagraph"/>
              <w:spacing w:line="275" w:lineRule="exact"/>
              <w:ind w:left="62" w:right="2"/>
              <w:jc w:val="center"/>
              <w:rPr>
                <w:b/>
                <w:sz w:val="24"/>
              </w:rPr>
            </w:pPr>
            <w:r>
              <w:rPr>
                <w:b/>
                <w:spacing w:val="-2"/>
                <w:sz w:val="24"/>
              </w:rPr>
              <w:t>Concentration</w:t>
            </w:r>
          </w:p>
          <w:p>
            <w:pPr>
              <w:pStyle w:val="TableParagraph"/>
              <w:spacing w:before="137"/>
              <w:ind w:left="62"/>
              <w:jc w:val="center"/>
              <w:rPr>
                <w:b/>
                <w:sz w:val="24"/>
              </w:rPr>
            </w:pPr>
            <w:r>
              <w:rPr>
                <w:b/>
                <w:spacing w:val="-2"/>
                <w:sz w:val="24"/>
              </w:rPr>
              <w:t>(%</w:t>
            </w:r>
            <w:r>
              <w:rPr>
                <w:b/>
                <w:spacing w:val="-2"/>
                <w:sz w:val="24"/>
                <w:vertAlign w:val="superscript"/>
              </w:rPr>
              <w:t>w</w:t>
            </w:r>
            <w:r>
              <w:rPr>
                <w:b/>
                <w:spacing w:val="-2"/>
                <w:sz w:val="24"/>
                <w:vertAlign w:val="baseline"/>
              </w:rPr>
              <w:t>/</w:t>
            </w:r>
            <w:r>
              <w:rPr>
                <w:b/>
                <w:spacing w:val="-2"/>
                <w:sz w:val="24"/>
                <w:vertAlign w:val="subscript"/>
              </w:rPr>
              <w:t>w</w:t>
            </w:r>
            <w:r>
              <w:rPr>
                <w:b/>
                <w:spacing w:val="-2"/>
                <w:sz w:val="24"/>
                <w:vertAlign w:val="baseline"/>
              </w:rPr>
              <w:t>)</w:t>
            </w:r>
          </w:p>
        </w:tc>
        <w:tc>
          <w:tcPr>
            <w:tcW w:w="1797" w:type="dxa"/>
            <w:tcBorders>
              <w:top w:val="single" w:sz="4" w:space="0" w:color="000000"/>
              <w:bottom w:val="single" w:sz="4" w:space="0" w:color="000000"/>
            </w:tcBorders>
          </w:tcPr>
          <w:p>
            <w:pPr>
              <w:pStyle w:val="TableParagraph"/>
              <w:spacing w:line="275" w:lineRule="exact"/>
              <w:ind w:left="222"/>
              <w:rPr>
                <w:b/>
                <w:sz w:val="24"/>
              </w:rPr>
            </w:pPr>
            <w:r>
              <w:rPr>
                <w:b/>
                <w:spacing w:val="-2"/>
                <w:sz w:val="24"/>
              </w:rPr>
              <w:t>Compression</w:t>
            </w:r>
          </w:p>
          <w:p>
            <w:pPr>
              <w:pStyle w:val="TableParagraph"/>
              <w:spacing w:before="137"/>
              <w:ind w:left="183"/>
              <w:rPr>
                <w:b/>
                <w:sz w:val="24"/>
              </w:rPr>
            </w:pPr>
            <w:r>
              <w:rPr>
                <w:b/>
                <w:sz w:val="24"/>
              </w:rPr>
              <w:t>Pressure</w:t>
            </w:r>
            <w:r>
              <w:rPr>
                <w:b/>
                <w:spacing w:val="-4"/>
                <w:sz w:val="24"/>
              </w:rPr>
              <w:t> (kN)</w:t>
            </w:r>
          </w:p>
        </w:tc>
        <w:tc>
          <w:tcPr>
            <w:tcW w:w="1818" w:type="dxa"/>
            <w:tcBorders>
              <w:top w:val="single" w:sz="4" w:space="0" w:color="000000"/>
              <w:bottom w:val="single" w:sz="4" w:space="0" w:color="000000"/>
            </w:tcBorders>
          </w:tcPr>
          <w:p>
            <w:pPr>
              <w:pStyle w:val="TableParagraph"/>
              <w:spacing w:line="275" w:lineRule="exact"/>
              <w:ind w:right="5"/>
              <w:jc w:val="center"/>
              <w:rPr>
                <w:b/>
                <w:sz w:val="24"/>
              </w:rPr>
            </w:pPr>
            <w:r>
              <w:rPr>
                <w:b/>
                <w:sz w:val="24"/>
              </w:rPr>
              <w:t>Time</w:t>
            </w:r>
            <w:r>
              <w:rPr>
                <w:b/>
                <w:spacing w:val="-4"/>
                <w:sz w:val="24"/>
              </w:rPr>
              <w:t> </w:t>
            </w:r>
            <w:r>
              <w:rPr>
                <w:b/>
                <w:spacing w:val="-2"/>
                <w:sz w:val="24"/>
              </w:rPr>
              <w:t>Interval</w:t>
            </w:r>
          </w:p>
          <w:p>
            <w:pPr>
              <w:pStyle w:val="TableParagraph"/>
              <w:spacing w:before="137"/>
              <w:ind w:left="2" w:right="5"/>
              <w:jc w:val="center"/>
              <w:rPr>
                <w:b/>
                <w:sz w:val="24"/>
              </w:rPr>
            </w:pPr>
            <w:r>
              <w:rPr>
                <w:b/>
                <w:spacing w:val="-2"/>
                <w:sz w:val="24"/>
              </w:rPr>
              <w:t>(min)</w:t>
            </w:r>
          </w:p>
        </w:tc>
        <w:tc>
          <w:tcPr>
            <w:tcW w:w="1638" w:type="dxa"/>
            <w:tcBorders>
              <w:top w:val="single" w:sz="4" w:space="0" w:color="000000"/>
              <w:bottom w:val="single" w:sz="4" w:space="0" w:color="000000"/>
            </w:tcBorders>
          </w:tcPr>
          <w:p>
            <w:pPr>
              <w:pStyle w:val="TableParagraph"/>
              <w:spacing w:line="275" w:lineRule="exact"/>
              <w:ind w:left="207"/>
              <w:rPr>
                <w:b/>
                <w:sz w:val="24"/>
              </w:rPr>
            </w:pPr>
            <w:r>
              <w:rPr>
                <w:b/>
                <w:spacing w:val="-2"/>
                <w:sz w:val="24"/>
              </w:rPr>
              <w:t>Cumulative</w:t>
            </w:r>
          </w:p>
          <w:p>
            <w:pPr>
              <w:pStyle w:val="TableParagraph"/>
              <w:spacing w:before="137"/>
              <w:ind w:left="270"/>
              <w:rPr>
                <w:b/>
                <w:sz w:val="24"/>
              </w:rPr>
            </w:pPr>
            <w:r>
              <w:rPr>
                <w:b/>
                <w:sz w:val="24"/>
              </w:rPr>
              <w:t>%</w:t>
            </w:r>
            <w:r>
              <w:rPr>
                <w:b/>
                <w:spacing w:val="2"/>
                <w:sz w:val="24"/>
              </w:rPr>
              <w:t> </w:t>
            </w:r>
            <w:r>
              <w:rPr>
                <w:b/>
                <w:spacing w:val="-2"/>
                <w:sz w:val="24"/>
              </w:rPr>
              <w:t>Release</w:t>
            </w:r>
          </w:p>
        </w:tc>
      </w:tr>
      <w:tr>
        <w:trPr>
          <w:trHeight w:val="344" w:hRule="atLeast"/>
        </w:trPr>
        <w:tc>
          <w:tcPr>
            <w:tcW w:w="1407" w:type="dxa"/>
            <w:tcBorders>
              <w:top w:val="single" w:sz="4" w:space="0" w:color="000000"/>
            </w:tcBorders>
          </w:tcPr>
          <w:p>
            <w:pPr>
              <w:pStyle w:val="TableParagraph"/>
              <w:spacing w:line="270" w:lineRule="exact"/>
              <w:ind w:left="535"/>
              <w:rPr>
                <w:sz w:val="24"/>
              </w:rPr>
            </w:pPr>
            <w:r>
              <w:rPr>
                <w:spacing w:val="-5"/>
                <w:sz w:val="24"/>
              </w:rPr>
              <w:t>PVP</w:t>
            </w:r>
          </w:p>
        </w:tc>
        <w:tc>
          <w:tcPr>
            <w:tcW w:w="1904" w:type="dxa"/>
            <w:tcBorders>
              <w:top w:val="single" w:sz="4" w:space="0" w:color="000000"/>
            </w:tcBorders>
          </w:tcPr>
          <w:p>
            <w:pPr>
              <w:pStyle w:val="TableParagraph"/>
              <w:spacing w:line="270" w:lineRule="exact"/>
              <w:ind w:left="923"/>
              <w:rPr>
                <w:sz w:val="24"/>
              </w:rPr>
            </w:pPr>
            <w:r>
              <w:rPr>
                <w:spacing w:val="-10"/>
                <w:sz w:val="24"/>
              </w:rPr>
              <w:t>1</w:t>
            </w:r>
          </w:p>
        </w:tc>
        <w:tc>
          <w:tcPr>
            <w:tcW w:w="1797" w:type="dxa"/>
            <w:tcBorders>
              <w:top w:val="single" w:sz="4" w:space="0" w:color="000000"/>
            </w:tcBorders>
          </w:tcPr>
          <w:p>
            <w:pPr>
              <w:pStyle w:val="TableParagraph"/>
              <w:spacing w:line="270" w:lineRule="exact"/>
              <w:ind w:right="6"/>
              <w:jc w:val="center"/>
              <w:rPr>
                <w:sz w:val="24"/>
              </w:rPr>
            </w:pPr>
            <w:r>
              <w:rPr>
                <w:spacing w:val="-10"/>
                <w:sz w:val="24"/>
              </w:rPr>
              <w:t>5</w:t>
            </w:r>
          </w:p>
        </w:tc>
        <w:tc>
          <w:tcPr>
            <w:tcW w:w="1818" w:type="dxa"/>
            <w:tcBorders>
              <w:top w:val="single" w:sz="4" w:space="0" w:color="000000"/>
            </w:tcBorders>
          </w:tcPr>
          <w:p>
            <w:pPr>
              <w:pStyle w:val="TableParagraph"/>
              <w:spacing w:line="270" w:lineRule="exact"/>
              <w:ind w:left="4" w:right="5"/>
              <w:jc w:val="center"/>
              <w:rPr>
                <w:sz w:val="24"/>
              </w:rPr>
            </w:pPr>
            <w:r>
              <w:rPr>
                <w:spacing w:val="-10"/>
                <w:sz w:val="24"/>
              </w:rPr>
              <w:t>5</w:t>
            </w:r>
          </w:p>
        </w:tc>
        <w:tc>
          <w:tcPr>
            <w:tcW w:w="1638" w:type="dxa"/>
            <w:tcBorders>
              <w:top w:val="single" w:sz="4" w:space="0" w:color="000000"/>
            </w:tcBorders>
          </w:tcPr>
          <w:p>
            <w:pPr>
              <w:pStyle w:val="TableParagraph"/>
              <w:spacing w:line="270" w:lineRule="exact"/>
              <w:ind w:right="21"/>
              <w:jc w:val="center"/>
              <w:rPr>
                <w:sz w:val="24"/>
              </w:rPr>
            </w:pPr>
            <w:r>
              <w:rPr>
                <w:spacing w:val="-4"/>
                <w:sz w:val="24"/>
              </w:rPr>
              <w:t>6.36</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10</w:t>
            </w:r>
          </w:p>
        </w:tc>
        <w:tc>
          <w:tcPr>
            <w:tcW w:w="1638" w:type="dxa"/>
          </w:tcPr>
          <w:p>
            <w:pPr>
              <w:pStyle w:val="TableParagraph"/>
              <w:spacing w:before="64"/>
              <w:ind w:right="21"/>
              <w:jc w:val="center"/>
              <w:rPr>
                <w:sz w:val="24"/>
              </w:rPr>
            </w:pPr>
            <w:r>
              <w:rPr>
                <w:spacing w:val="-2"/>
                <w:sz w:val="24"/>
              </w:rPr>
              <w:t>14.60</w:t>
            </w:r>
          </w:p>
        </w:tc>
      </w:tr>
      <w:tr>
        <w:trPr>
          <w:trHeight w:val="412"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15</w:t>
            </w:r>
          </w:p>
        </w:tc>
        <w:tc>
          <w:tcPr>
            <w:tcW w:w="1638" w:type="dxa"/>
          </w:tcPr>
          <w:p>
            <w:pPr>
              <w:pStyle w:val="TableParagraph"/>
              <w:spacing w:before="63"/>
              <w:ind w:right="21"/>
              <w:jc w:val="center"/>
              <w:rPr>
                <w:sz w:val="24"/>
              </w:rPr>
            </w:pPr>
            <w:r>
              <w:rPr>
                <w:spacing w:val="-2"/>
                <w:sz w:val="24"/>
              </w:rPr>
              <w:t>25.87</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30</w:t>
            </w:r>
          </w:p>
        </w:tc>
        <w:tc>
          <w:tcPr>
            <w:tcW w:w="1638" w:type="dxa"/>
          </w:tcPr>
          <w:p>
            <w:pPr>
              <w:pStyle w:val="TableParagraph"/>
              <w:spacing w:before="63"/>
              <w:ind w:right="21"/>
              <w:jc w:val="center"/>
              <w:rPr>
                <w:sz w:val="24"/>
              </w:rPr>
            </w:pPr>
            <w:r>
              <w:rPr>
                <w:spacing w:val="-2"/>
                <w:sz w:val="24"/>
              </w:rPr>
              <w:t>40.01</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45</w:t>
            </w:r>
          </w:p>
        </w:tc>
        <w:tc>
          <w:tcPr>
            <w:tcW w:w="1638" w:type="dxa"/>
          </w:tcPr>
          <w:p>
            <w:pPr>
              <w:pStyle w:val="TableParagraph"/>
              <w:spacing w:before="64"/>
              <w:ind w:right="21"/>
              <w:jc w:val="center"/>
              <w:rPr>
                <w:sz w:val="24"/>
              </w:rPr>
            </w:pPr>
            <w:r>
              <w:rPr>
                <w:spacing w:val="-2"/>
                <w:sz w:val="24"/>
              </w:rPr>
              <w:t>60.02</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60</w:t>
            </w:r>
          </w:p>
        </w:tc>
        <w:tc>
          <w:tcPr>
            <w:tcW w:w="1638" w:type="dxa"/>
          </w:tcPr>
          <w:p>
            <w:pPr>
              <w:pStyle w:val="TableParagraph"/>
              <w:spacing w:before="63"/>
              <w:ind w:right="21"/>
              <w:jc w:val="center"/>
              <w:rPr>
                <w:sz w:val="24"/>
              </w:rPr>
            </w:pPr>
            <w:r>
              <w:rPr>
                <w:spacing w:val="-2"/>
                <w:sz w:val="24"/>
              </w:rPr>
              <w:t>73.40</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75</w:t>
            </w:r>
          </w:p>
        </w:tc>
        <w:tc>
          <w:tcPr>
            <w:tcW w:w="1638" w:type="dxa"/>
          </w:tcPr>
          <w:p>
            <w:pPr>
              <w:pStyle w:val="TableParagraph"/>
              <w:spacing w:before="64"/>
              <w:ind w:right="21"/>
              <w:jc w:val="center"/>
              <w:rPr>
                <w:sz w:val="24"/>
              </w:rPr>
            </w:pPr>
            <w:r>
              <w:rPr>
                <w:spacing w:val="-2"/>
                <w:sz w:val="24"/>
              </w:rPr>
              <w:t>95.64</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90</w:t>
            </w:r>
          </w:p>
        </w:tc>
        <w:tc>
          <w:tcPr>
            <w:tcW w:w="1638" w:type="dxa"/>
          </w:tcPr>
          <w:p>
            <w:pPr>
              <w:pStyle w:val="TableParagraph"/>
              <w:spacing w:before="63"/>
              <w:ind w:right="21"/>
              <w:jc w:val="center"/>
              <w:rPr>
                <w:sz w:val="24"/>
              </w:rPr>
            </w:pPr>
            <w:r>
              <w:rPr>
                <w:spacing w:val="-2"/>
                <w:sz w:val="24"/>
              </w:rPr>
              <w:t>100.01</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105</w:t>
            </w:r>
          </w:p>
        </w:tc>
        <w:tc>
          <w:tcPr>
            <w:tcW w:w="1638" w:type="dxa"/>
          </w:tcPr>
          <w:p>
            <w:pPr>
              <w:pStyle w:val="TableParagraph"/>
              <w:spacing w:before="64"/>
              <w:ind w:right="21"/>
              <w:jc w:val="center"/>
              <w:rPr>
                <w:sz w:val="24"/>
              </w:rPr>
            </w:pPr>
            <w:r>
              <w:rPr>
                <w:spacing w:val="-2"/>
                <w:sz w:val="24"/>
              </w:rPr>
              <w:t>100.01</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spacing w:before="63"/>
              <w:ind w:left="774"/>
              <w:rPr>
                <w:sz w:val="24"/>
              </w:rPr>
            </w:pPr>
            <w:r>
              <w:rPr>
                <w:spacing w:val="-5"/>
                <w:sz w:val="24"/>
              </w:rPr>
              <w:t>10</w:t>
            </w:r>
          </w:p>
        </w:tc>
        <w:tc>
          <w:tcPr>
            <w:tcW w:w="1818" w:type="dxa"/>
          </w:tcPr>
          <w:p>
            <w:pPr>
              <w:pStyle w:val="TableParagraph"/>
              <w:spacing w:before="63"/>
              <w:ind w:left="4" w:right="5"/>
              <w:jc w:val="center"/>
              <w:rPr>
                <w:sz w:val="24"/>
              </w:rPr>
            </w:pPr>
            <w:r>
              <w:rPr>
                <w:spacing w:val="-10"/>
                <w:sz w:val="24"/>
              </w:rPr>
              <w:t>5</w:t>
            </w:r>
          </w:p>
        </w:tc>
        <w:tc>
          <w:tcPr>
            <w:tcW w:w="1638" w:type="dxa"/>
          </w:tcPr>
          <w:p>
            <w:pPr>
              <w:pStyle w:val="TableParagraph"/>
              <w:spacing w:before="63"/>
              <w:ind w:right="21"/>
              <w:jc w:val="center"/>
              <w:rPr>
                <w:sz w:val="24"/>
              </w:rPr>
            </w:pPr>
            <w:r>
              <w:rPr>
                <w:spacing w:val="-4"/>
                <w:sz w:val="24"/>
              </w:rPr>
              <w:t>5.29</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10</w:t>
            </w:r>
          </w:p>
        </w:tc>
        <w:tc>
          <w:tcPr>
            <w:tcW w:w="1638" w:type="dxa"/>
          </w:tcPr>
          <w:p>
            <w:pPr>
              <w:pStyle w:val="TableParagraph"/>
              <w:spacing w:before="64"/>
              <w:ind w:right="21"/>
              <w:jc w:val="center"/>
              <w:rPr>
                <w:sz w:val="24"/>
              </w:rPr>
            </w:pPr>
            <w:r>
              <w:rPr>
                <w:spacing w:val="-2"/>
                <w:sz w:val="24"/>
              </w:rPr>
              <w:t>12.97</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15</w:t>
            </w:r>
          </w:p>
        </w:tc>
        <w:tc>
          <w:tcPr>
            <w:tcW w:w="1638" w:type="dxa"/>
          </w:tcPr>
          <w:p>
            <w:pPr>
              <w:pStyle w:val="TableParagraph"/>
              <w:spacing w:before="63"/>
              <w:ind w:right="21"/>
              <w:jc w:val="center"/>
              <w:rPr>
                <w:sz w:val="24"/>
              </w:rPr>
            </w:pPr>
            <w:r>
              <w:rPr>
                <w:spacing w:val="-2"/>
                <w:sz w:val="24"/>
              </w:rPr>
              <w:t>22.94</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30</w:t>
            </w:r>
          </w:p>
        </w:tc>
        <w:tc>
          <w:tcPr>
            <w:tcW w:w="1638" w:type="dxa"/>
          </w:tcPr>
          <w:p>
            <w:pPr>
              <w:pStyle w:val="TableParagraph"/>
              <w:spacing w:before="64"/>
              <w:ind w:right="21"/>
              <w:jc w:val="center"/>
              <w:rPr>
                <w:sz w:val="24"/>
              </w:rPr>
            </w:pPr>
            <w:r>
              <w:rPr>
                <w:spacing w:val="-2"/>
                <w:sz w:val="24"/>
              </w:rPr>
              <w:t>34.80</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45</w:t>
            </w:r>
          </w:p>
        </w:tc>
        <w:tc>
          <w:tcPr>
            <w:tcW w:w="1638" w:type="dxa"/>
          </w:tcPr>
          <w:p>
            <w:pPr>
              <w:pStyle w:val="TableParagraph"/>
              <w:spacing w:before="63"/>
              <w:ind w:right="21"/>
              <w:jc w:val="center"/>
              <w:rPr>
                <w:sz w:val="24"/>
              </w:rPr>
            </w:pPr>
            <w:r>
              <w:rPr>
                <w:spacing w:val="-2"/>
                <w:sz w:val="24"/>
              </w:rPr>
              <w:t>52.44</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60</w:t>
            </w:r>
          </w:p>
        </w:tc>
        <w:tc>
          <w:tcPr>
            <w:tcW w:w="1638" w:type="dxa"/>
          </w:tcPr>
          <w:p>
            <w:pPr>
              <w:pStyle w:val="TableParagraph"/>
              <w:spacing w:before="64"/>
              <w:ind w:right="21"/>
              <w:jc w:val="center"/>
              <w:rPr>
                <w:sz w:val="24"/>
              </w:rPr>
            </w:pPr>
            <w:r>
              <w:rPr>
                <w:spacing w:val="-2"/>
                <w:sz w:val="24"/>
              </w:rPr>
              <w:t>74.30</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75</w:t>
            </w:r>
          </w:p>
        </w:tc>
        <w:tc>
          <w:tcPr>
            <w:tcW w:w="1638" w:type="dxa"/>
          </w:tcPr>
          <w:p>
            <w:pPr>
              <w:pStyle w:val="TableParagraph"/>
              <w:spacing w:before="63"/>
              <w:ind w:right="21"/>
              <w:jc w:val="center"/>
              <w:rPr>
                <w:sz w:val="24"/>
              </w:rPr>
            </w:pPr>
            <w:r>
              <w:rPr>
                <w:spacing w:val="-2"/>
                <w:sz w:val="24"/>
              </w:rPr>
              <w:t>87.94</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90</w:t>
            </w:r>
          </w:p>
        </w:tc>
        <w:tc>
          <w:tcPr>
            <w:tcW w:w="1638" w:type="dxa"/>
          </w:tcPr>
          <w:p>
            <w:pPr>
              <w:pStyle w:val="TableParagraph"/>
              <w:spacing w:before="64"/>
              <w:ind w:right="21"/>
              <w:jc w:val="center"/>
              <w:rPr>
                <w:sz w:val="24"/>
              </w:rPr>
            </w:pPr>
            <w:r>
              <w:rPr>
                <w:spacing w:val="-4"/>
                <w:sz w:val="24"/>
              </w:rPr>
              <w:t>94.0</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105</w:t>
            </w:r>
          </w:p>
        </w:tc>
        <w:tc>
          <w:tcPr>
            <w:tcW w:w="1638" w:type="dxa"/>
          </w:tcPr>
          <w:p>
            <w:pPr>
              <w:pStyle w:val="TableParagraph"/>
              <w:spacing w:before="63"/>
              <w:ind w:right="21"/>
              <w:jc w:val="center"/>
              <w:rPr>
                <w:sz w:val="24"/>
              </w:rPr>
            </w:pPr>
            <w:r>
              <w:rPr>
                <w:spacing w:val="-2"/>
                <w:sz w:val="24"/>
              </w:rPr>
              <w:t>100.41</w:t>
            </w:r>
          </w:p>
        </w:tc>
      </w:tr>
      <w:tr>
        <w:trPr>
          <w:trHeight w:val="413"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120</w:t>
            </w:r>
          </w:p>
        </w:tc>
        <w:tc>
          <w:tcPr>
            <w:tcW w:w="1638" w:type="dxa"/>
          </w:tcPr>
          <w:p>
            <w:pPr>
              <w:pStyle w:val="TableParagraph"/>
              <w:spacing w:before="64"/>
              <w:ind w:right="21"/>
              <w:jc w:val="center"/>
              <w:rPr>
                <w:sz w:val="24"/>
              </w:rPr>
            </w:pPr>
            <w:r>
              <w:rPr>
                <w:spacing w:val="-2"/>
                <w:sz w:val="24"/>
              </w:rPr>
              <w:t>100.83</w:t>
            </w:r>
          </w:p>
        </w:tc>
      </w:tr>
      <w:tr>
        <w:trPr>
          <w:trHeight w:val="413" w:hRule="atLeast"/>
        </w:trPr>
        <w:tc>
          <w:tcPr>
            <w:tcW w:w="1407" w:type="dxa"/>
          </w:tcPr>
          <w:p>
            <w:pPr>
              <w:pStyle w:val="TableParagraph"/>
              <w:rPr>
                <w:sz w:val="22"/>
              </w:rPr>
            </w:pPr>
          </w:p>
        </w:tc>
        <w:tc>
          <w:tcPr>
            <w:tcW w:w="1904" w:type="dxa"/>
          </w:tcPr>
          <w:p>
            <w:pPr>
              <w:pStyle w:val="TableParagraph"/>
              <w:spacing w:before="63"/>
              <w:ind w:left="859"/>
              <w:rPr>
                <w:sz w:val="24"/>
              </w:rPr>
            </w:pPr>
            <w:r>
              <w:rPr>
                <w:spacing w:val="-10"/>
                <w:sz w:val="24"/>
              </w:rPr>
              <w:t>4</w:t>
            </w:r>
          </w:p>
        </w:tc>
        <w:tc>
          <w:tcPr>
            <w:tcW w:w="1797" w:type="dxa"/>
          </w:tcPr>
          <w:p>
            <w:pPr>
              <w:pStyle w:val="TableParagraph"/>
              <w:spacing w:before="63"/>
              <w:ind w:left="740"/>
              <w:rPr>
                <w:sz w:val="24"/>
              </w:rPr>
            </w:pPr>
            <w:r>
              <w:rPr>
                <w:spacing w:val="-10"/>
                <w:sz w:val="24"/>
              </w:rPr>
              <w:t>5</w:t>
            </w:r>
          </w:p>
        </w:tc>
        <w:tc>
          <w:tcPr>
            <w:tcW w:w="1818" w:type="dxa"/>
          </w:tcPr>
          <w:p>
            <w:pPr>
              <w:pStyle w:val="TableParagraph"/>
              <w:spacing w:before="63"/>
              <w:ind w:left="4" w:right="5"/>
              <w:jc w:val="center"/>
              <w:rPr>
                <w:sz w:val="24"/>
              </w:rPr>
            </w:pPr>
            <w:r>
              <w:rPr>
                <w:spacing w:val="-10"/>
                <w:sz w:val="24"/>
              </w:rPr>
              <w:t>5</w:t>
            </w:r>
          </w:p>
        </w:tc>
        <w:tc>
          <w:tcPr>
            <w:tcW w:w="1638" w:type="dxa"/>
          </w:tcPr>
          <w:p>
            <w:pPr>
              <w:pStyle w:val="TableParagraph"/>
              <w:spacing w:before="63"/>
              <w:ind w:right="21"/>
              <w:jc w:val="center"/>
              <w:rPr>
                <w:sz w:val="24"/>
              </w:rPr>
            </w:pPr>
            <w:r>
              <w:rPr>
                <w:spacing w:val="-4"/>
                <w:sz w:val="24"/>
              </w:rPr>
              <w:t>7.56</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4"/>
              <w:ind w:left="4" w:right="5"/>
              <w:jc w:val="center"/>
              <w:rPr>
                <w:sz w:val="24"/>
              </w:rPr>
            </w:pPr>
            <w:r>
              <w:rPr>
                <w:spacing w:val="-5"/>
                <w:sz w:val="24"/>
              </w:rPr>
              <w:t>10</w:t>
            </w:r>
          </w:p>
        </w:tc>
        <w:tc>
          <w:tcPr>
            <w:tcW w:w="1638" w:type="dxa"/>
          </w:tcPr>
          <w:p>
            <w:pPr>
              <w:pStyle w:val="TableParagraph"/>
              <w:spacing w:before="64"/>
              <w:ind w:right="21"/>
              <w:jc w:val="center"/>
              <w:rPr>
                <w:sz w:val="24"/>
              </w:rPr>
            </w:pPr>
            <w:r>
              <w:rPr>
                <w:spacing w:val="-2"/>
                <w:sz w:val="24"/>
              </w:rPr>
              <w:t>15.89</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3"/>
              <w:ind w:left="4" w:right="5"/>
              <w:jc w:val="center"/>
              <w:rPr>
                <w:sz w:val="24"/>
              </w:rPr>
            </w:pPr>
            <w:r>
              <w:rPr>
                <w:spacing w:val="-5"/>
                <w:sz w:val="24"/>
              </w:rPr>
              <w:t>15</w:t>
            </w:r>
          </w:p>
        </w:tc>
        <w:tc>
          <w:tcPr>
            <w:tcW w:w="1638" w:type="dxa"/>
          </w:tcPr>
          <w:p>
            <w:pPr>
              <w:pStyle w:val="TableParagraph"/>
              <w:spacing w:before="63"/>
              <w:ind w:right="21"/>
              <w:jc w:val="center"/>
              <w:rPr>
                <w:sz w:val="24"/>
              </w:rPr>
            </w:pPr>
            <w:r>
              <w:rPr>
                <w:spacing w:val="-2"/>
                <w:sz w:val="24"/>
              </w:rPr>
              <w:t>25.09</w:t>
            </w:r>
          </w:p>
        </w:tc>
      </w:tr>
      <w:tr>
        <w:trPr>
          <w:trHeight w:val="414" w:hRule="atLeast"/>
        </w:trPr>
        <w:tc>
          <w:tcPr>
            <w:tcW w:w="1407" w:type="dxa"/>
          </w:tcPr>
          <w:p>
            <w:pPr>
              <w:pStyle w:val="TableParagraph"/>
              <w:rPr>
                <w:sz w:val="22"/>
              </w:rPr>
            </w:pPr>
          </w:p>
        </w:tc>
        <w:tc>
          <w:tcPr>
            <w:tcW w:w="1904" w:type="dxa"/>
          </w:tcPr>
          <w:p>
            <w:pPr>
              <w:pStyle w:val="TableParagraph"/>
              <w:rPr>
                <w:sz w:val="22"/>
              </w:rPr>
            </w:pPr>
          </w:p>
        </w:tc>
        <w:tc>
          <w:tcPr>
            <w:tcW w:w="1797" w:type="dxa"/>
          </w:tcPr>
          <w:p>
            <w:pPr>
              <w:pStyle w:val="TableParagraph"/>
              <w:rPr>
                <w:sz w:val="22"/>
              </w:rPr>
            </w:pPr>
          </w:p>
        </w:tc>
        <w:tc>
          <w:tcPr>
            <w:tcW w:w="1818" w:type="dxa"/>
          </w:tcPr>
          <w:p>
            <w:pPr>
              <w:pStyle w:val="TableParagraph"/>
              <w:spacing w:before="65"/>
              <w:ind w:left="4" w:right="5"/>
              <w:jc w:val="center"/>
              <w:rPr>
                <w:sz w:val="24"/>
              </w:rPr>
            </w:pPr>
            <w:r>
              <w:rPr>
                <w:spacing w:val="-5"/>
                <w:sz w:val="24"/>
              </w:rPr>
              <w:t>30</w:t>
            </w:r>
          </w:p>
        </w:tc>
        <w:tc>
          <w:tcPr>
            <w:tcW w:w="1638" w:type="dxa"/>
          </w:tcPr>
          <w:p>
            <w:pPr>
              <w:pStyle w:val="TableParagraph"/>
              <w:spacing w:before="65"/>
              <w:ind w:right="21"/>
              <w:jc w:val="center"/>
              <w:rPr>
                <w:sz w:val="24"/>
              </w:rPr>
            </w:pPr>
            <w:r>
              <w:rPr>
                <w:spacing w:val="-2"/>
                <w:sz w:val="24"/>
              </w:rPr>
              <w:t>37.08</w:t>
            </w:r>
          </w:p>
        </w:tc>
      </w:tr>
      <w:tr>
        <w:trPr>
          <w:trHeight w:val="483" w:hRule="atLeast"/>
        </w:trPr>
        <w:tc>
          <w:tcPr>
            <w:tcW w:w="1407" w:type="dxa"/>
            <w:tcBorders>
              <w:bottom w:val="single" w:sz="4" w:space="0" w:color="000000"/>
            </w:tcBorders>
          </w:tcPr>
          <w:p>
            <w:pPr>
              <w:pStyle w:val="TableParagraph"/>
              <w:rPr>
                <w:sz w:val="22"/>
              </w:rPr>
            </w:pPr>
          </w:p>
        </w:tc>
        <w:tc>
          <w:tcPr>
            <w:tcW w:w="1904" w:type="dxa"/>
            <w:tcBorders>
              <w:bottom w:val="single" w:sz="4" w:space="0" w:color="000000"/>
            </w:tcBorders>
          </w:tcPr>
          <w:p>
            <w:pPr>
              <w:pStyle w:val="TableParagraph"/>
              <w:rPr>
                <w:sz w:val="22"/>
              </w:rPr>
            </w:pPr>
          </w:p>
        </w:tc>
        <w:tc>
          <w:tcPr>
            <w:tcW w:w="1797" w:type="dxa"/>
            <w:tcBorders>
              <w:bottom w:val="single" w:sz="4" w:space="0" w:color="000000"/>
            </w:tcBorders>
          </w:tcPr>
          <w:p>
            <w:pPr>
              <w:pStyle w:val="TableParagraph"/>
              <w:rPr>
                <w:sz w:val="22"/>
              </w:rPr>
            </w:pPr>
          </w:p>
        </w:tc>
        <w:tc>
          <w:tcPr>
            <w:tcW w:w="1818" w:type="dxa"/>
            <w:tcBorders>
              <w:bottom w:val="single" w:sz="4" w:space="0" w:color="000000"/>
            </w:tcBorders>
          </w:tcPr>
          <w:p>
            <w:pPr>
              <w:pStyle w:val="TableParagraph"/>
              <w:spacing w:before="63"/>
              <w:ind w:left="4" w:right="5"/>
              <w:jc w:val="center"/>
              <w:rPr>
                <w:sz w:val="24"/>
              </w:rPr>
            </w:pPr>
            <w:r>
              <w:rPr>
                <w:spacing w:val="-5"/>
                <w:sz w:val="24"/>
              </w:rPr>
              <w:t>45</w:t>
            </w:r>
          </w:p>
        </w:tc>
        <w:tc>
          <w:tcPr>
            <w:tcW w:w="1638" w:type="dxa"/>
            <w:tcBorders>
              <w:bottom w:val="single" w:sz="4" w:space="0" w:color="000000"/>
            </w:tcBorders>
          </w:tcPr>
          <w:p>
            <w:pPr>
              <w:pStyle w:val="TableParagraph"/>
              <w:spacing w:before="63"/>
              <w:ind w:right="21"/>
              <w:jc w:val="center"/>
              <w:rPr>
                <w:sz w:val="24"/>
              </w:rPr>
            </w:pPr>
            <w:r>
              <w:rPr>
                <w:spacing w:val="-2"/>
                <w:sz w:val="24"/>
              </w:rPr>
              <w:t>53.31</w:t>
            </w:r>
          </w:p>
        </w:tc>
      </w:tr>
    </w:tbl>
    <w:p>
      <w:pPr>
        <w:spacing w:after="0"/>
        <w:jc w:val="center"/>
        <w:rPr>
          <w:sz w:val="24"/>
        </w:rPr>
        <w:sectPr>
          <w:pgSz w:w="12240" w:h="15840"/>
          <w:pgMar w:header="0" w:footer="1056" w:top="1340" w:bottom="1240" w:left="1420" w:right="420"/>
        </w:sectPr>
      </w:pPr>
    </w:p>
    <w:p>
      <w:pPr>
        <w:spacing w:line="360" w:lineRule="auto" w:before="77"/>
        <w:ind w:left="2663" w:right="997" w:hanging="1986"/>
        <w:jc w:val="left"/>
        <w:rPr>
          <w:b/>
          <w:sz w:val="24"/>
        </w:rPr>
      </w:pPr>
      <w:r>
        <w:rPr/>
        <mc:AlternateContent>
          <mc:Choice Requires="wps">
            <w:drawing>
              <wp:anchor distT="0" distB="0" distL="0" distR="0" allowOverlap="1" layoutInCell="1" locked="0" behindDoc="1" simplePos="0" relativeHeight="483055104">
                <wp:simplePos x="0" y="0"/>
                <wp:positionH relativeFrom="page">
                  <wp:posOffset>-1402226</wp:posOffset>
                </wp:positionH>
                <wp:positionV relativeFrom="page">
                  <wp:posOffset>4612234</wp:posOffset>
                </wp:positionV>
                <wp:extent cx="10685780" cy="91440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1376;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1"/>
          <w:sz w:val="24"/>
        </w:rPr>
        <w:t> </w:t>
      </w:r>
      <w:r>
        <w:rPr>
          <w:b/>
          <w:sz w:val="24"/>
        </w:rPr>
        <w:t>6 contd.:</w:t>
      </w:r>
      <w:r>
        <w:rPr>
          <w:b/>
          <w:spacing w:val="-2"/>
          <w:sz w:val="24"/>
        </w:rPr>
        <w:t> </w:t>
      </w:r>
      <w:r>
        <w:rPr>
          <w:b/>
          <w:sz w:val="24"/>
        </w:rPr>
        <w:t>Dissolution</w:t>
      </w:r>
      <w:r>
        <w:rPr>
          <w:b/>
          <w:spacing w:val="-1"/>
          <w:sz w:val="24"/>
        </w:rPr>
        <w:t> </w:t>
      </w:r>
      <w:r>
        <w:rPr>
          <w:b/>
          <w:sz w:val="24"/>
        </w:rPr>
        <w:t>profiles</w:t>
      </w:r>
      <w:r>
        <w:rPr>
          <w:b/>
          <w:spacing w:val="-2"/>
          <w:sz w:val="24"/>
        </w:rPr>
        <w:t> </w:t>
      </w:r>
      <w:r>
        <w:rPr>
          <w:b/>
          <w:sz w:val="24"/>
        </w:rPr>
        <w:t>of </w:t>
      </w:r>
      <w:r>
        <w:rPr>
          <w:b/>
          <w:i/>
          <w:sz w:val="24"/>
        </w:rPr>
        <w:t>M.</w:t>
      </w:r>
      <w:r>
        <w:rPr>
          <w:b/>
          <w:i/>
          <w:spacing w:val="-1"/>
          <w:sz w:val="24"/>
        </w:rPr>
        <w:t> </w:t>
      </w:r>
      <w:r>
        <w:rPr>
          <w:b/>
          <w:i/>
          <w:sz w:val="24"/>
        </w:rPr>
        <w:t>pruriens </w:t>
      </w:r>
      <w:r>
        <w:rPr>
          <w:b/>
          <w:sz w:val="24"/>
        </w:rPr>
        <w:t>tablets</w:t>
      </w:r>
      <w:r>
        <w:rPr>
          <w:b/>
          <w:spacing w:val="-2"/>
          <w:sz w:val="24"/>
        </w:rPr>
        <w:t> </w:t>
      </w:r>
      <w:r>
        <w:rPr>
          <w:b/>
          <w:sz w:val="24"/>
        </w:rPr>
        <w:t>prepared by</w:t>
      </w:r>
      <w:r>
        <w:rPr>
          <w:b/>
          <w:spacing w:val="-1"/>
          <w:sz w:val="24"/>
        </w:rPr>
        <w:t> </w:t>
      </w:r>
      <w:r>
        <w:rPr>
          <w:b/>
          <w:sz w:val="24"/>
        </w:rPr>
        <w:t>using</w:t>
      </w:r>
      <w:r>
        <w:rPr>
          <w:b/>
          <w:spacing w:val="-1"/>
          <w:sz w:val="24"/>
        </w:rPr>
        <w:t> </w:t>
      </w:r>
      <w:r>
        <w:rPr>
          <w:b/>
          <w:sz w:val="24"/>
        </w:rPr>
        <w:t>PVP as binding agent.</w:t>
      </w:r>
    </w:p>
    <w:p>
      <w:pPr>
        <w:pStyle w:val="BodyText"/>
        <w:spacing w:before="1"/>
        <w:rPr>
          <w:b/>
          <w:sz w:val="8"/>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0"/>
        <w:gridCol w:w="1891"/>
        <w:gridCol w:w="1824"/>
        <w:gridCol w:w="1806"/>
        <w:gridCol w:w="1639"/>
      </w:tblGrid>
      <w:tr>
        <w:trPr>
          <w:trHeight w:val="846" w:hRule="atLeast"/>
        </w:trPr>
        <w:tc>
          <w:tcPr>
            <w:tcW w:w="1400" w:type="dxa"/>
            <w:tcBorders>
              <w:top w:val="single" w:sz="4" w:space="0" w:color="000000"/>
              <w:bottom w:val="single" w:sz="4" w:space="0" w:color="000000"/>
            </w:tcBorders>
          </w:tcPr>
          <w:p>
            <w:pPr>
              <w:pStyle w:val="TableParagraph"/>
              <w:spacing w:line="275" w:lineRule="exact"/>
              <w:ind w:left="340"/>
              <w:rPr>
                <w:b/>
                <w:sz w:val="24"/>
              </w:rPr>
            </w:pPr>
            <w:r>
              <w:rPr>
                <w:b/>
                <w:spacing w:val="-2"/>
                <w:sz w:val="24"/>
              </w:rPr>
              <w:t>Binding</w:t>
            </w:r>
          </w:p>
          <w:p>
            <w:pPr>
              <w:pStyle w:val="TableParagraph"/>
              <w:spacing w:before="137"/>
              <w:ind w:left="441"/>
              <w:rPr>
                <w:b/>
                <w:sz w:val="24"/>
              </w:rPr>
            </w:pPr>
            <w:r>
              <w:rPr>
                <w:b/>
                <w:spacing w:val="-4"/>
                <w:sz w:val="24"/>
              </w:rPr>
              <w:t>Agent</w:t>
            </w:r>
          </w:p>
        </w:tc>
        <w:tc>
          <w:tcPr>
            <w:tcW w:w="1891" w:type="dxa"/>
            <w:tcBorders>
              <w:top w:val="single" w:sz="4" w:space="0" w:color="000000"/>
              <w:bottom w:val="single" w:sz="4" w:space="0" w:color="000000"/>
            </w:tcBorders>
          </w:tcPr>
          <w:p>
            <w:pPr>
              <w:pStyle w:val="TableParagraph"/>
              <w:spacing w:line="275" w:lineRule="exact"/>
              <w:ind w:left="74" w:right="1"/>
              <w:jc w:val="center"/>
              <w:rPr>
                <w:b/>
                <w:sz w:val="24"/>
              </w:rPr>
            </w:pPr>
            <w:r>
              <w:rPr>
                <w:b/>
                <w:spacing w:val="-2"/>
                <w:sz w:val="24"/>
              </w:rPr>
              <w:t>Concentration</w:t>
            </w:r>
          </w:p>
          <w:p>
            <w:pPr>
              <w:pStyle w:val="TableParagraph"/>
              <w:spacing w:before="137"/>
              <w:ind w:left="74"/>
              <w:jc w:val="center"/>
              <w:rPr>
                <w:b/>
                <w:sz w:val="24"/>
              </w:rPr>
            </w:pPr>
            <w:r>
              <w:rPr>
                <w:b/>
                <w:spacing w:val="-2"/>
                <w:sz w:val="24"/>
              </w:rPr>
              <w:t>(%</w:t>
            </w:r>
            <w:r>
              <w:rPr>
                <w:b/>
                <w:spacing w:val="-2"/>
                <w:sz w:val="24"/>
                <w:vertAlign w:val="superscript"/>
              </w:rPr>
              <w:t>w</w:t>
            </w:r>
            <w:r>
              <w:rPr>
                <w:b/>
                <w:spacing w:val="-2"/>
                <w:sz w:val="24"/>
                <w:vertAlign w:val="baseline"/>
              </w:rPr>
              <w:t>/</w:t>
            </w:r>
            <w:r>
              <w:rPr>
                <w:b/>
                <w:spacing w:val="-2"/>
                <w:sz w:val="24"/>
                <w:vertAlign w:val="subscript"/>
              </w:rPr>
              <w:t>w</w:t>
            </w:r>
            <w:r>
              <w:rPr>
                <w:b/>
                <w:spacing w:val="-2"/>
                <w:sz w:val="24"/>
                <w:vertAlign w:val="baseline"/>
              </w:rPr>
              <w:t>)</w:t>
            </w:r>
          </w:p>
        </w:tc>
        <w:tc>
          <w:tcPr>
            <w:tcW w:w="1824" w:type="dxa"/>
            <w:tcBorders>
              <w:top w:val="single" w:sz="4" w:space="0" w:color="000000"/>
              <w:bottom w:val="single" w:sz="4" w:space="0" w:color="000000"/>
            </w:tcBorders>
          </w:tcPr>
          <w:p>
            <w:pPr>
              <w:pStyle w:val="TableParagraph"/>
              <w:spacing w:line="275" w:lineRule="exact"/>
              <w:ind w:left="235"/>
              <w:rPr>
                <w:b/>
                <w:sz w:val="24"/>
              </w:rPr>
            </w:pPr>
            <w:r>
              <w:rPr>
                <w:b/>
                <w:spacing w:val="-2"/>
                <w:sz w:val="24"/>
              </w:rPr>
              <w:t>Compression</w:t>
            </w:r>
          </w:p>
          <w:p>
            <w:pPr>
              <w:pStyle w:val="TableParagraph"/>
              <w:spacing w:before="137"/>
              <w:ind w:left="170"/>
              <w:rPr>
                <w:b/>
                <w:sz w:val="24"/>
              </w:rPr>
            </w:pPr>
            <w:r>
              <w:rPr>
                <w:b/>
                <w:sz w:val="24"/>
              </w:rPr>
              <w:t>Pressure</w:t>
            </w:r>
            <w:r>
              <w:rPr>
                <w:b/>
                <w:spacing w:val="-4"/>
                <w:sz w:val="24"/>
              </w:rPr>
              <w:t> (KN)</w:t>
            </w:r>
          </w:p>
        </w:tc>
        <w:tc>
          <w:tcPr>
            <w:tcW w:w="1806" w:type="dxa"/>
            <w:tcBorders>
              <w:top w:val="single" w:sz="4" w:space="0" w:color="000000"/>
              <w:bottom w:val="single" w:sz="4" w:space="0" w:color="000000"/>
            </w:tcBorders>
          </w:tcPr>
          <w:p>
            <w:pPr>
              <w:pStyle w:val="TableParagraph"/>
              <w:spacing w:line="275" w:lineRule="exact"/>
              <w:ind w:right="21"/>
              <w:jc w:val="center"/>
              <w:rPr>
                <w:b/>
                <w:sz w:val="24"/>
              </w:rPr>
            </w:pPr>
            <w:r>
              <w:rPr>
                <w:b/>
                <w:sz w:val="24"/>
              </w:rPr>
              <w:t>Time</w:t>
            </w:r>
            <w:r>
              <w:rPr>
                <w:b/>
                <w:spacing w:val="-4"/>
                <w:sz w:val="24"/>
              </w:rPr>
              <w:t> </w:t>
            </w:r>
            <w:r>
              <w:rPr>
                <w:b/>
                <w:spacing w:val="-2"/>
                <w:sz w:val="24"/>
              </w:rPr>
              <w:t>Interval</w:t>
            </w:r>
          </w:p>
          <w:p>
            <w:pPr>
              <w:pStyle w:val="TableParagraph"/>
              <w:spacing w:before="137"/>
              <w:ind w:left="2" w:right="21"/>
              <w:jc w:val="center"/>
              <w:rPr>
                <w:b/>
                <w:sz w:val="24"/>
              </w:rPr>
            </w:pPr>
            <w:r>
              <w:rPr>
                <w:b/>
                <w:spacing w:val="-2"/>
                <w:sz w:val="24"/>
              </w:rPr>
              <w:t>(min)</w:t>
            </w:r>
          </w:p>
        </w:tc>
        <w:tc>
          <w:tcPr>
            <w:tcW w:w="1639" w:type="dxa"/>
            <w:tcBorders>
              <w:top w:val="single" w:sz="4" w:space="0" w:color="000000"/>
              <w:bottom w:val="single" w:sz="4" w:space="0" w:color="000000"/>
            </w:tcBorders>
          </w:tcPr>
          <w:p>
            <w:pPr>
              <w:pStyle w:val="TableParagraph"/>
              <w:spacing w:line="275" w:lineRule="exact"/>
              <w:ind w:left="205"/>
              <w:rPr>
                <w:b/>
                <w:sz w:val="24"/>
              </w:rPr>
            </w:pPr>
            <w:r>
              <w:rPr>
                <w:b/>
                <w:spacing w:val="-2"/>
                <w:sz w:val="24"/>
              </w:rPr>
              <w:t>Cumulative</w:t>
            </w:r>
          </w:p>
          <w:p>
            <w:pPr>
              <w:pStyle w:val="TableParagraph"/>
              <w:spacing w:before="137"/>
              <w:ind w:left="267"/>
              <w:rPr>
                <w:b/>
                <w:sz w:val="24"/>
              </w:rPr>
            </w:pPr>
            <w:r>
              <w:rPr>
                <w:b/>
                <w:sz w:val="24"/>
              </w:rPr>
              <w:t>%</w:t>
            </w:r>
            <w:r>
              <w:rPr>
                <w:b/>
                <w:spacing w:val="2"/>
                <w:sz w:val="24"/>
              </w:rPr>
              <w:t> </w:t>
            </w:r>
            <w:r>
              <w:rPr>
                <w:b/>
                <w:spacing w:val="-2"/>
                <w:sz w:val="24"/>
              </w:rPr>
              <w:t>Release</w:t>
            </w:r>
          </w:p>
        </w:tc>
      </w:tr>
    </w:tbl>
    <w:p>
      <w:pPr>
        <w:pStyle w:val="BodyText"/>
        <w:spacing w:before="12"/>
        <w:rPr>
          <w:b/>
          <w:sz w:val="20"/>
        </w:rPr>
      </w:pPr>
    </w:p>
    <w:tbl>
      <w:tblPr>
        <w:tblW w:w="0" w:type="auto"/>
        <w:jc w:val="left"/>
        <w:tblInd w:w="6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1314"/>
      </w:tblGrid>
      <w:tr>
        <w:trPr>
          <w:trHeight w:val="340" w:hRule="atLeast"/>
        </w:trPr>
        <w:tc>
          <w:tcPr>
            <w:tcW w:w="1014" w:type="dxa"/>
          </w:tcPr>
          <w:p>
            <w:pPr>
              <w:pStyle w:val="TableParagraph"/>
              <w:spacing w:line="266" w:lineRule="exact"/>
              <w:ind w:left="110"/>
              <w:rPr>
                <w:sz w:val="24"/>
              </w:rPr>
            </w:pPr>
            <w:r>
              <w:rPr>
                <w:spacing w:val="-5"/>
                <w:sz w:val="24"/>
              </w:rPr>
              <w:t>60</w:t>
            </w:r>
          </w:p>
        </w:tc>
        <w:tc>
          <w:tcPr>
            <w:tcW w:w="1314" w:type="dxa"/>
          </w:tcPr>
          <w:p>
            <w:pPr>
              <w:pStyle w:val="TableParagraph"/>
              <w:spacing w:line="266" w:lineRule="exact"/>
              <w:ind w:right="108"/>
              <w:jc w:val="right"/>
              <w:rPr>
                <w:sz w:val="24"/>
              </w:rPr>
            </w:pPr>
            <w:r>
              <w:rPr>
                <w:spacing w:val="-2"/>
                <w:sz w:val="24"/>
              </w:rPr>
              <w:t>70.21</w:t>
            </w:r>
          </w:p>
        </w:tc>
      </w:tr>
      <w:tr>
        <w:trPr>
          <w:trHeight w:val="413" w:hRule="atLeast"/>
        </w:trPr>
        <w:tc>
          <w:tcPr>
            <w:tcW w:w="1014" w:type="dxa"/>
          </w:tcPr>
          <w:p>
            <w:pPr>
              <w:pStyle w:val="TableParagraph"/>
              <w:spacing w:before="64"/>
              <w:ind w:left="110"/>
              <w:rPr>
                <w:sz w:val="24"/>
              </w:rPr>
            </w:pPr>
            <w:r>
              <w:rPr>
                <w:spacing w:val="-5"/>
                <w:sz w:val="24"/>
              </w:rPr>
              <w:t>75</w:t>
            </w:r>
          </w:p>
        </w:tc>
        <w:tc>
          <w:tcPr>
            <w:tcW w:w="1314" w:type="dxa"/>
          </w:tcPr>
          <w:p>
            <w:pPr>
              <w:pStyle w:val="TableParagraph"/>
              <w:spacing w:before="64"/>
              <w:ind w:right="108"/>
              <w:jc w:val="right"/>
              <w:rPr>
                <w:sz w:val="24"/>
              </w:rPr>
            </w:pPr>
            <w:r>
              <w:rPr>
                <w:spacing w:val="-2"/>
                <w:sz w:val="24"/>
              </w:rPr>
              <w:t>87.11</w:t>
            </w:r>
          </w:p>
        </w:tc>
      </w:tr>
      <w:tr>
        <w:trPr>
          <w:trHeight w:val="414" w:hRule="atLeast"/>
        </w:trPr>
        <w:tc>
          <w:tcPr>
            <w:tcW w:w="1014" w:type="dxa"/>
          </w:tcPr>
          <w:p>
            <w:pPr>
              <w:pStyle w:val="TableParagraph"/>
              <w:spacing w:before="63"/>
              <w:ind w:left="110"/>
              <w:rPr>
                <w:sz w:val="24"/>
              </w:rPr>
            </w:pPr>
            <w:r>
              <w:rPr>
                <w:spacing w:val="-5"/>
                <w:sz w:val="24"/>
              </w:rPr>
              <w:t>90</w:t>
            </w:r>
          </w:p>
        </w:tc>
        <w:tc>
          <w:tcPr>
            <w:tcW w:w="1314" w:type="dxa"/>
          </w:tcPr>
          <w:p>
            <w:pPr>
              <w:pStyle w:val="TableParagraph"/>
              <w:spacing w:before="63"/>
              <w:ind w:right="48"/>
              <w:jc w:val="right"/>
              <w:rPr>
                <w:sz w:val="24"/>
              </w:rPr>
            </w:pPr>
            <w:r>
              <w:rPr>
                <w:spacing w:val="-2"/>
                <w:sz w:val="24"/>
              </w:rPr>
              <w:t>101.25</w:t>
            </w:r>
          </w:p>
        </w:tc>
      </w:tr>
      <w:tr>
        <w:trPr>
          <w:trHeight w:val="340" w:hRule="atLeast"/>
        </w:trPr>
        <w:tc>
          <w:tcPr>
            <w:tcW w:w="1014" w:type="dxa"/>
          </w:tcPr>
          <w:p>
            <w:pPr>
              <w:pStyle w:val="TableParagraph"/>
              <w:spacing w:line="256" w:lineRule="exact" w:before="64"/>
              <w:ind w:left="50"/>
              <w:rPr>
                <w:sz w:val="24"/>
              </w:rPr>
            </w:pPr>
            <w:r>
              <w:rPr>
                <w:spacing w:val="-5"/>
                <w:sz w:val="24"/>
              </w:rPr>
              <w:t>105</w:t>
            </w:r>
          </w:p>
        </w:tc>
        <w:tc>
          <w:tcPr>
            <w:tcW w:w="1314" w:type="dxa"/>
          </w:tcPr>
          <w:p>
            <w:pPr>
              <w:pStyle w:val="TableParagraph"/>
              <w:spacing w:line="256" w:lineRule="exact" w:before="64"/>
              <w:ind w:right="48"/>
              <w:jc w:val="right"/>
              <w:rPr>
                <w:sz w:val="24"/>
              </w:rPr>
            </w:pPr>
            <w:r>
              <w:rPr>
                <w:spacing w:val="-2"/>
                <w:sz w:val="24"/>
              </w:rPr>
              <w:t>101.28</w:t>
            </w:r>
          </w:p>
        </w:tc>
      </w:tr>
    </w:tbl>
    <w:p>
      <w:pPr>
        <w:pStyle w:val="BodyText"/>
        <w:spacing w:before="114"/>
        <w:rPr>
          <w:b/>
          <w:sz w:val="2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0"/>
        <w:gridCol w:w="1659"/>
        <w:gridCol w:w="1768"/>
      </w:tblGrid>
      <w:tr>
        <w:trPr>
          <w:trHeight w:val="340" w:hRule="atLeast"/>
        </w:trPr>
        <w:tc>
          <w:tcPr>
            <w:tcW w:w="5140" w:type="dxa"/>
          </w:tcPr>
          <w:p>
            <w:pPr>
              <w:pStyle w:val="TableParagraph"/>
              <w:spacing w:line="266" w:lineRule="exact"/>
              <w:ind w:right="812"/>
              <w:jc w:val="right"/>
              <w:rPr>
                <w:sz w:val="24"/>
              </w:rPr>
            </w:pPr>
            <w:r>
              <w:rPr>
                <w:spacing w:val="-5"/>
                <w:sz w:val="24"/>
              </w:rPr>
              <w:t>10</w:t>
            </w:r>
          </w:p>
        </w:tc>
        <w:tc>
          <w:tcPr>
            <w:tcW w:w="1659" w:type="dxa"/>
          </w:tcPr>
          <w:p>
            <w:pPr>
              <w:pStyle w:val="TableParagraph"/>
              <w:spacing w:line="266" w:lineRule="exact"/>
              <w:ind w:left="91"/>
              <w:jc w:val="center"/>
              <w:rPr>
                <w:sz w:val="24"/>
              </w:rPr>
            </w:pPr>
            <w:r>
              <w:rPr>
                <w:spacing w:val="-10"/>
                <w:sz w:val="24"/>
              </w:rPr>
              <w:t>5</w:t>
            </w:r>
          </w:p>
        </w:tc>
        <w:tc>
          <w:tcPr>
            <w:tcW w:w="1768" w:type="dxa"/>
          </w:tcPr>
          <w:p>
            <w:pPr>
              <w:pStyle w:val="TableParagraph"/>
              <w:spacing w:line="266" w:lineRule="exact"/>
              <w:ind w:left="100"/>
              <w:jc w:val="center"/>
              <w:rPr>
                <w:sz w:val="24"/>
              </w:rPr>
            </w:pPr>
            <w:r>
              <w:rPr>
                <w:spacing w:val="-4"/>
                <w:sz w:val="24"/>
              </w:rPr>
              <w:t>6.45</w:t>
            </w:r>
          </w:p>
        </w:tc>
      </w:tr>
      <w:tr>
        <w:trPr>
          <w:trHeight w:val="414" w:hRule="atLeast"/>
        </w:trPr>
        <w:tc>
          <w:tcPr>
            <w:tcW w:w="5140" w:type="dxa"/>
          </w:tcPr>
          <w:p>
            <w:pPr>
              <w:pStyle w:val="TableParagraph"/>
              <w:rPr>
                <w:sz w:val="22"/>
              </w:rPr>
            </w:pPr>
          </w:p>
        </w:tc>
        <w:tc>
          <w:tcPr>
            <w:tcW w:w="1659" w:type="dxa"/>
          </w:tcPr>
          <w:p>
            <w:pPr>
              <w:pStyle w:val="TableParagraph"/>
              <w:spacing w:before="64"/>
              <w:ind w:left="91"/>
              <w:jc w:val="center"/>
              <w:rPr>
                <w:sz w:val="24"/>
              </w:rPr>
            </w:pPr>
            <w:r>
              <w:rPr>
                <w:spacing w:val="-5"/>
                <w:sz w:val="24"/>
              </w:rPr>
              <w:t>10</w:t>
            </w:r>
          </w:p>
        </w:tc>
        <w:tc>
          <w:tcPr>
            <w:tcW w:w="1768" w:type="dxa"/>
          </w:tcPr>
          <w:p>
            <w:pPr>
              <w:pStyle w:val="TableParagraph"/>
              <w:spacing w:before="64"/>
              <w:ind w:left="100"/>
              <w:jc w:val="center"/>
              <w:rPr>
                <w:sz w:val="24"/>
              </w:rPr>
            </w:pPr>
            <w:r>
              <w:rPr>
                <w:spacing w:val="-2"/>
                <w:sz w:val="24"/>
              </w:rPr>
              <w:t>13.79</w:t>
            </w:r>
          </w:p>
        </w:tc>
      </w:tr>
      <w:tr>
        <w:trPr>
          <w:trHeight w:val="414" w:hRule="atLeast"/>
        </w:trPr>
        <w:tc>
          <w:tcPr>
            <w:tcW w:w="5140" w:type="dxa"/>
          </w:tcPr>
          <w:p>
            <w:pPr>
              <w:pStyle w:val="TableParagraph"/>
              <w:rPr>
                <w:sz w:val="22"/>
              </w:rPr>
            </w:pPr>
          </w:p>
        </w:tc>
        <w:tc>
          <w:tcPr>
            <w:tcW w:w="1659" w:type="dxa"/>
          </w:tcPr>
          <w:p>
            <w:pPr>
              <w:pStyle w:val="TableParagraph"/>
              <w:spacing w:before="63"/>
              <w:ind w:left="91"/>
              <w:jc w:val="center"/>
              <w:rPr>
                <w:sz w:val="24"/>
              </w:rPr>
            </w:pPr>
            <w:r>
              <w:rPr>
                <w:spacing w:val="-5"/>
                <w:sz w:val="24"/>
              </w:rPr>
              <w:t>15</w:t>
            </w:r>
          </w:p>
        </w:tc>
        <w:tc>
          <w:tcPr>
            <w:tcW w:w="1768" w:type="dxa"/>
          </w:tcPr>
          <w:p>
            <w:pPr>
              <w:pStyle w:val="TableParagraph"/>
              <w:spacing w:before="63"/>
              <w:ind w:left="100"/>
              <w:jc w:val="center"/>
              <w:rPr>
                <w:sz w:val="24"/>
              </w:rPr>
            </w:pPr>
            <w:r>
              <w:rPr>
                <w:spacing w:val="-2"/>
                <w:sz w:val="24"/>
              </w:rPr>
              <w:t>22.26</w:t>
            </w:r>
          </w:p>
        </w:tc>
      </w:tr>
      <w:tr>
        <w:trPr>
          <w:trHeight w:val="413" w:hRule="atLeast"/>
        </w:trPr>
        <w:tc>
          <w:tcPr>
            <w:tcW w:w="5140" w:type="dxa"/>
          </w:tcPr>
          <w:p>
            <w:pPr>
              <w:pStyle w:val="TableParagraph"/>
              <w:rPr>
                <w:sz w:val="22"/>
              </w:rPr>
            </w:pPr>
          </w:p>
        </w:tc>
        <w:tc>
          <w:tcPr>
            <w:tcW w:w="1659" w:type="dxa"/>
          </w:tcPr>
          <w:p>
            <w:pPr>
              <w:pStyle w:val="TableParagraph"/>
              <w:spacing w:before="64"/>
              <w:ind w:left="91"/>
              <w:jc w:val="center"/>
              <w:rPr>
                <w:sz w:val="24"/>
              </w:rPr>
            </w:pPr>
            <w:r>
              <w:rPr>
                <w:spacing w:val="-5"/>
                <w:sz w:val="24"/>
              </w:rPr>
              <w:t>30</w:t>
            </w:r>
          </w:p>
        </w:tc>
        <w:tc>
          <w:tcPr>
            <w:tcW w:w="1768" w:type="dxa"/>
          </w:tcPr>
          <w:p>
            <w:pPr>
              <w:pStyle w:val="TableParagraph"/>
              <w:spacing w:before="64"/>
              <w:ind w:left="100"/>
              <w:jc w:val="center"/>
              <w:rPr>
                <w:sz w:val="24"/>
              </w:rPr>
            </w:pPr>
            <w:r>
              <w:rPr>
                <w:spacing w:val="-2"/>
                <w:sz w:val="24"/>
              </w:rPr>
              <w:t>32.54</w:t>
            </w:r>
          </w:p>
        </w:tc>
      </w:tr>
      <w:tr>
        <w:trPr>
          <w:trHeight w:val="413" w:hRule="atLeast"/>
        </w:trPr>
        <w:tc>
          <w:tcPr>
            <w:tcW w:w="5140" w:type="dxa"/>
          </w:tcPr>
          <w:p>
            <w:pPr>
              <w:pStyle w:val="TableParagraph"/>
              <w:rPr>
                <w:sz w:val="22"/>
              </w:rPr>
            </w:pPr>
          </w:p>
        </w:tc>
        <w:tc>
          <w:tcPr>
            <w:tcW w:w="1659" w:type="dxa"/>
          </w:tcPr>
          <w:p>
            <w:pPr>
              <w:pStyle w:val="TableParagraph"/>
              <w:spacing w:before="63"/>
              <w:ind w:left="91"/>
              <w:jc w:val="center"/>
              <w:rPr>
                <w:sz w:val="24"/>
              </w:rPr>
            </w:pPr>
            <w:r>
              <w:rPr>
                <w:spacing w:val="-5"/>
                <w:sz w:val="24"/>
              </w:rPr>
              <w:t>45</w:t>
            </w:r>
          </w:p>
        </w:tc>
        <w:tc>
          <w:tcPr>
            <w:tcW w:w="1768" w:type="dxa"/>
          </w:tcPr>
          <w:p>
            <w:pPr>
              <w:pStyle w:val="TableParagraph"/>
              <w:spacing w:before="63"/>
              <w:ind w:left="100"/>
              <w:jc w:val="center"/>
              <w:rPr>
                <w:sz w:val="24"/>
              </w:rPr>
            </w:pPr>
            <w:r>
              <w:rPr>
                <w:spacing w:val="-2"/>
                <w:sz w:val="24"/>
              </w:rPr>
              <w:t>53.07</w:t>
            </w:r>
          </w:p>
        </w:tc>
      </w:tr>
      <w:tr>
        <w:trPr>
          <w:trHeight w:val="413" w:hRule="atLeast"/>
        </w:trPr>
        <w:tc>
          <w:tcPr>
            <w:tcW w:w="5140" w:type="dxa"/>
          </w:tcPr>
          <w:p>
            <w:pPr>
              <w:pStyle w:val="TableParagraph"/>
              <w:rPr>
                <w:sz w:val="22"/>
              </w:rPr>
            </w:pPr>
          </w:p>
        </w:tc>
        <w:tc>
          <w:tcPr>
            <w:tcW w:w="1659" w:type="dxa"/>
          </w:tcPr>
          <w:p>
            <w:pPr>
              <w:pStyle w:val="TableParagraph"/>
              <w:spacing w:before="64"/>
              <w:ind w:left="91"/>
              <w:jc w:val="center"/>
              <w:rPr>
                <w:sz w:val="24"/>
              </w:rPr>
            </w:pPr>
            <w:r>
              <w:rPr>
                <w:spacing w:val="-5"/>
                <w:sz w:val="24"/>
              </w:rPr>
              <w:t>60</w:t>
            </w:r>
          </w:p>
        </w:tc>
        <w:tc>
          <w:tcPr>
            <w:tcW w:w="1768" w:type="dxa"/>
          </w:tcPr>
          <w:p>
            <w:pPr>
              <w:pStyle w:val="TableParagraph"/>
              <w:spacing w:before="64"/>
              <w:ind w:left="100"/>
              <w:jc w:val="center"/>
              <w:rPr>
                <w:sz w:val="24"/>
              </w:rPr>
            </w:pPr>
            <w:r>
              <w:rPr>
                <w:spacing w:val="-2"/>
                <w:sz w:val="24"/>
              </w:rPr>
              <w:t>77.76</w:t>
            </w:r>
          </w:p>
        </w:tc>
      </w:tr>
      <w:tr>
        <w:trPr>
          <w:trHeight w:val="413" w:hRule="atLeast"/>
        </w:trPr>
        <w:tc>
          <w:tcPr>
            <w:tcW w:w="5140" w:type="dxa"/>
          </w:tcPr>
          <w:p>
            <w:pPr>
              <w:pStyle w:val="TableParagraph"/>
              <w:rPr>
                <w:sz w:val="22"/>
              </w:rPr>
            </w:pPr>
          </w:p>
        </w:tc>
        <w:tc>
          <w:tcPr>
            <w:tcW w:w="1659" w:type="dxa"/>
          </w:tcPr>
          <w:p>
            <w:pPr>
              <w:pStyle w:val="TableParagraph"/>
              <w:spacing w:before="63"/>
              <w:ind w:left="91"/>
              <w:jc w:val="center"/>
              <w:rPr>
                <w:sz w:val="24"/>
              </w:rPr>
            </w:pPr>
            <w:r>
              <w:rPr>
                <w:spacing w:val="-5"/>
                <w:sz w:val="24"/>
              </w:rPr>
              <w:t>75</w:t>
            </w:r>
          </w:p>
        </w:tc>
        <w:tc>
          <w:tcPr>
            <w:tcW w:w="1768" w:type="dxa"/>
          </w:tcPr>
          <w:p>
            <w:pPr>
              <w:pStyle w:val="TableParagraph"/>
              <w:spacing w:before="63"/>
              <w:ind w:left="100"/>
              <w:jc w:val="center"/>
              <w:rPr>
                <w:sz w:val="24"/>
              </w:rPr>
            </w:pPr>
            <w:r>
              <w:rPr>
                <w:spacing w:val="-2"/>
                <w:sz w:val="24"/>
              </w:rPr>
              <w:t>96.65</w:t>
            </w:r>
          </w:p>
        </w:tc>
      </w:tr>
      <w:tr>
        <w:trPr>
          <w:trHeight w:val="414" w:hRule="atLeast"/>
        </w:trPr>
        <w:tc>
          <w:tcPr>
            <w:tcW w:w="5140" w:type="dxa"/>
          </w:tcPr>
          <w:p>
            <w:pPr>
              <w:pStyle w:val="TableParagraph"/>
              <w:rPr>
                <w:sz w:val="22"/>
              </w:rPr>
            </w:pPr>
          </w:p>
        </w:tc>
        <w:tc>
          <w:tcPr>
            <w:tcW w:w="1659" w:type="dxa"/>
          </w:tcPr>
          <w:p>
            <w:pPr>
              <w:pStyle w:val="TableParagraph"/>
              <w:spacing w:before="64"/>
              <w:ind w:left="91"/>
              <w:jc w:val="center"/>
              <w:rPr>
                <w:sz w:val="24"/>
              </w:rPr>
            </w:pPr>
            <w:r>
              <w:rPr>
                <w:spacing w:val="-5"/>
                <w:sz w:val="24"/>
              </w:rPr>
              <w:t>90</w:t>
            </w:r>
          </w:p>
        </w:tc>
        <w:tc>
          <w:tcPr>
            <w:tcW w:w="1768" w:type="dxa"/>
          </w:tcPr>
          <w:p>
            <w:pPr>
              <w:pStyle w:val="TableParagraph"/>
              <w:spacing w:before="64"/>
              <w:ind w:left="100"/>
              <w:jc w:val="center"/>
              <w:rPr>
                <w:sz w:val="24"/>
              </w:rPr>
            </w:pPr>
            <w:r>
              <w:rPr>
                <w:spacing w:val="-2"/>
                <w:sz w:val="24"/>
              </w:rPr>
              <w:t>101.31</w:t>
            </w:r>
          </w:p>
        </w:tc>
      </w:tr>
      <w:tr>
        <w:trPr>
          <w:trHeight w:val="484" w:hRule="atLeast"/>
        </w:trPr>
        <w:tc>
          <w:tcPr>
            <w:tcW w:w="5140" w:type="dxa"/>
            <w:tcBorders>
              <w:bottom w:val="single" w:sz="4" w:space="0" w:color="000000"/>
            </w:tcBorders>
          </w:tcPr>
          <w:p>
            <w:pPr>
              <w:pStyle w:val="TableParagraph"/>
              <w:rPr>
                <w:sz w:val="22"/>
              </w:rPr>
            </w:pPr>
          </w:p>
        </w:tc>
        <w:tc>
          <w:tcPr>
            <w:tcW w:w="1659" w:type="dxa"/>
            <w:tcBorders>
              <w:bottom w:val="single" w:sz="4" w:space="0" w:color="000000"/>
            </w:tcBorders>
          </w:tcPr>
          <w:p>
            <w:pPr>
              <w:pStyle w:val="TableParagraph"/>
              <w:spacing w:before="63"/>
              <w:ind w:left="91"/>
              <w:jc w:val="center"/>
              <w:rPr>
                <w:sz w:val="24"/>
              </w:rPr>
            </w:pPr>
            <w:r>
              <w:rPr>
                <w:spacing w:val="-5"/>
                <w:sz w:val="24"/>
              </w:rPr>
              <w:t>105</w:t>
            </w:r>
          </w:p>
        </w:tc>
        <w:tc>
          <w:tcPr>
            <w:tcW w:w="1768" w:type="dxa"/>
            <w:tcBorders>
              <w:bottom w:val="single" w:sz="4" w:space="0" w:color="000000"/>
            </w:tcBorders>
          </w:tcPr>
          <w:p>
            <w:pPr>
              <w:pStyle w:val="TableParagraph"/>
              <w:spacing w:before="63"/>
              <w:ind w:left="100"/>
              <w:jc w:val="center"/>
              <w:rPr>
                <w:sz w:val="24"/>
              </w:rPr>
            </w:pPr>
            <w:r>
              <w:rPr>
                <w:spacing w:val="-2"/>
                <w:sz w:val="24"/>
              </w:rPr>
              <w:t>101.23</w:t>
            </w:r>
          </w:p>
        </w:tc>
      </w:tr>
    </w:tbl>
    <w:p>
      <w:pPr>
        <w:spacing w:after="0"/>
        <w:jc w:val="center"/>
        <w:rPr>
          <w:sz w:val="24"/>
        </w:rPr>
        <w:sectPr>
          <w:pgSz w:w="12240" w:h="15840"/>
          <w:pgMar w:header="0" w:footer="1056" w:top="1340" w:bottom="1240" w:left="1420" w:right="420"/>
        </w:sectPr>
      </w:pPr>
    </w:p>
    <w:p>
      <w:pPr>
        <w:spacing w:line="360" w:lineRule="auto" w:before="77"/>
        <w:ind w:left="1954" w:right="1041" w:hanging="1277"/>
        <w:jc w:val="left"/>
        <w:rPr>
          <w:b/>
          <w:sz w:val="24"/>
        </w:rPr>
      </w:pPr>
      <w:r>
        <w:rPr/>
        <mc:AlternateContent>
          <mc:Choice Requires="wps">
            <w:drawing>
              <wp:anchor distT="0" distB="0" distL="0" distR="0" allowOverlap="1" layoutInCell="1" locked="0" behindDoc="1" simplePos="0" relativeHeight="483055616">
                <wp:simplePos x="0" y="0"/>
                <wp:positionH relativeFrom="page">
                  <wp:posOffset>-1402226</wp:posOffset>
                </wp:positionH>
                <wp:positionV relativeFrom="page">
                  <wp:posOffset>4612234</wp:posOffset>
                </wp:positionV>
                <wp:extent cx="10685780" cy="91440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0864;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40"/>
          <w:sz w:val="24"/>
        </w:rPr>
        <w:t> </w:t>
      </w:r>
      <w:r>
        <w:rPr>
          <w:b/>
          <w:sz w:val="24"/>
        </w:rPr>
        <w:t>7:</w:t>
      </w:r>
      <w:r>
        <w:rPr>
          <w:b/>
          <w:spacing w:val="40"/>
          <w:sz w:val="24"/>
        </w:rPr>
        <w:t> </w:t>
      </w:r>
      <w:r>
        <w:rPr>
          <w:b/>
          <w:sz w:val="24"/>
        </w:rPr>
        <w:t>Dissolution</w:t>
      </w:r>
      <w:r>
        <w:rPr>
          <w:b/>
          <w:spacing w:val="40"/>
          <w:sz w:val="24"/>
        </w:rPr>
        <w:t> </w:t>
      </w:r>
      <w:r>
        <w:rPr>
          <w:b/>
          <w:sz w:val="24"/>
        </w:rPr>
        <w:t>profiles</w:t>
      </w:r>
      <w:r>
        <w:rPr>
          <w:b/>
          <w:spacing w:val="40"/>
          <w:sz w:val="24"/>
        </w:rPr>
        <w:t> </w:t>
      </w:r>
      <w:r>
        <w:rPr>
          <w:b/>
          <w:sz w:val="24"/>
        </w:rPr>
        <w:t>of</w:t>
      </w:r>
      <w:r>
        <w:rPr>
          <w:b/>
          <w:spacing w:val="40"/>
          <w:sz w:val="24"/>
        </w:rPr>
        <w:t> </w:t>
      </w:r>
      <w:r>
        <w:rPr>
          <w:b/>
          <w:i/>
          <w:sz w:val="24"/>
        </w:rPr>
        <w:t>M.</w:t>
      </w:r>
      <w:r>
        <w:rPr>
          <w:b/>
          <w:i/>
          <w:spacing w:val="40"/>
          <w:sz w:val="24"/>
        </w:rPr>
        <w:t> </w:t>
      </w:r>
      <w:r>
        <w:rPr>
          <w:b/>
          <w:i/>
          <w:sz w:val="24"/>
        </w:rPr>
        <w:t>pruriens</w:t>
      </w:r>
      <w:r>
        <w:rPr>
          <w:b/>
          <w:i/>
          <w:spacing w:val="40"/>
          <w:sz w:val="24"/>
        </w:rPr>
        <w:t> </w:t>
      </w:r>
      <w:r>
        <w:rPr>
          <w:b/>
          <w:sz w:val="24"/>
        </w:rPr>
        <w:t>tablets</w:t>
      </w:r>
      <w:r>
        <w:rPr>
          <w:b/>
          <w:spacing w:val="40"/>
          <w:sz w:val="24"/>
        </w:rPr>
        <w:t> </w:t>
      </w:r>
      <w:r>
        <w:rPr>
          <w:b/>
          <w:sz w:val="24"/>
        </w:rPr>
        <w:t>prepared</w:t>
      </w:r>
      <w:r>
        <w:rPr>
          <w:b/>
          <w:spacing w:val="40"/>
          <w:sz w:val="24"/>
        </w:rPr>
        <w:t> </w:t>
      </w:r>
      <w:r>
        <w:rPr>
          <w:b/>
          <w:sz w:val="24"/>
        </w:rPr>
        <w:t>by</w:t>
      </w:r>
      <w:r>
        <w:rPr>
          <w:b/>
          <w:spacing w:val="40"/>
          <w:sz w:val="24"/>
        </w:rPr>
        <w:t> </w:t>
      </w:r>
      <w:r>
        <w:rPr>
          <w:b/>
          <w:sz w:val="24"/>
        </w:rPr>
        <w:t>using</w:t>
      </w:r>
      <w:r>
        <w:rPr>
          <w:b/>
          <w:spacing w:val="40"/>
          <w:sz w:val="24"/>
        </w:rPr>
        <w:t> </w:t>
      </w:r>
      <w:r>
        <w:rPr>
          <w:b/>
          <w:sz w:val="24"/>
        </w:rPr>
        <w:t>Corn starch as binding agent.</w:t>
      </w:r>
    </w:p>
    <w:p>
      <w:pPr>
        <w:pStyle w:val="BodyText"/>
        <w:spacing w:before="47" w:after="1"/>
        <w:rPr>
          <w:b/>
          <w:sz w:val="20"/>
        </w:rPr>
      </w:pPr>
    </w:p>
    <w:tbl>
      <w:tblPr>
        <w:tblW w:w="0" w:type="auto"/>
        <w:jc w:val="lef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9"/>
        <w:gridCol w:w="1845"/>
        <w:gridCol w:w="1758"/>
        <w:gridCol w:w="1752"/>
        <w:gridCol w:w="1795"/>
      </w:tblGrid>
      <w:tr>
        <w:trPr>
          <w:trHeight w:val="827" w:hRule="atLeast"/>
        </w:trPr>
        <w:tc>
          <w:tcPr>
            <w:tcW w:w="1439" w:type="dxa"/>
            <w:tcBorders>
              <w:top w:val="single" w:sz="4" w:space="0" w:color="000000"/>
              <w:bottom w:val="single" w:sz="4" w:space="0" w:color="000000"/>
            </w:tcBorders>
          </w:tcPr>
          <w:p>
            <w:pPr>
              <w:pStyle w:val="TableParagraph"/>
              <w:spacing w:line="275" w:lineRule="exact"/>
              <w:ind w:left="348"/>
              <w:rPr>
                <w:b/>
                <w:sz w:val="24"/>
              </w:rPr>
            </w:pPr>
            <w:r>
              <w:rPr>
                <w:b/>
                <w:spacing w:val="-2"/>
                <w:sz w:val="24"/>
              </w:rPr>
              <w:t>Binding</w:t>
            </w:r>
          </w:p>
          <w:p>
            <w:pPr>
              <w:pStyle w:val="TableParagraph"/>
              <w:spacing w:before="137"/>
              <w:ind w:left="448"/>
              <w:rPr>
                <w:b/>
                <w:sz w:val="24"/>
              </w:rPr>
            </w:pPr>
            <w:r>
              <w:rPr>
                <w:b/>
                <w:spacing w:val="-4"/>
                <w:sz w:val="24"/>
              </w:rPr>
              <w:t>Agent</w:t>
            </w:r>
          </w:p>
        </w:tc>
        <w:tc>
          <w:tcPr>
            <w:tcW w:w="1845" w:type="dxa"/>
            <w:tcBorders>
              <w:top w:val="single" w:sz="4" w:space="0" w:color="000000"/>
              <w:bottom w:val="single" w:sz="4" w:space="0" w:color="000000"/>
            </w:tcBorders>
          </w:tcPr>
          <w:p>
            <w:pPr>
              <w:pStyle w:val="TableParagraph"/>
              <w:spacing w:line="275" w:lineRule="exact"/>
              <w:ind w:left="42" w:right="1"/>
              <w:jc w:val="center"/>
              <w:rPr>
                <w:b/>
                <w:sz w:val="24"/>
              </w:rPr>
            </w:pPr>
            <w:r>
              <w:rPr>
                <w:b/>
                <w:spacing w:val="-2"/>
                <w:sz w:val="24"/>
              </w:rPr>
              <w:t>Concentration</w:t>
            </w:r>
          </w:p>
          <w:p>
            <w:pPr>
              <w:pStyle w:val="TableParagraph"/>
              <w:spacing w:before="137"/>
              <w:ind w:left="42"/>
              <w:jc w:val="center"/>
              <w:rPr>
                <w:b/>
                <w:sz w:val="24"/>
              </w:rPr>
            </w:pPr>
            <w:r>
              <w:rPr>
                <w:b/>
                <w:spacing w:val="-2"/>
                <w:sz w:val="24"/>
              </w:rPr>
              <w:t>(%</w:t>
            </w:r>
            <w:r>
              <w:rPr>
                <w:b/>
                <w:spacing w:val="-2"/>
                <w:sz w:val="24"/>
                <w:vertAlign w:val="superscript"/>
              </w:rPr>
              <w:t>w</w:t>
            </w:r>
            <w:r>
              <w:rPr>
                <w:b/>
                <w:spacing w:val="-2"/>
                <w:sz w:val="24"/>
                <w:vertAlign w:val="baseline"/>
              </w:rPr>
              <w:t>/</w:t>
            </w:r>
            <w:r>
              <w:rPr>
                <w:b/>
                <w:spacing w:val="-2"/>
                <w:sz w:val="24"/>
                <w:vertAlign w:val="subscript"/>
              </w:rPr>
              <w:t>w</w:t>
            </w:r>
            <w:r>
              <w:rPr>
                <w:b/>
                <w:spacing w:val="-2"/>
                <w:sz w:val="24"/>
                <w:vertAlign w:val="baseline"/>
              </w:rPr>
              <w:t>)</w:t>
            </w:r>
          </w:p>
        </w:tc>
        <w:tc>
          <w:tcPr>
            <w:tcW w:w="1758" w:type="dxa"/>
            <w:tcBorders>
              <w:top w:val="single" w:sz="4" w:space="0" w:color="000000"/>
              <w:bottom w:val="single" w:sz="4" w:space="0" w:color="000000"/>
            </w:tcBorders>
          </w:tcPr>
          <w:p>
            <w:pPr>
              <w:pStyle w:val="TableParagraph"/>
              <w:spacing w:line="275" w:lineRule="exact"/>
              <w:ind w:left="196"/>
              <w:rPr>
                <w:b/>
                <w:sz w:val="24"/>
              </w:rPr>
            </w:pPr>
            <w:r>
              <w:rPr>
                <w:b/>
                <w:spacing w:val="-2"/>
                <w:sz w:val="24"/>
              </w:rPr>
              <w:t>Compression</w:t>
            </w:r>
          </w:p>
          <w:p>
            <w:pPr>
              <w:pStyle w:val="TableParagraph"/>
              <w:spacing w:before="137"/>
              <w:ind w:left="160"/>
              <w:rPr>
                <w:b/>
                <w:sz w:val="24"/>
              </w:rPr>
            </w:pPr>
            <w:r>
              <w:rPr>
                <w:b/>
                <w:sz w:val="24"/>
              </w:rPr>
              <w:t>Pressure</w:t>
            </w:r>
            <w:r>
              <w:rPr>
                <w:b/>
                <w:spacing w:val="-4"/>
                <w:sz w:val="24"/>
              </w:rPr>
              <w:t> (kN)</w:t>
            </w:r>
          </w:p>
        </w:tc>
        <w:tc>
          <w:tcPr>
            <w:tcW w:w="1752" w:type="dxa"/>
            <w:tcBorders>
              <w:top w:val="single" w:sz="4" w:space="0" w:color="000000"/>
              <w:bottom w:val="single" w:sz="4" w:space="0" w:color="000000"/>
            </w:tcBorders>
          </w:tcPr>
          <w:p>
            <w:pPr>
              <w:pStyle w:val="TableParagraph"/>
              <w:spacing w:line="275" w:lineRule="exact"/>
              <w:ind w:left="17" w:right="4"/>
              <w:jc w:val="center"/>
              <w:rPr>
                <w:b/>
                <w:sz w:val="24"/>
              </w:rPr>
            </w:pPr>
            <w:r>
              <w:rPr>
                <w:b/>
                <w:sz w:val="24"/>
              </w:rPr>
              <w:t>Time</w:t>
            </w:r>
            <w:r>
              <w:rPr>
                <w:b/>
                <w:spacing w:val="-4"/>
                <w:sz w:val="24"/>
              </w:rPr>
              <w:t> </w:t>
            </w:r>
            <w:r>
              <w:rPr>
                <w:b/>
                <w:spacing w:val="-2"/>
                <w:sz w:val="24"/>
              </w:rPr>
              <w:t>Interval</w:t>
            </w:r>
          </w:p>
          <w:p>
            <w:pPr>
              <w:pStyle w:val="TableParagraph"/>
              <w:spacing w:before="137"/>
              <w:ind w:left="17" w:right="2"/>
              <w:jc w:val="center"/>
              <w:rPr>
                <w:b/>
                <w:sz w:val="24"/>
              </w:rPr>
            </w:pPr>
            <w:r>
              <w:rPr>
                <w:b/>
                <w:spacing w:val="-2"/>
                <w:sz w:val="24"/>
              </w:rPr>
              <w:t>(min)</w:t>
            </w:r>
          </w:p>
        </w:tc>
        <w:tc>
          <w:tcPr>
            <w:tcW w:w="1795" w:type="dxa"/>
            <w:tcBorders>
              <w:top w:val="single" w:sz="4" w:space="0" w:color="000000"/>
              <w:bottom w:val="single" w:sz="4" w:space="0" w:color="000000"/>
            </w:tcBorders>
          </w:tcPr>
          <w:p>
            <w:pPr>
              <w:pStyle w:val="TableParagraph"/>
              <w:spacing w:line="275" w:lineRule="exact"/>
              <w:ind w:left="12" w:right="5"/>
              <w:jc w:val="center"/>
              <w:rPr>
                <w:b/>
                <w:sz w:val="24"/>
              </w:rPr>
            </w:pPr>
            <w:r>
              <w:rPr>
                <w:b/>
                <w:sz w:val="24"/>
              </w:rPr>
              <w:t>Cumulative</w:t>
            </w:r>
            <w:r>
              <w:rPr>
                <w:b/>
                <w:spacing w:val="-4"/>
                <w:sz w:val="24"/>
              </w:rPr>
              <w:t> </w:t>
            </w:r>
            <w:r>
              <w:rPr>
                <w:b/>
                <w:spacing w:val="-10"/>
                <w:sz w:val="24"/>
              </w:rPr>
              <w:t>%</w:t>
            </w:r>
          </w:p>
          <w:p>
            <w:pPr>
              <w:pStyle w:val="TableParagraph"/>
              <w:spacing w:before="137"/>
              <w:ind w:left="12"/>
              <w:jc w:val="center"/>
              <w:rPr>
                <w:b/>
                <w:sz w:val="24"/>
              </w:rPr>
            </w:pPr>
            <w:r>
              <w:rPr>
                <w:b/>
                <w:spacing w:val="-2"/>
                <w:sz w:val="24"/>
              </w:rPr>
              <w:t>Release</w:t>
            </w:r>
          </w:p>
        </w:tc>
      </w:tr>
      <w:tr>
        <w:trPr>
          <w:trHeight w:val="344" w:hRule="atLeast"/>
        </w:trPr>
        <w:tc>
          <w:tcPr>
            <w:tcW w:w="1439" w:type="dxa"/>
            <w:tcBorders>
              <w:top w:val="single" w:sz="4" w:space="0" w:color="000000"/>
            </w:tcBorders>
          </w:tcPr>
          <w:p>
            <w:pPr>
              <w:pStyle w:val="TableParagraph"/>
              <w:spacing w:line="270" w:lineRule="exact"/>
              <w:ind w:left="122"/>
              <w:rPr>
                <w:sz w:val="24"/>
              </w:rPr>
            </w:pPr>
            <w:r>
              <w:rPr>
                <w:sz w:val="24"/>
              </w:rPr>
              <w:t>Corn</w:t>
            </w:r>
            <w:r>
              <w:rPr>
                <w:spacing w:val="-1"/>
                <w:sz w:val="24"/>
              </w:rPr>
              <w:t> </w:t>
            </w:r>
            <w:r>
              <w:rPr>
                <w:spacing w:val="-2"/>
                <w:sz w:val="24"/>
              </w:rPr>
              <w:t>starch</w:t>
            </w:r>
          </w:p>
        </w:tc>
        <w:tc>
          <w:tcPr>
            <w:tcW w:w="1845" w:type="dxa"/>
            <w:tcBorders>
              <w:top w:val="single" w:sz="4" w:space="0" w:color="000000"/>
            </w:tcBorders>
          </w:tcPr>
          <w:p>
            <w:pPr>
              <w:pStyle w:val="TableParagraph"/>
              <w:spacing w:line="270" w:lineRule="exact"/>
              <w:ind w:left="827"/>
              <w:rPr>
                <w:sz w:val="24"/>
              </w:rPr>
            </w:pPr>
            <w:r>
              <w:rPr>
                <w:spacing w:val="-10"/>
                <w:sz w:val="24"/>
              </w:rPr>
              <w:t>1</w:t>
            </w:r>
          </w:p>
        </w:tc>
        <w:tc>
          <w:tcPr>
            <w:tcW w:w="1758" w:type="dxa"/>
            <w:tcBorders>
              <w:top w:val="single" w:sz="4" w:space="0" w:color="000000"/>
            </w:tcBorders>
          </w:tcPr>
          <w:p>
            <w:pPr>
              <w:pStyle w:val="TableParagraph"/>
              <w:spacing w:line="270" w:lineRule="exact"/>
              <w:ind w:left="114" w:right="129"/>
              <w:jc w:val="center"/>
              <w:rPr>
                <w:sz w:val="24"/>
              </w:rPr>
            </w:pPr>
            <w:r>
              <w:rPr>
                <w:spacing w:val="-10"/>
                <w:sz w:val="24"/>
              </w:rPr>
              <w:t>5</w:t>
            </w:r>
          </w:p>
        </w:tc>
        <w:tc>
          <w:tcPr>
            <w:tcW w:w="1752" w:type="dxa"/>
            <w:tcBorders>
              <w:top w:val="single" w:sz="4" w:space="0" w:color="000000"/>
            </w:tcBorders>
          </w:tcPr>
          <w:p>
            <w:pPr>
              <w:pStyle w:val="TableParagraph"/>
              <w:spacing w:line="270" w:lineRule="exact"/>
              <w:ind w:left="17"/>
              <w:jc w:val="center"/>
              <w:rPr>
                <w:sz w:val="24"/>
              </w:rPr>
            </w:pPr>
            <w:r>
              <w:rPr>
                <w:spacing w:val="-10"/>
                <w:sz w:val="24"/>
              </w:rPr>
              <w:t>5</w:t>
            </w:r>
          </w:p>
        </w:tc>
        <w:tc>
          <w:tcPr>
            <w:tcW w:w="1795" w:type="dxa"/>
            <w:tcBorders>
              <w:top w:val="single" w:sz="4" w:space="0" w:color="000000"/>
            </w:tcBorders>
          </w:tcPr>
          <w:p>
            <w:pPr>
              <w:pStyle w:val="TableParagraph"/>
              <w:spacing w:line="270" w:lineRule="exact"/>
              <w:ind w:left="12" w:right="1"/>
              <w:jc w:val="center"/>
              <w:rPr>
                <w:sz w:val="24"/>
              </w:rPr>
            </w:pPr>
            <w:r>
              <w:rPr>
                <w:spacing w:val="-5"/>
                <w:sz w:val="24"/>
              </w:rPr>
              <w:t>9.3</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10</w:t>
            </w:r>
          </w:p>
        </w:tc>
        <w:tc>
          <w:tcPr>
            <w:tcW w:w="1795" w:type="dxa"/>
          </w:tcPr>
          <w:p>
            <w:pPr>
              <w:pStyle w:val="TableParagraph"/>
              <w:spacing w:before="64"/>
              <w:ind w:left="12" w:right="1"/>
              <w:jc w:val="center"/>
              <w:rPr>
                <w:sz w:val="24"/>
              </w:rPr>
            </w:pPr>
            <w:r>
              <w:rPr>
                <w:spacing w:val="-2"/>
                <w:sz w:val="24"/>
              </w:rPr>
              <w:t>19.50</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15</w:t>
            </w:r>
          </w:p>
        </w:tc>
        <w:tc>
          <w:tcPr>
            <w:tcW w:w="1795" w:type="dxa"/>
          </w:tcPr>
          <w:p>
            <w:pPr>
              <w:pStyle w:val="TableParagraph"/>
              <w:spacing w:before="63"/>
              <w:ind w:left="12" w:right="1"/>
              <w:jc w:val="center"/>
              <w:rPr>
                <w:sz w:val="24"/>
              </w:rPr>
            </w:pPr>
            <w:r>
              <w:rPr>
                <w:spacing w:val="-2"/>
                <w:sz w:val="24"/>
              </w:rPr>
              <w:t>36.16</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30</w:t>
            </w:r>
          </w:p>
        </w:tc>
        <w:tc>
          <w:tcPr>
            <w:tcW w:w="1795" w:type="dxa"/>
          </w:tcPr>
          <w:p>
            <w:pPr>
              <w:pStyle w:val="TableParagraph"/>
              <w:spacing w:before="64"/>
              <w:ind w:left="12" w:right="1"/>
              <w:jc w:val="center"/>
              <w:rPr>
                <w:sz w:val="24"/>
              </w:rPr>
            </w:pPr>
            <w:r>
              <w:rPr>
                <w:spacing w:val="-2"/>
                <w:sz w:val="24"/>
              </w:rPr>
              <w:t>59.31</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45</w:t>
            </w:r>
          </w:p>
        </w:tc>
        <w:tc>
          <w:tcPr>
            <w:tcW w:w="1795" w:type="dxa"/>
          </w:tcPr>
          <w:p>
            <w:pPr>
              <w:pStyle w:val="TableParagraph"/>
              <w:spacing w:before="63"/>
              <w:ind w:left="12" w:right="1"/>
              <w:jc w:val="center"/>
              <w:rPr>
                <w:sz w:val="24"/>
              </w:rPr>
            </w:pPr>
            <w:r>
              <w:rPr>
                <w:spacing w:val="-2"/>
                <w:sz w:val="24"/>
              </w:rPr>
              <w:t>70.43</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60</w:t>
            </w:r>
          </w:p>
        </w:tc>
        <w:tc>
          <w:tcPr>
            <w:tcW w:w="1795" w:type="dxa"/>
          </w:tcPr>
          <w:p>
            <w:pPr>
              <w:pStyle w:val="TableParagraph"/>
              <w:spacing w:before="64"/>
              <w:ind w:left="12" w:right="1"/>
              <w:jc w:val="center"/>
              <w:rPr>
                <w:sz w:val="24"/>
              </w:rPr>
            </w:pPr>
            <w:r>
              <w:rPr>
                <w:spacing w:val="-2"/>
                <w:sz w:val="24"/>
              </w:rPr>
              <w:t>89.93</w:t>
            </w:r>
          </w:p>
        </w:tc>
      </w:tr>
      <w:tr>
        <w:trPr>
          <w:trHeight w:val="412"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75</w:t>
            </w:r>
          </w:p>
        </w:tc>
        <w:tc>
          <w:tcPr>
            <w:tcW w:w="1795" w:type="dxa"/>
          </w:tcPr>
          <w:p>
            <w:pPr>
              <w:pStyle w:val="TableParagraph"/>
              <w:spacing w:before="63"/>
              <w:ind w:left="12" w:right="1"/>
              <w:jc w:val="center"/>
              <w:rPr>
                <w:sz w:val="24"/>
              </w:rPr>
            </w:pPr>
            <w:r>
              <w:rPr>
                <w:spacing w:val="-2"/>
                <w:sz w:val="24"/>
              </w:rPr>
              <w:t>100.54</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90</w:t>
            </w:r>
          </w:p>
        </w:tc>
        <w:tc>
          <w:tcPr>
            <w:tcW w:w="1795" w:type="dxa"/>
          </w:tcPr>
          <w:p>
            <w:pPr>
              <w:pStyle w:val="TableParagraph"/>
              <w:spacing w:before="63"/>
              <w:ind w:left="12" w:right="1"/>
              <w:jc w:val="center"/>
              <w:rPr>
                <w:sz w:val="24"/>
              </w:rPr>
            </w:pPr>
            <w:r>
              <w:rPr>
                <w:spacing w:val="-2"/>
                <w:sz w:val="24"/>
              </w:rPr>
              <w:t>100.68</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135</w:t>
            </w:r>
          </w:p>
        </w:tc>
        <w:tc>
          <w:tcPr>
            <w:tcW w:w="1795" w:type="dxa"/>
          </w:tcPr>
          <w:p>
            <w:pPr>
              <w:pStyle w:val="TableParagraph"/>
              <w:spacing w:before="64"/>
              <w:ind w:left="12" w:right="1"/>
              <w:jc w:val="center"/>
              <w:rPr>
                <w:sz w:val="24"/>
              </w:rPr>
            </w:pPr>
            <w:r>
              <w:rPr>
                <w:spacing w:val="-2"/>
                <w:sz w:val="24"/>
              </w:rPr>
              <w:t>101.27</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spacing w:before="63"/>
              <w:ind w:left="114" w:right="129"/>
              <w:jc w:val="center"/>
              <w:rPr>
                <w:sz w:val="24"/>
              </w:rPr>
            </w:pPr>
            <w:r>
              <w:rPr>
                <w:spacing w:val="-5"/>
                <w:sz w:val="24"/>
              </w:rPr>
              <w:t>10</w:t>
            </w:r>
          </w:p>
        </w:tc>
        <w:tc>
          <w:tcPr>
            <w:tcW w:w="1752" w:type="dxa"/>
          </w:tcPr>
          <w:p>
            <w:pPr>
              <w:pStyle w:val="TableParagraph"/>
              <w:spacing w:before="63"/>
              <w:ind w:left="17"/>
              <w:jc w:val="center"/>
              <w:rPr>
                <w:sz w:val="24"/>
              </w:rPr>
            </w:pPr>
            <w:r>
              <w:rPr>
                <w:spacing w:val="-10"/>
                <w:sz w:val="24"/>
              </w:rPr>
              <w:t>5</w:t>
            </w:r>
          </w:p>
        </w:tc>
        <w:tc>
          <w:tcPr>
            <w:tcW w:w="1795" w:type="dxa"/>
          </w:tcPr>
          <w:p>
            <w:pPr>
              <w:pStyle w:val="TableParagraph"/>
              <w:spacing w:before="63"/>
              <w:ind w:left="12" w:right="1"/>
              <w:jc w:val="center"/>
              <w:rPr>
                <w:sz w:val="24"/>
              </w:rPr>
            </w:pPr>
            <w:r>
              <w:rPr>
                <w:spacing w:val="-4"/>
                <w:sz w:val="24"/>
              </w:rPr>
              <w:t>8.22</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10</w:t>
            </w:r>
          </w:p>
        </w:tc>
        <w:tc>
          <w:tcPr>
            <w:tcW w:w="1795" w:type="dxa"/>
          </w:tcPr>
          <w:p>
            <w:pPr>
              <w:pStyle w:val="TableParagraph"/>
              <w:spacing w:before="64"/>
              <w:ind w:left="12" w:right="1"/>
              <w:jc w:val="center"/>
              <w:rPr>
                <w:sz w:val="24"/>
              </w:rPr>
            </w:pPr>
            <w:r>
              <w:rPr>
                <w:spacing w:val="-2"/>
                <w:sz w:val="24"/>
              </w:rPr>
              <w:t>17.50</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15</w:t>
            </w:r>
          </w:p>
        </w:tc>
        <w:tc>
          <w:tcPr>
            <w:tcW w:w="1795" w:type="dxa"/>
          </w:tcPr>
          <w:p>
            <w:pPr>
              <w:pStyle w:val="TableParagraph"/>
              <w:spacing w:before="63"/>
              <w:ind w:left="12" w:right="1"/>
              <w:jc w:val="center"/>
              <w:rPr>
                <w:sz w:val="24"/>
              </w:rPr>
            </w:pPr>
            <w:r>
              <w:rPr>
                <w:spacing w:val="-2"/>
                <w:sz w:val="24"/>
              </w:rPr>
              <w:t>32.30</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30</w:t>
            </w:r>
          </w:p>
        </w:tc>
        <w:tc>
          <w:tcPr>
            <w:tcW w:w="1795" w:type="dxa"/>
          </w:tcPr>
          <w:p>
            <w:pPr>
              <w:pStyle w:val="TableParagraph"/>
              <w:spacing w:before="64"/>
              <w:ind w:left="12" w:right="1"/>
              <w:jc w:val="center"/>
              <w:rPr>
                <w:sz w:val="24"/>
              </w:rPr>
            </w:pPr>
            <w:r>
              <w:rPr>
                <w:spacing w:val="-2"/>
                <w:sz w:val="24"/>
              </w:rPr>
              <w:t>54.08</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45</w:t>
            </w:r>
          </w:p>
        </w:tc>
        <w:tc>
          <w:tcPr>
            <w:tcW w:w="1795" w:type="dxa"/>
          </w:tcPr>
          <w:p>
            <w:pPr>
              <w:pStyle w:val="TableParagraph"/>
              <w:spacing w:before="63"/>
              <w:ind w:left="12" w:right="1"/>
              <w:jc w:val="center"/>
              <w:rPr>
                <w:sz w:val="24"/>
              </w:rPr>
            </w:pPr>
            <w:r>
              <w:rPr>
                <w:spacing w:val="-2"/>
                <w:sz w:val="24"/>
              </w:rPr>
              <w:t>65.93</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60</w:t>
            </w:r>
          </w:p>
        </w:tc>
        <w:tc>
          <w:tcPr>
            <w:tcW w:w="1795" w:type="dxa"/>
          </w:tcPr>
          <w:p>
            <w:pPr>
              <w:pStyle w:val="TableParagraph"/>
              <w:spacing w:before="64"/>
              <w:ind w:left="12" w:right="1"/>
              <w:jc w:val="center"/>
              <w:rPr>
                <w:sz w:val="24"/>
              </w:rPr>
            </w:pPr>
            <w:r>
              <w:rPr>
                <w:spacing w:val="-2"/>
                <w:sz w:val="24"/>
              </w:rPr>
              <w:t>82.81</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75</w:t>
            </w:r>
          </w:p>
        </w:tc>
        <w:tc>
          <w:tcPr>
            <w:tcW w:w="1795" w:type="dxa"/>
          </w:tcPr>
          <w:p>
            <w:pPr>
              <w:pStyle w:val="TableParagraph"/>
              <w:spacing w:before="63"/>
              <w:ind w:left="12" w:right="1"/>
              <w:jc w:val="center"/>
              <w:rPr>
                <w:sz w:val="24"/>
              </w:rPr>
            </w:pPr>
            <w:r>
              <w:rPr>
                <w:spacing w:val="-2"/>
                <w:sz w:val="24"/>
              </w:rPr>
              <w:t>91.62</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90</w:t>
            </w:r>
          </w:p>
        </w:tc>
        <w:tc>
          <w:tcPr>
            <w:tcW w:w="1795" w:type="dxa"/>
          </w:tcPr>
          <w:p>
            <w:pPr>
              <w:pStyle w:val="TableParagraph"/>
              <w:spacing w:before="64"/>
              <w:ind w:left="12" w:right="1"/>
              <w:jc w:val="center"/>
              <w:rPr>
                <w:sz w:val="24"/>
              </w:rPr>
            </w:pPr>
            <w:r>
              <w:rPr>
                <w:spacing w:val="-2"/>
                <w:sz w:val="24"/>
              </w:rPr>
              <w:t>100.00</w:t>
            </w:r>
          </w:p>
        </w:tc>
      </w:tr>
      <w:tr>
        <w:trPr>
          <w:trHeight w:val="413"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105</w:t>
            </w:r>
          </w:p>
        </w:tc>
        <w:tc>
          <w:tcPr>
            <w:tcW w:w="1795" w:type="dxa"/>
          </w:tcPr>
          <w:p>
            <w:pPr>
              <w:pStyle w:val="TableParagraph"/>
              <w:spacing w:before="63"/>
              <w:ind w:left="12" w:right="1"/>
              <w:jc w:val="center"/>
              <w:rPr>
                <w:sz w:val="24"/>
              </w:rPr>
            </w:pPr>
            <w:r>
              <w:rPr>
                <w:spacing w:val="-2"/>
                <w:sz w:val="24"/>
              </w:rPr>
              <w:t>102.00</w:t>
            </w:r>
          </w:p>
        </w:tc>
      </w:tr>
      <w:tr>
        <w:trPr>
          <w:trHeight w:val="413" w:hRule="atLeast"/>
        </w:trPr>
        <w:tc>
          <w:tcPr>
            <w:tcW w:w="1439" w:type="dxa"/>
          </w:tcPr>
          <w:p>
            <w:pPr>
              <w:pStyle w:val="TableParagraph"/>
              <w:rPr>
                <w:sz w:val="22"/>
              </w:rPr>
            </w:pPr>
          </w:p>
        </w:tc>
        <w:tc>
          <w:tcPr>
            <w:tcW w:w="1845" w:type="dxa"/>
          </w:tcPr>
          <w:p>
            <w:pPr>
              <w:pStyle w:val="TableParagraph"/>
              <w:spacing w:before="64"/>
              <w:ind w:left="887"/>
              <w:rPr>
                <w:sz w:val="24"/>
              </w:rPr>
            </w:pPr>
            <w:r>
              <w:rPr>
                <w:spacing w:val="-10"/>
                <w:sz w:val="24"/>
              </w:rPr>
              <w:t>4</w:t>
            </w:r>
          </w:p>
        </w:tc>
        <w:tc>
          <w:tcPr>
            <w:tcW w:w="1758" w:type="dxa"/>
          </w:tcPr>
          <w:p>
            <w:pPr>
              <w:pStyle w:val="TableParagraph"/>
              <w:spacing w:before="64"/>
              <w:ind w:left="114" w:right="129"/>
              <w:jc w:val="center"/>
              <w:rPr>
                <w:sz w:val="24"/>
              </w:rPr>
            </w:pPr>
            <w:r>
              <w:rPr>
                <w:spacing w:val="-10"/>
                <w:sz w:val="24"/>
              </w:rPr>
              <w:t>5</w:t>
            </w:r>
          </w:p>
        </w:tc>
        <w:tc>
          <w:tcPr>
            <w:tcW w:w="1752" w:type="dxa"/>
          </w:tcPr>
          <w:p>
            <w:pPr>
              <w:pStyle w:val="TableParagraph"/>
              <w:spacing w:before="64"/>
              <w:ind w:left="17"/>
              <w:jc w:val="center"/>
              <w:rPr>
                <w:sz w:val="24"/>
              </w:rPr>
            </w:pPr>
            <w:r>
              <w:rPr>
                <w:spacing w:val="-10"/>
                <w:sz w:val="24"/>
              </w:rPr>
              <w:t>5</w:t>
            </w:r>
          </w:p>
        </w:tc>
        <w:tc>
          <w:tcPr>
            <w:tcW w:w="1795" w:type="dxa"/>
          </w:tcPr>
          <w:p>
            <w:pPr>
              <w:pStyle w:val="TableParagraph"/>
              <w:spacing w:before="64"/>
              <w:ind w:left="12" w:right="1"/>
              <w:jc w:val="center"/>
              <w:rPr>
                <w:sz w:val="24"/>
              </w:rPr>
            </w:pPr>
            <w:r>
              <w:rPr>
                <w:spacing w:val="-4"/>
                <w:sz w:val="24"/>
              </w:rPr>
              <w:t>7.56</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10</w:t>
            </w:r>
          </w:p>
        </w:tc>
        <w:tc>
          <w:tcPr>
            <w:tcW w:w="1795" w:type="dxa"/>
          </w:tcPr>
          <w:p>
            <w:pPr>
              <w:pStyle w:val="TableParagraph"/>
              <w:spacing w:before="63"/>
              <w:ind w:left="12" w:right="1"/>
              <w:jc w:val="center"/>
              <w:rPr>
                <w:sz w:val="24"/>
              </w:rPr>
            </w:pPr>
            <w:r>
              <w:rPr>
                <w:spacing w:val="-2"/>
                <w:sz w:val="24"/>
              </w:rPr>
              <w:t>15.89</w:t>
            </w:r>
          </w:p>
        </w:tc>
      </w:tr>
      <w:tr>
        <w:trPr>
          <w:trHeight w:val="414" w:hRule="atLeast"/>
        </w:trPr>
        <w:tc>
          <w:tcPr>
            <w:tcW w:w="1439" w:type="dxa"/>
          </w:tcPr>
          <w:p>
            <w:pPr>
              <w:pStyle w:val="TableParagraph"/>
              <w:rPr>
                <w:sz w:val="22"/>
              </w:rPr>
            </w:pPr>
          </w:p>
        </w:tc>
        <w:tc>
          <w:tcPr>
            <w:tcW w:w="1845"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15</w:t>
            </w:r>
          </w:p>
        </w:tc>
        <w:tc>
          <w:tcPr>
            <w:tcW w:w="1795" w:type="dxa"/>
          </w:tcPr>
          <w:p>
            <w:pPr>
              <w:pStyle w:val="TableParagraph"/>
              <w:spacing w:before="64"/>
              <w:ind w:left="12" w:right="1"/>
              <w:jc w:val="center"/>
              <w:rPr>
                <w:sz w:val="24"/>
              </w:rPr>
            </w:pPr>
            <w:r>
              <w:rPr>
                <w:spacing w:val="-2"/>
                <w:sz w:val="24"/>
              </w:rPr>
              <w:t>25.09</w:t>
            </w:r>
          </w:p>
        </w:tc>
      </w:tr>
      <w:tr>
        <w:trPr>
          <w:trHeight w:val="484" w:hRule="atLeast"/>
        </w:trPr>
        <w:tc>
          <w:tcPr>
            <w:tcW w:w="1439" w:type="dxa"/>
            <w:tcBorders>
              <w:bottom w:val="single" w:sz="4" w:space="0" w:color="000000"/>
            </w:tcBorders>
          </w:tcPr>
          <w:p>
            <w:pPr>
              <w:pStyle w:val="TableParagraph"/>
              <w:rPr>
                <w:sz w:val="22"/>
              </w:rPr>
            </w:pPr>
          </w:p>
        </w:tc>
        <w:tc>
          <w:tcPr>
            <w:tcW w:w="1845" w:type="dxa"/>
            <w:tcBorders>
              <w:bottom w:val="single" w:sz="4" w:space="0" w:color="000000"/>
            </w:tcBorders>
          </w:tcPr>
          <w:p>
            <w:pPr>
              <w:pStyle w:val="TableParagraph"/>
              <w:rPr>
                <w:sz w:val="22"/>
              </w:rPr>
            </w:pPr>
          </w:p>
        </w:tc>
        <w:tc>
          <w:tcPr>
            <w:tcW w:w="1758" w:type="dxa"/>
            <w:tcBorders>
              <w:bottom w:val="single" w:sz="4" w:space="0" w:color="000000"/>
            </w:tcBorders>
          </w:tcPr>
          <w:p>
            <w:pPr>
              <w:pStyle w:val="TableParagraph"/>
              <w:rPr>
                <w:sz w:val="22"/>
              </w:rPr>
            </w:pPr>
          </w:p>
        </w:tc>
        <w:tc>
          <w:tcPr>
            <w:tcW w:w="1752" w:type="dxa"/>
            <w:tcBorders>
              <w:bottom w:val="single" w:sz="4" w:space="0" w:color="000000"/>
            </w:tcBorders>
          </w:tcPr>
          <w:p>
            <w:pPr>
              <w:pStyle w:val="TableParagraph"/>
              <w:spacing w:before="63"/>
              <w:ind w:left="17"/>
              <w:jc w:val="center"/>
              <w:rPr>
                <w:sz w:val="24"/>
              </w:rPr>
            </w:pPr>
            <w:r>
              <w:rPr>
                <w:spacing w:val="-5"/>
                <w:sz w:val="24"/>
              </w:rPr>
              <w:t>30</w:t>
            </w:r>
          </w:p>
        </w:tc>
        <w:tc>
          <w:tcPr>
            <w:tcW w:w="1795" w:type="dxa"/>
            <w:tcBorders>
              <w:bottom w:val="single" w:sz="4" w:space="0" w:color="000000"/>
            </w:tcBorders>
          </w:tcPr>
          <w:p>
            <w:pPr>
              <w:pStyle w:val="TableParagraph"/>
              <w:spacing w:before="63"/>
              <w:ind w:left="12" w:right="1"/>
              <w:jc w:val="center"/>
              <w:rPr>
                <w:sz w:val="24"/>
              </w:rPr>
            </w:pPr>
            <w:r>
              <w:rPr>
                <w:spacing w:val="-2"/>
                <w:sz w:val="24"/>
              </w:rPr>
              <w:t>37.08</w:t>
            </w:r>
          </w:p>
        </w:tc>
      </w:tr>
    </w:tbl>
    <w:p>
      <w:pPr>
        <w:spacing w:after="0"/>
        <w:jc w:val="center"/>
        <w:rPr>
          <w:sz w:val="24"/>
        </w:rPr>
        <w:sectPr>
          <w:pgSz w:w="12240" w:h="15840"/>
          <w:pgMar w:header="0" w:footer="1056" w:top="1340" w:bottom="1240" w:left="1420" w:right="420"/>
        </w:sectPr>
      </w:pPr>
    </w:p>
    <w:p>
      <w:pPr>
        <w:spacing w:before="75"/>
        <w:ind w:left="2521" w:right="994" w:hanging="1844"/>
        <w:jc w:val="left"/>
        <w:rPr>
          <w:b/>
          <w:sz w:val="24"/>
        </w:rPr>
      </w:pPr>
      <w:r>
        <w:rPr/>
        <mc:AlternateContent>
          <mc:Choice Requires="wps">
            <w:drawing>
              <wp:anchor distT="0" distB="0" distL="0" distR="0" allowOverlap="1" layoutInCell="1" locked="0" behindDoc="1" simplePos="0" relativeHeight="483056128">
                <wp:simplePos x="0" y="0"/>
                <wp:positionH relativeFrom="page">
                  <wp:posOffset>-1402226</wp:posOffset>
                </wp:positionH>
                <wp:positionV relativeFrom="page">
                  <wp:posOffset>4612234</wp:posOffset>
                </wp:positionV>
                <wp:extent cx="10685780" cy="9144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60352;rotation:306" type="#_x0000_t136" fillcolor="#ff5400" stroked="f">
                <o:extrusion v:ext="view" autorotationcenter="t"/>
                <v:textpath style="font-family:&quot;Arial MT&quot;;font-size:72pt;v-text-kern:t;mso-text-shadow:auto" string="UNIVERSITY OF IBADAN"/>
                <w10:wrap type="none"/>
              </v:shape>
            </w:pict>
          </mc:Fallback>
        </mc:AlternateContent>
      </w:r>
      <w:r>
        <w:rPr>
          <w:b/>
          <w:sz w:val="24"/>
        </w:rPr>
        <w:t>Appendix</w:t>
      </w:r>
      <w:r>
        <w:rPr>
          <w:b/>
          <w:spacing w:val="40"/>
          <w:sz w:val="24"/>
        </w:rPr>
        <w:t> </w:t>
      </w:r>
      <w:r>
        <w:rPr>
          <w:b/>
          <w:sz w:val="24"/>
        </w:rPr>
        <w:t>7</w:t>
      </w:r>
      <w:r>
        <w:rPr>
          <w:b/>
          <w:spacing w:val="40"/>
          <w:sz w:val="24"/>
        </w:rPr>
        <w:t> </w:t>
      </w:r>
      <w:r>
        <w:rPr>
          <w:b/>
          <w:sz w:val="24"/>
        </w:rPr>
        <w:t>contd.:</w:t>
      </w:r>
      <w:r>
        <w:rPr>
          <w:b/>
          <w:spacing w:val="40"/>
          <w:sz w:val="24"/>
        </w:rPr>
        <w:t> </w:t>
      </w:r>
      <w:r>
        <w:rPr>
          <w:b/>
          <w:sz w:val="24"/>
        </w:rPr>
        <w:t>Dissolution</w:t>
      </w:r>
      <w:r>
        <w:rPr>
          <w:b/>
          <w:spacing w:val="40"/>
          <w:sz w:val="24"/>
        </w:rPr>
        <w:t> </w:t>
      </w:r>
      <w:r>
        <w:rPr>
          <w:b/>
          <w:sz w:val="24"/>
        </w:rPr>
        <w:t>profiles</w:t>
      </w:r>
      <w:r>
        <w:rPr>
          <w:b/>
          <w:spacing w:val="40"/>
          <w:sz w:val="24"/>
        </w:rPr>
        <w:t> </w:t>
      </w:r>
      <w:r>
        <w:rPr>
          <w:b/>
          <w:sz w:val="24"/>
        </w:rPr>
        <w:t>of</w:t>
      </w:r>
      <w:r>
        <w:rPr>
          <w:b/>
          <w:spacing w:val="40"/>
          <w:sz w:val="24"/>
        </w:rPr>
        <w:t> </w:t>
      </w:r>
      <w:r>
        <w:rPr>
          <w:b/>
          <w:i/>
          <w:sz w:val="24"/>
        </w:rPr>
        <w:t>M.</w:t>
      </w:r>
      <w:r>
        <w:rPr>
          <w:b/>
          <w:i/>
          <w:spacing w:val="40"/>
          <w:sz w:val="24"/>
        </w:rPr>
        <w:t> </w:t>
      </w:r>
      <w:r>
        <w:rPr>
          <w:b/>
          <w:i/>
          <w:sz w:val="24"/>
        </w:rPr>
        <w:t>pruriens</w:t>
      </w:r>
      <w:r>
        <w:rPr>
          <w:b/>
          <w:i/>
          <w:spacing w:val="40"/>
          <w:sz w:val="24"/>
        </w:rPr>
        <w:t> </w:t>
      </w:r>
      <w:r>
        <w:rPr>
          <w:b/>
          <w:sz w:val="24"/>
        </w:rPr>
        <w:t>tablets</w:t>
      </w:r>
      <w:r>
        <w:rPr>
          <w:b/>
          <w:spacing w:val="40"/>
          <w:sz w:val="24"/>
        </w:rPr>
        <w:t> </w:t>
      </w:r>
      <w:r>
        <w:rPr>
          <w:b/>
          <w:sz w:val="24"/>
        </w:rPr>
        <w:t>prepared</w:t>
      </w:r>
      <w:r>
        <w:rPr>
          <w:b/>
          <w:spacing w:val="40"/>
          <w:sz w:val="24"/>
        </w:rPr>
        <w:t> </w:t>
      </w:r>
      <w:r>
        <w:rPr>
          <w:b/>
          <w:sz w:val="24"/>
        </w:rPr>
        <w:t>by</w:t>
      </w:r>
      <w:r>
        <w:rPr>
          <w:b/>
          <w:spacing w:val="40"/>
          <w:sz w:val="24"/>
        </w:rPr>
        <w:t> </w:t>
      </w:r>
      <w:r>
        <w:rPr>
          <w:b/>
          <w:sz w:val="24"/>
        </w:rPr>
        <w:t>using Corn</w:t>
      </w:r>
      <w:r>
        <w:rPr>
          <w:b/>
          <w:spacing w:val="80"/>
          <w:sz w:val="24"/>
        </w:rPr>
        <w:t> </w:t>
      </w:r>
      <w:r>
        <w:rPr>
          <w:b/>
          <w:sz w:val="24"/>
        </w:rPr>
        <w:t>starch as binding agent.</w:t>
      </w:r>
    </w:p>
    <w:p>
      <w:pPr>
        <w:pStyle w:val="BodyText"/>
        <w:spacing w:before="49" w:after="1"/>
        <w:rPr>
          <w:b/>
          <w:sz w:val="20"/>
        </w:rPr>
      </w:pPr>
    </w:p>
    <w:tbl>
      <w:tblPr>
        <w:tblW w:w="0" w:type="auto"/>
        <w:jc w:val="lef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4"/>
        <w:gridCol w:w="1880"/>
        <w:gridCol w:w="1758"/>
        <w:gridCol w:w="1752"/>
        <w:gridCol w:w="1795"/>
      </w:tblGrid>
      <w:tr>
        <w:trPr>
          <w:trHeight w:val="827" w:hRule="atLeast"/>
        </w:trPr>
        <w:tc>
          <w:tcPr>
            <w:tcW w:w="1404" w:type="dxa"/>
            <w:tcBorders>
              <w:top w:val="single" w:sz="4" w:space="0" w:color="000000"/>
              <w:bottom w:val="single" w:sz="4" w:space="0" w:color="000000"/>
            </w:tcBorders>
          </w:tcPr>
          <w:p>
            <w:pPr>
              <w:pStyle w:val="TableParagraph"/>
              <w:spacing w:line="275" w:lineRule="exact"/>
              <w:ind w:left="348"/>
              <w:rPr>
                <w:b/>
                <w:sz w:val="24"/>
              </w:rPr>
            </w:pPr>
            <w:r>
              <w:rPr>
                <w:b/>
                <w:spacing w:val="-2"/>
                <w:sz w:val="24"/>
              </w:rPr>
              <w:t>Binding</w:t>
            </w:r>
          </w:p>
          <w:p>
            <w:pPr>
              <w:pStyle w:val="TableParagraph"/>
              <w:spacing w:before="137"/>
              <w:ind w:left="448"/>
              <w:rPr>
                <w:b/>
                <w:sz w:val="24"/>
              </w:rPr>
            </w:pPr>
            <w:r>
              <w:rPr>
                <w:b/>
                <w:spacing w:val="-4"/>
                <w:sz w:val="24"/>
              </w:rPr>
              <w:t>Agent</w:t>
            </w:r>
          </w:p>
        </w:tc>
        <w:tc>
          <w:tcPr>
            <w:tcW w:w="1880" w:type="dxa"/>
            <w:tcBorders>
              <w:top w:val="single" w:sz="4" w:space="0" w:color="000000"/>
              <w:bottom w:val="single" w:sz="4" w:space="0" w:color="000000"/>
            </w:tcBorders>
          </w:tcPr>
          <w:p>
            <w:pPr>
              <w:pStyle w:val="TableParagraph"/>
              <w:spacing w:line="275" w:lineRule="exact"/>
              <w:ind w:left="209" w:right="133"/>
              <w:jc w:val="center"/>
              <w:rPr>
                <w:b/>
                <w:sz w:val="24"/>
              </w:rPr>
            </w:pPr>
            <w:r>
              <w:rPr>
                <w:b/>
                <w:spacing w:val="-2"/>
                <w:sz w:val="24"/>
              </w:rPr>
              <w:t>Concentration</w:t>
            </w:r>
          </w:p>
          <w:p>
            <w:pPr>
              <w:pStyle w:val="TableParagraph"/>
              <w:spacing w:before="137"/>
              <w:ind w:left="210" w:right="133"/>
              <w:jc w:val="center"/>
              <w:rPr>
                <w:b/>
                <w:sz w:val="24"/>
              </w:rPr>
            </w:pPr>
            <w:r>
              <w:rPr>
                <w:b/>
                <w:spacing w:val="-2"/>
                <w:sz w:val="24"/>
              </w:rPr>
              <w:t>(%</w:t>
            </w:r>
            <w:r>
              <w:rPr>
                <w:b/>
                <w:spacing w:val="-2"/>
                <w:sz w:val="24"/>
                <w:vertAlign w:val="superscript"/>
              </w:rPr>
              <w:t>w</w:t>
            </w:r>
            <w:r>
              <w:rPr>
                <w:b/>
                <w:spacing w:val="-2"/>
                <w:sz w:val="24"/>
                <w:vertAlign w:val="baseline"/>
              </w:rPr>
              <w:t>/</w:t>
            </w:r>
            <w:r>
              <w:rPr>
                <w:b/>
                <w:spacing w:val="-2"/>
                <w:sz w:val="24"/>
                <w:vertAlign w:val="subscript"/>
              </w:rPr>
              <w:t>w</w:t>
            </w:r>
            <w:r>
              <w:rPr>
                <w:b/>
                <w:spacing w:val="-2"/>
                <w:sz w:val="24"/>
                <w:vertAlign w:val="baseline"/>
              </w:rPr>
              <w:t>)</w:t>
            </w:r>
          </w:p>
        </w:tc>
        <w:tc>
          <w:tcPr>
            <w:tcW w:w="1758" w:type="dxa"/>
            <w:tcBorders>
              <w:top w:val="single" w:sz="4" w:space="0" w:color="000000"/>
              <w:bottom w:val="single" w:sz="4" w:space="0" w:color="000000"/>
            </w:tcBorders>
          </w:tcPr>
          <w:p>
            <w:pPr>
              <w:pStyle w:val="TableParagraph"/>
              <w:spacing w:line="275" w:lineRule="exact"/>
              <w:ind w:left="196"/>
              <w:rPr>
                <w:b/>
                <w:sz w:val="24"/>
              </w:rPr>
            </w:pPr>
            <w:r>
              <w:rPr>
                <w:b/>
                <w:spacing w:val="-2"/>
                <w:sz w:val="24"/>
              </w:rPr>
              <w:t>Compression</w:t>
            </w:r>
          </w:p>
          <w:p>
            <w:pPr>
              <w:pStyle w:val="TableParagraph"/>
              <w:spacing w:before="137"/>
              <w:ind w:left="160"/>
              <w:rPr>
                <w:b/>
                <w:sz w:val="24"/>
              </w:rPr>
            </w:pPr>
            <w:r>
              <w:rPr>
                <w:b/>
                <w:sz w:val="24"/>
              </w:rPr>
              <w:t>Pressure</w:t>
            </w:r>
            <w:r>
              <w:rPr>
                <w:b/>
                <w:spacing w:val="-4"/>
                <w:sz w:val="24"/>
              </w:rPr>
              <w:t> (kN)</w:t>
            </w:r>
          </w:p>
        </w:tc>
        <w:tc>
          <w:tcPr>
            <w:tcW w:w="1752" w:type="dxa"/>
            <w:tcBorders>
              <w:top w:val="single" w:sz="4" w:space="0" w:color="000000"/>
              <w:bottom w:val="single" w:sz="4" w:space="0" w:color="000000"/>
            </w:tcBorders>
          </w:tcPr>
          <w:p>
            <w:pPr>
              <w:pStyle w:val="TableParagraph"/>
              <w:spacing w:line="275" w:lineRule="exact"/>
              <w:ind w:left="17" w:right="4"/>
              <w:jc w:val="center"/>
              <w:rPr>
                <w:b/>
                <w:sz w:val="24"/>
              </w:rPr>
            </w:pPr>
            <w:r>
              <w:rPr>
                <w:b/>
                <w:sz w:val="24"/>
              </w:rPr>
              <w:t>Time</w:t>
            </w:r>
            <w:r>
              <w:rPr>
                <w:b/>
                <w:spacing w:val="-4"/>
                <w:sz w:val="24"/>
              </w:rPr>
              <w:t> </w:t>
            </w:r>
            <w:r>
              <w:rPr>
                <w:b/>
                <w:spacing w:val="-2"/>
                <w:sz w:val="24"/>
              </w:rPr>
              <w:t>Interval</w:t>
            </w:r>
          </w:p>
          <w:p>
            <w:pPr>
              <w:pStyle w:val="TableParagraph"/>
              <w:spacing w:before="137"/>
              <w:ind w:left="17" w:right="2"/>
              <w:jc w:val="center"/>
              <w:rPr>
                <w:b/>
                <w:sz w:val="24"/>
              </w:rPr>
            </w:pPr>
            <w:r>
              <w:rPr>
                <w:b/>
                <w:spacing w:val="-2"/>
                <w:sz w:val="24"/>
              </w:rPr>
              <w:t>(min)</w:t>
            </w:r>
          </w:p>
        </w:tc>
        <w:tc>
          <w:tcPr>
            <w:tcW w:w="1795" w:type="dxa"/>
            <w:tcBorders>
              <w:top w:val="single" w:sz="4" w:space="0" w:color="000000"/>
              <w:bottom w:val="single" w:sz="4" w:space="0" w:color="000000"/>
            </w:tcBorders>
          </w:tcPr>
          <w:p>
            <w:pPr>
              <w:pStyle w:val="TableParagraph"/>
              <w:spacing w:line="275" w:lineRule="exact"/>
              <w:ind w:left="12" w:right="5"/>
              <w:jc w:val="center"/>
              <w:rPr>
                <w:b/>
                <w:sz w:val="24"/>
              </w:rPr>
            </w:pPr>
            <w:r>
              <w:rPr>
                <w:b/>
                <w:sz w:val="24"/>
              </w:rPr>
              <w:t>Cumulative</w:t>
            </w:r>
            <w:r>
              <w:rPr>
                <w:b/>
                <w:spacing w:val="-4"/>
                <w:sz w:val="24"/>
              </w:rPr>
              <w:t> </w:t>
            </w:r>
            <w:r>
              <w:rPr>
                <w:b/>
                <w:spacing w:val="-10"/>
                <w:sz w:val="24"/>
              </w:rPr>
              <w:t>%</w:t>
            </w:r>
          </w:p>
          <w:p>
            <w:pPr>
              <w:pStyle w:val="TableParagraph"/>
              <w:spacing w:before="137"/>
              <w:ind w:left="12"/>
              <w:jc w:val="center"/>
              <w:rPr>
                <w:b/>
                <w:sz w:val="24"/>
              </w:rPr>
            </w:pPr>
            <w:r>
              <w:rPr>
                <w:b/>
                <w:spacing w:val="-2"/>
                <w:sz w:val="24"/>
              </w:rPr>
              <w:t>Release</w:t>
            </w:r>
          </w:p>
        </w:tc>
      </w:tr>
      <w:tr>
        <w:trPr>
          <w:trHeight w:val="758" w:hRule="atLeast"/>
        </w:trPr>
        <w:tc>
          <w:tcPr>
            <w:tcW w:w="1404" w:type="dxa"/>
            <w:tcBorders>
              <w:top w:val="single" w:sz="4" w:space="0" w:color="000000"/>
            </w:tcBorders>
          </w:tcPr>
          <w:p>
            <w:pPr>
              <w:pStyle w:val="TableParagraph"/>
              <w:rPr>
                <w:sz w:val="22"/>
              </w:rPr>
            </w:pPr>
          </w:p>
        </w:tc>
        <w:tc>
          <w:tcPr>
            <w:tcW w:w="1880" w:type="dxa"/>
            <w:tcBorders>
              <w:top w:val="single" w:sz="4" w:space="0" w:color="000000"/>
            </w:tcBorders>
          </w:tcPr>
          <w:p>
            <w:pPr>
              <w:pStyle w:val="TableParagraph"/>
              <w:rPr>
                <w:sz w:val="22"/>
              </w:rPr>
            </w:pPr>
          </w:p>
        </w:tc>
        <w:tc>
          <w:tcPr>
            <w:tcW w:w="1758" w:type="dxa"/>
            <w:tcBorders>
              <w:top w:val="single" w:sz="4" w:space="0" w:color="000000"/>
            </w:tcBorders>
          </w:tcPr>
          <w:p>
            <w:pPr>
              <w:pStyle w:val="TableParagraph"/>
              <w:rPr>
                <w:sz w:val="22"/>
              </w:rPr>
            </w:pPr>
          </w:p>
        </w:tc>
        <w:tc>
          <w:tcPr>
            <w:tcW w:w="1752" w:type="dxa"/>
            <w:tcBorders>
              <w:top w:val="single" w:sz="4" w:space="0" w:color="000000"/>
            </w:tcBorders>
          </w:tcPr>
          <w:p>
            <w:pPr>
              <w:pStyle w:val="TableParagraph"/>
              <w:spacing w:before="133"/>
              <w:rPr>
                <w:b/>
                <w:sz w:val="24"/>
              </w:rPr>
            </w:pPr>
          </w:p>
          <w:p>
            <w:pPr>
              <w:pStyle w:val="TableParagraph"/>
              <w:ind w:left="17"/>
              <w:jc w:val="center"/>
              <w:rPr>
                <w:sz w:val="24"/>
              </w:rPr>
            </w:pPr>
            <w:r>
              <w:rPr>
                <w:spacing w:val="-5"/>
                <w:sz w:val="24"/>
              </w:rPr>
              <w:t>45</w:t>
            </w:r>
          </w:p>
        </w:tc>
        <w:tc>
          <w:tcPr>
            <w:tcW w:w="1795" w:type="dxa"/>
            <w:tcBorders>
              <w:top w:val="single" w:sz="4" w:space="0" w:color="000000"/>
            </w:tcBorders>
          </w:tcPr>
          <w:p>
            <w:pPr>
              <w:pStyle w:val="TableParagraph"/>
              <w:spacing w:before="133"/>
              <w:rPr>
                <w:b/>
                <w:sz w:val="24"/>
              </w:rPr>
            </w:pPr>
          </w:p>
          <w:p>
            <w:pPr>
              <w:pStyle w:val="TableParagraph"/>
              <w:ind w:left="12" w:right="1"/>
              <w:jc w:val="center"/>
              <w:rPr>
                <w:sz w:val="24"/>
              </w:rPr>
            </w:pPr>
            <w:r>
              <w:rPr>
                <w:spacing w:val="-2"/>
                <w:sz w:val="24"/>
              </w:rPr>
              <w:t>53.30</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60</w:t>
            </w:r>
          </w:p>
        </w:tc>
        <w:tc>
          <w:tcPr>
            <w:tcW w:w="1795" w:type="dxa"/>
          </w:tcPr>
          <w:p>
            <w:pPr>
              <w:pStyle w:val="TableParagraph"/>
              <w:spacing w:before="63"/>
              <w:ind w:left="12" w:right="1"/>
              <w:jc w:val="center"/>
              <w:rPr>
                <w:sz w:val="24"/>
              </w:rPr>
            </w:pPr>
            <w:r>
              <w:rPr>
                <w:spacing w:val="-2"/>
                <w:sz w:val="24"/>
              </w:rPr>
              <w:t>65.27</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75</w:t>
            </w:r>
          </w:p>
        </w:tc>
        <w:tc>
          <w:tcPr>
            <w:tcW w:w="1795" w:type="dxa"/>
          </w:tcPr>
          <w:p>
            <w:pPr>
              <w:pStyle w:val="TableParagraph"/>
              <w:spacing w:before="64"/>
              <w:ind w:left="12" w:right="1"/>
              <w:jc w:val="center"/>
              <w:rPr>
                <w:sz w:val="24"/>
              </w:rPr>
            </w:pPr>
            <w:r>
              <w:rPr>
                <w:spacing w:val="-2"/>
                <w:sz w:val="24"/>
              </w:rPr>
              <w:t>74.14</w:t>
            </w:r>
          </w:p>
        </w:tc>
      </w:tr>
      <w:tr>
        <w:trPr>
          <w:trHeight w:val="414"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90</w:t>
            </w:r>
          </w:p>
        </w:tc>
        <w:tc>
          <w:tcPr>
            <w:tcW w:w="1795" w:type="dxa"/>
          </w:tcPr>
          <w:p>
            <w:pPr>
              <w:pStyle w:val="TableParagraph"/>
              <w:spacing w:before="63"/>
              <w:ind w:left="12" w:right="1"/>
              <w:jc w:val="center"/>
              <w:rPr>
                <w:sz w:val="24"/>
              </w:rPr>
            </w:pPr>
            <w:r>
              <w:rPr>
                <w:spacing w:val="-2"/>
                <w:sz w:val="24"/>
              </w:rPr>
              <w:t>80.01</w:t>
            </w:r>
          </w:p>
        </w:tc>
      </w:tr>
      <w:tr>
        <w:trPr>
          <w:trHeight w:val="414"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5"/>
              <w:ind w:left="17"/>
              <w:jc w:val="center"/>
              <w:rPr>
                <w:sz w:val="24"/>
              </w:rPr>
            </w:pPr>
            <w:r>
              <w:rPr>
                <w:spacing w:val="-5"/>
                <w:sz w:val="24"/>
              </w:rPr>
              <w:t>105</w:t>
            </w:r>
          </w:p>
        </w:tc>
        <w:tc>
          <w:tcPr>
            <w:tcW w:w="1795" w:type="dxa"/>
          </w:tcPr>
          <w:p>
            <w:pPr>
              <w:pStyle w:val="TableParagraph"/>
              <w:spacing w:before="65"/>
              <w:ind w:left="12" w:right="1"/>
              <w:jc w:val="center"/>
              <w:rPr>
                <w:sz w:val="24"/>
              </w:rPr>
            </w:pPr>
            <w:r>
              <w:rPr>
                <w:spacing w:val="-2"/>
                <w:sz w:val="24"/>
              </w:rPr>
              <w:t>94.17</w:t>
            </w:r>
          </w:p>
        </w:tc>
      </w:tr>
      <w:tr>
        <w:trPr>
          <w:trHeight w:val="414"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120</w:t>
            </w:r>
          </w:p>
        </w:tc>
        <w:tc>
          <w:tcPr>
            <w:tcW w:w="1795" w:type="dxa"/>
          </w:tcPr>
          <w:p>
            <w:pPr>
              <w:pStyle w:val="TableParagraph"/>
              <w:spacing w:before="63"/>
              <w:ind w:left="12" w:right="1"/>
              <w:jc w:val="center"/>
              <w:rPr>
                <w:sz w:val="24"/>
              </w:rPr>
            </w:pPr>
            <w:r>
              <w:rPr>
                <w:spacing w:val="-2"/>
                <w:sz w:val="24"/>
              </w:rPr>
              <w:t>100.00</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135</w:t>
            </w:r>
          </w:p>
        </w:tc>
        <w:tc>
          <w:tcPr>
            <w:tcW w:w="1795" w:type="dxa"/>
          </w:tcPr>
          <w:p>
            <w:pPr>
              <w:pStyle w:val="TableParagraph"/>
              <w:spacing w:before="64"/>
              <w:ind w:left="12" w:right="1"/>
              <w:jc w:val="center"/>
              <w:rPr>
                <w:sz w:val="24"/>
              </w:rPr>
            </w:pPr>
            <w:r>
              <w:rPr>
                <w:spacing w:val="-2"/>
                <w:sz w:val="24"/>
              </w:rPr>
              <w:t>100.00</w:t>
            </w:r>
          </w:p>
        </w:tc>
      </w:tr>
      <w:tr>
        <w:trPr>
          <w:trHeight w:val="412"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spacing w:before="63"/>
              <w:ind w:right="129"/>
              <w:jc w:val="center"/>
              <w:rPr>
                <w:sz w:val="24"/>
              </w:rPr>
            </w:pPr>
            <w:r>
              <w:rPr>
                <w:spacing w:val="-5"/>
                <w:sz w:val="24"/>
              </w:rPr>
              <w:t>10</w:t>
            </w:r>
          </w:p>
        </w:tc>
        <w:tc>
          <w:tcPr>
            <w:tcW w:w="1752" w:type="dxa"/>
          </w:tcPr>
          <w:p>
            <w:pPr>
              <w:pStyle w:val="TableParagraph"/>
              <w:spacing w:before="63"/>
              <w:ind w:left="17"/>
              <w:jc w:val="center"/>
              <w:rPr>
                <w:sz w:val="24"/>
              </w:rPr>
            </w:pPr>
            <w:r>
              <w:rPr>
                <w:spacing w:val="-10"/>
                <w:sz w:val="24"/>
              </w:rPr>
              <w:t>5</w:t>
            </w:r>
          </w:p>
        </w:tc>
        <w:tc>
          <w:tcPr>
            <w:tcW w:w="1795" w:type="dxa"/>
          </w:tcPr>
          <w:p>
            <w:pPr>
              <w:pStyle w:val="TableParagraph"/>
              <w:spacing w:before="63"/>
              <w:ind w:left="12" w:right="1"/>
              <w:jc w:val="center"/>
              <w:rPr>
                <w:sz w:val="24"/>
              </w:rPr>
            </w:pPr>
            <w:r>
              <w:rPr>
                <w:spacing w:val="-4"/>
                <w:sz w:val="24"/>
              </w:rPr>
              <w:t>6.45</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10</w:t>
            </w:r>
          </w:p>
        </w:tc>
        <w:tc>
          <w:tcPr>
            <w:tcW w:w="1795" w:type="dxa"/>
          </w:tcPr>
          <w:p>
            <w:pPr>
              <w:pStyle w:val="TableParagraph"/>
              <w:spacing w:before="63"/>
              <w:ind w:left="12" w:right="1"/>
              <w:jc w:val="center"/>
              <w:rPr>
                <w:sz w:val="24"/>
              </w:rPr>
            </w:pPr>
            <w:r>
              <w:rPr>
                <w:spacing w:val="-2"/>
                <w:sz w:val="24"/>
              </w:rPr>
              <w:t>13.06</w:t>
            </w:r>
          </w:p>
        </w:tc>
      </w:tr>
      <w:tr>
        <w:trPr>
          <w:trHeight w:val="414"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15</w:t>
            </w:r>
          </w:p>
        </w:tc>
        <w:tc>
          <w:tcPr>
            <w:tcW w:w="1795" w:type="dxa"/>
          </w:tcPr>
          <w:p>
            <w:pPr>
              <w:pStyle w:val="TableParagraph"/>
              <w:spacing w:before="64"/>
              <w:ind w:left="12" w:right="1"/>
              <w:jc w:val="center"/>
              <w:rPr>
                <w:sz w:val="24"/>
              </w:rPr>
            </w:pPr>
            <w:r>
              <w:rPr>
                <w:spacing w:val="-2"/>
                <w:sz w:val="24"/>
              </w:rPr>
              <w:t>20.40</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30</w:t>
            </w:r>
          </w:p>
        </w:tc>
        <w:tc>
          <w:tcPr>
            <w:tcW w:w="1795" w:type="dxa"/>
          </w:tcPr>
          <w:p>
            <w:pPr>
              <w:pStyle w:val="TableParagraph"/>
              <w:spacing w:before="63"/>
              <w:ind w:left="12" w:right="1"/>
              <w:jc w:val="center"/>
              <w:rPr>
                <w:sz w:val="24"/>
              </w:rPr>
            </w:pPr>
            <w:r>
              <w:rPr>
                <w:spacing w:val="-2"/>
                <w:sz w:val="24"/>
              </w:rPr>
              <w:t>28.80</w:t>
            </w:r>
          </w:p>
        </w:tc>
      </w:tr>
      <w:tr>
        <w:trPr>
          <w:trHeight w:val="414"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45</w:t>
            </w:r>
          </w:p>
        </w:tc>
        <w:tc>
          <w:tcPr>
            <w:tcW w:w="1795" w:type="dxa"/>
          </w:tcPr>
          <w:p>
            <w:pPr>
              <w:pStyle w:val="TableParagraph"/>
              <w:spacing w:before="64"/>
              <w:ind w:left="12" w:right="1"/>
              <w:jc w:val="center"/>
              <w:rPr>
                <w:sz w:val="24"/>
              </w:rPr>
            </w:pPr>
            <w:r>
              <w:rPr>
                <w:spacing w:val="-2"/>
                <w:sz w:val="24"/>
              </w:rPr>
              <w:t>38.16</w:t>
            </w:r>
          </w:p>
        </w:tc>
      </w:tr>
      <w:tr>
        <w:trPr>
          <w:trHeight w:val="414"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60</w:t>
            </w:r>
          </w:p>
        </w:tc>
        <w:tc>
          <w:tcPr>
            <w:tcW w:w="1795" w:type="dxa"/>
          </w:tcPr>
          <w:p>
            <w:pPr>
              <w:pStyle w:val="TableParagraph"/>
              <w:spacing w:before="63"/>
              <w:ind w:left="12" w:right="1"/>
              <w:jc w:val="center"/>
              <w:rPr>
                <w:sz w:val="24"/>
              </w:rPr>
            </w:pPr>
            <w:r>
              <w:rPr>
                <w:spacing w:val="-2"/>
                <w:sz w:val="24"/>
              </w:rPr>
              <w:t>59.21</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75</w:t>
            </w:r>
          </w:p>
        </w:tc>
        <w:tc>
          <w:tcPr>
            <w:tcW w:w="1795" w:type="dxa"/>
          </w:tcPr>
          <w:p>
            <w:pPr>
              <w:pStyle w:val="TableParagraph"/>
              <w:spacing w:before="64"/>
              <w:ind w:left="12" w:right="1"/>
              <w:jc w:val="center"/>
              <w:rPr>
                <w:sz w:val="24"/>
              </w:rPr>
            </w:pPr>
            <w:r>
              <w:rPr>
                <w:spacing w:val="-2"/>
                <w:sz w:val="24"/>
              </w:rPr>
              <w:t>75.46</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90</w:t>
            </w:r>
          </w:p>
        </w:tc>
        <w:tc>
          <w:tcPr>
            <w:tcW w:w="1795" w:type="dxa"/>
          </w:tcPr>
          <w:p>
            <w:pPr>
              <w:pStyle w:val="TableParagraph"/>
              <w:spacing w:before="63"/>
              <w:ind w:left="12" w:right="1"/>
              <w:jc w:val="center"/>
              <w:rPr>
                <w:sz w:val="24"/>
              </w:rPr>
            </w:pPr>
            <w:r>
              <w:rPr>
                <w:spacing w:val="-2"/>
                <w:sz w:val="24"/>
              </w:rPr>
              <w:t>75.18</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4"/>
              <w:ind w:left="17"/>
              <w:jc w:val="center"/>
              <w:rPr>
                <w:sz w:val="24"/>
              </w:rPr>
            </w:pPr>
            <w:r>
              <w:rPr>
                <w:spacing w:val="-5"/>
                <w:sz w:val="24"/>
              </w:rPr>
              <w:t>105</w:t>
            </w:r>
          </w:p>
        </w:tc>
        <w:tc>
          <w:tcPr>
            <w:tcW w:w="1795" w:type="dxa"/>
          </w:tcPr>
          <w:p>
            <w:pPr>
              <w:pStyle w:val="TableParagraph"/>
              <w:spacing w:before="64"/>
              <w:ind w:left="12" w:right="1"/>
              <w:jc w:val="center"/>
              <w:rPr>
                <w:sz w:val="24"/>
              </w:rPr>
            </w:pPr>
            <w:r>
              <w:rPr>
                <w:spacing w:val="-2"/>
                <w:sz w:val="24"/>
              </w:rPr>
              <w:t>98.45</w:t>
            </w:r>
          </w:p>
        </w:tc>
      </w:tr>
      <w:tr>
        <w:trPr>
          <w:trHeight w:val="413" w:hRule="atLeast"/>
        </w:trPr>
        <w:tc>
          <w:tcPr>
            <w:tcW w:w="1404" w:type="dxa"/>
          </w:tcPr>
          <w:p>
            <w:pPr>
              <w:pStyle w:val="TableParagraph"/>
              <w:rPr>
                <w:sz w:val="22"/>
              </w:rPr>
            </w:pPr>
          </w:p>
        </w:tc>
        <w:tc>
          <w:tcPr>
            <w:tcW w:w="1880" w:type="dxa"/>
          </w:tcPr>
          <w:p>
            <w:pPr>
              <w:pStyle w:val="TableParagraph"/>
              <w:rPr>
                <w:sz w:val="22"/>
              </w:rPr>
            </w:pPr>
          </w:p>
        </w:tc>
        <w:tc>
          <w:tcPr>
            <w:tcW w:w="1758" w:type="dxa"/>
          </w:tcPr>
          <w:p>
            <w:pPr>
              <w:pStyle w:val="TableParagraph"/>
              <w:rPr>
                <w:sz w:val="22"/>
              </w:rPr>
            </w:pPr>
          </w:p>
        </w:tc>
        <w:tc>
          <w:tcPr>
            <w:tcW w:w="1752" w:type="dxa"/>
          </w:tcPr>
          <w:p>
            <w:pPr>
              <w:pStyle w:val="TableParagraph"/>
              <w:spacing w:before="63"/>
              <w:ind w:left="17"/>
              <w:jc w:val="center"/>
              <w:rPr>
                <w:sz w:val="24"/>
              </w:rPr>
            </w:pPr>
            <w:r>
              <w:rPr>
                <w:spacing w:val="-5"/>
                <w:sz w:val="24"/>
              </w:rPr>
              <w:t>120</w:t>
            </w:r>
          </w:p>
        </w:tc>
        <w:tc>
          <w:tcPr>
            <w:tcW w:w="1795" w:type="dxa"/>
          </w:tcPr>
          <w:p>
            <w:pPr>
              <w:pStyle w:val="TableParagraph"/>
              <w:spacing w:before="63"/>
              <w:ind w:left="12" w:right="1"/>
              <w:jc w:val="center"/>
              <w:rPr>
                <w:sz w:val="24"/>
              </w:rPr>
            </w:pPr>
            <w:r>
              <w:rPr>
                <w:spacing w:val="-2"/>
                <w:sz w:val="24"/>
              </w:rPr>
              <w:t>100.01</w:t>
            </w:r>
          </w:p>
        </w:tc>
      </w:tr>
      <w:tr>
        <w:trPr>
          <w:trHeight w:val="482" w:hRule="atLeast"/>
        </w:trPr>
        <w:tc>
          <w:tcPr>
            <w:tcW w:w="1404" w:type="dxa"/>
            <w:tcBorders>
              <w:bottom w:val="single" w:sz="4" w:space="0" w:color="000000"/>
            </w:tcBorders>
          </w:tcPr>
          <w:p>
            <w:pPr>
              <w:pStyle w:val="TableParagraph"/>
              <w:rPr>
                <w:sz w:val="22"/>
              </w:rPr>
            </w:pPr>
          </w:p>
        </w:tc>
        <w:tc>
          <w:tcPr>
            <w:tcW w:w="1880" w:type="dxa"/>
            <w:tcBorders>
              <w:bottom w:val="single" w:sz="4" w:space="0" w:color="000000"/>
            </w:tcBorders>
          </w:tcPr>
          <w:p>
            <w:pPr>
              <w:pStyle w:val="TableParagraph"/>
              <w:rPr>
                <w:sz w:val="22"/>
              </w:rPr>
            </w:pPr>
          </w:p>
        </w:tc>
        <w:tc>
          <w:tcPr>
            <w:tcW w:w="1758" w:type="dxa"/>
            <w:tcBorders>
              <w:bottom w:val="single" w:sz="4" w:space="0" w:color="000000"/>
            </w:tcBorders>
          </w:tcPr>
          <w:p>
            <w:pPr>
              <w:pStyle w:val="TableParagraph"/>
              <w:rPr>
                <w:sz w:val="22"/>
              </w:rPr>
            </w:pPr>
          </w:p>
        </w:tc>
        <w:tc>
          <w:tcPr>
            <w:tcW w:w="1752" w:type="dxa"/>
            <w:tcBorders>
              <w:bottom w:val="single" w:sz="4" w:space="0" w:color="000000"/>
            </w:tcBorders>
          </w:tcPr>
          <w:p>
            <w:pPr>
              <w:pStyle w:val="TableParagraph"/>
              <w:spacing w:before="64"/>
              <w:ind w:left="17"/>
              <w:jc w:val="center"/>
              <w:rPr>
                <w:sz w:val="24"/>
              </w:rPr>
            </w:pPr>
            <w:r>
              <w:rPr>
                <w:spacing w:val="-5"/>
                <w:sz w:val="24"/>
              </w:rPr>
              <w:t>135</w:t>
            </w:r>
          </w:p>
        </w:tc>
        <w:tc>
          <w:tcPr>
            <w:tcW w:w="1795" w:type="dxa"/>
            <w:tcBorders>
              <w:bottom w:val="single" w:sz="4" w:space="0" w:color="000000"/>
            </w:tcBorders>
          </w:tcPr>
          <w:p>
            <w:pPr>
              <w:pStyle w:val="TableParagraph"/>
              <w:spacing w:before="64"/>
              <w:ind w:left="12" w:right="1"/>
              <w:jc w:val="center"/>
              <w:rPr>
                <w:sz w:val="24"/>
              </w:rPr>
            </w:pPr>
            <w:r>
              <w:rPr>
                <w:spacing w:val="-2"/>
                <w:sz w:val="24"/>
              </w:rPr>
              <w:t>100.01</w:t>
            </w:r>
          </w:p>
        </w:tc>
      </w:tr>
    </w:tbl>
    <w:p>
      <w:pPr>
        <w:spacing w:after="0"/>
        <w:jc w:val="center"/>
        <w:rPr>
          <w:sz w:val="24"/>
        </w:rPr>
        <w:sectPr>
          <w:pgSz w:w="12240" w:h="15840"/>
          <w:pgMar w:header="0" w:footer="1056" w:top="1340" w:bottom="1240" w:left="1420" w:right="420"/>
        </w:sectPr>
      </w:pPr>
    </w:p>
    <w:p>
      <w:pPr>
        <w:spacing w:line="360" w:lineRule="auto" w:before="77"/>
        <w:ind w:left="678" w:right="1041" w:firstLine="0"/>
        <w:jc w:val="left"/>
        <w:rPr>
          <w:b/>
          <w:sz w:val="24"/>
        </w:rPr>
      </w:pPr>
      <w:r>
        <w:rPr/>
        <mc:AlternateContent>
          <mc:Choice Requires="wps">
            <w:drawing>
              <wp:anchor distT="0" distB="0" distL="0" distR="0" allowOverlap="1" layoutInCell="1" locked="0" behindDoc="1" simplePos="0" relativeHeight="483056640">
                <wp:simplePos x="0" y="0"/>
                <wp:positionH relativeFrom="page">
                  <wp:posOffset>-1402226</wp:posOffset>
                </wp:positionH>
                <wp:positionV relativeFrom="page">
                  <wp:posOffset>4612234</wp:posOffset>
                </wp:positionV>
                <wp:extent cx="10685780" cy="9144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59840;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83264">
            <wp:simplePos x="0" y="0"/>
            <wp:positionH relativeFrom="page">
              <wp:posOffset>1515110</wp:posOffset>
            </wp:positionH>
            <wp:positionV relativeFrom="paragraph">
              <wp:posOffset>1543050</wp:posOffset>
            </wp:positionV>
            <wp:extent cx="5652135" cy="3407410"/>
            <wp:effectExtent l="0" t="0" r="0" b="0"/>
            <wp:wrapNone/>
            <wp:docPr id="413" name="Image 413"/>
            <wp:cNvGraphicFramePr>
              <a:graphicFrameLocks/>
            </wp:cNvGraphicFramePr>
            <a:graphic>
              <a:graphicData uri="http://schemas.openxmlformats.org/drawingml/2006/picture">
                <pic:pic>
                  <pic:nvPicPr>
                    <pic:cNvPr id="413" name="Image 413"/>
                    <pic:cNvPicPr/>
                  </pic:nvPicPr>
                  <pic:blipFill>
                    <a:blip r:embed="rId59" cstate="print"/>
                    <a:stretch>
                      <a:fillRect/>
                    </a:stretch>
                  </pic:blipFill>
                  <pic:spPr>
                    <a:xfrm>
                      <a:off x="0" y="0"/>
                      <a:ext cx="5652135" cy="3407410"/>
                    </a:xfrm>
                    <a:prstGeom prst="rect">
                      <a:avLst/>
                    </a:prstGeom>
                  </pic:spPr>
                </pic:pic>
              </a:graphicData>
            </a:graphic>
          </wp:anchor>
        </w:drawing>
      </w:r>
      <w:r>
        <w:rPr>
          <w:b/>
          <w:sz w:val="24"/>
        </w:rPr>
        <w:t>Appendix II</w:t>
      </w:r>
      <w:r>
        <w:rPr>
          <w:b/>
          <w:spacing w:val="23"/>
          <w:sz w:val="24"/>
        </w:rPr>
        <w:t> </w:t>
      </w:r>
      <w:r>
        <w:rPr>
          <w:b/>
          <w:sz w:val="24"/>
        </w:rPr>
        <w:t>continued:</w:t>
      </w:r>
      <w:r>
        <w:rPr>
          <w:b/>
          <w:spacing w:val="23"/>
          <w:sz w:val="24"/>
        </w:rPr>
        <w:t> </w:t>
      </w:r>
      <w:r>
        <w:rPr>
          <w:b/>
          <w:sz w:val="24"/>
        </w:rPr>
        <w:t>Cummulative %</w:t>
      </w:r>
      <w:r>
        <w:rPr>
          <w:b/>
          <w:spacing w:val="25"/>
          <w:sz w:val="24"/>
        </w:rPr>
        <w:t> </w:t>
      </w:r>
      <w:r>
        <w:rPr>
          <w:b/>
          <w:sz w:val="24"/>
        </w:rPr>
        <w:t>drug release Vs Time for PVP 1%</w:t>
      </w:r>
      <w:r>
        <w:rPr>
          <w:b/>
          <w:spacing w:val="25"/>
          <w:sz w:val="24"/>
        </w:rPr>
        <w:t> </w:t>
      </w:r>
      <w:r>
        <w:rPr>
          <w:b/>
          <w:sz w:val="24"/>
        </w:rPr>
        <w:t>in wet </w:t>
      </w:r>
      <w:r>
        <w:rPr>
          <w:b/>
          <w:spacing w:val="-2"/>
          <w:sz w:val="24"/>
        </w:rPr>
        <w:t>granulation</w:t>
      </w:r>
    </w:p>
    <w:p>
      <w:pPr>
        <w:spacing w:after="0" w:line="360" w:lineRule="auto"/>
        <w:jc w:val="left"/>
        <w:rPr>
          <w:sz w:val="24"/>
        </w:rPr>
        <w:sectPr>
          <w:pgSz w:w="12240" w:h="15840"/>
          <w:pgMar w:header="0" w:footer="1056" w:top="1340" w:bottom="1240" w:left="1420" w:right="420"/>
        </w:sectPr>
      </w:pPr>
    </w:p>
    <w:p>
      <w:pPr>
        <w:spacing w:before="75"/>
        <w:ind w:left="678" w:right="0" w:firstLine="0"/>
        <w:jc w:val="left"/>
        <w:rPr>
          <w:b/>
          <w:i/>
          <w:sz w:val="24"/>
        </w:rPr>
      </w:pPr>
      <w:r>
        <w:rPr/>
        <mc:AlternateContent>
          <mc:Choice Requires="wps">
            <w:drawing>
              <wp:anchor distT="0" distB="0" distL="0" distR="0" allowOverlap="1" layoutInCell="1" locked="0" behindDoc="1" simplePos="0" relativeHeight="483057664">
                <wp:simplePos x="0" y="0"/>
                <wp:positionH relativeFrom="page">
                  <wp:posOffset>-1402226</wp:posOffset>
                </wp:positionH>
                <wp:positionV relativeFrom="page">
                  <wp:posOffset>4612234</wp:posOffset>
                </wp:positionV>
                <wp:extent cx="10685780" cy="9144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58816;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84288">
            <wp:simplePos x="0" y="0"/>
            <wp:positionH relativeFrom="page">
              <wp:posOffset>1515236</wp:posOffset>
            </wp:positionH>
            <wp:positionV relativeFrom="page">
              <wp:posOffset>2753995</wp:posOffset>
            </wp:positionV>
            <wp:extent cx="5238623" cy="3365500"/>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83" cstate="print"/>
                    <a:stretch>
                      <a:fillRect/>
                    </a:stretch>
                  </pic:blipFill>
                  <pic:spPr>
                    <a:xfrm>
                      <a:off x="0" y="0"/>
                      <a:ext cx="5238623" cy="3365500"/>
                    </a:xfrm>
                    <a:prstGeom prst="rect">
                      <a:avLst/>
                    </a:prstGeom>
                  </pic:spPr>
                </pic:pic>
              </a:graphicData>
            </a:graphic>
          </wp:anchor>
        </w:drawing>
      </w:r>
      <w:r>
        <w:rPr>
          <w:b/>
          <w:sz w:val="24"/>
        </w:rPr>
        <w:t>Appendix II</w:t>
      </w:r>
      <w:r>
        <w:rPr>
          <w:b/>
          <w:spacing w:val="-1"/>
          <w:sz w:val="24"/>
        </w:rPr>
        <w:t> </w:t>
      </w:r>
      <w:r>
        <w:rPr>
          <w:b/>
          <w:sz w:val="24"/>
        </w:rPr>
        <w:t>continued:</w:t>
      </w:r>
      <w:r>
        <w:rPr>
          <w:b/>
          <w:spacing w:val="-4"/>
          <w:sz w:val="24"/>
        </w:rPr>
        <w:t> </w:t>
      </w:r>
      <w:r>
        <w:rPr>
          <w:b/>
          <w:sz w:val="24"/>
        </w:rPr>
        <w:t>Ln</w:t>
      </w:r>
      <w:r>
        <w:rPr>
          <w:b/>
          <w:spacing w:val="-1"/>
          <w:sz w:val="24"/>
        </w:rPr>
        <w:t> </w:t>
      </w:r>
      <w:r>
        <w:rPr>
          <w:b/>
          <w:sz w:val="24"/>
        </w:rPr>
        <w:t>[Cs/ (Cs-C)</w:t>
      </w:r>
      <w:r>
        <w:rPr>
          <w:b/>
          <w:spacing w:val="-3"/>
          <w:sz w:val="24"/>
        </w:rPr>
        <w:t> </w:t>
      </w:r>
      <w:r>
        <w:rPr>
          <w:b/>
          <w:sz w:val="24"/>
        </w:rPr>
        <w:t>]</w:t>
      </w:r>
      <w:r>
        <w:rPr>
          <w:b/>
          <w:spacing w:val="-2"/>
          <w:sz w:val="24"/>
        </w:rPr>
        <w:t> </w:t>
      </w:r>
      <w:r>
        <w:rPr>
          <w:b/>
          <w:sz w:val="24"/>
        </w:rPr>
        <w:t>versus time</w:t>
      </w:r>
      <w:r>
        <w:rPr>
          <w:b/>
          <w:spacing w:val="-2"/>
          <w:sz w:val="24"/>
        </w:rPr>
        <w:t> </w:t>
      </w:r>
      <w:r>
        <w:rPr>
          <w:b/>
          <w:sz w:val="24"/>
        </w:rPr>
        <w:t>plots for</w:t>
      </w:r>
      <w:r>
        <w:rPr>
          <w:b/>
          <w:spacing w:val="-1"/>
          <w:sz w:val="24"/>
        </w:rPr>
        <w:t> </w:t>
      </w:r>
      <w:r>
        <w:rPr>
          <w:b/>
          <w:i/>
          <w:sz w:val="24"/>
        </w:rPr>
        <w:t>Mucuna</w:t>
      </w:r>
      <w:r>
        <w:rPr>
          <w:b/>
          <w:i/>
          <w:spacing w:val="-3"/>
          <w:sz w:val="24"/>
        </w:rPr>
        <w:t> </w:t>
      </w:r>
      <w:r>
        <w:rPr>
          <w:b/>
          <w:i/>
          <w:spacing w:val="-2"/>
          <w:sz w:val="24"/>
        </w:rPr>
        <w:t>pruriens</w:t>
      </w:r>
    </w:p>
    <w:p>
      <w:pPr>
        <w:pStyle w:val="BodyText"/>
        <w:spacing w:before="2"/>
        <w:rPr>
          <w:b/>
          <w:i/>
        </w:rPr>
      </w:pPr>
    </w:p>
    <w:p>
      <w:pPr>
        <w:spacing w:before="1"/>
        <w:ind w:left="678" w:right="0" w:firstLine="0"/>
        <w:jc w:val="left"/>
        <w:rPr>
          <w:b/>
          <w:sz w:val="24"/>
        </w:rPr>
      </w:pPr>
      <w:r>
        <w:rPr>
          <w:b/>
          <w:sz w:val="24"/>
        </w:rPr>
        <w:t>tablets</w:t>
      </w:r>
      <w:r>
        <w:rPr>
          <w:b/>
          <w:spacing w:val="-2"/>
          <w:sz w:val="24"/>
        </w:rPr>
        <w:t> </w:t>
      </w:r>
      <w:r>
        <w:rPr>
          <w:b/>
          <w:sz w:val="24"/>
        </w:rPr>
        <w:t>prepared</w:t>
      </w:r>
      <w:r>
        <w:rPr>
          <w:b/>
          <w:spacing w:val="-2"/>
          <w:sz w:val="24"/>
        </w:rPr>
        <w:t> </w:t>
      </w:r>
      <w:r>
        <w:rPr>
          <w:b/>
          <w:sz w:val="24"/>
        </w:rPr>
        <w:t>by</w:t>
      </w:r>
      <w:r>
        <w:rPr>
          <w:b/>
          <w:spacing w:val="-1"/>
          <w:sz w:val="24"/>
        </w:rPr>
        <w:t> </w:t>
      </w:r>
      <w:r>
        <w:rPr>
          <w:b/>
          <w:sz w:val="24"/>
        </w:rPr>
        <w:t>direct</w:t>
      </w:r>
      <w:r>
        <w:rPr>
          <w:b/>
          <w:spacing w:val="-2"/>
          <w:sz w:val="24"/>
        </w:rPr>
        <w:t> </w:t>
      </w:r>
      <w:r>
        <w:rPr>
          <w:b/>
          <w:sz w:val="24"/>
        </w:rPr>
        <w:t>compression</w:t>
      </w:r>
      <w:r>
        <w:rPr>
          <w:b/>
          <w:spacing w:val="-1"/>
          <w:sz w:val="24"/>
        </w:rPr>
        <w:t> </w:t>
      </w:r>
      <w:r>
        <w:rPr>
          <w:b/>
          <w:sz w:val="24"/>
        </w:rPr>
        <w:t>using</w:t>
      </w:r>
      <w:r>
        <w:rPr>
          <w:b/>
          <w:spacing w:val="-4"/>
          <w:sz w:val="24"/>
        </w:rPr>
        <w:t> </w:t>
      </w:r>
      <w:r>
        <w:rPr>
          <w:b/>
          <w:sz w:val="24"/>
        </w:rPr>
        <w:t>Avicel</w:t>
      </w:r>
      <w:r>
        <w:rPr>
          <w:b/>
          <w:spacing w:val="-2"/>
          <w:sz w:val="24"/>
        </w:rPr>
        <w:t> </w:t>
      </w:r>
      <w:r>
        <w:rPr>
          <w:b/>
          <w:sz w:val="24"/>
        </w:rPr>
        <w:t>at</w:t>
      </w:r>
      <w:r>
        <w:rPr>
          <w:b/>
          <w:spacing w:val="-1"/>
          <w:sz w:val="24"/>
        </w:rPr>
        <w:t> </w:t>
      </w:r>
      <w:r>
        <w:rPr>
          <w:b/>
          <w:sz w:val="24"/>
        </w:rPr>
        <w:t>5kN</w:t>
      </w:r>
      <w:r>
        <w:rPr>
          <w:b/>
          <w:spacing w:val="-2"/>
          <w:sz w:val="24"/>
        </w:rPr>
        <w:t> </w:t>
      </w:r>
      <w:r>
        <w:rPr>
          <w:b/>
          <w:sz w:val="24"/>
        </w:rPr>
        <w:t>compression </w:t>
      </w:r>
      <w:r>
        <w:rPr>
          <w:b/>
          <w:spacing w:val="-2"/>
          <w:sz w:val="24"/>
        </w:rPr>
        <w:t>pressure</w:t>
      </w:r>
    </w:p>
    <w:p>
      <w:pPr>
        <w:spacing w:after="0"/>
        <w:jc w:val="left"/>
        <w:rPr>
          <w:sz w:val="24"/>
        </w:rPr>
        <w:sectPr>
          <w:pgSz w:w="12240" w:h="15840"/>
          <w:pgMar w:header="0" w:footer="1056" w:top="1340" w:bottom="1240" w:left="1420" w:right="420"/>
        </w:sectPr>
      </w:pPr>
    </w:p>
    <w:p>
      <w:pPr>
        <w:spacing w:line="360" w:lineRule="auto" w:before="77"/>
        <w:ind w:left="1098" w:right="1041" w:hanging="420"/>
        <w:jc w:val="left"/>
        <w:rPr>
          <w:b/>
          <w:sz w:val="24"/>
        </w:rPr>
      </w:pPr>
      <w:r>
        <w:rPr/>
        <mc:AlternateContent>
          <mc:Choice Requires="wps">
            <w:drawing>
              <wp:anchor distT="0" distB="0" distL="0" distR="0" allowOverlap="1" layoutInCell="1" locked="0" behindDoc="1" simplePos="0" relativeHeight="483058688">
                <wp:simplePos x="0" y="0"/>
                <wp:positionH relativeFrom="page">
                  <wp:posOffset>-1402226</wp:posOffset>
                </wp:positionH>
                <wp:positionV relativeFrom="page">
                  <wp:posOffset>4612234</wp:posOffset>
                </wp:positionV>
                <wp:extent cx="10685780" cy="9144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57792;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85312">
            <wp:simplePos x="0" y="0"/>
            <wp:positionH relativeFrom="page">
              <wp:posOffset>1527305</wp:posOffset>
            </wp:positionH>
            <wp:positionV relativeFrom="page">
              <wp:posOffset>3633470</wp:posOffset>
            </wp:positionV>
            <wp:extent cx="5201150" cy="3497579"/>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84" cstate="print"/>
                    <a:stretch>
                      <a:fillRect/>
                    </a:stretch>
                  </pic:blipFill>
                  <pic:spPr>
                    <a:xfrm>
                      <a:off x="0" y="0"/>
                      <a:ext cx="5201150" cy="3497579"/>
                    </a:xfrm>
                    <a:prstGeom prst="rect">
                      <a:avLst/>
                    </a:prstGeom>
                  </pic:spPr>
                </pic:pic>
              </a:graphicData>
            </a:graphic>
          </wp:anchor>
        </w:drawing>
      </w:r>
      <w:r>
        <w:rPr>
          <w:b/>
          <w:sz w:val="24"/>
        </w:rPr>
        <w:t>Appendix</w:t>
      </w:r>
      <w:r>
        <w:rPr>
          <w:b/>
          <w:spacing w:val="-2"/>
          <w:sz w:val="24"/>
        </w:rPr>
        <w:t> </w:t>
      </w:r>
      <w:r>
        <w:rPr>
          <w:b/>
          <w:sz w:val="24"/>
        </w:rPr>
        <w:t>II</w:t>
      </w:r>
      <w:r>
        <w:rPr>
          <w:b/>
          <w:spacing w:val="-3"/>
          <w:sz w:val="24"/>
        </w:rPr>
        <w:t> </w:t>
      </w:r>
      <w:r>
        <w:rPr>
          <w:b/>
          <w:sz w:val="24"/>
        </w:rPr>
        <w:t>continued:</w:t>
      </w:r>
      <w:r>
        <w:rPr>
          <w:b/>
          <w:spacing w:val="-5"/>
          <w:sz w:val="24"/>
        </w:rPr>
        <w:t> </w:t>
      </w:r>
      <w:r>
        <w:rPr>
          <w:b/>
          <w:sz w:val="24"/>
        </w:rPr>
        <w:t>Ln</w:t>
      </w:r>
      <w:r>
        <w:rPr>
          <w:b/>
          <w:spacing w:val="-3"/>
          <w:sz w:val="24"/>
        </w:rPr>
        <w:t> </w:t>
      </w:r>
      <w:r>
        <w:rPr>
          <w:b/>
          <w:sz w:val="24"/>
        </w:rPr>
        <w:t>[Cs/</w:t>
      </w:r>
      <w:r>
        <w:rPr>
          <w:b/>
          <w:spacing w:val="-3"/>
          <w:sz w:val="24"/>
        </w:rPr>
        <w:t> </w:t>
      </w:r>
      <w:r>
        <w:rPr>
          <w:b/>
          <w:sz w:val="24"/>
        </w:rPr>
        <w:t>(Cs-C)</w:t>
      </w:r>
      <w:r>
        <w:rPr>
          <w:b/>
          <w:spacing w:val="-5"/>
          <w:sz w:val="24"/>
        </w:rPr>
        <w:t> </w:t>
      </w:r>
      <w:r>
        <w:rPr>
          <w:b/>
          <w:sz w:val="24"/>
        </w:rPr>
        <w:t>]</w:t>
      </w:r>
      <w:r>
        <w:rPr>
          <w:b/>
          <w:spacing w:val="-4"/>
          <w:sz w:val="24"/>
        </w:rPr>
        <w:t> </w:t>
      </w:r>
      <w:r>
        <w:rPr>
          <w:b/>
          <w:sz w:val="24"/>
        </w:rPr>
        <w:t>versus</w:t>
      </w:r>
      <w:r>
        <w:rPr>
          <w:b/>
          <w:spacing w:val="-3"/>
          <w:sz w:val="24"/>
        </w:rPr>
        <w:t> </w:t>
      </w:r>
      <w:r>
        <w:rPr>
          <w:b/>
          <w:sz w:val="24"/>
        </w:rPr>
        <w:t>time</w:t>
      </w:r>
      <w:r>
        <w:rPr>
          <w:b/>
          <w:spacing w:val="-4"/>
          <w:sz w:val="24"/>
        </w:rPr>
        <w:t> </w:t>
      </w:r>
      <w:r>
        <w:rPr>
          <w:b/>
          <w:sz w:val="24"/>
        </w:rPr>
        <w:t>plots</w:t>
      </w:r>
      <w:r>
        <w:rPr>
          <w:b/>
          <w:spacing w:val="-3"/>
          <w:sz w:val="24"/>
        </w:rPr>
        <w:t> </w:t>
      </w:r>
      <w:r>
        <w:rPr>
          <w:b/>
          <w:sz w:val="24"/>
        </w:rPr>
        <w:t>for</w:t>
      </w:r>
      <w:r>
        <w:rPr>
          <w:b/>
          <w:spacing w:val="-3"/>
          <w:sz w:val="24"/>
        </w:rPr>
        <w:t> </w:t>
      </w:r>
      <w:r>
        <w:rPr>
          <w:b/>
          <w:i/>
          <w:sz w:val="24"/>
        </w:rPr>
        <w:t>Mucuna</w:t>
      </w:r>
      <w:r>
        <w:rPr>
          <w:b/>
          <w:i/>
          <w:spacing w:val="-6"/>
          <w:sz w:val="24"/>
        </w:rPr>
        <w:t> </w:t>
      </w:r>
      <w:r>
        <w:rPr>
          <w:b/>
          <w:i/>
          <w:sz w:val="24"/>
        </w:rPr>
        <w:t>pruiens</w:t>
      </w:r>
      <w:r>
        <w:rPr>
          <w:b/>
          <w:i/>
          <w:spacing w:val="-1"/>
          <w:sz w:val="24"/>
        </w:rPr>
        <w:t> </w:t>
      </w:r>
      <w:r>
        <w:rPr>
          <w:b/>
          <w:sz w:val="24"/>
        </w:rPr>
        <w:t>tablet prepared by direct compression Avicel using at 10kN compression pressure</w:t>
      </w:r>
    </w:p>
    <w:p>
      <w:pPr>
        <w:spacing w:after="0" w:line="360" w:lineRule="auto"/>
        <w:jc w:val="left"/>
        <w:rPr>
          <w:sz w:val="24"/>
        </w:rPr>
        <w:sectPr>
          <w:pgSz w:w="12240" w:h="15840"/>
          <w:pgMar w:header="0" w:footer="1056" w:top="1340" w:bottom="1240" w:left="1420" w:right="420"/>
        </w:sectPr>
      </w:pPr>
    </w:p>
    <w:p>
      <w:pPr>
        <w:spacing w:line="360" w:lineRule="auto" w:before="77"/>
        <w:ind w:left="678" w:right="1041" w:firstLine="0"/>
        <w:jc w:val="left"/>
        <w:rPr>
          <w:b/>
          <w:sz w:val="24"/>
        </w:rPr>
      </w:pPr>
      <w:r>
        <w:rPr/>
        <mc:AlternateContent>
          <mc:Choice Requires="wps">
            <w:drawing>
              <wp:anchor distT="0" distB="0" distL="0" distR="0" allowOverlap="1" layoutInCell="1" locked="0" behindDoc="1" simplePos="0" relativeHeight="483059712">
                <wp:simplePos x="0" y="0"/>
                <wp:positionH relativeFrom="page">
                  <wp:posOffset>-1402226</wp:posOffset>
                </wp:positionH>
                <wp:positionV relativeFrom="page">
                  <wp:posOffset>4612234</wp:posOffset>
                </wp:positionV>
                <wp:extent cx="10685780" cy="9144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rot="18360000">
                          <a:off x="0" y="0"/>
                          <a:ext cx="10685780" cy="914400"/>
                        </a:xfrm>
                        <a:prstGeom prst="rect">
                          <a:avLst/>
                        </a:prstGeom>
                      </wps:spPr>
                      <wps:txbx>
                        <w:txbxContent>
                          <w:p>
                            <w:pPr>
                              <w:spacing w:line="1440" w:lineRule="exact" w:before="0"/>
                              <w:ind w:left="0" w:right="0" w:firstLine="0"/>
                              <w:jc w:val="left"/>
                              <w:rPr>
                                <w:rFonts w:ascii="Arial MT"/>
                                <w:sz w:val="144"/>
                              </w:rPr>
                            </w:pPr>
                            <w:r>
                              <w:rPr>
                                <w:rFonts w:ascii="Arial MT"/>
                                <w:color w:val="FF5400"/>
                                <w:sz w:val="144"/>
                              </w:rPr>
                              <w:t>UNIVERSITY</w:t>
                            </w:r>
                            <w:r>
                              <w:rPr>
                                <w:rFonts w:ascii="Arial MT"/>
                                <w:color w:val="FF5400"/>
                                <w:spacing w:val="-28"/>
                                <w:sz w:val="144"/>
                              </w:rPr>
                              <w:t> </w:t>
                            </w:r>
                            <w:r>
                              <w:rPr>
                                <w:rFonts w:ascii="Arial MT"/>
                                <w:color w:val="FF5400"/>
                                <w:position w:val="16"/>
                                <w:sz w:val="144"/>
                              </w:rPr>
                              <w:t>OF</w:t>
                            </w:r>
                            <w:r>
                              <w:rPr>
                                <w:rFonts w:ascii="Arial MT"/>
                                <w:color w:val="FF5400"/>
                                <w:spacing w:val="-28"/>
                                <w:position w:val="16"/>
                                <w:sz w:val="144"/>
                              </w:rPr>
                              <w:t> </w:t>
                            </w:r>
                            <w:r>
                              <w:rPr>
                                <w:rFonts w:ascii="Arial MT"/>
                                <w:color w:val="FF5400"/>
                                <w:spacing w:val="-2"/>
                                <w:position w:val="20"/>
                                <w:sz w:val="144"/>
                              </w:rPr>
                              <w:t>IBADAN</w:t>
                            </w:r>
                          </w:p>
                        </w:txbxContent>
                      </wps:txbx>
                      <wps:bodyPr wrap="square" lIns="0" tIns="0" rIns="0" bIns="0" rtlCol="0">
                        <a:noAutofit/>
                      </wps:bodyPr>
                    </wps:wsp>
                  </a:graphicData>
                </a:graphic>
              </wp:anchor>
            </w:drawing>
          </mc:Choice>
          <mc:Fallback>
            <w:pict>
              <v:shape style="position:absolute;margin-left:-110.411517pt;margin-top:363.168105pt;width:841.4pt;height:72pt;mso-position-horizontal-relative:page;mso-position-vertical-relative:page;z-index:-20256768;rotation:306" type="#_x0000_t136" fillcolor="#ff5400" stroked="f">
                <o:extrusion v:ext="view" autorotationcenter="t"/>
                <v:textpath style="font-family:&quot;Arial MT&quot;;font-size:72pt;v-text-kern:t;mso-text-shadow:auto" string="UNIVERSITY OF IBADAN"/>
                <w10:wrap type="none"/>
              </v:shape>
            </w:pict>
          </mc:Fallback>
        </mc:AlternateContent>
      </w:r>
      <w:r>
        <w:rPr/>
        <w:drawing>
          <wp:anchor distT="0" distB="0" distL="0" distR="0" allowOverlap="1" layoutInCell="1" locked="0" behindDoc="0" simplePos="0" relativeHeight="15886336">
            <wp:simplePos x="0" y="0"/>
            <wp:positionH relativeFrom="page">
              <wp:posOffset>1510029</wp:posOffset>
            </wp:positionH>
            <wp:positionV relativeFrom="page">
              <wp:posOffset>3006725</wp:posOffset>
            </wp:positionV>
            <wp:extent cx="5240782" cy="3359785"/>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85" cstate="print"/>
                    <a:stretch>
                      <a:fillRect/>
                    </a:stretch>
                  </pic:blipFill>
                  <pic:spPr>
                    <a:xfrm>
                      <a:off x="0" y="0"/>
                      <a:ext cx="5240782" cy="3359785"/>
                    </a:xfrm>
                    <a:prstGeom prst="rect">
                      <a:avLst/>
                    </a:prstGeom>
                  </pic:spPr>
                </pic:pic>
              </a:graphicData>
            </a:graphic>
          </wp:anchor>
        </w:drawing>
      </w:r>
      <w:r>
        <w:rPr>
          <w:b/>
          <w:sz w:val="24"/>
        </w:rPr>
        <w:t>Appendix</w:t>
      </w:r>
      <w:r>
        <w:rPr>
          <w:b/>
          <w:spacing w:val="-2"/>
          <w:sz w:val="24"/>
        </w:rPr>
        <w:t> </w:t>
      </w:r>
      <w:r>
        <w:rPr>
          <w:b/>
          <w:sz w:val="24"/>
        </w:rPr>
        <w:t>II</w:t>
      </w:r>
      <w:r>
        <w:rPr>
          <w:b/>
          <w:spacing w:val="-3"/>
          <w:sz w:val="24"/>
        </w:rPr>
        <w:t> </w:t>
      </w:r>
      <w:r>
        <w:rPr>
          <w:b/>
          <w:sz w:val="24"/>
        </w:rPr>
        <w:t>continued</w:t>
      </w:r>
      <w:r>
        <w:rPr>
          <w:b/>
          <w:spacing w:val="-4"/>
          <w:sz w:val="24"/>
        </w:rPr>
        <w:t> </w:t>
      </w:r>
      <w:r>
        <w:rPr>
          <w:b/>
          <w:sz w:val="24"/>
        </w:rPr>
        <w:t>Ln</w:t>
      </w:r>
      <w:r>
        <w:rPr>
          <w:b/>
          <w:spacing w:val="-3"/>
          <w:sz w:val="24"/>
        </w:rPr>
        <w:t> </w:t>
      </w:r>
      <w:r>
        <w:rPr>
          <w:b/>
          <w:sz w:val="24"/>
        </w:rPr>
        <w:t>[Cs/</w:t>
      </w:r>
      <w:r>
        <w:rPr>
          <w:b/>
          <w:spacing w:val="-3"/>
          <w:sz w:val="24"/>
        </w:rPr>
        <w:t> </w:t>
      </w:r>
      <w:r>
        <w:rPr>
          <w:b/>
          <w:sz w:val="24"/>
        </w:rPr>
        <w:t>(Cs-C)</w:t>
      </w:r>
      <w:r>
        <w:rPr>
          <w:b/>
          <w:spacing w:val="-5"/>
          <w:sz w:val="24"/>
        </w:rPr>
        <w:t> </w:t>
      </w:r>
      <w:r>
        <w:rPr>
          <w:b/>
          <w:sz w:val="24"/>
        </w:rPr>
        <w:t>]</w:t>
      </w:r>
      <w:r>
        <w:rPr>
          <w:b/>
          <w:spacing w:val="-4"/>
          <w:sz w:val="24"/>
        </w:rPr>
        <w:t> </w:t>
      </w:r>
      <w:r>
        <w:rPr>
          <w:b/>
          <w:sz w:val="24"/>
        </w:rPr>
        <w:t>versus</w:t>
      </w:r>
      <w:r>
        <w:rPr>
          <w:b/>
          <w:spacing w:val="-3"/>
          <w:sz w:val="24"/>
        </w:rPr>
        <w:t> </w:t>
      </w:r>
      <w:r>
        <w:rPr>
          <w:b/>
          <w:sz w:val="24"/>
        </w:rPr>
        <w:t>time</w:t>
      </w:r>
      <w:r>
        <w:rPr>
          <w:b/>
          <w:spacing w:val="-4"/>
          <w:sz w:val="24"/>
        </w:rPr>
        <w:t> </w:t>
      </w:r>
      <w:r>
        <w:rPr>
          <w:b/>
          <w:sz w:val="24"/>
        </w:rPr>
        <w:t>plots</w:t>
      </w:r>
      <w:r>
        <w:rPr>
          <w:b/>
          <w:spacing w:val="-3"/>
          <w:sz w:val="24"/>
        </w:rPr>
        <w:t> </w:t>
      </w:r>
      <w:r>
        <w:rPr>
          <w:b/>
          <w:sz w:val="24"/>
        </w:rPr>
        <w:t>for</w:t>
      </w:r>
      <w:r>
        <w:rPr>
          <w:b/>
          <w:spacing w:val="-4"/>
          <w:sz w:val="24"/>
        </w:rPr>
        <w:t> </w:t>
      </w:r>
      <w:r>
        <w:rPr>
          <w:b/>
          <w:i/>
          <w:sz w:val="24"/>
        </w:rPr>
        <w:t>Mucuna</w:t>
      </w:r>
      <w:r>
        <w:rPr>
          <w:b/>
          <w:i/>
          <w:spacing w:val="-3"/>
          <w:sz w:val="24"/>
        </w:rPr>
        <w:t> </w:t>
      </w:r>
      <w:r>
        <w:rPr>
          <w:b/>
          <w:i/>
          <w:sz w:val="24"/>
        </w:rPr>
        <w:t>pruiens</w:t>
      </w:r>
      <w:r>
        <w:rPr>
          <w:b/>
          <w:i/>
          <w:spacing w:val="-1"/>
          <w:sz w:val="24"/>
        </w:rPr>
        <w:t> </w:t>
      </w:r>
      <w:r>
        <w:rPr>
          <w:b/>
          <w:sz w:val="24"/>
        </w:rPr>
        <w:t>tablet prepared by wet granulation using PVP 1% concentration at 10kN compression </w:t>
      </w:r>
      <w:r>
        <w:rPr>
          <w:b/>
          <w:spacing w:val="-2"/>
          <w:sz w:val="24"/>
        </w:rPr>
        <w:t>pressure</w:t>
      </w:r>
    </w:p>
    <w:sectPr>
      <w:pgSz w:w="12240" w:h="15840"/>
      <w:pgMar w:header="0" w:footer="1056" w:top="1340" w:bottom="1240" w:left="142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Verdana">
    <w:altName w:val="Verdana"/>
    <w:charset w:val="1"/>
    <w:family w:val="swiss"/>
    <w:pitch w:val="variable"/>
  </w:font>
  <w:font w:name="Candara">
    <w:altName w:val="Candara"/>
    <w:charset w:val="1"/>
    <w:family w:val="roman"/>
    <w:pitch w:val="variable"/>
  </w:font>
  <w:font w:name="Javanese Text">
    <w:altName w:val="Javanese Text"/>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02528">
              <wp:simplePos x="0" y="0"/>
              <wp:positionH relativeFrom="page">
                <wp:posOffset>3918839</wp:posOffset>
              </wp:positionH>
              <wp:positionV relativeFrom="page">
                <wp:posOffset>9240553</wp:posOffset>
              </wp:positionV>
              <wp:extent cx="3689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6893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8.570007pt;margin-top:727.602661pt;width:29.05pt;height:15.3pt;mso-position-horizontal-relative:page;mso-position-vertical-relative:page;z-index:-20413952" type="#_x0000_t202" id="docshape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03040">
              <wp:simplePos x="0" y="0"/>
              <wp:positionH relativeFrom="page">
                <wp:posOffset>3949319</wp:posOffset>
              </wp:positionH>
              <wp:positionV relativeFrom="page">
                <wp:posOffset>9248173</wp:posOffset>
              </wp:positionV>
              <wp:extent cx="3175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10.970001pt;margin-top:728.202637pt;width:25pt;height:15.3pt;mso-position-horizontal-relative:page;mso-position-vertical-relative:page;z-index:-20413440"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03552">
              <wp:simplePos x="0" y="0"/>
              <wp:positionH relativeFrom="page">
                <wp:posOffset>1241856</wp:posOffset>
              </wp:positionH>
              <wp:positionV relativeFrom="page">
                <wp:posOffset>9248173</wp:posOffset>
              </wp:positionV>
              <wp:extent cx="5712460" cy="19431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5712460" cy="194310"/>
                      </a:xfrm>
                      <a:prstGeom prst="rect">
                        <a:avLst/>
                      </a:prstGeom>
                    </wps:spPr>
                    <wps:txbx>
                      <w:txbxContent>
                        <w:p>
                          <w:pPr>
                            <w:pStyle w:val="BodyText"/>
                            <w:tabs>
                              <w:tab w:pos="4323" w:val="left" w:leader="none"/>
                              <w:tab w:pos="8975" w:val="left" w:leader="none"/>
                            </w:tabs>
                            <w:spacing w:before="10"/>
                            <w:ind w:left="20"/>
                          </w:pPr>
                          <w:r>
                            <w:rPr>
                              <w:u w:val="single"/>
                            </w:rPr>
                            <w:tab/>
                          </w:r>
                          <w:r>
                            <w:rPr>
                              <w:spacing w:val="-5"/>
                              <w:u w:val="single"/>
                            </w:rPr>
                            <w:t>150</w:t>
                          </w:r>
                          <w:r>
                            <w:rPr>
                              <w:u w:val="single"/>
                            </w:rPr>
                            <w:tab/>
                          </w:r>
                        </w:p>
                      </w:txbxContent>
                    </wps:txbx>
                    <wps:bodyPr wrap="square" lIns="0" tIns="0" rIns="0" bIns="0" rtlCol="0">
                      <a:noAutofit/>
                    </wps:bodyPr>
                  </wps:wsp>
                </a:graphicData>
              </a:graphic>
            </wp:anchor>
          </w:drawing>
        </mc:Choice>
        <mc:Fallback>
          <w:pict>
            <v:shape style="position:absolute;margin-left:97.783997pt;margin-top:728.202637pt;width:449.8pt;height:15.3pt;mso-position-horizontal-relative:page;mso-position-vertical-relative:page;z-index:-20412928" type="#_x0000_t202" id="docshape103" filled="false" stroked="false">
              <v:textbox inset="0,0,0,0">
                <w:txbxContent>
                  <w:p>
                    <w:pPr>
                      <w:pStyle w:val="BodyText"/>
                      <w:tabs>
                        <w:tab w:pos="4323" w:val="left" w:leader="none"/>
                        <w:tab w:pos="8975" w:val="left" w:leader="none"/>
                      </w:tabs>
                      <w:spacing w:before="10"/>
                      <w:ind w:left="20"/>
                    </w:pPr>
                    <w:r>
                      <w:rPr>
                        <w:u w:val="single"/>
                      </w:rPr>
                      <w:tab/>
                    </w:r>
                    <w:r>
                      <w:rPr>
                        <w:spacing w:val="-5"/>
                        <w:u w:val="single"/>
                      </w:rPr>
                      <w:t>150</w:t>
                    </w:r>
                    <w:r>
                      <w:rPr>
                        <w:u w:val="single"/>
                      </w:rPr>
                      <w:tab/>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04064">
              <wp:simplePos x="0" y="0"/>
              <wp:positionH relativeFrom="page">
                <wp:posOffset>3949319</wp:posOffset>
              </wp:positionH>
              <wp:positionV relativeFrom="page">
                <wp:posOffset>9248173</wp:posOffset>
              </wp:positionV>
              <wp:extent cx="317500" cy="19431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151</w:t>
                          </w:r>
                          <w:r>
                            <w:rPr>
                              <w:spacing w:val="-5"/>
                            </w:rPr>
                            <w:fldChar w:fldCharType="end"/>
                          </w:r>
                        </w:p>
                      </w:txbxContent>
                    </wps:txbx>
                    <wps:bodyPr wrap="square" lIns="0" tIns="0" rIns="0" bIns="0" rtlCol="0">
                      <a:noAutofit/>
                    </wps:bodyPr>
                  </wps:wsp>
                </a:graphicData>
              </a:graphic>
            </wp:anchor>
          </w:drawing>
        </mc:Choice>
        <mc:Fallback>
          <w:pict>
            <v:shape style="position:absolute;margin-left:310.970001pt;margin-top:728.202637pt;width:25pt;height:15.3pt;mso-position-horizontal-relative:page;mso-position-vertical-relative:page;z-index:-20412416" type="#_x0000_t202" id="docshape1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151</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1"/>
      <w:numFmt w:val="decimal"/>
      <w:lvlText w:val="%1-"/>
      <w:lvlJc w:val="left"/>
      <w:pPr>
        <w:ind w:left="1218" w:hanging="201"/>
        <w:jc w:val="left"/>
      </w:pPr>
      <w:rPr>
        <w:rFonts w:hint="default" w:ascii="Times New Roman" w:hAnsi="Times New Roman" w:eastAsia="Times New Roman" w:cs="Times New Roman"/>
        <w:b w:val="0"/>
        <w:bCs w:val="0"/>
        <w:i w:val="0"/>
        <w:iCs w:val="0"/>
        <w:spacing w:val="-1"/>
        <w:w w:val="98"/>
        <w:sz w:val="22"/>
        <w:szCs w:val="22"/>
        <w:lang w:val="en-US" w:eastAsia="en-US" w:bidi="ar-SA"/>
      </w:rPr>
    </w:lvl>
    <w:lvl w:ilvl="1">
      <w:start w:val="0"/>
      <w:numFmt w:val="bullet"/>
      <w:lvlText w:val="•"/>
      <w:lvlJc w:val="left"/>
      <w:pPr>
        <w:ind w:left="2138" w:hanging="201"/>
      </w:pPr>
      <w:rPr>
        <w:rFonts w:hint="default"/>
        <w:lang w:val="en-US" w:eastAsia="en-US" w:bidi="ar-SA"/>
      </w:rPr>
    </w:lvl>
    <w:lvl w:ilvl="2">
      <w:start w:val="0"/>
      <w:numFmt w:val="bullet"/>
      <w:lvlText w:val="•"/>
      <w:lvlJc w:val="left"/>
      <w:pPr>
        <w:ind w:left="3056" w:hanging="201"/>
      </w:pPr>
      <w:rPr>
        <w:rFonts w:hint="default"/>
        <w:lang w:val="en-US" w:eastAsia="en-US" w:bidi="ar-SA"/>
      </w:rPr>
    </w:lvl>
    <w:lvl w:ilvl="3">
      <w:start w:val="0"/>
      <w:numFmt w:val="bullet"/>
      <w:lvlText w:val="•"/>
      <w:lvlJc w:val="left"/>
      <w:pPr>
        <w:ind w:left="3974" w:hanging="201"/>
      </w:pPr>
      <w:rPr>
        <w:rFonts w:hint="default"/>
        <w:lang w:val="en-US" w:eastAsia="en-US" w:bidi="ar-SA"/>
      </w:rPr>
    </w:lvl>
    <w:lvl w:ilvl="4">
      <w:start w:val="0"/>
      <w:numFmt w:val="bullet"/>
      <w:lvlText w:val="•"/>
      <w:lvlJc w:val="left"/>
      <w:pPr>
        <w:ind w:left="4892" w:hanging="201"/>
      </w:pPr>
      <w:rPr>
        <w:rFonts w:hint="default"/>
        <w:lang w:val="en-US" w:eastAsia="en-US" w:bidi="ar-SA"/>
      </w:rPr>
    </w:lvl>
    <w:lvl w:ilvl="5">
      <w:start w:val="0"/>
      <w:numFmt w:val="bullet"/>
      <w:lvlText w:val="•"/>
      <w:lvlJc w:val="left"/>
      <w:pPr>
        <w:ind w:left="5810" w:hanging="201"/>
      </w:pPr>
      <w:rPr>
        <w:rFonts w:hint="default"/>
        <w:lang w:val="en-US" w:eastAsia="en-US" w:bidi="ar-SA"/>
      </w:rPr>
    </w:lvl>
    <w:lvl w:ilvl="6">
      <w:start w:val="0"/>
      <w:numFmt w:val="bullet"/>
      <w:lvlText w:val="•"/>
      <w:lvlJc w:val="left"/>
      <w:pPr>
        <w:ind w:left="6728" w:hanging="201"/>
      </w:pPr>
      <w:rPr>
        <w:rFonts w:hint="default"/>
        <w:lang w:val="en-US" w:eastAsia="en-US" w:bidi="ar-SA"/>
      </w:rPr>
    </w:lvl>
    <w:lvl w:ilvl="7">
      <w:start w:val="0"/>
      <w:numFmt w:val="bullet"/>
      <w:lvlText w:val="•"/>
      <w:lvlJc w:val="left"/>
      <w:pPr>
        <w:ind w:left="7646" w:hanging="201"/>
      </w:pPr>
      <w:rPr>
        <w:rFonts w:hint="default"/>
        <w:lang w:val="en-US" w:eastAsia="en-US" w:bidi="ar-SA"/>
      </w:rPr>
    </w:lvl>
    <w:lvl w:ilvl="8">
      <w:start w:val="0"/>
      <w:numFmt w:val="bullet"/>
      <w:lvlText w:val="•"/>
      <w:lvlJc w:val="left"/>
      <w:pPr>
        <w:ind w:left="8564" w:hanging="201"/>
      </w:pPr>
      <w:rPr>
        <w:rFonts w:hint="default"/>
        <w:lang w:val="en-US" w:eastAsia="en-US" w:bidi="ar-SA"/>
      </w:rPr>
    </w:lvl>
  </w:abstractNum>
  <w:abstractNum w:abstractNumId="43">
    <w:multiLevelType w:val="hybridMultilevel"/>
    <w:lvl w:ilvl="0">
      <w:start w:val="4"/>
      <w:numFmt w:val="decimal"/>
      <w:lvlText w:val="%1"/>
      <w:lvlJc w:val="left"/>
      <w:pPr>
        <w:ind w:left="1038" w:hanging="360"/>
        <w:jc w:val="left"/>
      </w:pPr>
      <w:rPr>
        <w:rFonts w:hint="default"/>
        <w:lang w:val="en-US" w:eastAsia="en-US" w:bidi="ar-SA"/>
      </w:rPr>
    </w:lvl>
    <w:lvl w:ilvl="1">
      <w:start w:val="1"/>
      <w:numFmt w:val="decimal"/>
      <w:lvlText w:val="%1.%2"/>
      <w:lvlJc w:val="left"/>
      <w:pPr>
        <w:ind w:left="103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18"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94" w:hanging="720"/>
        <w:jc w:val="right"/>
      </w:pPr>
      <w:rPr>
        <w:rFonts w:hint="default" w:ascii="Times New Roman" w:hAnsi="Times New Roman" w:eastAsia="Times New Roman" w:cs="Times New Roman"/>
        <w:b/>
        <w:bCs/>
        <w:i w:val="0"/>
        <w:iCs w:val="0"/>
        <w:spacing w:val="-1"/>
        <w:w w:val="100"/>
        <w:sz w:val="24"/>
        <w:szCs w:val="24"/>
        <w:lang w:val="en-US" w:eastAsia="en-US" w:bidi="ar-SA"/>
      </w:rPr>
    </w:lvl>
    <w:lvl w:ilvl="4">
      <w:start w:val="0"/>
      <w:numFmt w:val="bullet"/>
      <w:lvlText w:val="•"/>
      <w:lvlJc w:val="left"/>
      <w:pPr>
        <w:ind w:left="2685" w:hanging="720"/>
      </w:pPr>
      <w:rPr>
        <w:rFonts w:hint="default"/>
        <w:lang w:val="en-US" w:eastAsia="en-US" w:bidi="ar-SA"/>
      </w:rPr>
    </w:lvl>
    <w:lvl w:ilvl="5">
      <w:start w:val="0"/>
      <w:numFmt w:val="bullet"/>
      <w:lvlText w:val="•"/>
      <w:lvlJc w:val="left"/>
      <w:pPr>
        <w:ind w:left="3971" w:hanging="720"/>
      </w:pPr>
      <w:rPr>
        <w:rFonts w:hint="default"/>
        <w:lang w:val="en-US" w:eastAsia="en-US" w:bidi="ar-SA"/>
      </w:rPr>
    </w:lvl>
    <w:lvl w:ilvl="6">
      <w:start w:val="0"/>
      <w:numFmt w:val="bullet"/>
      <w:lvlText w:val="•"/>
      <w:lvlJc w:val="left"/>
      <w:pPr>
        <w:ind w:left="5257" w:hanging="720"/>
      </w:pPr>
      <w:rPr>
        <w:rFonts w:hint="default"/>
        <w:lang w:val="en-US" w:eastAsia="en-US" w:bidi="ar-SA"/>
      </w:rPr>
    </w:lvl>
    <w:lvl w:ilvl="7">
      <w:start w:val="0"/>
      <w:numFmt w:val="bullet"/>
      <w:lvlText w:val="•"/>
      <w:lvlJc w:val="left"/>
      <w:pPr>
        <w:ind w:left="6542" w:hanging="720"/>
      </w:pPr>
      <w:rPr>
        <w:rFonts w:hint="default"/>
        <w:lang w:val="en-US" w:eastAsia="en-US" w:bidi="ar-SA"/>
      </w:rPr>
    </w:lvl>
    <w:lvl w:ilvl="8">
      <w:start w:val="0"/>
      <w:numFmt w:val="bullet"/>
      <w:lvlText w:val="•"/>
      <w:lvlJc w:val="left"/>
      <w:pPr>
        <w:ind w:left="7828" w:hanging="720"/>
      </w:pPr>
      <w:rPr>
        <w:rFonts w:hint="default"/>
        <w:lang w:val="en-US" w:eastAsia="en-US" w:bidi="ar-SA"/>
      </w:rPr>
    </w:lvl>
  </w:abstractNum>
  <w:abstractNum w:abstractNumId="42">
    <w:multiLevelType w:val="hybridMultilevel"/>
    <w:lvl w:ilvl="0">
      <w:start w:val="3"/>
      <w:numFmt w:val="decimal"/>
      <w:lvlText w:val="%1"/>
      <w:lvlJc w:val="left"/>
      <w:pPr>
        <w:ind w:left="1038" w:hanging="360"/>
        <w:jc w:val="left"/>
      </w:pPr>
      <w:rPr>
        <w:rFonts w:hint="default"/>
        <w:lang w:val="en-US" w:eastAsia="en-US" w:bidi="ar-SA"/>
      </w:rPr>
    </w:lvl>
    <w:lvl w:ilvl="1">
      <w:start w:val="1"/>
      <w:numFmt w:val="decimal"/>
      <w:lvlText w:val="%1.%2"/>
      <w:lvlJc w:val="left"/>
      <w:pPr>
        <w:ind w:left="1038" w:hanging="360"/>
        <w:jc w:val="left"/>
      </w:pPr>
      <w:rPr>
        <w:rFonts w:hint="default"/>
        <w:spacing w:val="0"/>
        <w:w w:val="100"/>
        <w:lang w:val="en-US" w:eastAsia="en-US" w:bidi="ar-SA"/>
      </w:rPr>
    </w:lvl>
    <w:lvl w:ilvl="2">
      <w:start w:val="1"/>
      <w:numFmt w:val="decimal"/>
      <w:lvlText w:val="%1.%2.%3"/>
      <w:lvlJc w:val="left"/>
      <w:pPr>
        <w:ind w:left="1218"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420" w:hanging="540"/>
      </w:pPr>
      <w:rPr>
        <w:rFonts w:hint="default"/>
        <w:lang w:val="en-US" w:eastAsia="en-US" w:bidi="ar-SA"/>
      </w:rPr>
    </w:lvl>
    <w:lvl w:ilvl="4">
      <w:start w:val="0"/>
      <w:numFmt w:val="bullet"/>
      <w:lvlText w:val="•"/>
      <w:lvlJc w:val="left"/>
      <w:pPr>
        <w:ind w:left="3560" w:hanging="540"/>
      </w:pPr>
      <w:rPr>
        <w:rFonts w:hint="default"/>
        <w:lang w:val="en-US" w:eastAsia="en-US" w:bidi="ar-SA"/>
      </w:rPr>
    </w:lvl>
    <w:lvl w:ilvl="5">
      <w:start w:val="0"/>
      <w:numFmt w:val="bullet"/>
      <w:lvlText w:val="•"/>
      <w:lvlJc w:val="left"/>
      <w:pPr>
        <w:ind w:left="4700" w:hanging="540"/>
      </w:pPr>
      <w:rPr>
        <w:rFonts w:hint="default"/>
        <w:lang w:val="en-US" w:eastAsia="en-US" w:bidi="ar-SA"/>
      </w:rPr>
    </w:lvl>
    <w:lvl w:ilvl="6">
      <w:start w:val="0"/>
      <w:numFmt w:val="bullet"/>
      <w:lvlText w:val="•"/>
      <w:lvlJc w:val="left"/>
      <w:pPr>
        <w:ind w:left="5840" w:hanging="540"/>
      </w:pPr>
      <w:rPr>
        <w:rFonts w:hint="default"/>
        <w:lang w:val="en-US" w:eastAsia="en-US" w:bidi="ar-SA"/>
      </w:rPr>
    </w:lvl>
    <w:lvl w:ilvl="7">
      <w:start w:val="0"/>
      <w:numFmt w:val="bullet"/>
      <w:lvlText w:val="•"/>
      <w:lvlJc w:val="left"/>
      <w:pPr>
        <w:ind w:left="6980" w:hanging="540"/>
      </w:pPr>
      <w:rPr>
        <w:rFonts w:hint="default"/>
        <w:lang w:val="en-US" w:eastAsia="en-US" w:bidi="ar-SA"/>
      </w:rPr>
    </w:lvl>
    <w:lvl w:ilvl="8">
      <w:start w:val="0"/>
      <w:numFmt w:val="bullet"/>
      <w:lvlText w:val="•"/>
      <w:lvlJc w:val="left"/>
      <w:pPr>
        <w:ind w:left="8120" w:hanging="540"/>
      </w:pPr>
      <w:rPr>
        <w:rFonts w:hint="default"/>
        <w:lang w:val="en-US" w:eastAsia="en-US" w:bidi="ar-SA"/>
      </w:rPr>
    </w:lvl>
  </w:abstractNum>
  <w:abstractNum w:abstractNumId="41">
    <w:multiLevelType w:val="hybridMultilevel"/>
    <w:lvl w:ilvl="0">
      <w:start w:val="2"/>
      <w:numFmt w:val="decimal"/>
      <w:lvlText w:val="%1"/>
      <w:lvlJc w:val="left"/>
      <w:pPr>
        <w:ind w:left="1398" w:hanging="720"/>
        <w:jc w:val="left"/>
      </w:pPr>
      <w:rPr>
        <w:rFonts w:hint="default"/>
        <w:lang w:val="en-US" w:eastAsia="en-US" w:bidi="ar-SA"/>
      </w:rPr>
    </w:lvl>
    <w:lvl w:ilvl="1">
      <w:start w:val="15"/>
      <w:numFmt w:val="decimal"/>
      <w:lvlText w:val="%1.%2"/>
      <w:lvlJc w:val="left"/>
      <w:pPr>
        <w:ind w:left="1398" w:hanging="720"/>
        <w:jc w:val="left"/>
      </w:pPr>
      <w:rPr>
        <w:rFonts w:hint="default"/>
        <w:lang w:val="en-US" w:eastAsia="en-US" w:bidi="ar-SA"/>
      </w:rPr>
    </w:lvl>
    <w:lvl w:ilvl="2">
      <w:start w:val="1"/>
      <w:numFmt w:val="decimal"/>
      <w:lvlText w:val="%1.%2.%3"/>
      <w:lvlJc w:val="left"/>
      <w:pPr>
        <w:ind w:left="139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00" w:hanging="720"/>
      </w:pPr>
      <w:rPr>
        <w:rFonts w:hint="default"/>
        <w:lang w:val="en-US" w:eastAsia="en-US" w:bidi="ar-SA"/>
      </w:rPr>
    </w:lvl>
    <w:lvl w:ilvl="4">
      <w:start w:val="0"/>
      <w:numFmt w:val="bullet"/>
      <w:lvlText w:val="•"/>
      <w:lvlJc w:val="left"/>
      <w:pPr>
        <w:ind w:left="5000" w:hanging="720"/>
      </w:pPr>
      <w:rPr>
        <w:rFonts w:hint="default"/>
        <w:lang w:val="en-US" w:eastAsia="en-US" w:bidi="ar-SA"/>
      </w:rPr>
    </w:lvl>
    <w:lvl w:ilvl="5">
      <w:start w:val="0"/>
      <w:numFmt w:val="bullet"/>
      <w:lvlText w:val="•"/>
      <w:lvlJc w:val="left"/>
      <w:pPr>
        <w:ind w:left="5900" w:hanging="720"/>
      </w:pPr>
      <w:rPr>
        <w:rFonts w:hint="default"/>
        <w:lang w:val="en-US" w:eastAsia="en-US" w:bidi="ar-SA"/>
      </w:rPr>
    </w:lvl>
    <w:lvl w:ilvl="6">
      <w:start w:val="0"/>
      <w:numFmt w:val="bullet"/>
      <w:lvlText w:val="•"/>
      <w:lvlJc w:val="left"/>
      <w:pPr>
        <w:ind w:left="6800" w:hanging="720"/>
      </w:pPr>
      <w:rPr>
        <w:rFonts w:hint="default"/>
        <w:lang w:val="en-US" w:eastAsia="en-US" w:bidi="ar-SA"/>
      </w:rPr>
    </w:lvl>
    <w:lvl w:ilvl="7">
      <w:start w:val="0"/>
      <w:numFmt w:val="bullet"/>
      <w:lvlText w:val="•"/>
      <w:lvlJc w:val="left"/>
      <w:pPr>
        <w:ind w:left="7700" w:hanging="720"/>
      </w:pPr>
      <w:rPr>
        <w:rFonts w:hint="default"/>
        <w:lang w:val="en-US" w:eastAsia="en-US" w:bidi="ar-SA"/>
      </w:rPr>
    </w:lvl>
    <w:lvl w:ilvl="8">
      <w:start w:val="0"/>
      <w:numFmt w:val="bullet"/>
      <w:lvlText w:val="•"/>
      <w:lvlJc w:val="left"/>
      <w:pPr>
        <w:ind w:left="8600" w:hanging="720"/>
      </w:pPr>
      <w:rPr>
        <w:rFonts w:hint="default"/>
        <w:lang w:val="en-US" w:eastAsia="en-US" w:bidi="ar-SA"/>
      </w:rPr>
    </w:lvl>
  </w:abstractNum>
  <w:abstractNum w:abstractNumId="40">
    <w:multiLevelType w:val="hybridMultilevel"/>
    <w:lvl w:ilvl="0">
      <w:start w:val="2"/>
      <w:numFmt w:val="decimal"/>
      <w:lvlText w:val="%1"/>
      <w:lvlJc w:val="left"/>
      <w:pPr>
        <w:ind w:left="1338" w:hanging="660"/>
        <w:jc w:val="left"/>
      </w:pPr>
      <w:rPr>
        <w:rFonts w:hint="default"/>
        <w:lang w:val="en-US" w:eastAsia="en-US" w:bidi="ar-SA"/>
      </w:rPr>
    </w:lvl>
    <w:lvl w:ilvl="1">
      <w:start w:val="15"/>
      <w:numFmt w:val="decimal"/>
      <w:lvlText w:val="%1.%2"/>
      <w:lvlJc w:val="left"/>
      <w:pPr>
        <w:ind w:left="1338" w:hanging="660"/>
        <w:jc w:val="left"/>
      </w:pPr>
      <w:rPr>
        <w:rFonts w:hint="default"/>
        <w:lang w:val="en-US" w:eastAsia="en-US" w:bidi="ar-SA"/>
      </w:rPr>
    </w:lvl>
    <w:lvl w:ilvl="2">
      <w:start w:val="1"/>
      <w:numFmt w:val="decimal"/>
      <w:lvlText w:val="%1.%2.%3"/>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58" w:hanging="660"/>
      </w:pPr>
      <w:rPr>
        <w:rFonts w:hint="default"/>
        <w:lang w:val="en-US" w:eastAsia="en-US" w:bidi="ar-SA"/>
      </w:rPr>
    </w:lvl>
    <w:lvl w:ilvl="4">
      <w:start w:val="0"/>
      <w:numFmt w:val="bullet"/>
      <w:lvlText w:val="•"/>
      <w:lvlJc w:val="left"/>
      <w:pPr>
        <w:ind w:left="4964" w:hanging="660"/>
      </w:pPr>
      <w:rPr>
        <w:rFonts w:hint="default"/>
        <w:lang w:val="en-US" w:eastAsia="en-US" w:bidi="ar-SA"/>
      </w:rPr>
    </w:lvl>
    <w:lvl w:ilvl="5">
      <w:start w:val="0"/>
      <w:numFmt w:val="bullet"/>
      <w:lvlText w:val="•"/>
      <w:lvlJc w:val="left"/>
      <w:pPr>
        <w:ind w:left="5870" w:hanging="660"/>
      </w:pPr>
      <w:rPr>
        <w:rFonts w:hint="default"/>
        <w:lang w:val="en-US" w:eastAsia="en-US" w:bidi="ar-SA"/>
      </w:rPr>
    </w:lvl>
    <w:lvl w:ilvl="6">
      <w:start w:val="0"/>
      <w:numFmt w:val="bullet"/>
      <w:lvlText w:val="•"/>
      <w:lvlJc w:val="left"/>
      <w:pPr>
        <w:ind w:left="6776" w:hanging="660"/>
      </w:pPr>
      <w:rPr>
        <w:rFonts w:hint="default"/>
        <w:lang w:val="en-US" w:eastAsia="en-US" w:bidi="ar-SA"/>
      </w:rPr>
    </w:lvl>
    <w:lvl w:ilvl="7">
      <w:start w:val="0"/>
      <w:numFmt w:val="bullet"/>
      <w:lvlText w:val="•"/>
      <w:lvlJc w:val="left"/>
      <w:pPr>
        <w:ind w:left="7682" w:hanging="660"/>
      </w:pPr>
      <w:rPr>
        <w:rFonts w:hint="default"/>
        <w:lang w:val="en-US" w:eastAsia="en-US" w:bidi="ar-SA"/>
      </w:rPr>
    </w:lvl>
    <w:lvl w:ilvl="8">
      <w:start w:val="0"/>
      <w:numFmt w:val="bullet"/>
      <w:lvlText w:val="•"/>
      <w:lvlJc w:val="left"/>
      <w:pPr>
        <w:ind w:left="8588" w:hanging="660"/>
      </w:pPr>
      <w:rPr>
        <w:rFonts w:hint="default"/>
        <w:lang w:val="en-US" w:eastAsia="en-US" w:bidi="ar-SA"/>
      </w:rPr>
    </w:lvl>
  </w:abstractNum>
  <w:abstractNum w:abstractNumId="39">
    <w:multiLevelType w:val="hybridMultilevel"/>
    <w:lvl w:ilvl="0">
      <w:start w:val="2"/>
      <w:numFmt w:val="decimal"/>
      <w:lvlText w:val="%1"/>
      <w:lvlJc w:val="left"/>
      <w:pPr>
        <w:ind w:left="1338" w:hanging="660"/>
        <w:jc w:val="left"/>
      </w:pPr>
      <w:rPr>
        <w:rFonts w:hint="default"/>
        <w:lang w:val="en-US" w:eastAsia="en-US" w:bidi="ar-SA"/>
      </w:rPr>
    </w:lvl>
    <w:lvl w:ilvl="1">
      <w:start w:val="13"/>
      <w:numFmt w:val="decimal"/>
      <w:lvlText w:val="%1.%2"/>
      <w:lvlJc w:val="left"/>
      <w:pPr>
        <w:ind w:left="1338" w:hanging="660"/>
        <w:jc w:val="left"/>
      </w:pPr>
      <w:rPr>
        <w:rFonts w:hint="default"/>
        <w:lang w:val="en-US" w:eastAsia="en-US" w:bidi="ar-SA"/>
      </w:rPr>
    </w:lvl>
    <w:lvl w:ilvl="2">
      <w:start w:val="1"/>
      <w:numFmt w:val="decimal"/>
      <w:lvlText w:val="%1.%2.%3"/>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58" w:hanging="660"/>
      </w:pPr>
      <w:rPr>
        <w:rFonts w:hint="default"/>
        <w:lang w:val="en-US" w:eastAsia="en-US" w:bidi="ar-SA"/>
      </w:rPr>
    </w:lvl>
    <w:lvl w:ilvl="4">
      <w:start w:val="0"/>
      <w:numFmt w:val="bullet"/>
      <w:lvlText w:val="•"/>
      <w:lvlJc w:val="left"/>
      <w:pPr>
        <w:ind w:left="4964" w:hanging="660"/>
      </w:pPr>
      <w:rPr>
        <w:rFonts w:hint="default"/>
        <w:lang w:val="en-US" w:eastAsia="en-US" w:bidi="ar-SA"/>
      </w:rPr>
    </w:lvl>
    <w:lvl w:ilvl="5">
      <w:start w:val="0"/>
      <w:numFmt w:val="bullet"/>
      <w:lvlText w:val="•"/>
      <w:lvlJc w:val="left"/>
      <w:pPr>
        <w:ind w:left="5870" w:hanging="660"/>
      </w:pPr>
      <w:rPr>
        <w:rFonts w:hint="default"/>
        <w:lang w:val="en-US" w:eastAsia="en-US" w:bidi="ar-SA"/>
      </w:rPr>
    </w:lvl>
    <w:lvl w:ilvl="6">
      <w:start w:val="0"/>
      <w:numFmt w:val="bullet"/>
      <w:lvlText w:val="•"/>
      <w:lvlJc w:val="left"/>
      <w:pPr>
        <w:ind w:left="6776" w:hanging="660"/>
      </w:pPr>
      <w:rPr>
        <w:rFonts w:hint="default"/>
        <w:lang w:val="en-US" w:eastAsia="en-US" w:bidi="ar-SA"/>
      </w:rPr>
    </w:lvl>
    <w:lvl w:ilvl="7">
      <w:start w:val="0"/>
      <w:numFmt w:val="bullet"/>
      <w:lvlText w:val="•"/>
      <w:lvlJc w:val="left"/>
      <w:pPr>
        <w:ind w:left="7682" w:hanging="660"/>
      </w:pPr>
      <w:rPr>
        <w:rFonts w:hint="default"/>
        <w:lang w:val="en-US" w:eastAsia="en-US" w:bidi="ar-SA"/>
      </w:rPr>
    </w:lvl>
    <w:lvl w:ilvl="8">
      <w:start w:val="0"/>
      <w:numFmt w:val="bullet"/>
      <w:lvlText w:val="•"/>
      <w:lvlJc w:val="left"/>
      <w:pPr>
        <w:ind w:left="8588" w:hanging="660"/>
      </w:pPr>
      <w:rPr>
        <w:rFonts w:hint="default"/>
        <w:lang w:val="en-US" w:eastAsia="en-US" w:bidi="ar-SA"/>
      </w:rPr>
    </w:lvl>
  </w:abstractNum>
  <w:abstractNum w:abstractNumId="38">
    <w:multiLevelType w:val="hybridMultilevel"/>
    <w:lvl w:ilvl="0">
      <w:start w:val="2"/>
      <w:numFmt w:val="decimal"/>
      <w:lvlText w:val="%1"/>
      <w:lvlJc w:val="left"/>
      <w:pPr>
        <w:ind w:left="1338" w:hanging="660"/>
        <w:jc w:val="left"/>
      </w:pPr>
      <w:rPr>
        <w:rFonts w:hint="default"/>
        <w:lang w:val="en-US" w:eastAsia="en-US" w:bidi="ar-SA"/>
      </w:rPr>
    </w:lvl>
    <w:lvl w:ilvl="1">
      <w:start w:val="13"/>
      <w:numFmt w:val="decimal"/>
      <w:lvlText w:val="%1.%2"/>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671" w:hanging="905"/>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decimal"/>
      <w:lvlText w:val="%1.%2.%3.%4.%5"/>
      <w:lvlJc w:val="left"/>
      <w:pPr>
        <w:ind w:left="1698" w:hanging="1020"/>
        <w:jc w:val="left"/>
      </w:pPr>
      <w:rPr>
        <w:rFonts w:hint="default" w:ascii="Times New Roman" w:hAnsi="Times New Roman" w:eastAsia="Times New Roman" w:cs="Times New Roman"/>
        <w:b/>
        <w:bCs/>
        <w:i w:val="0"/>
        <w:iCs w:val="0"/>
        <w:spacing w:val="0"/>
        <w:w w:val="100"/>
        <w:sz w:val="24"/>
        <w:szCs w:val="24"/>
        <w:lang w:val="en-US" w:eastAsia="en-US" w:bidi="ar-SA"/>
      </w:rPr>
    </w:lvl>
    <w:lvl w:ilvl="5">
      <w:start w:val="0"/>
      <w:numFmt w:val="bullet"/>
      <w:lvlText w:val="•"/>
      <w:lvlJc w:val="left"/>
      <w:pPr>
        <w:ind w:left="4962" w:hanging="1020"/>
      </w:pPr>
      <w:rPr>
        <w:rFonts w:hint="default"/>
        <w:lang w:val="en-US" w:eastAsia="en-US" w:bidi="ar-SA"/>
      </w:rPr>
    </w:lvl>
    <w:lvl w:ilvl="6">
      <w:start w:val="0"/>
      <w:numFmt w:val="bullet"/>
      <w:lvlText w:val="•"/>
      <w:lvlJc w:val="left"/>
      <w:pPr>
        <w:ind w:left="6050" w:hanging="1020"/>
      </w:pPr>
      <w:rPr>
        <w:rFonts w:hint="default"/>
        <w:lang w:val="en-US" w:eastAsia="en-US" w:bidi="ar-SA"/>
      </w:rPr>
    </w:lvl>
    <w:lvl w:ilvl="7">
      <w:start w:val="0"/>
      <w:numFmt w:val="bullet"/>
      <w:lvlText w:val="•"/>
      <w:lvlJc w:val="left"/>
      <w:pPr>
        <w:ind w:left="7137" w:hanging="1020"/>
      </w:pPr>
      <w:rPr>
        <w:rFonts w:hint="default"/>
        <w:lang w:val="en-US" w:eastAsia="en-US" w:bidi="ar-SA"/>
      </w:rPr>
    </w:lvl>
    <w:lvl w:ilvl="8">
      <w:start w:val="0"/>
      <w:numFmt w:val="bullet"/>
      <w:lvlText w:val="•"/>
      <w:lvlJc w:val="left"/>
      <w:pPr>
        <w:ind w:left="8225" w:hanging="1020"/>
      </w:pPr>
      <w:rPr>
        <w:rFonts w:hint="default"/>
        <w:lang w:val="en-US" w:eastAsia="en-US" w:bidi="ar-SA"/>
      </w:rPr>
    </w:lvl>
  </w:abstractNum>
  <w:abstractNum w:abstractNumId="37">
    <w:multiLevelType w:val="hybridMultilevel"/>
    <w:lvl w:ilvl="0">
      <w:start w:val="2"/>
      <w:numFmt w:val="decimal"/>
      <w:lvlText w:val="%1"/>
      <w:lvlJc w:val="left"/>
      <w:pPr>
        <w:ind w:left="1338" w:hanging="660"/>
        <w:jc w:val="left"/>
      </w:pPr>
      <w:rPr>
        <w:rFonts w:hint="default"/>
        <w:lang w:val="en-US" w:eastAsia="en-US" w:bidi="ar-SA"/>
      </w:rPr>
    </w:lvl>
    <w:lvl w:ilvl="1">
      <w:start w:val="12"/>
      <w:numFmt w:val="decimal"/>
      <w:lvlText w:val="%1.%2"/>
      <w:lvlJc w:val="left"/>
      <w:pPr>
        <w:ind w:left="1338" w:hanging="660"/>
        <w:jc w:val="left"/>
      </w:pPr>
      <w:rPr>
        <w:rFonts w:hint="default"/>
        <w:lang w:val="en-US" w:eastAsia="en-US" w:bidi="ar-SA"/>
      </w:rPr>
    </w:lvl>
    <w:lvl w:ilvl="2">
      <w:start w:val="1"/>
      <w:numFmt w:val="decimal"/>
      <w:lvlText w:val="%1.%2.%3"/>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58" w:hanging="660"/>
      </w:pPr>
      <w:rPr>
        <w:rFonts w:hint="default"/>
        <w:lang w:val="en-US" w:eastAsia="en-US" w:bidi="ar-SA"/>
      </w:rPr>
    </w:lvl>
    <w:lvl w:ilvl="4">
      <w:start w:val="0"/>
      <w:numFmt w:val="bullet"/>
      <w:lvlText w:val="•"/>
      <w:lvlJc w:val="left"/>
      <w:pPr>
        <w:ind w:left="4964" w:hanging="660"/>
      </w:pPr>
      <w:rPr>
        <w:rFonts w:hint="default"/>
        <w:lang w:val="en-US" w:eastAsia="en-US" w:bidi="ar-SA"/>
      </w:rPr>
    </w:lvl>
    <w:lvl w:ilvl="5">
      <w:start w:val="0"/>
      <w:numFmt w:val="bullet"/>
      <w:lvlText w:val="•"/>
      <w:lvlJc w:val="left"/>
      <w:pPr>
        <w:ind w:left="5870" w:hanging="660"/>
      </w:pPr>
      <w:rPr>
        <w:rFonts w:hint="default"/>
        <w:lang w:val="en-US" w:eastAsia="en-US" w:bidi="ar-SA"/>
      </w:rPr>
    </w:lvl>
    <w:lvl w:ilvl="6">
      <w:start w:val="0"/>
      <w:numFmt w:val="bullet"/>
      <w:lvlText w:val="•"/>
      <w:lvlJc w:val="left"/>
      <w:pPr>
        <w:ind w:left="6776" w:hanging="660"/>
      </w:pPr>
      <w:rPr>
        <w:rFonts w:hint="default"/>
        <w:lang w:val="en-US" w:eastAsia="en-US" w:bidi="ar-SA"/>
      </w:rPr>
    </w:lvl>
    <w:lvl w:ilvl="7">
      <w:start w:val="0"/>
      <w:numFmt w:val="bullet"/>
      <w:lvlText w:val="•"/>
      <w:lvlJc w:val="left"/>
      <w:pPr>
        <w:ind w:left="7682" w:hanging="660"/>
      </w:pPr>
      <w:rPr>
        <w:rFonts w:hint="default"/>
        <w:lang w:val="en-US" w:eastAsia="en-US" w:bidi="ar-SA"/>
      </w:rPr>
    </w:lvl>
    <w:lvl w:ilvl="8">
      <w:start w:val="0"/>
      <w:numFmt w:val="bullet"/>
      <w:lvlText w:val="•"/>
      <w:lvlJc w:val="left"/>
      <w:pPr>
        <w:ind w:left="8588" w:hanging="660"/>
      </w:pPr>
      <w:rPr>
        <w:rFonts w:hint="default"/>
        <w:lang w:val="en-US" w:eastAsia="en-US" w:bidi="ar-SA"/>
      </w:rPr>
    </w:lvl>
  </w:abstractNum>
  <w:abstractNum w:abstractNumId="34">
    <w:multiLevelType w:val="hybridMultilevel"/>
    <w:lvl w:ilvl="0">
      <w:start w:val="1"/>
      <w:numFmt w:val="lowerLetter"/>
      <w:lvlText w:val="%1)"/>
      <w:lvlJc w:val="left"/>
      <w:pPr>
        <w:ind w:left="2663" w:hanging="48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434" w:hanging="486"/>
      </w:pPr>
      <w:rPr>
        <w:rFonts w:hint="default"/>
        <w:lang w:val="en-US" w:eastAsia="en-US" w:bidi="ar-SA"/>
      </w:rPr>
    </w:lvl>
    <w:lvl w:ilvl="2">
      <w:start w:val="0"/>
      <w:numFmt w:val="bullet"/>
      <w:lvlText w:val="•"/>
      <w:lvlJc w:val="left"/>
      <w:pPr>
        <w:ind w:left="4208" w:hanging="486"/>
      </w:pPr>
      <w:rPr>
        <w:rFonts w:hint="default"/>
        <w:lang w:val="en-US" w:eastAsia="en-US" w:bidi="ar-SA"/>
      </w:rPr>
    </w:lvl>
    <w:lvl w:ilvl="3">
      <w:start w:val="0"/>
      <w:numFmt w:val="bullet"/>
      <w:lvlText w:val="•"/>
      <w:lvlJc w:val="left"/>
      <w:pPr>
        <w:ind w:left="4982" w:hanging="486"/>
      </w:pPr>
      <w:rPr>
        <w:rFonts w:hint="default"/>
        <w:lang w:val="en-US" w:eastAsia="en-US" w:bidi="ar-SA"/>
      </w:rPr>
    </w:lvl>
    <w:lvl w:ilvl="4">
      <w:start w:val="0"/>
      <w:numFmt w:val="bullet"/>
      <w:lvlText w:val="•"/>
      <w:lvlJc w:val="left"/>
      <w:pPr>
        <w:ind w:left="5756" w:hanging="486"/>
      </w:pPr>
      <w:rPr>
        <w:rFonts w:hint="default"/>
        <w:lang w:val="en-US" w:eastAsia="en-US" w:bidi="ar-SA"/>
      </w:rPr>
    </w:lvl>
    <w:lvl w:ilvl="5">
      <w:start w:val="0"/>
      <w:numFmt w:val="bullet"/>
      <w:lvlText w:val="•"/>
      <w:lvlJc w:val="left"/>
      <w:pPr>
        <w:ind w:left="6530" w:hanging="486"/>
      </w:pPr>
      <w:rPr>
        <w:rFonts w:hint="default"/>
        <w:lang w:val="en-US" w:eastAsia="en-US" w:bidi="ar-SA"/>
      </w:rPr>
    </w:lvl>
    <w:lvl w:ilvl="6">
      <w:start w:val="0"/>
      <w:numFmt w:val="bullet"/>
      <w:lvlText w:val="•"/>
      <w:lvlJc w:val="left"/>
      <w:pPr>
        <w:ind w:left="7304" w:hanging="486"/>
      </w:pPr>
      <w:rPr>
        <w:rFonts w:hint="default"/>
        <w:lang w:val="en-US" w:eastAsia="en-US" w:bidi="ar-SA"/>
      </w:rPr>
    </w:lvl>
    <w:lvl w:ilvl="7">
      <w:start w:val="0"/>
      <w:numFmt w:val="bullet"/>
      <w:lvlText w:val="•"/>
      <w:lvlJc w:val="left"/>
      <w:pPr>
        <w:ind w:left="8078" w:hanging="486"/>
      </w:pPr>
      <w:rPr>
        <w:rFonts w:hint="default"/>
        <w:lang w:val="en-US" w:eastAsia="en-US" w:bidi="ar-SA"/>
      </w:rPr>
    </w:lvl>
    <w:lvl w:ilvl="8">
      <w:start w:val="0"/>
      <w:numFmt w:val="bullet"/>
      <w:lvlText w:val="•"/>
      <w:lvlJc w:val="left"/>
      <w:pPr>
        <w:ind w:left="8852" w:hanging="486"/>
      </w:pPr>
      <w:rPr>
        <w:rFonts w:hint="default"/>
        <w:lang w:val="en-US" w:eastAsia="en-US" w:bidi="ar-SA"/>
      </w:rPr>
    </w:lvl>
  </w:abstractNum>
  <w:abstractNum w:abstractNumId="36">
    <w:multiLevelType w:val="hybridMultilevel"/>
    <w:lvl w:ilvl="0">
      <w:start w:val="1"/>
      <w:numFmt w:val="lowerLetter"/>
      <w:lvlText w:val="(%1)"/>
      <w:lvlJc w:val="left"/>
      <w:pPr>
        <w:ind w:left="1287" w:hanging="327"/>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192" w:hanging="327"/>
      </w:pPr>
      <w:rPr>
        <w:rFonts w:hint="default"/>
        <w:lang w:val="en-US" w:eastAsia="en-US" w:bidi="ar-SA"/>
      </w:rPr>
    </w:lvl>
    <w:lvl w:ilvl="2">
      <w:start w:val="0"/>
      <w:numFmt w:val="bullet"/>
      <w:lvlText w:val="•"/>
      <w:lvlJc w:val="left"/>
      <w:pPr>
        <w:ind w:left="3104" w:hanging="327"/>
      </w:pPr>
      <w:rPr>
        <w:rFonts w:hint="default"/>
        <w:lang w:val="en-US" w:eastAsia="en-US" w:bidi="ar-SA"/>
      </w:rPr>
    </w:lvl>
    <w:lvl w:ilvl="3">
      <w:start w:val="0"/>
      <w:numFmt w:val="bullet"/>
      <w:lvlText w:val="•"/>
      <w:lvlJc w:val="left"/>
      <w:pPr>
        <w:ind w:left="4016" w:hanging="327"/>
      </w:pPr>
      <w:rPr>
        <w:rFonts w:hint="default"/>
        <w:lang w:val="en-US" w:eastAsia="en-US" w:bidi="ar-SA"/>
      </w:rPr>
    </w:lvl>
    <w:lvl w:ilvl="4">
      <w:start w:val="0"/>
      <w:numFmt w:val="bullet"/>
      <w:lvlText w:val="•"/>
      <w:lvlJc w:val="left"/>
      <w:pPr>
        <w:ind w:left="4928" w:hanging="327"/>
      </w:pPr>
      <w:rPr>
        <w:rFonts w:hint="default"/>
        <w:lang w:val="en-US" w:eastAsia="en-US" w:bidi="ar-SA"/>
      </w:rPr>
    </w:lvl>
    <w:lvl w:ilvl="5">
      <w:start w:val="0"/>
      <w:numFmt w:val="bullet"/>
      <w:lvlText w:val="•"/>
      <w:lvlJc w:val="left"/>
      <w:pPr>
        <w:ind w:left="5840" w:hanging="327"/>
      </w:pPr>
      <w:rPr>
        <w:rFonts w:hint="default"/>
        <w:lang w:val="en-US" w:eastAsia="en-US" w:bidi="ar-SA"/>
      </w:rPr>
    </w:lvl>
    <w:lvl w:ilvl="6">
      <w:start w:val="0"/>
      <w:numFmt w:val="bullet"/>
      <w:lvlText w:val="•"/>
      <w:lvlJc w:val="left"/>
      <w:pPr>
        <w:ind w:left="6752" w:hanging="327"/>
      </w:pPr>
      <w:rPr>
        <w:rFonts w:hint="default"/>
        <w:lang w:val="en-US" w:eastAsia="en-US" w:bidi="ar-SA"/>
      </w:rPr>
    </w:lvl>
    <w:lvl w:ilvl="7">
      <w:start w:val="0"/>
      <w:numFmt w:val="bullet"/>
      <w:lvlText w:val="•"/>
      <w:lvlJc w:val="left"/>
      <w:pPr>
        <w:ind w:left="7664" w:hanging="327"/>
      </w:pPr>
      <w:rPr>
        <w:rFonts w:hint="default"/>
        <w:lang w:val="en-US" w:eastAsia="en-US" w:bidi="ar-SA"/>
      </w:rPr>
    </w:lvl>
    <w:lvl w:ilvl="8">
      <w:start w:val="0"/>
      <w:numFmt w:val="bullet"/>
      <w:lvlText w:val="•"/>
      <w:lvlJc w:val="left"/>
      <w:pPr>
        <w:ind w:left="8576" w:hanging="327"/>
      </w:pPr>
      <w:rPr>
        <w:rFonts w:hint="default"/>
        <w:lang w:val="en-US" w:eastAsia="en-US" w:bidi="ar-SA"/>
      </w:rPr>
    </w:lvl>
  </w:abstractNum>
  <w:abstractNum w:abstractNumId="35">
    <w:multiLevelType w:val="hybridMultilevel"/>
    <w:lvl w:ilvl="0">
      <w:start w:val="1"/>
      <w:numFmt w:val="lowerLetter"/>
      <w:lvlText w:val="(%1)"/>
      <w:lvlJc w:val="left"/>
      <w:pPr>
        <w:ind w:left="1287" w:hanging="327"/>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192" w:hanging="327"/>
      </w:pPr>
      <w:rPr>
        <w:rFonts w:hint="default"/>
        <w:lang w:val="en-US" w:eastAsia="en-US" w:bidi="ar-SA"/>
      </w:rPr>
    </w:lvl>
    <w:lvl w:ilvl="2">
      <w:start w:val="0"/>
      <w:numFmt w:val="bullet"/>
      <w:lvlText w:val="•"/>
      <w:lvlJc w:val="left"/>
      <w:pPr>
        <w:ind w:left="3104" w:hanging="327"/>
      </w:pPr>
      <w:rPr>
        <w:rFonts w:hint="default"/>
        <w:lang w:val="en-US" w:eastAsia="en-US" w:bidi="ar-SA"/>
      </w:rPr>
    </w:lvl>
    <w:lvl w:ilvl="3">
      <w:start w:val="0"/>
      <w:numFmt w:val="bullet"/>
      <w:lvlText w:val="•"/>
      <w:lvlJc w:val="left"/>
      <w:pPr>
        <w:ind w:left="4016" w:hanging="327"/>
      </w:pPr>
      <w:rPr>
        <w:rFonts w:hint="default"/>
        <w:lang w:val="en-US" w:eastAsia="en-US" w:bidi="ar-SA"/>
      </w:rPr>
    </w:lvl>
    <w:lvl w:ilvl="4">
      <w:start w:val="0"/>
      <w:numFmt w:val="bullet"/>
      <w:lvlText w:val="•"/>
      <w:lvlJc w:val="left"/>
      <w:pPr>
        <w:ind w:left="4928" w:hanging="327"/>
      </w:pPr>
      <w:rPr>
        <w:rFonts w:hint="default"/>
        <w:lang w:val="en-US" w:eastAsia="en-US" w:bidi="ar-SA"/>
      </w:rPr>
    </w:lvl>
    <w:lvl w:ilvl="5">
      <w:start w:val="0"/>
      <w:numFmt w:val="bullet"/>
      <w:lvlText w:val="•"/>
      <w:lvlJc w:val="left"/>
      <w:pPr>
        <w:ind w:left="5840" w:hanging="327"/>
      </w:pPr>
      <w:rPr>
        <w:rFonts w:hint="default"/>
        <w:lang w:val="en-US" w:eastAsia="en-US" w:bidi="ar-SA"/>
      </w:rPr>
    </w:lvl>
    <w:lvl w:ilvl="6">
      <w:start w:val="0"/>
      <w:numFmt w:val="bullet"/>
      <w:lvlText w:val="•"/>
      <w:lvlJc w:val="left"/>
      <w:pPr>
        <w:ind w:left="6752" w:hanging="327"/>
      </w:pPr>
      <w:rPr>
        <w:rFonts w:hint="default"/>
        <w:lang w:val="en-US" w:eastAsia="en-US" w:bidi="ar-SA"/>
      </w:rPr>
    </w:lvl>
    <w:lvl w:ilvl="7">
      <w:start w:val="0"/>
      <w:numFmt w:val="bullet"/>
      <w:lvlText w:val="•"/>
      <w:lvlJc w:val="left"/>
      <w:pPr>
        <w:ind w:left="7664" w:hanging="327"/>
      </w:pPr>
      <w:rPr>
        <w:rFonts w:hint="default"/>
        <w:lang w:val="en-US" w:eastAsia="en-US" w:bidi="ar-SA"/>
      </w:rPr>
    </w:lvl>
    <w:lvl w:ilvl="8">
      <w:start w:val="0"/>
      <w:numFmt w:val="bullet"/>
      <w:lvlText w:val="•"/>
      <w:lvlJc w:val="left"/>
      <w:pPr>
        <w:ind w:left="8576" w:hanging="327"/>
      </w:pPr>
      <w:rPr>
        <w:rFonts w:hint="default"/>
        <w:lang w:val="en-US" w:eastAsia="en-US" w:bidi="ar-SA"/>
      </w:rPr>
    </w:lvl>
  </w:abstractNum>
  <w:abstractNum w:abstractNumId="33">
    <w:multiLevelType w:val="hybridMultilevel"/>
    <w:lvl w:ilvl="0">
      <w:start w:val="2"/>
      <w:numFmt w:val="decimal"/>
      <w:lvlText w:val="%1"/>
      <w:lvlJc w:val="left"/>
      <w:pPr>
        <w:ind w:left="1338" w:hanging="660"/>
        <w:jc w:val="left"/>
      </w:pPr>
      <w:rPr>
        <w:rFonts w:hint="default"/>
        <w:lang w:val="en-US" w:eastAsia="en-US" w:bidi="ar-SA"/>
      </w:rPr>
    </w:lvl>
    <w:lvl w:ilvl="1">
      <w:start w:val="1"/>
      <w:numFmt w:val="decimal"/>
      <w:lvlText w:val="%1.%2"/>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18"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518"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2788" w:hanging="840"/>
      </w:pPr>
      <w:rPr>
        <w:rFonts w:hint="default"/>
        <w:lang w:val="en-US" w:eastAsia="en-US" w:bidi="ar-SA"/>
      </w:rPr>
    </w:lvl>
    <w:lvl w:ilvl="5">
      <w:start w:val="0"/>
      <w:numFmt w:val="bullet"/>
      <w:lvlText w:val="•"/>
      <w:lvlJc w:val="left"/>
      <w:pPr>
        <w:ind w:left="4057" w:hanging="840"/>
      </w:pPr>
      <w:rPr>
        <w:rFonts w:hint="default"/>
        <w:lang w:val="en-US" w:eastAsia="en-US" w:bidi="ar-SA"/>
      </w:rPr>
    </w:lvl>
    <w:lvl w:ilvl="6">
      <w:start w:val="0"/>
      <w:numFmt w:val="bullet"/>
      <w:lvlText w:val="•"/>
      <w:lvlJc w:val="left"/>
      <w:pPr>
        <w:ind w:left="5325" w:hanging="840"/>
      </w:pPr>
      <w:rPr>
        <w:rFonts w:hint="default"/>
        <w:lang w:val="en-US" w:eastAsia="en-US" w:bidi="ar-SA"/>
      </w:rPr>
    </w:lvl>
    <w:lvl w:ilvl="7">
      <w:start w:val="0"/>
      <w:numFmt w:val="bullet"/>
      <w:lvlText w:val="•"/>
      <w:lvlJc w:val="left"/>
      <w:pPr>
        <w:ind w:left="6594" w:hanging="840"/>
      </w:pPr>
      <w:rPr>
        <w:rFonts w:hint="default"/>
        <w:lang w:val="en-US" w:eastAsia="en-US" w:bidi="ar-SA"/>
      </w:rPr>
    </w:lvl>
    <w:lvl w:ilvl="8">
      <w:start w:val="0"/>
      <w:numFmt w:val="bullet"/>
      <w:lvlText w:val="•"/>
      <w:lvlJc w:val="left"/>
      <w:pPr>
        <w:ind w:left="7862" w:hanging="840"/>
      </w:pPr>
      <w:rPr>
        <w:rFonts w:hint="default"/>
        <w:lang w:val="en-US" w:eastAsia="en-US" w:bidi="ar-SA"/>
      </w:rPr>
    </w:lvl>
  </w:abstractNum>
  <w:abstractNum w:abstractNumId="32">
    <w:multiLevelType w:val="hybridMultilevel"/>
    <w:lvl w:ilvl="0">
      <w:start w:val="1"/>
      <w:numFmt w:val="decimal"/>
      <w:lvlText w:val="%1."/>
      <w:lvlJc w:val="left"/>
      <w:pPr>
        <w:ind w:left="1669"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34" w:hanging="245"/>
      </w:pPr>
      <w:rPr>
        <w:rFonts w:hint="default"/>
        <w:lang w:val="en-US" w:eastAsia="en-US" w:bidi="ar-SA"/>
      </w:rPr>
    </w:lvl>
    <w:lvl w:ilvl="2">
      <w:start w:val="0"/>
      <w:numFmt w:val="bullet"/>
      <w:lvlText w:val="•"/>
      <w:lvlJc w:val="left"/>
      <w:pPr>
        <w:ind w:left="3408" w:hanging="245"/>
      </w:pPr>
      <w:rPr>
        <w:rFonts w:hint="default"/>
        <w:lang w:val="en-US" w:eastAsia="en-US" w:bidi="ar-SA"/>
      </w:rPr>
    </w:lvl>
    <w:lvl w:ilvl="3">
      <w:start w:val="0"/>
      <w:numFmt w:val="bullet"/>
      <w:lvlText w:val="•"/>
      <w:lvlJc w:val="left"/>
      <w:pPr>
        <w:ind w:left="4282" w:hanging="245"/>
      </w:pPr>
      <w:rPr>
        <w:rFonts w:hint="default"/>
        <w:lang w:val="en-US" w:eastAsia="en-US" w:bidi="ar-SA"/>
      </w:rPr>
    </w:lvl>
    <w:lvl w:ilvl="4">
      <w:start w:val="0"/>
      <w:numFmt w:val="bullet"/>
      <w:lvlText w:val="•"/>
      <w:lvlJc w:val="left"/>
      <w:pPr>
        <w:ind w:left="5156" w:hanging="245"/>
      </w:pPr>
      <w:rPr>
        <w:rFonts w:hint="default"/>
        <w:lang w:val="en-US" w:eastAsia="en-US" w:bidi="ar-SA"/>
      </w:rPr>
    </w:lvl>
    <w:lvl w:ilvl="5">
      <w:start w:val="0"/>
      <w:numFmt w:val="bullet"/>
      <w:lvlText w:val="•"/>
      <w:lvlJc w:val="left"/>
      <w:pPr>
        <w:ind w:left="6030" w:hanging="245"/>
      </w:pPr>
      <w:rPr>
        <w:rFonts w:hint="default"/>
        <w:lang w:val="en-US" w:eastAsia="en-US" w:bidi="ar-SA"/>
      </w:rPr>
    </w:lvl>
    <w:lvl w:ilvl="6">
      <w:start w:val="0"/>
      <w:numFmt w:val="bullet"/>
      <w:lvlText w:val="•"/>
      <w:lvlJc w:val="left"/>
      <w:pPr>
        <w:ind w:left="6904" w:hanging="245"/>
      </w:pPr>
      <w:rPr>
        <w:rFonts w:hint="default"/>
        <w:lang w:val="en-US" w:eastAsia="en-US" w:bidi="ar-SA"/>
      </w:rPr>
    </w:lvl>
    <w:lvl w:ilvl="7">
      <w:start w:val="0"/>
      <w:numFmt w:val="bullet"/>
      <w:lvlText w:val="•"/>
      <w:lvlJc w:val="left"/>
      <w:pPr>
        <w:ind w:left="7778" w:hanging="245"/>
      </w:pPr>
      <w:rPr>
        <w:rFonts w:hint="default"/>
        <w:lang w:val="en-US" w:eastAsia="en-US" w:bidi="ar-SA"/>
      </w:rPr>
    </w:lvl>
    <w:lvl w:ilvl="8">
      <w:start w:val="0"/>
      <w:numFmt w:val="bullet"/>
      <w:lvlText w:val="•"/>
      <w:lvlJc w:val="left"/>
      <w:pPr>
        <w:ind w:left="8652" w:hanging="245"/>
      </w:pPr>
      <w:rPr>
        <w:rFonts w:hint="default"/>
        <w:lang w:val="en-US" w:eastAsia="en-US" w:bidi="ar-SA"/>
      </w:rPr>
    </w:lvl>
  </w:abstractNum>
  <w:abstractNum w:abstractNumId="31">
    <w:multiLevelType w:val="hybridMultilevel"/>
    <w:lvl w:ilvl="0">
      <w:start w:val="1"/>
      <w:numFmt w:val="decimal"/>
      <w:lvlText w:val="%1"/>
      <w:lvlJc w:val="left"/>
      <w:pPr>
        <w:ind w:left="1338" w:hanging="660"/>
        <w:jc w:val="left"/>
      </w:pPr>
      <w:rPr>
        <w:rFonts w:hint="default"/>
        <w:lang w:val="en-US" w:eastAsia="en-US" w:bidi="ar-SA"/>
      </w:rPr>
    </w:lvl>
    <w:lvl w:ilvl="1">
      <w:start w:val="10"/>
      <w:numFmt w:val="decimal"/>
      <w:lvlText w:val="%1.%2"/>
      <w:lvlJc w:val="left"/>
      <w:pPr>
        <w:ind w:left="1338" w:hanging="660"/>
        <w:jc w:val="left"/>
      </w:pPr>
      <w:rPr>
        <w:rFonts w:hint="default"/>
        <w:lang w:val="en-US" w:eastAsia="en-US" w:bidi="ar-SA"/>
      </w:rPr>
    </w:lvl>
    <w:lvl w:ilvl="2">
      <w:start w:val="7"/>
      <w:numFmt w:val="decimal"/>
      <w:lvlText w:val="%1.%2.%3"/>
      <w:lvlJc w:val="left"/>
      <w:pPr>
        <w:ind w:left="1338"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518"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480" w:hanging="840"/>
      </w:pPr>
      <w:rPr>
        <w:rFonts w:hint="default"/>
        <w:lang w:val="en-US" w:eastAsia="en-US" w:bidi="ar-SA"/>
      </w:rPr>
    </w:lvl>
    <w:lvl w:ilvl="5">
      <w:start w:val="0"/>
      <w:numFmt w:val="bullet"/>
      <w:lvlText w:val="•"/>
      <w:lvlJc w:val="left"/>
      <w:pPr>
        <w:ind w:left="5466" w:hanging="840"/>
      </w:pPr>
      <w:rPr>
        <w:rFonts w:hint="default"/>
        <w:lang w:val="en-US" w:eastAsia="en-US" w:bidi="ar-SA"/>
      </w:rPr>
    </w:lvl>
    <w:lvl w:ilvl="6">
      <w:start w:val="0"/>
      <w:numFmt w:val="bullet"/>
      <w:lvlText w:val="•"/>
      <w:lvlJc w:val="left"/>
      <w:pPr>
        <w:ind w:left="6453" w:hanging="840"/>
      </w:pPr>
      <w:rPr>
        <w:rFonts w:hint="default"/>
        <w:lang w:val="en-US" w:eastAsia="en-US" w:bidi="ar-SA"/>
      </w:rPr>
    </w:lvl>
    <w:lvl w:ilvl="7">
      <w:start w:val="0"/>
      <w:numFmt w:val="bullet"/>
      <w:lvlText w:val="•"/>
      <w:lvlJc w:val="left"/>
      <w:pPr>
        <w:ind w:left="7440" w:hanging="840"/>
      </w:pPr>
      <w:rPr>
        <w:rFonts w:hint="default"/>
        <w:lang w:val="en-US" w:eastAsia="en-US" w:bidi="ar-SA"/>
      </w:rPr>
    </w:lvl>
    <w:lvl w:ilvl="8">
      <w:start w:val="0"/>
      <w:numFmt w:val="bullet"/>
      <w:lvlText w:val="•"/>
      <w:lvlJc w:val="left"/>
      <w:pPr>
        <w:ind w:left="8426" w:hanging="840"/>
      </w:pPr>
      <w:rPr>
        <w:rFonts w:hint="default"/>
        <w:lang w:val="en-US" w:eastAsia="en-US" w:bidi="ar-SA"/>
      </w:rPr>
    </w:lvl>
  </w:abstractNum>
  <w:abstractNum w:abstractNumId="30">
    <w:multiLevelType w:val="hybridMultilevel"/>
    <w:lvl w:ilvl="0">
      <w:start w:val="1"/>
      <w:numFmt w:val="decimal"/>
      <w:lvlText w:val="%1"/>
      <w:lvlJc w:val="left"/>
      <w:pPr>
        <w:ind w:left="1518" w:hanging="840"/>
        <w:jc w:val="left"/>
      </w:pPr>
      <w:rPr>
        <w:rFonts w:hint="default"/>
        <w:lang w:val="en-US" w:eastAsia="en-US" w:bidi="ar-SA"/>
      </w:rPr>
    </w:lvl>
    <w:lvl w:ilvl="1">
      <w:start w:val="10"/>
      <w:numFmt w:val="decimal"/>
      <w:lvlText w:val="%1.%2"/>
      <w:lvlJc w:val="left"/>
      <w:pPr>
        <w:ind w:left="1518" w:hanging="840"/>
        <w:jc w:val="left"/>
      </w:pPr>
      <w:rPr>
        <w:rFonts w:hint="default"/>
        <w:lang w:val="en-US" w:eastAsia="en-US" w:bidi="ar-SA"/>
      </w:rPr>
    </w:lvl>
    <w:lvl w:ilvl="2">
      <w:start w:val="6"/>
      <w:numFmt w:val="decimal"/>
      <w:lvlText w:val="%1.%2.%3"/>
      <w:lvlJc w:val="left"/>
      <w:pPr>
        <w:ind w:left="1518" w:hanging="840"/>
        <w:jc w:val="left"/>
      </w:pPr>
      <w:rPr>
        <w:rFonts w:hint="default"/>
        <w:lang w:val="en-US" w:eastAsia="en-US" w:bidi="ar-SA"/>
      </w:rPr>
    </w:lvl>
    <w:lvl w:ilvl="3">
      <w:start w:val="1"/>
      <w:numFmt w:val="decimal"/>
      <w:lvlText w:val="%1.%2.%3.%4"/>
      <w:lvlJc w:val="left"/>
      <w:pPr>
        <w:ind w:left="1518"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072" w:hanging="840"/>
      </w:pPr>
      <w:rPr>
        <w:rFonts w:hint="default"/>
        <w:lang w:val="en-US" w:eastAsia="en-US" w:bidi="ar-SA"/>
      </w:rPr>
    </w:lvl>
    <w:lvl w:ilvl="5">
      <w:start w:val="0"/>
      <w:numFmt w:val="bullet"/>
      <w:lvlText w:val="•"/>
      <w:lvlJc w:val="left"/>
      <w:pPr>
        <w:ind w:left="5960" w:hanging="840"/>
      </w:pPr>
      <w:rPr>
        <w:rFonts w:hint="default"/>
        <w:lang w:val="en-US" w:eastAsia="en-US" w:bidi="ar-SA"/>
      </w:rPr>
    </w:lvl>
    <w:lvl w:ilvl="6">
      <w:start w:val="0"/>
      <w:numFmt w:val="bullet"/>
      <w:lvlText w:val="•"/>
      <w:lvlJc w:val="left"/>
      <w:pPr>
        <w:ind w:left="6848" w:hanging="840"/>
      </w:pPr>
      <w:rPr>
        <w:rFonts w:hint="default"/>
        <w:lang w:val="en-US" w:eastAsia="en-US" w:bidi="ar-SA"/>
      </w:rPr>
    </w:lvl>
    <w:lvl w:ilvl="7">
      <w:start w:val="0"/>
      <w:numFmt w:val="bullet"/>
      <w:lvlText w:val="•"/>
      <w:lvlJc w:val="left"/>
      <w:pPr>
        <w:ind w:left="7736" w:hanging="840"/>
      </w:pPr>
      <w:rPr>
        <w:rFonts w:hint="default"/>
        <w:lang w:val="en-US" w:eastAsia="en-US" w:bidi="ar-SA"/>
      </w:rPr>
    </w:lvl>
    <w:lvl w:ilvl="8">
      <w:start w:val="0"/>
      <w:numFmt w:val="bullet"/>
      <w:lvlText w:val="•"/>
      <w:lvlJc w:val="left"/>
      <w:pPr>
        <w:ind w:left="8624" w:hanging="840"/>
      </w:pPr>
      <w:rPr>
        <w:rFonts w:hint="default"/>
        <w:lang w:val="en-US" w:eastAsia="en-US" w:bidi="ar-SA"/>
      </w:rPr>
    </w:lvl>
  </w:abstractNum>
  <w:abstractNum w:abstractNumId="29">
    <w:multiLevelType w:val="hybridMultilevel"/>
    <w:lvl w:ilvl="0">
      <w:start w:val="1"/>
      <w:numFmt w:val="lowerRoman"/>
      <w:lvlText w:val="%1-"/>
      <w:lvlJc w:val="left"/>
      <w:pPr>
        <w:ind w:left="826" w:hanging="149"/>
        <w:jc w:val="left"/>
      </w:pPr>
      <w:rPr>
        <w:rFonts w:hint="default" w:ascii="Times New Roman" w:hAnsi="Times New Roman" w:eastAsia="Times New Roman" w:cs="Times New Roman"/>
        <w:b w:val="0"/>
        <w:bCs w:val="0"/>
        <w:i w:val="0"/>
        <w:iCs w:val="0"/>
        <w:spacing w:val="-1"/>
        <w:w w:val="94"/>
        <w:sz w:val="22"/>
        <w:szCs w:val="22"/>
        <w:lang w:val="en-US" w:eastAsia="en-US" w:bidi="ar-SA"/>
      </w:rPr>
    </w:lvl>
    <w:lvl w:ilvl="1">
      <w:start w:val="0"/>
      <w:numFmt w:val="bullet"/>
      <w:lvlText w:val="•"/>
      <w:lvlJc w:val="left"/>
      <w:pPr>
        <w:ind w:left="1064" w:hanging="149"/>
      </w:pPr>
      <w:rPr>
        <w:rFonts w:hint="default"/>
        <w:lang w:val="en-US" w:eastAsia="en-US" w:bidi="ar-SA"/>
      </w:rPr>
    </w:lvl>
    <w:lvl w:ilvl="2">
      <w:start w:val="0"/>
      <w:numFmt w:val="bullet"/>
      <w:lvlText w:val="•"/>
      <w:lvlJc w:val="left"/>
      <w:pPr>
        <w:ind w:left="1308" w:hanging="149"/>
      </w:pPr>
      <w:rPr>
        <w:rFonts w:hint="default"/>
        <w:lang w:val="en-US" w:eastAsia="en-US" w:bidi="ar-SA"/>
      </w:rPr>
    </w:lvl>
    <w:lvl w:ilvl="3">
      <w:start w:val="0"/>
      <w:numFmt w:val="bullet"/>
      <w:lvlText w:val="•"/>
      <w:lvlJc w:val="left"/>
      <w:pPr>
        <w:ind w:left="1552" w:hanging="149"/>
      </w:pPr>
      <w:rPr>
        <w:rFonts w:hint="default"/>
        <w:lang w:val="en-US" w:eastAsia="en-US" w:bidi="ar-SA"/>
      </w:rPr>
    </w:lvl>
    <w:lvl w:ilvl="4">
      <w:start w:val="0"/>
      <w:numFmt w:val="bullet"/>
      <w:lvlText w:val="•"/>
      <w:lvlJc w:val="left"/>
      <w:pPr>
        <w:ind w:left="1797" w:hanging="149"/>
      </w:pPr>
      <w:rPr>
        <w:rFonts w:hint="default"/>
        <w:lang w:val="en-US" w:eastAsia="en-US" w:bidi="ar-SA"/>
      </w:rPr>
    </w:lvl>
    <w:lvl w:ilvl="5">
      <w:start w:val="0"/>
      <w:numFmt w:val="bullet"/>
      <w:lvlText w:val="•"/>
      <w:lvlJc w:val="left"/>
      <w:pPr>
        <w:ind w:left="2041" w:hanging="149"/>
      </w:pPr>
      <w:rPr>
        <w:rFonts w:hint="default"/>
        <w:lang w:val="en-US" w:eastAsia="en-US" w:bidi="ar-SA"/>
      </w:rPr>
    </w:lvl>
    <w:lvl w:ilvl="6">
      <w:start w:val="0"/>
      <w:numFmt w:val="bullet"/>
      <w:lvlText w:val="•"/>
      <w:lvlJc w:val="left"/>
      <w:pPr>
        <w:ind w:left="2285" w:hanging="149"/>
      </w:pPr>
      <w:rPr>
        <w:rFonts w:hint="default"/>
        <w:lang w:val="en-US" w:eastAsia="en-US" w:bidi="ar-SA"/>
      </w:rPr>
    </w:lvl>
    <w:lvl w:ilvl="7">
      <w:start w:val="0"/>
      <w:numFmt w:val="bullet"/>
      <w:lvlText w:val="•"/>
      <w:lvlJc w:val="left"/>
      <w:pPr>
        <w:ind w:left="2529" w:hanging="149"/>
      </w:pPr>
      <w:rPr>
        <w:rFonts w:hint="default"/>
        <w:lang w:val="en-US" w:eastAsia="en-US" w:bidi="ar-SA"/>
      </w:rPr>
    </w:lvl>
    <w:lvl w:ilvl="8">
      <w:start w:val="0"/>
      <w:numFmt w:val="bullet"/>
      <w:lvlText w:val="•"/>
      <w:lvlJc w:val="left"/>
      <w:pPr>
        <w:ind w:left="2774" w:hanging="149"/>
      </w:pPr>
      <w:rPr>
        <w:rFonts w:hint="default"/>
        <w:lang w:val="en-US" w:eastAsia="en-US" w:bidi="ar-SA"/>
      </w:rPr>
    </w:lvl>
  </w:abstractNum>
  <w:abstractNum w:abstractNumId="28">
    <w:multiLevelType w:val="hybridMultilevel"/>
    <w:lvl w:ilvl="0">
      <w:start w:val="1"/>
      <w:numFmt w:val="lowerRoman"/>
      <w:lvlText w:val="(%1)"/>
      <w:lvlJc w:val="left"/>
      <w:pPr>
        <w:ind w:left="13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00" w:hanging="720"/>
      </w:pPr>
      <w:rPr>
        <w:rFonts w:hint="default"/>
        <w:lang w:val="en-US" w:eastAsia="en-US" w:bidi="ar-SA"/>
      </w:rPr>
    </w:lvl>
    <w:lvl w:ilvl="2">
      <w:start w:val="0"/>
      <w:numFmt w:val="bullet"/>
      <w:lvlText w:val="•"/>
      <w:lvlJc w:val="left"/>
      <w:pPr>
        <w:ind w:left="3200" w:hanging="720"/>
      </w:pPr>
      <w:rPr>
        <w:rFonts w:hint="default"/>
        <w:lang w:val="en-US" w:eastAsia="en-US" w:bidi="ar-SA"/>
      </w:rPr>
    </w:lvl>
    <w:lvl w:ilvl="3">
      <w:start w:val="0"/>
      <w:numFmt w:val="bullet"/>
      <w:lvlText w:val="•"/>
      <w:lvlJc w:val="left"/>
      <w:pPr>
        <w:ind w:left="4100" w:hanging="720"/>
      </w:pPr>
      <w:rPr>
        <w:rFonts w:hint="default"/>
        <w:lang w:val="en-US" w:eastAsia="en-US" w:bidi="ar-SA"/>
      </w:rPr>
    </w:lvl>
    <w:lvl w:ilvl="4">
      <w:start w:val="0"/>
      <w:numFmt w:val="bullet"/>
      <w:lvlText w:val="•"/>
      <w:lvlJc w:val="left"/>
      <w:pPr>
        <w:ind w:left="5000" w:hanging="720"/>
      </w:pPr>
      <w:rPr>
        <w:rFonts w:hint="default"/>
        <w:lang w:val="en-US" w:eastAsia="en-US" w:bidi="ar-SA"/>
      </w:rPr>
    </w:lvl>
    <w:lvl w:ilvl="5">
      <w:start w:val="0"/>
      <w:numFmt w:val="bullet"/>
      <w:lvlText w:val="•"/>
      <w:lvlJc w:val="left"/>
      <w:pPr>
        <w:ind w:left="5900" w:hanging="720"/>
      </w:pPr>
      <w:rPr>
        <w:rFonts w:hint="default"/>
        <w:lang w:val="en-US" w:eastAsia="en-US" w:bidi="ar-SA"/>
      </w:rPr>
    </w:lvl>
    <w:lvl w:ilvl="6">
      <w:start w:val="0"/>
      <w:numFmt w:val="bullet"/>
      <w:lvlText w:val="•"/>
      <w:lvlJc w:val="left"/>
      <w:pPr>
        <w:ind w:left="6800" w:hanging="720"/>
      </w:pPr>
      <w:rPr>
        <w:rFonts w:hint="default"/>
        <w:lang w:val="en-US" w:eastAsia="en-US" w:bidi="ar-SA"/>
      </w:rPr>
    </w:lvl>
    <w:lvl w:ilvl="7">
      <w:start w:val="0"/>
      <w:numFmt w:val="bullet"/>
      <w:lvlText w:val="•"/>
      <w:lvlJc w:val="left"/>
      <w:pPr>
        <w:ind w:left="7700" w:hanging="720"/>
      </w:pPr>
      <w:rPr>
        <w:rFonts w:hint="default"/>
        <w:lang w:val="en-US" w:eastAsia="en-US" w:bidi="ar-SA"/>
      </w:rPr>
    </w:lvl>
    <w:lvl w:ilvl="8">
      <w:start w:val="0"/>
      <w:numFmt w:val="bullet"/>
      <w:lvlText w:val="•"/>
      <w:lvlJc w:val="left"/>
      <w:pPr>
        <w:ind w:left="8600" w:hanging="720"/>
      </w:pPr>
      <w:rPr>
        <w:rFonts w:hint="default"/>
        <w:lang w:val="en-US" w:eastAsia="en-US" w:bidi="ar-SA"/>
      </w:rPr>
    </w:lvl>
  </w:abstractNum>
  <w:abstractNum w:abstractNumId="27">
    <w:multiLevelType w:val="hybridMultilevel"/>
    <w:lvl w:ilvl="0">
      <w:start w:val="1"/>
      <w:numFmt w:val="lowerRoman"/>
      <w:lvlText w:val="(%1)"/>
      <w:lvlJc w:val="left"/>
      <w:pPr>
        <w:ind w:left="13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00" w:hanging="720"/>
      </w:pPr>
      <w:rPr>
        <w:rFonts w:hint="default"/>
        <w:lang w:val="en-US" w:eastAsia="en-US" w:bidi="ar-SA"/>
      </w:rPr>
    </w:lvl>
    <w:lvl w:ilvl="2">
      <w:start w:val="0"/>
      <w:numFmt w:val="bullet"/>
      <w:lvlText w:val="•"/>
      <w:lvlJc w:val="left"/>
      <w:pPr>
        <w:ind w:left="3200" w:hanging="720"/>
      </w:pPr>
      <w:rPr>
        <w:rFonts w:hint="default"/>
        <w:lang w:val="en-US" w:eastAsia="en-US" w:bidi="ar-SA"/>
      </w:rPr>
    </w:lvl>
    <w:lvl w:ilvl="3">
      <w:start w:val="0"/>
      <w:numFmt w:val="bullet"/>
      <w:lvlText w:val="•"/>
      <w:lvlJc w:val="left"/>
      <w:pPr>
        <w:ind w:left="4100" w:hanging="720"/>
      </w:pPr>
      <w:rPr>
        <w:rFonts w:hint="default"/>
        <w:lang w:val="en-US" w:eastAsia="en-US" w:bidi="ar-SA"/>
      </w:rPr>
    </w:lvl>
    <w:lvl w:ilvl="4">
      <w:start w:val="0"/>
      <w:numFmt w:val="bullet"/>
      <w:lvlText w:val="•"/>
      <w:lvlJc w:val="left"/>
      <w:pPr>
        <w:ind w:left="5000" w:hanging="720"/>
      </w:pPr>
      <w:rPr>
        <w:rFonts w:hint="default"/>
        <w:lang w:val="en-US" w:eastAsia="en-US" w:bidi="ar-SA"/>
      </w:rPr>
    </w:lvl>
    <w:lvl w:ilvl="5">
      <w:start w:val="0"/>
      <w:numFmt w:val="bullet"/>
      <w:lvlText w:val="•"/>
      <w:lvlJc w:val="left"/>
      <w:pPr>
        <w:ind w:left="5900" w:hanging="720"/>
      </w:pPr>
      <w:rPr>
        <w:rFonts w:hint="default"/>
        <w:lang w:val="en-US" w:eastAsia="en-US" w:bidi="ar-SA"/>
      </w:rPr>
    </w:lvl>
    <w:lvl w:ilvl="6">
      <w:start w:val="0"/>
      <w:numFmt w:val="bullet"/>
      <w:lvlText w:val="•"/>
      <w:lvlJc w:val="left"/>
      <w:pPr>
        <w:ind w:left="6800" w:hanging="720"/>
      </w:pPr>
      <w:rPr>
        <w:rFonts w:hint="default"/>
        <w:lang w:val="en-US" w:eastAsia="en-US" w:bidi="ar-SA"/>
      </w:rPr>
    </w:lvl>
    <w:lvl w:ilvl="7">
      <w:start w:val="0"/>
      <w:numFmt w:val="bullet"/>
      <w:lvlText w:val="•"/>
      <w:lvlJc w:val="left"/>
      <w:pPr>
        <w:ind w:left="7700" w:hanging="720"/>
      </w:pPr>
      <w:rPr>
        <w:rFonts w:hint="default"/>
        <w:lang w:val="en-US" w:eastAsia="en-US" w:bidi="ar-SA"/>
      </w:rPr>
    </w:lvl>
    <w:lvl w:ilvl="8">
      <w:start w:val="0"/>
      <w:numFmt w:val="bullet"/>
      <w:lvlText w:val="•"/>
      <w:lvlJc w:val="left"/>
      <w:pPr>
        <w:ind w:left="8600" w:hanging="720"/>
      </w:pPr>
      <w:rPr>
        <w:rFonts w:hint="default"/>
        <w:lang w:val="en-US" w:eastAsia="en-US" w:bidi="ar-SA"/>
      </w:rPr>
    </w:lvl>
  </w:abstractNum>
  <w:abstractNum w:abstractNumId="26">
    <w:multiLevelType w:val="hybridMultilevel"/>
    <w:lvl w:ilvl="0">
      <w:start w:val="1"/>
      <w:numFmt w:val="lowerRoman"/>
      <w:lvlText w:val="(%1)"/>
      <w:lvlJc w:val="left"/>
      <w:pPr>
        <w:ind w:left="211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48" w:hanging="720"/>
      </w:pPr>
      <w:rPr>
        <w:rFonts w:hint="default"/>
        <w:lang w:val="en-US" w:eastAsia="en-US" w:bidi="ar-SA"/>
      </w:rPr>
    </w:lvl>
    <w:lvl w:ilvl="2">
      <w:start w:val="0"/>
      <w:numFmt w:val="bullet"/>
      <w:lvlText w:val="•"/>
      <w:lvlJc w:val="left"/>
      <w:pPr>
        <w:ind w:left="3776" w:hanging="720"/>
      </w:pPr>
      <w:rPr>
        <w:rFonts w:hint="default"/>
        <w:lang w:val="en-US" w:eastAsia="en-US" w:bidi="ar-SA"/>
      </w:rPr>
    </w:lvl>
    <w:lvl w:ilvl="3">
      <w:start w:val="0"/>
      <w:numFmt w:val="bullet"/>
      <w:lvlText w:val="•"/>
      <w:lvlJc w:val="left"/>
      <w:pPr>
        <w:ind w:left="4604" w:hanging="720"/>
      </w:pPr>
      <w:rPr>
        <w:rFonts w:hint="default"/>
        <w:lang w:val="en-US" w:eastAsia="en-US" w:bidi="ar-SA"/>
      </w:rPr>
    </w:lvl>
    <w:lvl w:ilvl="4">
      <w:start w:val="0"/>
      <w:numFmt w:val="bullet"/>
      <w:lvlText w:val="•"/>
      <w:lvlJc w:val="left"/>
      <w:pPr>
        <w:ind w:left="5432" w:hanging="720"/>
      </w:pPr>
      <w:rPr>
        <w:rFonts w:hint="default"/>
        <w:lang w:val="en-US" w:eastAsia="en-US" w:bidi="ar-SA"/>
      </w:rPr>
    </w:lvl>
    <w:lvl w:ilvl="5">
      <w:start w:val="0"/>
      <w:numFmt w:val="bullet"/>
      <w:lvlText w:val="•"/>
      <w:lvlJc w:val="left"/>
      <w:pPr>
        <w:ind w:left="6260" w:hanging="720"/>
      </w:pPr>
      <w:rPr>
        <w:rFonts w:hint="default"/>
        <w:lang w:val="en-US" w:eastAsia="en-US" w:bidi="ar-SA"/>
      </w:rPr>
    </w:lvl>
    <w:lvl w:ilvl="6">
      <w:start w:val="0"/>
      <w:numFmt w:val="bullet"/>
      <w:lvlText w:val="•"/>
      <w:lvlJc w:val="left"/>
      <w:pPr>
        <w:ind w:left="7088" w:hanging="720"/>
      </w:pPr>
      <w:rPr>
        <w:rFonts w:hint="default"/>
        <w:lang w:val="en-US" w:eastAsia="en-US" w:bidi="ar-SA"/>
      </w:rPr>
    </w:lvl>
    <w:lvl w:ilvl="7">
      <w:start w:val="0"/>
      <w:numFmt w:val="bullet"/>
      <w:lvlText w:val="•"/>
      <w:lvlJc w:val="left"/>
      <w:pPr>
        <w:ind w:left="7916" w:hanging="720"/>
      </w:pPr>
      <w:rPr>
        <w:rFonts w:hint="default"/>
        <w:lang w:val="en-US" w:eastAsia="en-US" w:bidi="ar-SA"/>
      </w:rPr>
    </w:lvl>
    <w:lvl w:ilvl="8">
      <w:start w:val="0"/>
      <w:numFmt w:val="bullet"/>
      <w:lvlText w:val="•"/>
      <w:lvlJc w:val="left"/>
      <w:pPr>
        <w:ind w:left="8744" w:hanging="720"/>
      </w:pPr>
      <w:rPr>
        <w:rFonts w:hint="default"/>
        <w:lang w:val="en-US" w:eastAsia="en-US" w:bidi="ar-SA"/>
      </w:rPr>
    </w:lvl>
  </w:abstractNum>
  <w:abstractNum w:abstractNumId="25">
    <w:multiLevelType w:val="hybridMultilevel"/>
    <w:lvl w:ilvl="0">
      <w:start w:val="1"/>
      <w:numFmt w:val="decimal"/>
      <w:lvlText w:val="%1)"/>
      <w:lvlJc w:val="left"/>
      <w:pPr>
        <w:ind w:left="211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75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40" w:hanging="360"/>
      </w:pPr>
      <w:rPr>
        <w:rFonts w:hint="default"/>
        <w:lang w:val="en-US" w:eastAsia="en-US" w:bidi="ar-SA"/>
      </w:rPr>
    </w:lvl>
    <w:lvl w:ilvl="3">
      <w:start w:val="0"/>
      <w:numFmt w:val="bullet"/>
      <w:lvlText w:val="•"/>
      <w:lvlJc w:val="left"/>
      <w:pPr>
        <w:ind w:left="3960" w:hanging="360"/>
      </w:pPr>
      <w:rPr>
        <w:rFonts w:hint="default"/>
        <w:lang w:val="en-US" w:eastAsia="en-US" w:bidi="ar-SA"/>
      </w:rPr>
    </w:lvl>
    <w:lvl w:ilvl="4">
      <w:start w:val="0"/>
      <w:numFmt w:val="bullet"/>
      <w:lvlText w:val="•"/>
      <w:lvlJc w:val="left"/>
      <w:pPr>
        <w:ind w:left="488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720" w:hanging="360"/>
      </w:pPr>
      <w:rPr>
        <w:rFonts w:hint="default"/>
        <w:lang w:val="en-US" w:eastAsia="en-US" w:bidi="ar-SA"/>
      </w:rPr>
    </w:lvl>
    <w:lvl w:ilvl="7">
      <w:start w:val="0"/>
      <w:numFmt w:val="bullet"/>
      <w:lvlText w:val="•"/>
      <w:lvlJc w:val="left"/>
      <w:pPr>
        <w:ind w:left="7640" w:hanging="360"/>
      </w:pPr>
      <w:rPr>
        <w:rFonts w:hint="default"/>
        <w:lang w:val="en-US" w:eastAsia="en-US" w:bidi="ar-SA"/>
      </w:rPr>
    </w:lvl>
    <w:lvl w:ilvl="8">
      <w:start w:val="0"/>
      <w:numFmt w:val="bullet"/>
      <w:lvlText w:val="•"/>
      <w:lvlJc w:val="left"/>
      <w:pPr>
        <w:ind w:left="8560" w:hanging="360"/>
      </w:pPr>
      <w:rPr>
        <w:rFonts w:hint="default"/>
        <w:lang w:val="en-US" w:eastAsia="en-US" w:bidi="ar-SA"/>
      </w:rPr>
    </w:lvl>
  </w:abstractNum>
  <w:abstractNum w:abstractNumId="24">
    <w:multiLevelType w:val="hybridMultilevel"/>
    <w:lvl w:ilvl="0">
      <w:start w:val="1"/>
      <w:numFmt w:val="lowerLetter"/>
      <w:lvlText w:val="(%1)"/>
      <w:lvlJc w:val="left"/>
      <w:pPr>
        <w:ind w:left="1179"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10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46" w:hanging="360"/>
      </w:pPr>
      <w:rPr>
        <w:rFonts w:hint="default"/>
        <w:lang w:val="en-US" w:eastAsia="en-US" w:bidi="ar-SA"/>
      </w:rPr>
    </w:lvl>
    <w:lvl w:ilvl="4">
      <w:start w:val="0"/>
      <w:numFmt w:val="bullet"/>
      <w:lvlText w:val="•"/>
      <w:lvlJc w:val="left"/>
      <w:pPr>
        <w:ind w:left="4868"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12" w:hanging="360"/>
      </w:pPr>
      <w:rPr>
        <w:rFonts w:hint="default"/>
        <w:lang w:val="en-US" w:eastAsia="en-US" w:bidi="ar-SA"/>
      </w:rPr>
    </w:lvl>
    <w:lvl w:ilvl="7">
      <w:start w:val="0"/>
      <w:numFmt w:val="bullet"/>
      <w:lvlText w:val="•"/>
      <w:lvlJc w:val="left"/>
      <w:pPr>
        <w:ind w:left="7634" w:hanging="360"/>
      </w:pPr>
      <w:rPr>
        <w:rFonts w:hint="default"/>
        <w:lang w:val="en-US" w:eastAsia="en-US" w:bidi="ar-SA"/>
      </w:rPr>
    </w:lvl>
    <w:lvl w:ilvl="8">
      <w:start w:val="0"/>
      <w:numFmt w:val="bullet"/>
      <w:lvlText w:val="•"/>
      <w:lvlJc w:val="left"/>
      <w:pPr>
        <w:ind w:left="8556" w:hanging="360"/>
      </w:pPr>
      <w:rPr>
        <w:rFonts w:hint="default"/>
        <w:lang w:val="en-US" w:eastAsia="en-US" w:bidi="ar-SA"/>
      </w:rPr>
    </w:lvl>
  </w:abstractNum>
  <w:abstractNum w:abstractNumId="23">
    <w:multiLevelType w:val="hybridMultilevel"/>
    <w:lvl w:ilvl="0">
      <w:start w:val="1"/>
      <w:numFmt w:val="lowerLetter"/>
      <w:lvlText w:val="(%1)"/>
      <w:lvlJc w:val="left"/>
      <w:pPr>
        <w:ind w:left="1398"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30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100" w:hanging="360"/>
      </w:pPr>
      <w:rPr>
        <w:rFonts w:hint="default"/>
        <w:lang w:val="en-US" w:eastAsia="en-US" w:bidi="ar-SA"/>
      </w:rPr>
    </w:lvl>
    <w:lvl w:ilvl="4">
      <w:start w:val="0"/>
      <w:numFmt w:val="bullet"/>
      <w:lvlText w:val="•"/>
      <w:lvlJc w:val="left"/>
      <w:pPr>
        <w:ind w:left="500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700" w:hanging="360"/>
      </w:pPr>
      <w:rPr>
        <w:rFonts w:hint="default"/>
        <w:lang w:val="en-US" w:eastAsia="en-US" w:bidi="ar-SA"/>
      </w:rPr>
    </w:lvl>
    <w:lvl w:ilvl="8">
      <w:start w:val="0"/>
      <w:numFmt w:val="bullet"/>
      <w:lvlText w:val="•"/>
      <w:lvlJc w:val="left"/>
      <w:pPr>
        <w:ind w:left="8600" w:hanging="360"/>
      </w:pPr>
      <w:rPr>
        <w:rFonts w:hint="default"/>
        <w:lang w:val="en-US" w:eastAsia="en-US" w:bidi="ar-SA"/>
      </w:rPr>
    </w:lvl>
  </w:abstractNum>
  <w:abstractNum w:abstractNumId="19">
    <w:multiLevelType w:val="hybridMultilevel"/>
    <w:lvl w:ilvl="0">
      <w:start w:val="0"/>
      <w:numFmt w:val="bullet"/>
      <w:lvlText w:val="•"/>
      <w:lvlJc w:val="left"/>
      <w:pPr>
        <w:ind w:left="1398" w:hanging="163"/>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00" w:hanging="163"/>
      </w:pPr>
      <w:rPr>
        <w:rFonts w:hint="default"/>
        <w:lang w:val="en-US" w:eastAsia="en-US" w:bidi="ar-SA"/>
      </w:rPr>
    </w:lvl>
    <w:lvl w:ilvl="2">
      <w:start w:val="0"/>
      <w:numFmt w:val="bullet"/>
      <w:lvlText w:val="•"/>
      <w:lvlJc w:val="left"/>
      <w:pPr>
        <w:ind w:left="3200" w:hanging="163"/>
      </w:pPr>
      <w:rPr>
        <w:rFonts w:hint="default"/>
        <w:lang w:val="en-US" w:eastAsia="en-US" w:bidi="ar-SA"/>
      </w:rPr>
    </w:lvl>
    <w:lvl w:ilvl="3">
      <w:start w:val="0"/>
      <w:numFmt w:val="bullet"/>
      <w:lvlText w:val="•"/>
      <w:lvlJc w:val="left"/>
      <w:pPr>
        <w:ind w:left="4100" w:hanging="163"/>
      </w:pPr>
      <w:rPr>
        <w:rFonts w:hint="default"/>
        <w:lang w:val="en-US" w:eastAsia="en-US" w:bidi="ar-SA"/>
      </w:rPr>
    </w:lvl>
    <w:lvl w:ilvl="4">
      <w:start w:val="0"/>
      <w:numFmt w:val="bullet"/>
      <w:lvlText w:val="•"/>
      <w:lvlJc w:val="left"/>
      <w:pPr>
        <w:ind w:left="5000" w:hanging="163"/>
      </w:pPr>
      <w:rPr>
        <w:rFonts w:hint="default"/>
        <w:lang w:val="en-US" w:eastAsia="en-US" w:bidi="ar-SA"/>
      </w:rPr>
    </w:lvl>
    <w:lvl w:ilvl="5">
      <w:start w:val="0"/>
      <w:numFmt w:val="bullet"/>
      <w:lvlText w:val="•"/>
      <w:lvlJc w:val="left"/>
      <w:pPr>
        <w:ind w:left="5900" w:hanging="163"/>
      </w:pPr>
      <w:rPr>
        <w:rFonts w:hint="default"/>
        <w:lang w:val="en-US" w:eastAsia="en-US" w:bidi="ar-SA"/>
      </w:rPr>
    </w:lvl>
    <w:lvl w:ilvl="6">
      <w:start w:val="0"/>
      <w:numFmt w:val="bullet"/>
      <w:lvlText w:val="•"/>
      <w:lvlJc w:val="left"/>
      <w:pPr>
        <w:ind w:left="6800" w:hanging="163"/>
      </w:pPr>
      <w:rPr>
        <w:rFonts w:hint="default"/>
        <w:lang w:val="en-US" w:eastAsia="en-US" w:bidi="ar-SA"/>
      </w:rPr>
    </w:lvl>
    <w:lvl w:ilvl="7">
      <w:start w:val="0"/>
      <w:numFmt w:val="bullet"/>
      <w:lvlText w:val="•"/>
      <w:lvlJc w:val="left"/>
      <w:pPr>
        <w:ind w:left="7700" w:hanging="163"/>
      </w:pPr>
      <w:rPr>
        <w:rFonts w:hint="default"/>
        <w:lang w:val="en-US" w:eastAsia="en-US" w:bidi="ar-SA"/>
      </w:rPr>
    </w:lvl>
    <w:lvl w:ilvl="8">
      <w:start w:val="0"/>
      <w:numFmt w:val="bullet"/>
      <w:lvlText w:val="•"/>
      <w:lvlJc w:val="left"/>
      <w:pPr>
        <w:ind w:left="8600" w:hanging="163"/>
      </w:pPr>
      <w:rPr>
        <w:rFonts w:hint="default"/>
        <w:lang w:val="en-US" w:eastAsia="en-US" w:bidi="ar-SA"/>
      </w:rPr>
    </w:lvl>
  </w:abstractNum>
  <w:abstractNum w:abstractNumId="22">
    <w:multiLevelType w:val="hybridMultilevel"/>
    <w:lvl w:ilvl="0">
      <w:start w:val="0"/>
      <w:numFmt w:val="bullet"/>
      <w:lvlText w:val=""/>
      <w:lvlJc w:val="left"/>
      <w:pPr>
        <w:ind w:left="139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0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100" w:hanging="360"/>
      </w:pPr>
      <w:rPr>
        <w:rFonts w:hint="default"/>
        <w:lang w:val="en-US" w:eastAsia="en-US" w:bidi="ar-SA"/>
      </w:rPr>
    </w:lvl>
    <w:lvl w:ilvl="4">
      <w:start w:val="0"/>
      <w:numFmt w:val="bullet"/>
      <w:lvlText w:val="•"/>
      <w:lvlJc w:val="left"/>
      <w:pPr>
        <w:ind w:left="500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700" w:hanging="360"/>
      </w:pPr>
      <w:rPr>
        <w:rFonts w:hint="default"/>
        <w:lang w:val="en-US" w:eastAsia="en-US" w:bidi="ar-SA"/>
      </w:rPr>
    </w:lvl>
    <w:lvl w:ilvl="8">
      <w:start w:val="0"/>
      <w:numFmt w:val="bullet"/>
      <w:lvlText w:val="•"/>
      <w:lvlJc w:val="left"/>
      <w:pPr>
        <w:ind w:left="8600" w:hanging="360"/>
      </w:pPr>
      <w:rPr>
        <w:rFonts w:hint="default"/>
        <w:lang w:val="en-US" w:eastAsia="en-US" w:bidi="ar-SA"/>
      </w:rPr>
    </w:lvl>
  </w:abstractNum>
  <w:abstractNum w:abstractNumId="21">
    <w:multiLevelType w:val="hybridMultilevel"/>
    <w:lvl w:ilvl="0">
      <w:start w:val="0"/>
      <w:numFmt w:val="bullet"/>
      <w:lvlText w:val=""/>
      <w:lvlJc w:val="left"/>
      <w:pPr>
        <w:ind w:left="139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0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100" w:hanging="360"/>
      </w:pPr>
      <w:rPr>
        <w:rFonts w:hint="default"/>
        <w:lang w:val="en-US" w:eastAsia="en-US" w:bidi="ar-SA"/>
      </w:rPr>
    </w:lvl>
    <w:lvl w:ilvl="4">
      <w:start w:val="0"/>
      <w:numFmt w:val="bullet"/>
      <w:lvlText w:val="•"/>
      <w:lvlJc w:val="left"/>
      <w:pPr>
        <w:ind w:left="500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700" w:hanging="360"/>
      </w:pPr>
      <w:rPr>
        <w:rFonts w:hint="default"/>
        <w:lang w:val="en-US" w:eastAsia="en-US" w:bidi="ar-SA"/>
      </w:rPr>
    </w:lvl>
    <w:lvl w:ilvl="8">
      <w:start w:val="0"/>
      <w:numFmt w:val="bullet"/>
      <w:lvlText w:val="•"/>
      <w:lvlJc w:val="left"/>
      <w:pPr>
        <w:ind w:left="8600" w:hanging="360"/>
      </w:pPr>
      <w:rPr>
        <w:rFonts w:hint="default"/>
        <w:lang w:val="en-US" w:eastAsia="en-US" w:bidi="ar-SA"/>
      </w:rPr>
    </w:lvl>
  </w:abstractNum>
  <w:abstractNum w:abstractNumId="20">
    <w:multiLevelType w:val="hybridMultilevel"/>
    <w:lvl w:ilvl="0">
      <w:start w:val="1"/>
      <w:numFmt w:val="lowerLetter"/>
      <w:lvlText w:val="(%1)"/>
      <w:lvlJc w:val="left"/>
      <w:pPr>
        <w:ind w:left="1023" w:hanging="327"/>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958" w:hanging="327"/>
      </w:pPr>
      <w:rPr>
        <w:rFonts w:hint="default"/>
        <w:lang w:val="en-US" w:eastAsia="en-US" w:bidi="ar-SA"/>
      </w:rPr>
    </w:lvl>
    <w:lvl w:ilvl="2">
      <w:start w:val="0"/>
      <w:numFmt w:val="bullet"/>
      <w:lvlText w:val="•"/>
      <w:lvlJc w:val="left"/>
      <w:pPr>
        <w:ind w:left="2896" w:hanging="327"/>
      </w:pPr>
      <w:rPr>
        <w:rFonts w:hint="default"/>
        <w:lang w:val="en-US" w:eastAsia="en-US" w:bidi="ar-SA"/>
      </w:rPr>
    </w:lvl>
    <w:lvl w:ilvl="3">
      <w:start w:val="0"/>
      <w:numFmt w:val="bullet"/>
      <w:lvlText w:val="•"/>
      <w:lvlJc w:val="left"/>
      <w:pPr>
        <w:ind w:left="3834" w:hanging="327"/>
      </w:pPr>
      <w:rPr>
        <w:rFonts w:hint="default"/>
        <w:lang w:val="en-US" w:eastAsia="en-US" w:bidi="ar-SA"/>
      </w:rPr>
    </w:lvl>
    <w:lvl w:ilvl="4">
      <w:start w:val="0"/>
      <w:numFmt w:val="bullet"/>
      <w:lvlText w:val="•"/>
      <w:lvlJc w:val="left"/>
      <w:pPr>
        <w:ind w:left="4772" w:hanging="327"/>
      </w:pPr>
      <w:rPr>
        <w:rFonts w:hint="default"/>
        <w:lang w:val="en-US" w:eastAsia="en-US" w:bidi="ar-SA"/>
      </w:rPr>
    </w:lvl>
    <w:lvl w:ilvl="5">
      <w:start w:val="0"/>
      <w:numFmt w:val="bullet"/>
      <w:lvlText w:val="•"/>
      <w:lvlJc w:val="left"/>
      <w:pPr>
        <w:ind w:left="5710" w:hanging="327"/>
      </w:pPr>
      <w:rPr>
        <w:rFonts w:hint="default"/>
        <w:lang w:val="en-US" w:eastAsia="en-US" w:bidi="ar-SA"/>
      </w:rPr>
    </w:lvl>
    <w:lvl w:ilvl="6">
      <w:start w:val="0"/>
      <w:numFmt w:val="bullet"/>
      <w:lvlText w:val="•"/>
      <w:lvlJc w:val="left"/>
      <w:pPr>
        <w:ind w:left="6648" w:hanging="327"/>
      </w:pPr>
      <w:rPr>
        <w:rFonts w:hint="default"/>
        <w:lang w:val="en-US" w:eastAsia="en-US" w:bidi="ar-SA"/>
      </w:rPr>
    </w:lvl>
    <w:lvl w:ilvl="7">
      <w:start w:val="0"/>
      <w:numFmt w:val="bullet"/>
      <w:lvlText w:val="•"/>
      <w:lvlJc w:val="left"/>
      <w:pPr>
        <w:ind w:left="7586" w:hanging="327"/>
      </w:pPr>
      <w:rPr>
        <w:rFonts w:hint="default"/>
        <w:lang w:val="en-US" w:eastAsia="en-US" w:bidi="ar-SA"/>
      </w:rPr>
    </w:lvl>
    <w:lvl w:ilvl="8">
      <w:start w:val="0"/>
      <w:numFmt w:val="bullet"/>
      <w:lvlText w:val="•"/>
      <w:lvlJc w:val="left"/>
      <w:pPr>
        <w:ind w:left="8524" w:hanging="327"/>
      </w:pPr>
      <w:rPr>
        <w:rFonts w:hint="default"/>
        <w:lang w:val="en-US" w:eastAsia="en-US" w:bidi="ar-SA"/>
      </w:rPr>
    </w:lvl>
  </w:abstractNum>
  <w:abstractNum w:abstractNumId="18">
    <w:multiLevelType w:val="hybridMultilevel"/>
    <w:lvl w:ilvl="0">
      <w:start w:val="1"/>
      <w:numFmt w:val="decimal"/>
      <w:lvlText w:val="%1"/>
      <w:lvlJc w:val="left"/>
      <w:pPr>
        <w:ind w:left="1038" w:hanging="360"/>
        <w:jc w:val="left"/>
      </w:pPr>
      <w:rPr>
        <w:rFonts w:hint="default"/>
        <w:lang w:val="en-US" w:eastAsia="en-US" w:bidi="ar-SA"/>
      </w:rPr>
    </w:lvl>
    <w:lvl w:ilvl="1">
      <w:start w:val="1"/>
      <w:numFmt w:val="decimal"/>
      <w:lvlText w:val="%1.%2"/>
      <w:lvlJc w:val="left"/>
      <w:pPr>
        <w:ind w:left="103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398" w:hanging="720"/>
        <w:jc w:val="left"/>
      </w:pPr>
      <w:rPr>
        <w:rFonts w:hint="default" w:ascii="Times New Roman" w:hAnsi="Times New Roman" w:eastAsia="Times New Roman" w:cs="Times New Roman"/>
        <w:b/>
        <w:bCs/>
        <w:i w:val="0"/>
        <w:iCs w:val="0"/>
        <w:spacing w:val="0"/>
        <w:w w:val="95"/>
        <w:sz w:val="24"/>
        <w:szCs w:val="24"/>
        <w:lang w:val="en-US" w:eastAsia="en-US" w:bidi="ar-SA"/>
      </w:rPr>
    </w:lvl>
    <w:lvl w:ilvl="3">
      <w:start w:val="1"/>
      <w:numFmt w:val="decimal"/>
      <w:lvlText w:val="%1.%2.%3.%4"/>
      <w:lvlJc w:val="left"/>
      <w:pPr>
        <w:ind w:left="1578" w:hanging="900"/>
        <w:jc w:val="left"/>
      </w:pPr>
      <w:rPr>
        <w:rFonts w:hint="default" w:ascii="Times New Roman" w:hAnsi="Times New Roman" w:eastAsia="Times New Roman" w:cs="Times New Roman"/>
        <w:b/>
        <w:bCs/>
        <w:i w:val="0"/>
        <w:iCs w:val="0"/>
        <w:spacing w:val="0"/>
        <w:w w:val="96"/>
        <w:sz w:val="24"/>
        <w:szCs w:val="24"/>
        <w:lang w:val="en-US" w:eastAsia="en-US" w:bidi="ar-SA"/>
      </w:rPr>
    </w:lvl>
    <w:lvl w:ilvl="4">
      <w:start w:val="1"/>
      <w:numFmt w:val="decimal"/>
      <w:lvlText w:val="%1.%2.%3.%4.%5"/>
      <w:lvlJc w:val="left"/>
      <w:pPr>
        <w:ind w:left="1578" w:hanging="900"/>
        <w:jc w:val="left"/>
      </w:pPr>
      <w:rPr>
        <w:rFonts w:hint="default" w:ascii="Times New Roman" w:hAnsi="Times New Roman" w:eastAsia="Times New Roman" w:cs="Times New Roman"/>
        <w:b/>
        <w:bCs/>
        <w:i w:val="0"/>
        <w:iCs w:val="0"/>
        <w:spacing w:val="0"/>
        <w:w w:val="100"/>
        <w:sz w:val="24"/>
        <w:szCs w:val="24"/>
        <w:lang w:val="en-US" w:eastAsia="en-US" w:bidi="ar-SA"/>
      </w:rPr>
    </w:lvl>
    <w:lvl w:ilvl="5">
      <w:start w:val="1"/>
      <w:numFmt w:val="decimal"/>
      <w:lvlText w:val="%1.%2.%3.%4.%5.%6"/>
      <w:lvlJc w:val="left"/>
      <w:pPr>
        <w:ind w:left="1878" w:hanging="1200"/>
        <w:jc w:val="left"/>
      </w:pPr>
      <w:rPr>
        <w:rFonts w:hint="default" w:ascii="Times New Roman" w:hAnsi="Times New Roman" w:eastAsia="Times New Roman" w:cs="Times New Roman"/>
        <w:b/>
        <w:bCs/>
        <w:i w:val="0"/>
        <w:iCs w:val="0"/>
        <w:spacing w:val="0"/>
        <w:w w:val="100"/>
        <w:sz w:val="24"/>
        <w:szCs w:val="24"/>
        <w:lang w:val="en-US" w:eastAsia="en-US" w:bidi="ar-SA"/>
      </w:rPr>
    </w:lvl>
    <w:lvl w:ilvl="6">
      <w:start w:val="0"/>
      <w:numFmt w:val="bullet"/>
      <w:lvlText w:val="•"/>
      <w:lvlJc w:val="left"/>
      <w:pPr>
        <w:ind w:left="1520" w:hanging="1200"/>
      </w:pPr>
      <w:rPr>
        <w:rFonts w:hint="default"/>
        <w:lang w:val="en-US" w:eastAsia="en-US" w:bidi="ar-SA"/>
      </w:rPr>
    </w:lvl>
    <w:lvl w:ilvl="7">
      <w:start w:val="0"/>
      <w:numFmt w:val="bullet"/>
      <w:lvlText w:val="•"/>
      <w:lvlJc w:val="left"/>
      <w:pPr>
        <w:ind w:left="1580" w:hanging="1200"/>
      </w:pPr>
      <w:rPr>
        <w:rFonts w:hint="default"/>
        <w:lang w:val="en-US" w:eastAsia="en-US" w:bidi="ar-SA"/>
      </w:rPr>
    </w:lvl>
    <w:lvl w:ilvl="8">
      <w:start w:val="0"/>
      <w:numFmt w:val="bullet"/>
      <w:lvlText w:val="•"/>
      <w:lvlJc w:val="left"/>
      <w:pPr>
        <w:ind w:left="1700" w:hanging="1200"/>
      </w:pPr>
      <w:rPr>
        <w:rFonts w:hint="default"/>
        <w:lang w:val="en-US" w:eastAsia="en-US" w:bidi="ar-SA"/>
      </w:rPr>
    </w:lvl>
  </w:abstractNum>
  <w:abstractNum w:abstractNumId="17">
    <w:multiLevelType w:val="hybridMultilevel"/>
    <w:lvl w:ilvl="0">
      <w:start w:val="5"/>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color w:val="131213"/>
        <w:spacing w:val="0"/>
        <w:w w:val="100"/>
        <w:sz w:val="24"/>
        <w:szCs w:val="24"/>
        <w:lang w:val="en-US" w:eastAsia="en-US" w:bidi="ar-SA"/>
      </w:rPr>
    </w:lvl>
    <w:lvl w:ilvl="2">
      <w:start w:val="0"/>
      <w:numFmt w:val="bullet"/>
      <w:lvlText w:val="•"/>
      <w:lvlJc w:val="left"/>
      <w:pPr>
        <w:ind w:left="3776" w:hanging="1440"/>
      </w:pPr>
      <w:rPr>
        <w:rFonts w:hint="default"/>
        <w:lang w:val="en-US" w:eastAsia="en-US" w:bidi="ar-SA"/>
      </w:rPr>
    </w:lvl>
    <w:lvl w:ilvl="3">
      <w:start w:val="0"/>
      <w:numFmt w:val="bullet"/>
      <w:lvlText w:val="•"/>
      <w:lvlJc w:val="left"/>
      <w:pPr>
        <w:ind w:left="4604" w:hanging="1440"/>
      </w:pPr>
      <w:rPr>
        <w:rFonts w:hint="default"/>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16">
    <w:multiLevelType w:val="hybridMultilevel"/>
    <w:lvl w:ilvl="0">
      <w:start w:val="4"/>
      <w:numFmt w:val="decimal"/>
      <w:lvlText w:val="%1"/>
      <w:lvlJc w:val="left"/>
      <w:pPr>
        <w:ind w:left="2122" w:hanging="1440"/>
        <w:jc w:val="left"/>
      </w:pPr>
      <w:rPr>
        <w:rFonts w:hint="default"/>
        <w:lang w:val="en-US" w:eastAsia="en-US" w:bidi="ar-SA"/>
      </w:rPr>
    </w:lvl>
    <w:lvl w:ilvl="1">
      <w:start w:val="4"/>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76" w:hanging="1440"/>
      </w:pPr>
      <w:rPr>
        <w:rFonts w:hint="default"/>
        <w:lang w:val="en-US" w:eastAsia="en-US" w:bidi="ar-SA"/>
      </w:rPr>
    </w:lvl>
    <w:lvl w:ilvl="3">
      <w:start w:val="0"/>
      <w:numFmt w:val="bullet"/>
      <w:lvlText w:val="•"/>
      <w:lvlJc w:val="left"/>
      <w:pPr>
        <w:ind w:left="4604" w:hanging="1440"/>
      </w:pPr>
      <w:rPr>
        <w:rFonts w:hint="default"/>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15">
    <w:multiLevelType w:val="hybridMultilevel"/>
    <w:lvl w:ilvl="0">
      <w:start w:val="3"/>
      <w:numFmt w:val="decimal"/>
      <w:lvlText w:val="%1"/>
      <w:lvlJc w:val="left"/>
      <w:pPr>
        <w:ind w:left="2062" w:hanging="1440"/>
        <w:jc w:val="left"/>
      </w:pPr>
      <w:rPr>
        <w:rFonts w:hint="default"/>
        <w:lang w:val="en-US" w:eastAsia="en-US" w:bidi="ar-SA"/>
      </w:rPr>
    </w:lvl>
    <w:lvl w:ilvl="1">
      <w:start w:val="1"/>
      <w:numFmt w:val="decimal"/>
      <w:lvlText w:val="%1.%2"/>
      <w:lvlJc w:val="left"/>
      <w:pPr>
        <w:ind w:left="206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28" w:hanging="1440"/>
      </w:pPr>
      <w:rPr>
        <w:rFonts w:hint="default"/>
        <w:lang w:val="en-US" w:eastAsia="en-US" w:bidi="ar-SA"/>
      </w:rPr>
    </w:lvl>
    <w:lvl w:ilvl="3">
      <w:start w:val="0"/>
      <w:numFmt w:val="bullet"/>
      <w:lvlText w:val="•"/>
      <w:lvlJc w:val="left"/>
      <w:pPr>
        <w:ind w:left="4562" w:hanging="1440"/>
      </w:pPr>
      <w:rPr>
        <w:rFonts w:hint="default"/>
        <w:lang w:val="en-US" w:eastAsia="en-US" w:bidi="ar-SA"/>
      </w:rPr>
    </w:lvl>
    <w:lvl w:ilvl="4">
      <w:start w:val="0"/>
      <w:numFmt w:val="bullet"/>
      <w:lvlText w:val="•"/>
      <w:lvlJc w:val="left"/>
      <w:pPr>
        <w:ind w:left="5396" w:hanging="1440"/>
      </w:pPr>
      <w:rPr>
        <w:rFonts w:hint="default"/>
        <w:lang w:val="en-US" w:eastAsia="en-US" w:bidi="ar-SA"/>
      </w:rPr>
    </w:lvl>
    <w:lvl w:ilvl="5">
      <w:start w:val="0"/>
      <w:numFmt w:val="bullet"/>
      <w:lvlText w:val="•"/>
      <w:lvlJc w:val="left"/>
      <w:pPr>
        <w:ind w:left="6230" w:hanging="1440"/>
      </w:pPr>
      <w:rPr>
        <w:rFonts w:hint="default"/>
        <w:lang w:val="en-US" w:eastAsia="en-US" w:bidi="ar-SA"/>
      </w:rPr>
    </w:lvl>
    <w:lvl w:ilvl="6">
      <w:start w:val="0"/>
      <w:numFmt w:val="bullet"/>
      <w:lvlText w:val="•"/>
      <w:lvlJc w:val="left"/>
      <w:pPr>
        <w:ind w:left="7064" w:hanging="1440"/>
      </w:pPr>
      <w:rPr>
        <w:rFonts w:hint="default"/>
        <w:lang w:val="en-US" w:eastAsia="en-US" w:bidi="ar-SA"/>
      </w:rPr>
    </w:lvl>
    <w:lvl w:ilvl="7">
      <w:start w:val="0"/>
      <w:numFmt w:val="bullet"/>
      <w:lvlText w:val="•"/>
      <w:lvlJc w:val="left"/>
      <w:pPr>
        <w:ind w:left="7898" w:hanging="1440"/>
      </w:pPr>
      <w:rPr>
        <w:rFonts w:hint="default"/>
        <w:lang w:val="en-US" w:eastAsia="en-US" w:bidi="ar-SA"/>
      </w:rPr>
    </w:lvl>
    <w:lvl w:ilvl="8">
      <w:start w:val="0"/>
      <w:numFmt w:val="bullet"/>
      <w:lvlText w:val="•"/>
      <w:lvlJc w:val="left"/>
      <w:pPr>
        <w:ind w:left="8732" w:hanging="1440"/>
      </w:pPr>
      <w:rPr>
        <w:rFonts w:hint="default"/>
        <w:lang w:val="en-US" w:eastAsia="en-US" w:bidi="ar-SA"/>
      </w:rPr>
    </w:lvl>
  </w:abstractNum>
  <w:abstractNum w:abstractNumId="14">
    <w:multiLevelType w:val="hybridMultilevel"/>
    <w:lvl w:ilvl="0">
      <w:start w:val="1"/>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76" w:hanging="1440"/>
      </w:pPr>
      <w:rPr>
        <w:rFonts w:hint="default"/>
        <w:lang w:val="en-US" w:eastAsia="en-US" w:bidi="ar-SA"/>
      </w:rPr>
    </w:lvl>
    <w:lvl w:ilvl="3">
      <w:start w:val="0"/>
      <w:numFmt w:val="bullet"/>
      <w:lvlText w:val="•"/>
      <w:lvlJc w:val="left"/>
      <w:pPr>
        <w:ind w:left="4604" w:hanging="1440"/>
      </w:pPr>
      <w:rPr>
        <w:rFonts w:hint="default"/>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13">
    <w:multiLevelType w:val="hybridMultilevel"/>
    <w:lvl w:ilvl="0">
      <w:start w:val="5"/>
      <w:numFmt w:val="decimal"/>
      <w:lvlText w:val="%1"/>
      <w:lvlJc w:val="left"/>
      <w:pPr>
        <w:ind w:left="1582" w:hanging="720"/>
        <w:jc w:val="left"/>
      </w:pPr>
      <w:rPr>
        <w:rFonts w:hint="default"/>
        <w:lang w:val="en-US" w:eastAsia="en-US" w:bidi="ar-SA"/>
      </w:rPr>
    </w:lvl>
    <w:lvl w:ilvl="1">
      <w:start w:val="1"/>
      <w:numFmt w:val="decimal"/>
      <w:lvlText w:val="%1.%2"/>
      <w:lvlJc w:val="left"/>
      <w:pPr>
        <w:ind w:left="158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44" w:hanging="720"/>
      </w:pPr>
      <w:rPr>
        <w:rFonts w:hint="default"/>
        <w:lang w:val="en-US" w:eastAsia="en-US" w:bidi="ar-SA"/>
      </w:rPr>
    </w:lvl>
    <w:lvl w:ilvl="3">
      <w:start w:val="0"/>
      <w:numFmt w:val="bullet"/>
      <w:lvlText w:val="•"/>
      <w:lvlJc w:val="left"/>
      <w:pPr>
        <w:ind w:left="4226" w:hanging="720"/>
      </w:pPr>
      <w:rPr>
        <w:rFonts w:hint="default"/>
        <w:lang w:val="en-US" w:eastAsia="en-US" w:bidi="ar-SA"/>
      </w:rPr>
    </w:lvl>
    <w:lvl w:ilvl="4">
      <w:start w:val="0"/>
      <w:numFmt w:val="bullet"/>
      <w:lvlText w:val="•"/>
      <w:lvlJc w:val="left"/>
      <w:pPr>
        <w:ind w:left="5108"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72" w:hanging="720"/>
      </w:pPr>
      <w:rPr>
        <w:rFonts w:hint="default"/>
        <w:lang w:val="en-US" w:eastAsia="en-US" w:bidi="ar-SA"/>
      </w:rPr>
    </w:lvl>
    <w:lvl w:ilvl="7">
      <w:start w:val="0"/>
      <w:numFmt w:val="bullet"/>
      <w:lvlText w:val="•"/>
      <w:lvlJc w:val="left"/>
      <w:pPr>
        <w:ind w:left="7754" w:hanging="720"/>
      </w:pPr>
      <w:rPr>
        <w:rFonts w:hint="default"/>
        <w:lang w:val="en-US" w:eastAsia="en-US" w:bidi="ar-SA"/>
      </w:rPr>
    </w:lvl>
    <w:lvl w:ilvl="8">
      <w:start w:val="0"/>
      <w:numFmt w:val="bullet"/>
      <w:lvlText w:val="•"/>
      <w:lvlJc w:val="left"/>
      <w:pPr>
        <w:ind w:left="8636" w:hanging="720"/>
      </w:pPr>
      <w:rPr>
        <w:rFonts w:hint="default"/>
        <w:lang w:val="en-US" w:eastAsia="en-US" w:bidi="ar-SA"/>
      </w:rPr>
    </w:lvl>
  </w:abstractNum>
  <w:abstractNum w:abstractNumId="12">
    <w:multiLevelType w:val="hybridMultilevel"/>
    <w:lvl w:ilvl="0">
      <w:start w:val="4"/>
      <w:numFmt w:val="decimal"/>
      <w:lvlText w:val="%1"/>
      <w:lvlJc w:val="left"/>
      <w:pPr>
        <w:ind w:left="1522" w:hanging="660"/>
        <w:jc w:val="left"/>
      </w:pPr>
      <w:rPr>
        <w:rFonts w:hint="default"/>
        <w:lang w:val="en-US" w:eastAsia="en-US" w:bidi="ar-SA"/>
      </w:rPr>
    </w:lvl>
    <w:lvl w:ilvl="1">
      <w:start w:val="7"/>
      <w:numFmt w:val="decimal"/>
      <w:lvlText w:val="%1.%2"/>
      <w:lvlJc w:val="left"/>
      <w:pPr>
        <w:ind w:left="152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96" w:hanging="660"/>
      </w:pPr>
      <w:rPr>
        <w:rFonts w:hint="default"/>
        <w:lang w:val="en-US" w:eastAsia="en-US" w:bidi="ar-SA"/>
      </w:rPr>
    </w:lvl>
    <w:lvl w:ilvl="3">
      <w:start w:val="0"/>
      <w:numFmt w:val="bullet"/>
      <w:lvlText w:val="•"/>
      <w:lvlJc w:val="left"/>
      <w:pPr>
        <w:ind w:left="4184" w:hanging="660"/>
      </w:pPr>
      <w:rPr>
        <w:rFonts w:hint="default"/>
        <w:lang w:val="en-US" w:eastAsia="en-US" w:bidi="ar-SA"/>
      </w:rPr>
    </w:lvl>
    <w:lvl w:ilvl="4">
      <w:start w:val="0"/>
      <w:numFmt w:val="bullet"/>
      <w:lvlText w:val="•"/>
      <w:lvlJc w:val="left"/>
      <w:pPr>
        <w:ind w:left="5072" w:hanging="660"/>
      </w:pPr>
      <w:rPr>
        <w:rFonts w:hint="default"/>
        <w:lang w:val="en-US" w:eastAsia="en-US" w:bidi="ar-SA"/>
      </w:rPr>
    </w:lvl>
    <w:lvl w:ilvl="5">
      <w:start w:val="0"/>
      <w:numFmt w:val="bullet"/>
      <w:lvlText w:val="•"/>
      <w:lvlJc w:val="left"/>
      <w:pPr>
        <w:ind w:left="5960" w:hanging="660"/>
      </w:pPr>
      <w:rPr>
        <w:rFonts w:hint="default"/>
        <w:lang w:val="en-US" w:eastAsia="en-US" w:bidi="ar-SA"/>
      </w:rPr>
    </w:lvl>
    <w:lvl w:ilvl="6">
      <w:start w:val="0"/>
      <w:numFmt w:val="bullet"/>
      <w:lvlText w:val="•"/>
      <w:lvlJc w:val="left"/>
      <w:pPr>
        <w:ind w:left="6848" w:hanging="660"/>
      </w:pPr>
      <w:rPr>
        <w:rFonts w:hint="default"/>
        <w:lang w:val="en-US" w:eastAsia="en-US" w:bidi="ar-SA"/>
      </w:rPr>
    </w:lvl>
    <w:lvl w:ilvl="7">
      <w:start w:val="0"/>
      <w:numFmt w:val="bullet"/>
      <w:lvlText w:val="•"/>
      <w:lvlJc w:val="left"/>
      <w:pPr>
        <w:ind w:left="7736" w:hanging="660"/>
      </w:pPr>
      <w:rPr>
        <w:rFonts w:hint="default"/>
        <w:lang w:val="en-US" w:eastAsia="en-US" w:bidi="ar-SA"/>
      </w:rPr>
    </w:lvl>
    <w:lvl w:ilvl="8">
      <w:start w:val="0"/>
      <w:numFmt w:val="bullet"/>
      <w:lvlText w:val="•"/>
      <w:lvlJc w:val="left"/>
      <w:pPr>
        <w:ind w:left="8624" w:hanging="660"/>
      </w:pPr>
      <w:rPr>
        <w:rFonts w:hint="default"/>
        <w:lang w:val="en-US" w:eastAsia="en-US" w:bidi="ar-SA"/>
      </w:rPr>
    </w:lvl>
  </w:abstractNum>
  <w:abstractNum w:abstractNumId="11">
    <w:multiLevelType w:val="hybridMultilevel"/>
    <w:lvl w:ilvl="0">
      <w:start w:val="4"/>
      <w:numFmt w:val="decimal"/>
      <w:lvlText w:val="%1"/>
      <w:lvlJc w:val="left"/>
      <w:pPr>
        <w:ind w:left="1342" w:hanging="660"/>
        <w:jc w:val="left"/>
      </w:pPr>
      <w:rPr>
        <w:rFonts w:hint="default"/>
        <w:lang w:val="en-US" w:eastAsia="en-US" w:bidi="ar-SA"/>
      </w:rPr>
    </w:lvl>
    <w:lvl w:ilvl="1">
      <w:start w:val="1"/>
      <w:numFmt w:val="decimal"/>
      <w:lvlText w:val="%1.%2"/>
      <w:lvlJc w:val="left"/>
      <w:pPr>
        <w:ind w:left="134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52" w:hanging="660"/>
      </w:pPr>
      <w:rPr>
        <w:rFonts w:hint="default"/>
        <w:lang w:val="en-US" w:eastAsia="en-US" w:bidi="ar-SA"/>
      </w:rPr>
    </w:lvl>
    <w:lvl w:ilvl="3">
      <w:start w:val="0"/>
      <w:numFmt w:val="bullet"/>
      <w:lvlText w:val="•"/>
      <w:lvlJc w:val="left"/>
      <w:pPr>
        <w:ind w:left="4058" w:hanging="660"/>
      </w:pPr>
      <w:rPr>
        <w:rFonts w:hint="default"/>
        <w:lang w:val="en-US" w:eastAsia="en-US" w:bidi="ar-SA"/>
      </w:rPr>
    </w:lvl>
    <w:lvl w:ilvl="4">
      <w:start w:val="0"/>
      <w:numFmt w:val="bullet"/>
      <w:lvlText w:val="•"/>
      <w:lvlJc w:val="left"/>
      <w:pPr>
        <w:ind w:left="4964" w:hanging="660"/>
      </w:pPr>
      <w:rPr>
        <w:rFonts w:hint="default"/>
        <w:lang w:val="en-US" w:eastAsia="en-US" w:bidi="ar-SA"/>
      </w:rPr>
    </w:lvl>
    <w:lvl w:ilvl="5">
      <w:start w:val="0"/>
      <w:numFmt w:val="bullet"/>
      <w:lvlText w:val="•"/>
      <w:lvlJc w:val="left"/>
      <w:pPr>
        <w:ind w:left="5870" w:hanging="660"/>
      </w:pPr>
      <w:rPr>
        <w:rFonts w:hint="default"/>
        <w:lang w:val="en-US" w:eastAsia="en-US" w:bidi="ar-SA"/>
      </w:rPr>
    </w:lvl>
    <w:lvl w:ilvl="6">
      <w:start w:val="0"/>
      <w:numFmt w:val="bullet"/>
      <w:lvlText w:val="•"/>
      <w:lvlJc w:val="left"/>
      <w:pPr>
        <w:ind w:left="6776" w:hanging="660"/>
      </w:pPr>
      <w:rPr>
        <w:rFonts w:hint="default"/>
        <w:lang w:val="en-US" w:eastAsia="en-US" w:bidi="ar-SA"/>
      </w:rPr>
    </w:lvl>
    <w:lvl w:ilvl="7">
      <w:start w:val="0"/>
      <w:numFmt w:val="bullet"/>
      <w:lvlText w:val="•"/>
      <w:lvlJc w:val="left"/>
      <w:pPr>
        <w:ind w:left="7682" w:hanging="660"/>
      </w:pPr>
      <w:rPr>
        <w:rFonts w:hint="default"/>
        <w:lang w:val="en-US" w:eastAsia="en-US" w:bidi="ar-SA"/>
      </w:rPr>
    </w:lvl>
    <w:lvl w:ilvl="8">
      <w:start w:val="0"/>
      <w:numFmt w:val="bullet"/>
      <w:lvlText w:val="•"/>
      <w:lvlJc w:val="left"/>
      <w:pPr>
        <w:ind w:left="8588" w:hanging="660"/>
      </w:pPr>
      <w:rPr>
        <w:rFonts w:hint="default"/>
        <w:lang w:val="en-US" w:eastAsia="en-US" w:bidi="ar-SA"/>
      </w:rPr>
    </w:lvl>
  </w:abstractNum>
  <w:abstractNum w:abstractNumId="10">
    <w:multiLevelType w:val="hybridMultilevel"/>
    <w:lvl w:ilvl="0">
      <w:start w:val="3"/>
      <w:numFmt w:val="decimal"/>
      <w:lvlText w:val="%1"/>
      <w:lvlJc w:val="left"/>
      <w:pPr>
        <w:ind w:left="1342" w:hanging="660"/>
        <w:jc w:val="left"/>
      </w:pPr>
      <w:rPr>
        <w:rFonts w:hint="default"/>
        <w:lang w:val="en-US" w:eastAsia="en-US" w:bidi="ar-SA"/>
      </w:rPr>
    </w:lvl>
    <w:lvl w:ilvl="1">
      <w:start w:val="1"/>
      <w:numFmt w:val="decimal"/>
      <w:lvlText w:val="%1.%2"/>
      <w:lvlJc w:val="left"/>
      <w:pPr>
        <w:ind w:left="134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52" w:hanging="660"/>
      </w:pPr>
      <w:rPr>
        <w:rFonts w:hint="default"/>
        <w:lang w:val="en-US" w:eastAsia="en-US" w:bidi="ar-SA"/>
      </w:rPr>
    </w:lvl>
    <w:lvl w:ilvl="3">
      <w:start w:val="0"/>
      <w:numFmt w:val="bullet"/>
      <w:lvlText w:val="•"/>
      <w:lvlJc w:val="left"/>
      <w:pPr>
        <w:ind w:left="4058" w:hanging="660"/>
      </w:pPr>
      <w:rPr>
        <w:rFonts w:hint="default"/>
        <w:lang w:val="en-US" w:eastAsia="en-US" w:bidi="ar-SA"/>
      </w:rPr>
    </w:lvl>
    <w:lvl w:ilvl="4">
      <w:start w:val="0"/>
      <w:numFmt w:val="bullet"/>
      <w:lvlText w:val="•"/>
      <w:lvlJc w:val="left"/>
      <w:pPr>
        <w:ind w:left="4964" w:hanging="660"/>
      </w:pPr>
      <w:rPr>
        <w:rFonts w:hint="default"/>
        <w:lang w:val="en-US" w:eastAsia="en-US" w:bidi="ar-SA"/>
      </w:rPr>
    </w:lvl>
    <w:lvl w:ilvl="5">
      <w:start w:val="0"/>
      <w:numFmt w:val="bullet"/>
      <w:lvlText w:val="•"/>
      <w:lvlJc w:val="left"/>
      <w:pPr>
        <w:ind w:left="5870" w:hanging="660"/>
      </w:pPr>
      <w:rPr>
        <w:rFonts w:hint="default"/>
        <w:lang w:val="en-US" w:eastAsia="en-US" w:bidi="ar-SA"/>
      </w:rPr>
    </w:lvl>
    <w:lvl w:ilvl="6">
      <w:start w:val="0"/>
      <w:numFmt w:val="bullet"/>
      <w:lvlText w:val="•"/>
      <w:lvlJc w:val="left"/>
      <w:pPr>
        <w:ind w:left="6776" w:hanging="660"/>
      </w:pPr>
      <w:rPr>
        <w:rFonts w:hint="default"/>
        <w:lang w:val="en-US" w:eastAsia="en-US" w:bidi="ar-SA"/>
      </w:rPr>
    </w:lvl>
    <w:lvl w:ilvl="7">
      <w:start w:val="0"/>
      <w:numFmt w:val="bullet"/>
      <w:lvlText w:val="•"/>
      <w:lvlJc w:val="left"/>
      <w:pPr>
        <w:ind w:left="7682" w:hanging="660"/>
      </w:pPr>
      <w:rPr>
        <w:rFonts w:hint="default"/>
        <w:lang w:val="en-US" w:eastAsia="en-US" w:bidi="ar-SA"/>
      </w:rPr>
    </w:lvl>
    <w:lvl w:ilvl="8">
      <w:start w:val="0"/>
      <w:numFmt w:val="bullet"/>
      <w:lvlText w:val="•"/>
      <w:lvlJc w:val="left"/>
      <w:pPr>
        <w:ind w:left="8588" w:hanging="660"/>
      </w:pPr>
      <w:rPr>
        <w:rFonts w:hint="default"/>
        <w:lang w:val="en-US" w:eastAsia="en-US" w:bidi="ar-SA"/>
      </w:rPr>
    </w:lvl>
  </w:abstractNum>
  <w:abstractNum w:abstractNumId="9">
    <w:multiLevelType w:val="hybridMultilevel"/>
    <w:lvl w:ilvl="0">
      <w:start w:val="1"/>
      <w:numFmt w:val="decimal"/>
      <w:lvlText w:val="%1"/>
      <w:lvlJc w:val="left"/>
      <w:pPr>
        <w:ind w:left="1342" w:hanging="660"/>
        <w:jc w:val="left"/>
      </w:pPr>
      <w:rPr>
        <w:rFonts w:hint="default"/>
        <w:lang w:val="en-US" w:eastAsia="en-US" w:bidi="ar-SA"/>
      </w:rPr>
    </w:lvl>
    <w:lvl w:ilvl="1">
      <w:start w:val="1"/>
      <w:numFmt w:val="decimal"/>
      <w:lvlText w:val="%1.%2"/>
      <w:lvlJc w:val="left"/>
      <w:pPr>
        <w:ind w:left="134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52" w:hanging="660"/>
      </w:pPr>
      <w:rPr>
        <w:rFonts w:hint="default"/>
        <w:lang w:val="en-US" w:eastAsia="en-US" w:bidi="ar-SA"/>
      </w:rPr>
    </w:lvl>
    <w:lvl w:ilvl="3">
      <w:start w:val="0"/>
      <w:numFmt w:val="bullet"/>
      <w:lvlText w:val="•"/>
      <w:lvlJc w:val="left"/>
      <w:pPr>
        <w:ind w:left="4058" w:hanging="660"/>
      </w:pPr>
      <w:rPr>
        <w:rFonts w:hint="default"/>
        <w:lang w:val="en-US" w:eastAsia="en-US" w:bidi="ar-SA"/>
      </w:rPr>
    </w:lvl>
    <w:lvl w:ilvl="4">
      <w:start w:val="0"/>
      <w:numFmt w:val="bullet"/>
      <w:lvlText w:val="•"/>
      <w:lvlJc w:val="left"/>
      <w:pPr>
        <w:ind w:left="4964" w:hanging="660"/>
      </w:pPr>
      <w:rPr>
        <w:rFonts w:hint="default"/>
        <w:lang w:val="en-US" w:eastAsia="en-US" w:bidi="ar-SA"/>
      </w:rPr>
    </w:lvl>
    <w:lvl w:ilvl="5">
      <w:start w:val="0"/>
      <w:numFmt w:val="bullet"/>
      <w:lvlText w:val="•"/>
      <w:lvlJc w:val="left"/>
      <w:pPr>
        <w:ind w:left="5870" w:hanging="660"/>
      </w:pPr>
      <w:rPr>
        <w:rFonts w:hint="default"/>
        <w:lang w:val="en-US" w:eastAsia="en-US" w:bidi="ar-SA"/>
      </w:rPr>
    </w:lvl>
    <w:lvl w:ilvl="6">
      <w:start w:val="0"/>
      <w:numFmt w:val="bullet"/>
      <w:lvlText w:val="•"/>
      <w:lvlJc w:val="left"/>
      <w:pPr>
        <w:ind w:left="6776" w:hanging="660"/>
      </w:pPr>
      <w:rPr>
        <w:rFonts w:hint="default"/>
        <w:lang w:val="en-US" w:eastAsia="en-US" w:bidi="ar-SA"/>
      </w:rPr>
    </w:lvl>
    <w:lvl w:ilvl="7">
      <w:start w:val="0"/>
      <w:numFmt w:val="bullet"/>
      <w:lvlText w:val="•"/>
      <w:lvlJc w:val="left"/>
      <w:pPr>
        <w:ind w:left="7682" w:hanging="660"/>
      </w:pPr>
      <w:rPr>
        <w:rFonts w:hint="default"/>
        <w:lang w:val="en-US" w:eastAsia="en-US" w:bidi="ar-SA"/>
      </w:rPr>
    </w:lvl>
    <w:lvl w:ilvl="8">
      <w:start w:val="0"/>
      <w:numFmt w:val="bullet"/>
      <w:lvlText w:val="•"/>
      <w:lvlJc w:val="left"/>
      <w:pPr>
        <w:ind w:left="8588" w:hanging="660"/>
      </w:pPr>
      <w:rPr>
        <w:rFonts w:hint="default"/>
        <w:lang w:val="en-US" w:eastAsia="en-US" w:bidi="ar-SA"/>
      </w:rPr>
    </w:lvl>
  </w:abstractNum>
  <w:abstractNum w:abstractNumId="8">
    <w:multiLevelType w:val="hybridMultilevel"/>
    <w:lvl w:ilvl="0">
      <w:start w:val="5"/>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76" w:hanging="1440"/>
      </w:pPr>
      <w:rPr>
        <w:rFonts w:hint="default"/>
        <w:lang w:val="en-US" w:eastAsia="en-US" w:bidi="ar-SA"/>
      </w:rPr>
    </w:lvl>
    <w:lvl w:ilvl="3">
      <w:start w:val="0"/>
      <w:numFmt w:val="bullet"/>
      <w:lvlText w:val="•"/>
      <w:lvlJc w:val="left"/>
      <w:pPr>
        <w:ind w:left="4604" w:hanging="1440"/>
      </w:pPr>
      <w:rPr>
        <w:rFonts w:hint="default"/>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7">
    <w:multiLevelType w:val="hybridMultilevel"/>
    <w:lvl w:ilvl="0">
      <w:start w:val="4"/>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6">
    <w:multiLevelType w:val="hybridMultilevel"/>
    <w:lvl w:ilvl="0">
      <w:start w:val="3"/>
      <w:numFmt w:val="decimal"/>
      <w:lvlText w:val="%1"/>
      <w:lvlJc w:val="left"/>
      <w:pPr>
        <w:ind w:left="2122" w:hanging="1440"/>
        <w:jc w:val="left"/>
      </w:pPr>
      <w:rPr>
        <w:rFonts w:hint="default"/>
        <w:lang w:val="en-US" w:eastAsia="en-US" w:bidi="ar-SA"/>
      </w:rPr>
    </w:lvl>
    <w:lvl w:ilvl="1">
      <w:start w:val="5"/>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04" w:hanging="1440"/>
      </w:pPr>
      <w:rPr>
        <w:rFonts w:hint="default"/>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5">
    <w:multiLevelType w:val="hybridMultilevel"/>
    <w:lvl w:ilvl="0">
      <w:start w:val="3"/>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062" w:hanging="13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60" w:hanging="1380"/>
      </w:pPr>
      <w:rPr>
        <w:rFonts w:hint="default"/>
        <w:lang w:val="en-US" w:eastAsia="en-US" w:bidi="ar-SA"/>
      </w:rPr>
    </w:lvl>
    <w:lvl w:ilvl="4">
      <w:start w:val="0"/>
      <w:numFmt w:val="bullet"/>
      <w:lvlText w:val="•"/>
      <w:lvlJc w:val="left"/>
      <w:pPr>
        <w:ind w:left="4880" w:hanging="1380"/>
      </w:pPr>
      <w:rPr>
        <w:rFonts w:hint="default"/>
        <w:lang w:val="en-US" w:eastAsia="en-US" w:bidi="ar-SA"/>
      </w:rPr>
    </w:lvl>
    <w:lvl w:ilvl="5">
      <w:start w:val="0"/>
      <w:numFmt w:val="bullet"/>
      <w:lvlText w:val="•"/>
      <w:lvlJc w:val="left"/>
      <w:pPr>
        <w:ind w:left="5800" w:hanging="1380"/>
      </w:pPr>
      <w:rPr>
        <w:rFonts w:hint="default"/>
        <w:lang w:val="en-US" w:eastAsia="en-US" w:bidi="ar-SA"/>
      </w:rPr>
    </w:lvl>
    <w:lvl w:ilvl="6">
      <w:start w:val="0"/>
      <w:numFmt w:val="bullet"/>
      <w:lvlText w:val="•"/>
      <w:lvlJc w:val="left"/>
      <w:pPr>
        <w:ind w:left="6720" w:hanging="1380"/>
      </w:pPr>
      <w:rPr>
        <w:rFonts w:hint="default"/>
        <w:lang w:val="en-US" w:eastAsia="en-US" w:bidi="ar-SA"/>
      </w:rPr>
    </w:lvl>
    <w:lvl w:ilvl="7">
      <w:start w:val="0"/>
      <w:numFmt w:val="bullet"/>
      <w:lvlText w:val="•"/>
      <w:lvlJc w:val="left"/>
      <w:pPr>
        <w:ind w:left="7640" w:hanging="1380"/>
      </w:pPr>
      <w:rPr>
        <w:rFonts w:hint="default"/>
        <w:lang w:val="en-US" w:eastAsia="en-US" w:bidi="ar-SA"/>
      </w:rPr>
    </w:lvl>
    <w:lvl w:ilvl="8">
      <w:start w:val="0"/>
      <w:numFmt w:val="bullet"/>
      <w:lvlText w:val="•"/>
      <w:lvlJc w:val="left"/>
      <w:pPr>
        <w:ind w:left="8560" w:hanging="1380"/>
      </w:pPr>
      <w:rPr>
        <w:rFonts w:hint="default"/>
        <w:lang w:val="en-US" w:eastAsia="en-US" w:bidi="ar-SA"/>
      </w:rPr>
    </w:lvl>
  </w:abstractNum>
  <w:abstractNum w:abstractNumId="4">
    <w:multiLevelType w:val="hybridMultilevel"/>
    <w:lvl w:ilvl="0">
      <w:start w:val="2"/>
      <w:numFmt w:val="decimal"/>
      <w:lvlText w:val="%1"/>
      <w:lvlJc w:val="left"/>
      <w:pPr>
        <w:ind w:left="2182" w:hanging="1500"/>
        <w:jc w:val="left"/>
      </w:pPr>
      <w:rPr>
        <w:rFonts w:hint="default"/>
        <w:lang w:val="en-US" w:eastAsia="en-US" w:bidi="ar-SA"/>
      </w:rPr>
    </w:lvl>
    <w:lvl w:ilvl="1">
      <w:start w:val="13"/>
      <w:numFmt w:val="decimal"/>
      <w:lvlText w:val="%1.%2"/>
      <w:lvlJc w:val="left"/>
      <w:pPr>
        <w:ind w:left="2182" w:hanging="1500"/>
        <w:jc w:val="left"/>
      </w:pPr>
      <w:rPr>
        <w:rFonts w:hint="default"/>
        <w:lang w:val="en-US" w:eastAsia="en-US" w:bidi="ar-SA"/>
      </w:rPr>
    </w:lvl>
    <w:lvl w:ilvl="2">
      <w:start w:val="1"/>
      <w:numFmt w:val="decimal"/>
      <w:lvlText w:val="%1.%2.%3"/>
      <w:lvlJc w:val="left"/>
      <w:pPr>
        <w:ind w:left="2182" w:hanging="15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46" w:hanging="1500"/>
      </w:pPr>
      <w:rPr>
        <w:rFonts w:hint="default"/>
        <w:lang w:val="en-US" w:eastAsia="en-US" w:bidi="ar-SA"/>
      </w:rPr>
    </w:lvl>
    <w:lvl w:ilvl="4">
      <w:start w:val="0"/>
      <w:numFmt w:val="bullet"/>
      <w:lvlText w:val="•"/>
      <w:lvlJc w:val="left"/>
      <w:pPr>
        <w:ind w:left="5468" w:hanging="1500"/>
      </w:pPr>
      <w:rPr>
        <w:rFonts w:hint="default"/>
        <w:lang w:val="en-US" w:eastAsia="en-US" w:bidi="ar-SA"/>
      </w:rPr>
    </w:lvl>
    <w:lvl w:ilvl="5">
      <w:start w:val="0"/>
      <w:numFmt w:val="bullet"/>
      <w:lvlText w:val="•"/>
      <w:lvlJc w:val="left"/>
      <w:pPr>
        <w:ind w:left="6290" w:hanging="1500"/>
      </w:pPr>
      <w:rPr>
        <w:rFonts w:hint="default"/>
        <w:lang w:val="en-US" w:eastAsia="en-US" w:bidi="ar-SA"/>
      </w:rPr>
    </w:lvl>
    <w:lvl w:ilvl="6">
      <w:start w:val="0"/>
      <w:numFmt w:val="bullet"/>
      <w:lvlText w:val="•"/>
      <w:lvlJc w:val="left"/>
      <w:pPr>
        <w:ind w:left="7112" w:hanging="1500"/>
      </w:pPr>
      <w:rPr>
        <w:rFonts w:hint="default"/>
        <w:lang w:val="en-US" w:eastAsia="en-US" w:bidi="ar-SA"/>
      </w:rPr>
    </w:lvl>
    <w:lvl w:ilvl="7">
      <w:start w:val="0"/>
      <w:numFmt w:val="bullet"/>
      <w:lvlText w:val="•"/>
      <w:lvlJc w:val="left"/>
      <w:pPr>
        <w:ind w:left="7934" w:hanging="1500"/>
      </w:pPr>
      <w:rPr>
        <w:rFonts w:hint="default"/>
        <w:lang w:val="en-US" w:eastAsia="en-US" w:bidi="ar-SA"/>
      </w:rPr>
    </w:lvl>
    <w:lvl w:ilvl="8">
      <w:start w:val="0"/>
      <w:numFmt w:val="bullet"/>
      <w:lvlText w:val="•"/>
      <w:lvlJc w:val="left"/>
      <w:pPr>
        <w:ind w:left="8756" w:hanging="1500"/>
      </w:pPr>
      <w:rPr>
        <w:rFonts w:hint="default"/>
        <w:lang w:val="en-US" w:eastAsia="en-US" w:bidi="ar-SA"/>
      </w:rPr>
    </w:lvl>
  </w:abstractNum>
  <w:abstractNum w:abstractNumId="3">
    <w:multiLevelType w:val="hybridMultilevel"/>
    <w:lvl w:ilvl="0">
      <w:start w:val="2"/>
      <w:numFmt w:val="decimal"/>
      <w:lvlText w:val="%1"/>
      <w:lvlJc w:val="left"/>
      <w:pPr>
        <w:ind w:left="2182" w:hanging="1500"/>
        <w:jc w:val="left"/>
      </w:pPr>
      <w:rPr>
        <w:rFonts w:hint="default"/>
        <w:lang w:val="en-US" w:eastAsia="en-US" w:bidi="ar-SA"/>
      </w:rPr>
    </w:lvl>
    <w:lvl w:ilvl="1">
      <w:start w:val="10"/>
      <w:numFmt w:val="decimal"/>
      <w:lvlText w:val="%1.%2"/>
      <w:lvlJc w:val="left"/>
      <w:pPr>
        <w:ind w:left="2182" w:hanging="1500"/>
        <w:jc w:val="left"/>
      </w:pPr>
      <w:rPr>
        <w:rFonts w:hint="default"/>
        <w:lang w:val="en-US" w:eastAsia="en-US" w:bidi="ar-SA"/>
      </w:rPr>
    </w:lvl>
    <w:lvl w:ilvl="2">
      <w:start w:val="5"/>
      <w:numFmt w:val="decimal"/>
      <w:lvlText w:val="%1.%2.%3"/>
      <w:lvlJc w:val="left"/>
      <w:pPr>
        <w:ind w:left="2182" w:hanging="15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46" w:hanging="1500"/>
      </w:pPr>
      <w:rPr>
        <w:rFonts w:hint="default"/>
        <w:lang w:val="en-US" w:eastAsia="en-US" w:bidi="ar-SA"/>
      </w:rPr>
    </w:lvl>
    <w:lvl w:ilvl="4">
      <w:start w:val="0"/>
      <w:numFmt w:val="bullet"/>
      <w:lvlText w:val="•"/>
      <w:lvlJc w:val="left"/>
      <w:pPr>
        <w:ind w:left="5468" w:hanging="1500"/>
      </w:pPr>
      <w:rPr>
        <w:rFonts w:hint="default"/>
        <w:lang w:val="en-US" w:eastAsia="en-US" w:bidi="ar-SA"/>
      </w:rPr>
    </w:lvl>
    <w:lvl w:ilvl="5">
      <w:start w:val="0"/>
      <w:numFmt w:val="bullet"/>
      <w:lvlText w:val="•"/>
      <w:lvlJc w:val="left"/>
      <w:pPr>
        <w:ind w:left="6290" w:hanging="1500"/>
      </w:pPr>
      <w:rPr>
        <w:rFonts w:hint="default"/>
        <w:lang w:val="en-US" w:eastAsia="en-US" w:bidi="ar-SA"/>
      </w:rPr>
    </w:lvl>
    <w:lvl w:ilvl="6">
      <w:start w:val="0"/>
      <w:numFmt w:val="bullet"/>
      <w:lvlText w:val="•"/>
      <w:lvlJc w:val="left"/>
      <w:pPr>
        <w:ind w:left="7112" w:hanging="1500"/>
      </w:pPr>
      <w:rPr>
        <w:rFonts w:hint="default"/>
        <w:lang w:val="en-US" w:eastAsia="en-US" w:bidi="ar-SA"/>
      </w:rPr>
    </w:lvl>
    <w:lvl w:ilvl="7">
      <w:start w:val="0"/>
      <w:numFmt w:val="bullet"/>
      <w:lvlText w:val="•"/>
      <w:lvlJc w:val="left"/>
      <w:pPr>
        <w:ind w:left="7934" w:hanging="1500"/>
      </w:pPr>
      <w:rPr>
        <w:rFonts w:hint="default"/>
        <w:lang w:val="en-US" w:eastAsia="en-US" w:bidi="ar-SA"/>
      </w:rPr>
    </w:lvl>
    <w:lvl w:ilvl="8">
      <w:start w:val="0"/>
      <w:numFmt w:val="bullet"/>
      <w:lvlText w:val="•"/>
      <w:lvlJc w:val="left"/>
      <w:pPr>
        <w:ind w:left="8756" w:hanging="1500"/>
      </w:pPr>
      <w:rPr>
        <w:rFonts w:hint="default"/>
        <w:lang w:val="en-US" w:eastAsia="en-US" w:bidi="ar-SA"/>
      </w:rPr>
    </w:lvl>
  </w:abstractNum>
  <w:abstractNum w:abstractNumId="2">
    <w:multiLevelType w:val="hybridMultilevel"/>
    <w:lvl w:ilvl="0">
      <w:start w:val="2"/>
      <w:numFmt w:val="decimal"/>
      <w:lvlText w:val="%1"/>
      <w:lvlJc w:val="left"/>
      <w:pPr>
        <w:ind w:left="2122" w:hanging="1440"/>
        <w:jc w:val="left"/>
      </w:pPr>
      <w:rPr>
        <w:rFonts w:hint="default"/>
        <w:lang w:val="en-US" w:eastAsia="en-US" w:bidi="ar-SA"/>
      </w:rPr>
    </w:lvl>
    <w:lvl w:ilvl="1">
      <w:start w:val="7"/>
      <w:numFmt w:val="decimal"/>
      <w:lvlText w:val="%1.%2"/>
      <w:lvlJc w:val="left"/>
      <w:pPr>
        <w:ind w:left="2122" w:hanging="1440"/>
        <w:jc w:val="left"/>
      </w:pPr>
      <w:rPr>
        <w:rFonts w:hint="default"/>
        <w:lang w:val="en-US" w:eastAsia="en-US" w:bidi="ar-SA"/>
      </w:rPr>
    </w:lvl>
    <w:lvl w:ilvl="2">
      <w:start w:val="5"/>
      <w:numFmt w:val="decimal"/>
      <w:lvlText w:val="%1.%2.%3"/>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04" w:hanging="1440"/>
      </w:pPr>
      <w:rPr>
        <w:rFonts w:hint="default"/>
        <w:lang w:val="en-US" w:eastAsia="en-US" w:bidi="ar-SA"/>
      </w:rPr>
    </w:lvl>
    <w:lvl w:ilvl="4">
      <w:start w:val="0"/>
      <w:numFmt w:val="bullet"/>
      <w:lvlText w:val="•"/>
      <w:lvlJc w:val="left"/>
      <w:pPr>
        <w:ind w:left="5432" w:hanging="1440"/>
      </w:pPr>
      <w:rPr>
        <w:rFonts w:hint="default"/>
        <w:lang w:val="en-US" w:eastAsia="en-US" w:bidi="ar-SA"/>
      </w:rPr>
    </w:lvl>
    <w:lvl w:ilvl="5">
      <w:start w:val="0"/>
      <w:numFmt w:val="bullet"/>
      <w:lvlText w:val="•"/>
      <w:lvlJc w:val="left"/>
      <w:pPr>
        <w:ind w:left="6260" w:hanging="1440"/>
      </w:pPr>
      <w:rPr>
        <w:rFonts w:hint="default"/>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abstractNum w:abstractNumId="1">
    <w:multiLevelType w:val="hybridMultilevel"/>
    <w:lvl w:ilvl="0">
      <w:start w:val="2"/>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82" w:hanging="15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1.%2.%3.%4.%5"/>
      <w:lvlJc w:val="left"/>
      <w:pPr>
        <w:ind w:left="2182" w:hanging="15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5833" w:hanging="1500"/>
      </w:pPr>
      <w:rPr>
        <w:rFonts w:hint="default"/>
        <w:lang w:val="en-US" w:eastAsia="en-US" w:bidi="ar-SA"/>
      </w:rPr>
    </w:lvl>
    <w:lvl w:ilvl="6">
      <w:start w:val="0"/>
      <w:numFmt w:val="bullet"/>
      <w:lvlText w:val="•"/>
      <w:lvlJc w:val="left"/>
      <w:pPr>
        <w:ind w:left="6746" w:hanging="1500"/>
      </w:pPr>
      <w:rPr>
        <w:rFonts w:hint="default"/>
        <w:lang w:val="en-US" w:eastAsia="en-US" w:bidi="ar-SA"/>
      </w:rPr>
    </w:lvl>
    <w:lvl w:ilvl="7">
      <w:start w:val="0"/>
      <w:numFmt w:val="bullet"/>
      <w:lvlText w:val="•"/>
      <w:lvlJc w:val="left"/>
      <w:pPr>
        <w:ind w:left="7660" w:hanging="1500"/>
      </w:pPr>
      <w:rPr>
        <w:rFonts w:hint="default"/>
        <w:lang w:val="en-US" w:eastAsia="en-US" w:bidi="ar-SA"/>
      </w:rPr>
    </w:lvl>
    <w:lvl w:ilvl="8">
      <w:start w:val="0"/>
      <w:numFmt w:val="bullet"/>
      <w:lvlText w:val="•"/>
      <w:lvlJc w:val="left"/>
      <w:pPr>
        <w:ind w:left="8573" w:hanging="1500"/>
      </w:pPr>
      <w:rPr>
        <w:rFonts w:hint="default"/>
        <w:lang w:val="en-US" w:eastAsia="en-US" w:bidi="ar-SA"/>
      </w:rPr>
    </w:lvl>
  </w:abstractNum>
  <w:abstractNum w:abstractNumId="0">
    <w:multiLevelType w:val="hybridMultilevel"/>
    <w:lvl w:ilvl="0">
      <w:start w:val="1"/>
      <w:numFmt w:val="decimal"/>
      <w:lvlText w:val="%1"/>
      <w:lvlJc w:val="left"/>
      <w:pPr>
        <w:ind w:left="2122" w:hanging="1440"/>
        <w:jc w:val="left"/>
      </w:pPr>
      <w:rPr>
        <w:rFonts w:hint="default"/>
        <w:lang w:val="en-US" w:eastAsia="en-US" w:bidi="ar-SA"/>
      </w:rPr>
    </w:lvl>
    <w:lvl w:ilvl="1">
      <w:start w:val="1"/>
      <w:numFmt w:val="decimal"/>
      <w:lvlText w:val="%1.%2"/>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1.%2.%3.%4.%5"/>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1"/>
      <w:numFmt w:val="decimal"/>
      <w:lvlText w:val="%1.%2.%3.%4.%5.%6"/>
      <w:lvlJc w:val="left"/>
      <w:pPr>
        <w:ind w:left="2122"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6">
      <w:start w:val="0"/>
      <w:numFmt w:val="bullet"/>
      <w:lvlText w:val="•"/>
      <w:lvlJc w:val="left"/>
      <w:pPr>
        <w:ind w:left="7088" w:hanging="1440"/>
      </w:pPr>
      <w:rPr>
        <w:rFonts w:hint="default"/>
        <w:lang w:val="en-US" w:eastAsia="en-US" w:bidi="ar-SA"/>
      </w:rPr>
    </w:lvl>
    <w:lvl w:ilvl="7">
      <w:start w:val="0"/>
      <w:numFmt w:val="bullet"/>
      <w:lvlText w:val="•"/>
      <w:lvlJc w:val="left"/>
      <w:pPr>
        <w:ind w:left="7916" w:hanging="1440"/>
      </w:pPr>
      <w:rPr>
        <w:rFonts w:hint="default"/>
        <w:lang w:val="en-US" w:eastAsia="en-US" w:bidi="ar-SA"/>
      </w:rPr>
    </w:lvl>
    <w:lvl w:ilvl="8">
      <w:start w:val="0"/>
      <w:numFmt w:val="bullet"/>
      <w:lvlText w:val="•"/>
      <w:lvlJc w:val="left"/>
      <w:pPr>
        <w:ind w:left="8744" w:hanging="1440"/>
      </w:pPr>
      <w:rPr>
        <w:rFonts w:hint="default"/>
        <w:lang w:val="en-US" w:eastAsia="en-US" w:bidi="ar-SA"/>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5">
    <w:abstractNumId w:val="34"/>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0">
    <w:abstractNumId w:val="19"/>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7"/>
      <w:ind w:left="2122" w:hanging="144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678"/>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218" w:hanging="54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2122" w:hanging="144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www.answers.com/topic/overdose" TargetMode="External"/><Relationship Id="rId8" Type="http://schemas.openxmlformats.org/officeDocument/2006/relationships/hyperlink" Target="http://www.answers.com/topic/poppy" TargetMode="External"/><Relationship Id="rId9" Type="http://schemas.openxmlformats.org/officeDocument/2006/relationships/hyperlink" Target="http://hinari-gw.who.int/whalecomwww.sciencedirect.com/whalecom0/science/article/pii/S0378874104005392#bib15" TargetMode="External"/><Relationship Id="rId10" Type="http://schemas.openxmlformats.org/officeDocument/2006/relationships/hyperlink" Target="http://hinari-gw.who.int/whalecomwww.sciencedirect.com/whalecom0/science/article/pii/S0378874104005392#bib9" TargetMode="External"/><Relationship Id="rId11" Type="http://schemas.openxmlformats.org/officeDocument/2006/relationships/hyperlink" Target="http://hinari-gw.who.int/whalecomwww.sciencedirect.com/whalecom0/science/article/pii/S0378874104005392#bib4" TargetMode="External"/><Relationship Id="rId12" Type="http://schemas.openxmlformats.org/officeDocument/2006/relationships/hyperlink" Target="http://hinari-gw.who.int/whalecomwww.sciencedirect.com/whalecom0/science/article/pii/S0378874104005392#bib6" TargetMode="External"/><Relationship Id="rId13" Type="http://schemas.openxmlformats.org/officeDocument/2006/relationships/hyperlink" Target="http://hinari-gw.who.int/whalecomwww.sciencedirect.com/whalecom0/science/article/pii/S0378874104005392#bib16" TargetMode="External"/><Relationship Id="rId14" Type="http://schemas.openxmlformats.org/officeDocument/2006/relationships/hyperlink" Target="http://hinari-gw.who.int/whalecomwww.sciencedirect.com/whalecom0/science/article/pii/S0378874104005392#bib17" TargetMode="External"/><Relationship Id="rId15" Type="http://schemas.openxmlformats.org/officeDocument/2006/relationships/hyperlink" Target="http://hinari-gw.who.int/whalecomwww.sciencedirect.com/whalecom0/science/article/pii/S0378874104005392#bib1" TargetMode="External"/><Relationship Id="rId16" Type="http://schemas.openxmlformats.org/officeDocument/2006/relationships/hyperlink" Target="http://hinari-gw.who.int/whalecomwww.sciencedirect.com/whalecom0/science/article/pii/S0378874104005392#bib3" TargetMode="External"/><Relationship Id="rId17" Type="http://schemas.openxmlformats.org/officeDocument/2006/relationships/hyperlink" Target="http://en.wikipedia.org/wiki/Sap" TargetMode="External"/><Relationship Id="rId18" Type="http://schemas.openxmlformats.org/officeDocument/2006/relationships/hyperlink" Target="http://en.wikipedia.org/wiki/Fruit" TargetMode="External"/><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jpe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image" Target="media/image39.jpeg"/><Relationship Id="rId58" Type="http://schemas.openxmlformats.org/officeDocument/2006/relationships/image" Target="media/image40.png"/><Relationship Id="rId59" Type="http://schemas.openxmlformats.org/officeDocument/2006/relationships/image" Target="media/image41.jpeg"/><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63" Type="http://schemas.openxmlformats.org/officeDocument/2006/relationships/footer" Target="footer3.xml"/><Relationship Id="rId64" Type="http://schemas.openxmlformats.org/officeDocument/2006/relationships/footer" Target="footer4.xml"/><Relationship Id="rId65" Type="http://schemas.openxmlformats.org/officeDocument/2006/relationships/image" Target="media/image45.jpeg"/><Relationship Id="rId66" Type="http://schemas.openxmlformats.org/officeDocument/2006/relationships/hyperlink" Target="http://www.ncbi.nlm.nih.gov/pubmed?term=Razavi%20R%5BAuthor%5D&amp;cauthor=true&amp;cauthor_uid=17174891" TargetMode="External"/><Relationship Id="rId67" Type="http://schemas.openxmlformats.org/officeDocument/2006/relationships/hyperlink" Target="http://www.ncbi.nlm.nih.gov/pubmed?term=Chan%20Y%5BAuthor%5D&amp;cauthor=true&amp;cauthor_uid=17174891" TargetMode="External"/><Relationship Id="rId68" Type="http://schemas.openxmlformats.org/officeDocument/2006/relationships/hyperlink" Target="http://www.ncbi.nlm.nih.gov/pubmed?term=Afifiyan%20FN%5BAuthor%5D&amp;cauthor=true&amp;cauthor_uid=17174891" TargetMode="External"/><Relationship Id="rId69" Type="http://schemas.openxmlformats.org/officeDocument/2006/relationships/hyperlink" Target="http://www.ncbi.nlm.nih.gov/pubmed?term=Liu%20XJ%5BAuthor%5D&amp;cauthor=true&amp;cauthor_uid=17174891" TargetMode="External"/><Relationship Id="rId70" Type="http://schemas.openxmlformats.org/officeDocument/2006/relationships/hyperlink" Target="http://www.ncbi.nlm.nih.gov/pubmed?term=Wan%20X%5BAuthor%5D&amp;cauthor=true&amp;cauthor_uid=17174891" TargetMode="External"/><Relationship Id="rId71" Type="http://schemas.openxmlformats.org/officeDocument/2006/relationships/hyperlink" Target="http://www.ncbi.nlm.nih.gov/pubmed?term=Yantha%20J%5BAuthor%5D&amp;cauthor=true&amp;cauthor_uid=17174891" TargetMode="External"/><Relationship Id="rId72" Type="http://schemas.openxmlformats.org/officeDocument/2006/relationships/hyperlink" Target="http://www.ncbi.nlm.nih.gov/pubmed?term=Tsui%20H%5BAuthor%5D&amp;cauthor=true&amp;cauthor_uid=17174891" TargetMode="External"/><Relationship Id="rId73" Type="http://schemas.openxmlformats.org/officeDocument/2006/relationships/hyperlink" Target="http://www.ncbi.nlm.nih.gov/pubmed?term=Tang%20L%5BAuthor%5D&amp;cauthor=true&amp;cauthor_uid=17174891" TargetMode="External"/><Relationship Id="rId74" Type="http://schemas.openxmlformats.org/officeDocument/2006/relationships/hyperlink" Target="http://www.ncbi.nlm.nih.gov/pubmed?term=Tsai%20S%5BAuthor%5D&amp;cauthor=true&amp;cauthor_uid=17174891" TargetMode="External"/><Relationship Id="rId75" Type="http://schemas.openxmlformats.org/officeDocument/2006/relationships/hyperlink" Target="http://www.ncbi.nlm.nih.gov/pubmed?term=Santamaria%20P%5BAuthor%5D&amp;cauthor=true&amp;cauthor_uid=17174891" TargetMode="External"/><Relationship Id="rId76" Type="http://schemas.openxmlformats.org/officeDocument/2006/relationships/hyperlink" Target="http://www.ncbi.nlm.nih.gov/pubmed?term=Driver%20JP%5BAuthor%5D&amp;cauthor=true&amp;cauthor_uid=17174891" TargetMode="External"/><Relationship Id="rId77" Type="http://schemas.openxmlformats.org/officeDocument/2006/relationships/hyperlink" Target="http://www.ncbi.nlm.nih.gov/pubmed?term=Serreze%20D%5BAuthor%5D&amp;cauthor=true&amp;cauthor_uid=17174891" TargetMode="External"/><Relationship Id="rId78" Type="http://schemas.openxmlformats.org/officeDocument/2006/relationships/hyperlink" Target="http://www.ncbi.nlm.nih.gov/pubmed?term=Salter%20MW%5BAuthor%5D&amp;cauthor=true&amp;cauthor_uid=17174891" TargetMode="External"/><Relationship Id="rId79" Type="http://schemas.openxmlformats.org/officeDocument/2006/relationships/hyperlink" Target="http://www.ncbi.nlm.nih.gov/pubmed?term=Dosch%20HM%5BAuthor%5D&amp;cauthor=true&amp;cauthor_uid=17174891" TargetMode="External"/><Relationship Id="rId80" Type="http://schemas.openxmlformats.org/officeDocument/2006/relationships/hyperlink" Target="http://www.ncbi.nlm.nih.gov/pubmed/17174891" TargetMode="External"/><Relationship Id="rId81" Type="http://schemas.openxmlformats.org/officeDocument/2006/relationships/image" Target="media/image46.jpeg"/><Relationship Id="rId82" Type="http://schemas.openxmlformats.org/officeDocument/2006/relationships/image" Target="media/image47.png"/><Relationship Id="rId83" Type="http://schemas.openxmlformats.org/officeDocument/2006/relationships/image" Target="media/image48.png"/><Relationship Id="rId84" Type="http://schemas.openxmlformats.org/officeDocument/2006/relationships/image" Target="media/image49.jpeg"/><Relationship Id="rId85" Type="http://schemas.openxmlformats.org/officeDocument/2006/relationships/image" Target="media/image50.png"/><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2023-11-02T21:09:09Z</dcterms:created>
  <dcterms:modified xsi:type="dcterms:W3CDTF">2023-11-02T21:09:09Z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Creator">
    <vt:lpwstr>Microsoft® Word 2010</vt:lpwstr>
  </property>
  <property fmtid="{D5CDD505-2E9C-101B-9397-08002B2CF9AE}" pid="4" name="LastSaved">
    <vt:filetime>2023-11-02T00:00:00Z</vt:filetime>
  </property>
  <property fmtid="{D5CDD505-2E9C-101B-9397-08002B2CF9AE}" pid="5" name="Producer">
    <vt:lpwstr>Microsoft® Word 2010</vt:lpwstr>
  </property>
</Properties>
</file>