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0" w:lineRule="auto" w:before="74"/>
        <w:ind w:left="605" w:right="419" w:firstLine="0"/>
        <w:jc w:val="center"/>
        <w:rPr>
          <w:b/>
          <w:sz w:val="24"/>
        </w:rPr>
      </w:pPr>
      <w:r>
        <w:rPr>
          <w:b/>
          <w:sz w:val="24"/>
        </w:rPr>
        <w:t>ANTICONVULSANT</w:t>
      </w:r>
      <w:r>
        <w:rPr>
          <w:b/>
          <w:spacing w:val="-9"/>
          <w:sz w:val="24"/>
        </w:rPr>
        <w:t> </w:t>
      </w:r>
      <w:r>
        <w:rPr>
          <w:b/>
          <w:sz w:val="24"/>
        </w:rPr>
        <w:t>STUDIES</w:t>
      </w:r>
      <w:r>
        <w:rPr>
          <w:b/>
          <w:spacing w:val="-4"/>
          <w:sz w:val="24"/>
        </w:rPr>
        <w:t> </w:t>
      </w:r>
      <w:r>
        <w:rPr>
          <w:b/>
          <w:sz w:val="24"/>
        </w:rPr>
        <w:t>OF</w:t>
      </w:r>
      <w:r>
        <w:rPr>
          <w:b/>
          <w:spacing w:val="-9"/>
          <w:sz w:val="24"/>
        </w:rPr>
        <w:t> </w:t>
      </w:r>
      <w:r>
        <w:rPr>
          <w:b/>
          <w:sz w:val="24"/>
        </w:rPr>
        <w:t>THREE</w:t>
      </w:r>
      <w:r>
        <w:rPr>
          <w:b/>
          <w:spacing w:val="-9"/>
          <w:sz w:val="24"/>
        </w:rPr>
        <w:t> </w:t>
      </w:r>
      <w:r>
        <w:rPr>
          <w:b/>
          <w:sz w:val="24"/>
        </w:rPr>
        <w:t>SYNTHESIZED</w:t>
      </w:r>
      <w:r>
        <w:rPr>
          <w:b/>
          <w:spacing w:val="-8"/>
          <w:sz w:val="24"/>
        </w:rPr>
        <w:t> </w:t>
      </w:r>
      <w:r>
        <w:rPr>
          <w:b/>
          <w:sz w:val="24"/>
        </w:rPr>
        <w:t>DICHLORO- SUBSTITUTED PHENYL PROPANAMIDES AND THEIR ACTION ON VOLTAGE-GATED SODIUM CHANNELS (Na</w:t>
      </w:r>
      <w:r>
        <w:rPr>
          <w:b/>
          <w:sz w:val="24"/>
          <w:vertAlign w:val="subscript"/>
        </w:rPr>
        <w:t>v</w:t>
      </w:r>
      <w:r>
        <w:rPr>
          <w:b/>
          <w:sz w:val="24"/>
          <w:vertAlign w:val="baseline"/>
        </w:rPr>
        <w:t>1.6)</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rPr>
      </w:pPr>
    </w:p>
    <w:p>
      <w:pPr>
        <w:spacing w:before="0"/>
        <w:ind w:left="204" w:right="0" w:firstLine="0"/>
        <w:jc w:val="center"/>
        <w:rPr>
          <w:b/>
          <w:sz w:val="24"/>
        </w:rPr>
      </w:pPr>
      <w:r>
        <w:rPr>
          <w:b/>
          <w:spacing w:val="-5"/>
          <w:sz w:val="24"/>
        </w:rPr>
        <w:t>BY</w:t>
      </w:r>
    </w:p>
    <w:p>
      <w:pPr>
        <w:pStyle w:val="BodyText"/>
        <w:spacing w:before="274"/>
        <w:rPr>
          <w:b/>
        </w:rPr>
      </w:pPr>
    </w:p>
    <w:p>
      <w:pPr>
        <w:spacing w:before="0"/>
        <w:ind w:left="202" w:right="0" w:firstLine="0"/>
        <w:jc w:val="center"/>
        <w:rPr>
          <w:b/>
          <w:sz w:val="24"/>
        </w:rPr>
      </w:pPr>
      <w:r>
        <w:rPr>
          <w:b/>
          <w:sz w:val="24"/>
        </w:rPr>
        <w:t>SANI</w:t>
      </w:r>
      <w:r>
        <w:rPr>
          <w:b/>
          <w:spacing w:val="-1"/>
          <w:sz w:val="24"/>
        </w:rPr>
        <w:t> </w:t>
      </w:r>
      <w:r>
        <w:rPr>
          <w:b/>
          <w:spacing w:val="-2"/>
          <w:sz w:val="24"/>
        </w:rPr>
        <w:t>MALAMI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rPr>
      </w:pPr>
    </w:p>
    <w:p>
      <w:pPr>
        <w:spacing w:line="480" w:lineRule="auto" w:before="0"/>
        <w:ind w:left="1138" w:right="950" w:firstLine="0"/>
        <w:jc w:val="center"/>
        <w:rPr>
          <w:b/>
          <w:sz w:val="24"/>
        </w:rPr>
      </w:pPr>
      <w:r>
        <w:rPr>
          <w:b/>
          <w:sz w:val="24"/>
        </w:rPr>
        <w:t>DEPARTMENT</w:t>
      </w:r>
      <w:r>
        <w:rPr>
          <w:b/>
          <w:spacing w:val="-11"/>
          <w:sz w:val="24"/>
        </w:rPr>
        <w:t> </w:t>
      </w:r>
      <w:r>
        <w:rPr>
          <w:b/>
          <w:sz w:val="24"/>
        </w:rPr>
        <w:t>OF</w:t>
      </w:r>
      <w:r>
        <w:rPr>
          <w:b/>
          <w:spacing w:val="-11"/>
          <w:sz w:val="24"/>
        </w:rPr>
        <w:t> </w:t>
      </w:r>
      <w:r>
        <w:rPr>
          <w:b/>
          <w:sz w:val="24"/>
        </w:rPr>
        <w:t>PHARMACOLOGY</w:t>
      </w:r>
      <w:r>
        <w:rPr>
          <w:b/>
          <w:spacing w:val="-10"/>
          <w:sz w:val="24"/>
        </w:rPr>
        <w:t> </w:t>
      </w:r>
      <w:r>
        <w:rPr>
          <w:b/>
          <w:sz w:val="24"/>
        </w:rPr>
        <w:t>AND</w:t>
      </w:r>
      <w:r>
        <w:rPr>
          <w:b/>
          <w:spacing w:val="-10"/>
          <w:sz w:val="24"/>
        </w:rPr>
        <w:t> </w:t>
      </w:r>
      <w:r>
        <w:rPr>
          <w:b/>
          <w:sz w:val="24"/>
        </w:rPr>
        <w:t>THERAPEUTICS FACULTY OF PHARMACEUTICAL SCIENCES</w:t>
      </w:r>
    </w:p>
    <w:p>
      <w:pPr>
        <w:spacing w:before="1"/>
        <w:ind w:left="183" w:right="0" w:firstLine="0"/>
        <w:jc w:val="center"/>
        <w:rPr>
          <w:b/>
          <w:sz w:val="24"/>
        </w:rPr>
      </w:pPr>
      <w:r>
        <w:rPr>
          <w:b/>
          <w:sz w:val="24"/>
        </w:rPr>
        <w:t>AHMADU</w:t>
      </w:r>
      <w:r>
        <w:rPr>
          <w:b/>
          <w:spacing w:val="-6"/>
          <w:sz w:val="24"/>
        </w:rPr>
        <w:t> </w:t>
      </w:r>
      <w:r>
        <w:rPr>
          <w:b/>
          <w:sz w:val="24"/>
        </w:rPr>
        <w:t>BELLO</w:t>
      </w:r>
      <w:r>
        <w:rPr>
          <w:b/>
          <w:spacing w:val="-1"/>
          <w:sz w:val="24"/>
        </w:rPr>
        <w:t> </w:t>
      </w:r>
      <w:r>
        <w:rPr>
          <w:b/>
          <w:sz w:val="24"/>
        </w:rPr>
        <w:t>UNIVERSITY, </w:t>
      </w:r>
      <w:r>
        <w:rPr>
          <w:b/>
          <w:spacing w:val="-4"/>
          <w:sz w:val="24"/>
        </w:rPr>
        <w:t>ZARIA</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
        <w:ind w:left="199" w:right="0" w:firstLine="0"/>
        <w:jc w:val="center"/>
        <w:rPr>
          <w:b/>
          <w:sz w:val="24"/>
        </w:rPr>
      </w:pPr>
      <w:r>
        <w:rPr>
          <w:b/>
          <w:sz w:val="24"/>
        </w:rPr>
        <w:t>MARCH,</w:t>
      </w:r>
      <w:r>
        <w:rPr>
          <w:b/>
          <w:spacing w:val="1"/>
          <w:sz w:val="24"/>
        </w:rPr>
        <w:t> </w:t>
      </w:r>
      <w:r>
        <w:rPr>
          <w:b/>
          <w:spacing w:val="-4"/>
          <w:sz w:val="24"/>
        </w:rPr>
        <w:t>2015</w:t>
      </w:r>
    </w:p>
    <w:p>
      <w:pPr>
        <w:spacing w:after="0"/>
        <w:jc w:val="center"/>
        <w:rPr>
          <w:sz w:val="24"/>
        </w:rPr>
        <w:sectPr>
          <w:footerReference w:type="default" r:id="rId5"/>
          <w:type w:val="continuous"/>
          <w:pgSz w:w="11910" w:h="16840"/>
          <w:pgMar w:header="0" w:footer="777" w:top="1320" w:bottom="960" w:left="1680" w:right="1300"/>
          <w:pgNumType w:start="1"/>
        </w:sectPr>
      </w:pPr>
    </w:p>
    <w:p>
      <w:pPr>
        <w:spacing w:line="480" w:lineRule="auto" w:before="74"/>
        <w:ind w:left="605" w:right="419" w:firstLine="0"/>
        <w:jc w:val="center"/>
        <w:rPr>
          <w:b/>
          <w:sz w:val="24"/>
        </w:rPr>
      </w:pPr>
      <w:r>
        <w:rPr>
          <w:b/>
          <w:sz w:val="24"/>
        </w:rPr>
        <w:t>ANTICONVULSANT</w:t>
      </w:r>
      <w:r>
        <w:rPr>
          <w:b/>
          <w:spacing w:val="-9"/>
          <w:sz w:val="24"/>
        </w:rPr>
        <w:t> </w:t>
      </w:r>
      <w:r>
        <w:rPr>
          <w:b/>
          <w:sz w:val="24"/>
        </w:rPr>
        <w:t>STUDIES</w:t>
      </w:r>
      <w:r>
        <w:rPr>
          <w:b/>
          <w:spacing w:val="-7"/>
          <w:sz w:val="24"/>
        </w:rPr>
        <w:t> </w:t>
      </w:r>
      <w:r>
        <w:rPr>
          <w:b/>
          <w:sz w:val="24"/>
        </w:rPr>
        <w:t>OF</w:t>
      </w:r>
      <w:r>
        <w:rPr>
          <w:b/>
          <w:spacing w:val="-7"/>
          <w:sz w:val="24"/>
        </w:rPr>
        <w:t> </w:t>
      </w:r>
      <w:r>
        <w:rPr>
          <w:b/>
          <w:sz w:val="24"/>
        </w:rPr>
        <w:t>THREE</w:t>
      </w:r>
      <w:r>
        <w:rPr>
          <w:b/>
          <w:spacing w:val="-9"/>
          <w:sz w:val="24"/>
        </w:rPr>
        <w:t> </w:t>
      </w:r>
      <w:r>
        <w:rPr>
          <w:b/>
          <w:sz w:val="24"/>
        </w:rPr>
        <w:t>SYNTHESIZED</w:t>
      </w:r>
      <w:r>
        <w:rPr>
          <w:b/>
          <w:spacing w:val="-8"/>
          <w:sz w:val="24"/>
        </w:rPr>
        <w:t> </w:t>
      </w:r>
      <w:r>
        <w:rPr>
          <w:b/>
          <w:sz w:val="24"/>
        </w:rPr>
        <w:t>DICHLORO- SUBSTITUTED PHENYL PROPANAMIDES AND THEIR ACTION ON VOLTAGE-GATED SODIUM CHANNELS (Na</w:t>
      </w:r>
      <w:r>
        <w:rPr>
          <w:b/>
          <w:sz w:val="24"/>
          <w:vertAlign w:val="subscript"/>
        </w:rPr>
        <w:t>v</w:t>
      </w:r>
      <w:r>
        <w:rPr>
          <w:b/>
          <w:sz w:val="24"/>
          <w:vertAlign w:val="baseline"/>
        </w:rPr>
        <w:t>1.6)</w:t>
      </w:r>
    </w:p>
    <w:p>
      <w:pPr>
        <w:pStyle w:val="BodyText"/>
        <w:rPr>
          <w:b/>
        </w:rPr>
      </w:pPr>
    </w:p>
    <w:p>
      <w:pPr>
        <w:pStyle w:val="BodyText"/>
        <w:rPr>
          <w:b/>
        </w:rPr>
      </w:pPr>
    </w:p>
    <w:p>
      <w:pPr>
        <w:pStyle w:val="BodyText"/>
        <w:rPr>
          <w:b/>
        </w:rPr>
      </w:pPr>
    </w:p>
    <w:p>
      <w:pPr>
        <w:pStyle w:val="BodyText"/>
        <w:spacing w:before="97"/>
        <w:rPr>
          <w:b/>
        </w:rPr>
      </w:pPr>
    </w:p>
    <w:p>
      <w:pPr>
        <w:spacing w:before="1"/>
        <w:ind w:left="199" w:right="0" w:firstLine="0"/>
        <w:jc w:val="center"/>
        <w:rPr>
          <w:b/>
          <w:sz w:val="24"/>
        </w:rPr>
      </w:pPr>
      <w:r>
        <w:rPr>
          <w:b/>
          <w:spacing w:val="-5"/>
          <w:sz w:val="24"/>
        </w:rPr>
        <w:t>By</w:t>
      </w:r>
    </w:p>
    <w:p>
      <w:pPr>
        <w:pStyle w:val="BodyText"/>
        <w:rPr>
          <w:b/>
        </w:rPr>
      </w:pPr>
    </w:p>
    <w:p>
      <w:pPr>
        <w:pStyle w:val="BodyText"/>
        <w:rPr>
          <w:b/>
        </w:rPr>
      </w:pPr>
    </w:p>
    <w:p>
      <w:pPr>
        <w:pStyle w:val="BodyText"/>
        <w:rPr>
          <w:b/>
        </w:rPr>
      </w:pPr>
    </w:p>
    <w:p>
      <w:pPr>
        <w:spacing w:before="0"/>
        <w:ind w:left="199" w:right="0" w:firstLine="0"/>
        <w:jc w:val="center"/>
        <w:rPr>
          <w:b/>
          <w:sz w:val="24"/>
        </w:rPr>
      </w:pPr>
      <w:r>
        <w:rPr>
          <w:b/>
          <w:sz w:val="24"/>
        </w:rPr>
        <w:t>Sani</w:t>
      </w:r>
      <w:r>
        <w:rPr>
          <w:b/>
          <w:spacing w:val="-3"/>
          <w:sz w:val="24"/>
        </w:rPr>
        <w:t> </w:t>
      </w:r>
      <w:r>
        <w:rPr>
          <w:b/>
          <w:sz w:val="24"/>
        </w:rPr>
        <w:t>MALAMI</w:t>
      </w:r>
      <w:r>
        <w:rPr>
          <w:b/>
          <w:spacing w:val="58"/>
          <w:sz w:val="24"/>
        </w:rPr>
        <w:t> </w:t>
      </w:r>
      <w:r>
        <w:rPr>
          <w:b/>
          <w:sz w:val="24"/>
        </w:rPr>
        <w:t>B.Pharm</w:t>
      </w:r>
      <w:r>
        <w:rPr>
          <w:b/>
          <w:spacing w:val="-1"/>
          <w:sz w:val="24"/>
        </w:rPr>
        <w:t> </w:t>
      </w:r>
      <w:r>
        <w:rPr>
          <w:b/>
          <w:sz w:val="24"/>
        </w:rPr>
        <w:t>(ABU)</w:t>
      </w:r>
      <w:r>
        <w:rPr>
          <w:b/>
          <w:spacing w:val="3"/>
          <w:sz w:val="24"/>
        </w:rPr>
        <w:t> </w:t>
      </w:r>
      <w:r>
        <w:rPr>
          <w:b/>
          <w:sz w:val="24"/>
        </w:rPr>
        <w:t>2001,</w:t>
      </w:r>
      <w:r>
        <w:rPr>
          <w:b/>
          <w:spacing w:val="-5"/>
          <w:sz w:val="24"/>
        </w:rPr>
        <w:t> </w:t>
      </w:r>
      <w:r>
        <w:rPr>
          <w:b/>
          <w:sz w:val="24"/>
        </w:rPr>
        <w:t>MSc.</w:t>
      </w:r>
      <w:r>
        <w:rPr>
          <w:b/>
          <w:spacing w:val="-1"/>
          <w:sz w:val="24"/>
        </w:rPr>
        <w:t> </w:t>
      </w:r>
      <w:r>
        <w:rPr>
          <w:b/>
          <w:sz w:val="24"/>
        </w:rPr>
        <w:t>(ABU)</w:t>
      </w:r>
      <w:r>
        <w:rPr>
          <w:b/>
          <w:spacing w:val="3"/>
          <w:sz w:val="24"/>
        </w:rPr>
        <w:t> </w:t>
      </w:r>
      <w:r>
        <w:rPr>
          <w:b/>
          <w:spacing w:val="-4"/>
          <w:sz w:val="24"/>
        </w:rPr>
        <w:t>2009</w:t>
      </w:r>
    </w:p>
    <w:p>
      <w:pPr>
        <w:pStyle w:val="BodyText"/>
        <w:rPr>
          <w:b/>
        </w:rPr>
      </w:pPr>
    </w:p>
    <w:p>
      <w:pPr>
        <w:spacing w:before="0"/>
        <w:ind w:left="200" w:right="0" w:firstLine="0"/>
        <w:jc w:val="center"/>
        <w:rPr>
          <w:b/>
          <w:sz w:val="24"/>
        </w:rPr>
      </w:pPr>
      <w:r>
        <w:rPr>
          <w:b/>
          <w:sz w:val="24"/>
        </w:rPr>
        <w:t>PhD/Pharm</w:t>
      </w:r>
      <w:r>
        <w:rPr>
          <w:b/>
          <w:spacing w:val="-2"/>
          <w:sz w:val="24"/>
        </w:rPr>
        <w:t> </w:t>
      </w:r>
      <w:r>
        <w:rPr>
          <w:b/>
          <w:sz w:val="24"/>
        </w:rPr>
        <w:t>Sci/01357/09-</w:t>
      </w:r>
      <w:r>
        <w:rPr>
          <w:b/>
          <w:spacing w:val="-5"/>
          <w:sz w:val="24"/>
        </w:rPr>
        <w:t>10</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2"/>
        <w:rPr>
          <w:b/>
        </w:rPr>
      </w:pPr>
    </w:p>
    <w:p>
      <w:pPr>
        <w:spacing w:line="480" w:lineRule="auto" w:before="0"/>
        <w:ind w:left="218" w:right="23" w:firstLine="0"/>
        <w:jc w:val="center"/>
        <w:rPr>
          <w:b/>
          <w:sz w:val="24"/>
        </w:rPr>
      </w:pPr>
      <w:r>
        <w:rPr>
          <w:b/>
          <w:sz w:val="24"/>
        </w:rPr>
        <w:t>A</w:t>
      </w:r>
      <w:r>
        <w:rPr>
          <w:b/>
          <w:spacing w:val="-6"/>
          <w:sz w:val="24"/>
        </w:rPr>
        <w:t> </w:t>
      </w:r>
      <w:r>
        <w:rPr>
          <w:b/>
          <w:sz w:val="24"/>
        </w:rPr>
        <w:t>DISSERTATION</w:t>
      </w:r>
      <w:r>
        <w:rPr>
          <w:b/>
          <w:spacing w:val="-4"/>
          <w:sz w:val="24"/>
        </w:rPr>
        <w:t> </w:t>
      </w:r>
      <w:r>
        <w:rPr>
          <w:b/>
          <w:sz w:val="24"/>
        </w:rPr>
        <w:t>SUBMITTED</w:t>
      </w:r>
      <w:r>
        <w:rPr>
          <w:b/>
          <w:spacing w:val="-6"/>
          <w:sz w:val="24"/>
        </w:rPr>
        <w:t> </w:t>
      </w:r>
      <w:r>
        <w:rPr>
          <w:b/>
          <w:sz w:val="24"/>
        </w:rPr>
        <w:t>TO</w:t>
      </w:r>
      <w:r>
        <w:rPr>
          <w:b/>
          <w:spacing w:val="-5"/>
          <w:sz w:val="24"/>
        </w:rPr>
        <w:t> </w:t>
      </w:r>
      <w:r>
        <w:rPr>
          <w:b/>
          <w:sz w:val="24"/>
        </w:rPr>
        <w:t>THE</w:t>
      </w:r>
      <w:r>
        <w:rPr>
          <w:b/>
          <w:spacing w:val="-4"/>
          <w:sz w:val="24"/>
        </w:rPr>
        <w:t> </w:t>
      </w:r>
      <w:r>
        <w:rPr>
          <w:b/>
          <w:sz w:val="24"/>
        </w:rPr>
        <w:t>SCHOOL</w:t>
      </w:r>
      <w:r>
        <w:rPr>
          <w:b/>
          <w:spacing w:val="-7"/>
          <w:sz w:val="24"/>
        </w:rPr>
        <w:t> </w:t>
      </w:r>
      <w:r>
        <w:rPr>
          <w:b/>
          <w:sz w:val="24"/>
        </w:rPr>
        <w:t>OF</w:t>
      </w:r>
      <w:r>
        <w:rPr>
          <w:b/>
          <w:spacing w:val="-5"/>
          <w:sz w:val="24"/>
        </w:rPr>
        <w:t> </w:t>
      </w:r>
      <w:r>
        <w:rPr>
          <w:b/>
          <w:sz w:val="24"/>
        </w:rPr>
        <w:t>POSTGRADUATE STUDIES, AHMADU BELLO UNIVERSITY, ZARIA, IN PARTIAL FULFILMENT FOR THE AWARD OF DOCTOR OF PHILOSOPHY IN </w:t>
      </w:r>
      <w:r>
        <w:rPr>
          <w:b/>
          <w:spacing w:val="-2"/>
          <w:sz w:val="24"/>
        </w:rPr>
        <w:t>PHARMACOLOGY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line="480" w:lineRule="auto" w:before="1"/>
        <w:ind w:left="1691" w:right="435" w:hanging="1081"/>
        <w:jc w:val="left"/>
        <w:rPr>
          <w:b/>
          <w:sz w:val="24"/>
        </w:rPr>
      </w:pPr>
      <w:r>
        <w:rPr>
          <w:b/>
          <w:sz w:val="24"/>
        </w:rPr>
        <w:t>DEPARTMENT</w:t>
      </w:r>
      <w:r>
        <w:rPr>
          <w:b/>
          <w:spacing w:val="-11"/>
          <w:sz w:val="24"/>
        </w:rPr>
        <w:t> </w:t>
      </w:r>
      <w:r>
        <w:rPr>
          <w:b/>
          <w:sz w:val="24"/>
        </w:rPr>
        <w:t>OF</w:t>
      </w:r>
      <w:r>
        <w:rPr>
          <w:b/>
          <w:spacing w:val="-11"/>
          <w:sz w:val="24"/>
        </w:rPr>
        <w:t> </w:t>
      </w:r>
      <w:r>
        <w:rPr>
          <w:b/>
          <w:sz w:val="24"/>
        </w:rPr>
        <w:t>PHARMACOLOGY</w:t>
      </w:r>
      <w:r>
        <w:rPr>
          <w:b/>
          <w:spacing w:val="-10"/>
          <w:sz w:val="24"/>
        </w:rPr>
        <w:t> </w:t>
      </w:r>
      <w:r>
        <w:rPr>
          <w:b/>
          <w:sz w:val="24"/>
        </w:rPr>
        <w:t>AND</w:t>
      </w:r>
      <w:r>
        <w:rPr>
          <w:b/>
          <w:spacing w:val="-10"/>
          <w:sz w:val="24"/>
        </w:rPr>
        <w:t> </w:t>
      </w:r>
      <w:r>
        <w:rPr>
          <w:b/>
          <w:sz w:val="24"/>
        </w:rPr>
        <w:t>THERAPEUTICS AHMADU BELLO UNIVERSITY, ZARIA</w:t>
      </w:r>
    </w:p>
    <w:p>
      <w:pPr>
        <w:pStyle w:val="BodyText"/>
        <w:rPr>
          <w:b/>
        </w:rPr>
      </w:pPr>
    </w:p>
    <w:p>
      <w:pPr>
        <w:pStyle w:val="BodyText"/>
        <w:rPr>
          <w:b/>
        </w:rPr>
      </w:pPr>
    </w:p>
    <w:p>
      <w:pPr>
        <w:spacing w:before="0"/>
        <w:ind w:left="605" w:right="1968" w:firstLine="0"/>
        <w:jc w:val="center"/>
        <w:rPr>
          <w:b/>
          <w:sz w:val="24"/>
        </w:rPr>
      </w:pPr>
      <w:r>
        <w:rPr>
          <w:b/>
          <w:sz w:val="24"/>
        </w:rPr>
        <w:t>MARCH,</w:t>
      </w:r>
      <w:r>
        <w:rPr>
          <w:b/>
          <w:spacing w:val="1"/>
          <w:sz w:val="24"/>
        </w:rPr>
        <w:t> </w:t>
      </w:r>
      <w:r>
        <w:rPr>
          <w:b/>
          <w:spacing w:val="-4"/>
          <w:sz w:val="24"/>
        </w:rPr>
        <w:t>2015</w:t>
      </w:r>
    </w:p>
    <w:p>
      <w:pPr>
        <w:spacing w:after="0"/>
        <w:jc w:val="center"/>
        <w:rPr>
          <w:sz w:val="24"/>
        </w:rPr>
        <w:sectPr>
          <w:pgSz w:w="11910" w:h="16840"/>
          <w:pgMar w:header="0" w:footer="777" w:top="1320" w:bottom="960" w:left="1680" w:right="1300"/>
        </w:sectPr>
      </w:pPr>
    </w:p>
    <w:p>
      <w:pPr>
        <w:pStyle w:val="Heading2"/>
        <w:spacing w:before="74"/>
        <w:ind w:left="189"/>
        <w:jc w:val="center"/>
      </w:pPr>
      <w:r>
        <w:rPr>
          <w:spacing w:val="-2"/>
        </w:rPr>
        <w:t>Declaration</w:t>
      </w:r>
    </w:p>
    <w:p>
      <w:pPr>
        <w:pStyle w:val="BodyText"/>
        <w:spacing w:before="43"/>
        <w:rPr>
          <w:b/>
        </w:rPr>
      </w:pPr>
    </w:p>
    <w:p>
      <w:pPr>
        <w:pStyle w:val="BodyText"/>
        <w:spacing w:line="480" w:lineRule="auto" w:before="1"/>
        <w:ind w:left="308" w:right="107"/>
        <w:jc w:val="both"/>
      </w:pPr>
      <w:r>
        <w:rPr/>
        <w:t>I declare that the work in the dissertation entitled ‘‘Anticonvulsant Studies of Three Synthesized Dichloro-substituted Phenyl Propanamides and their Action on Voltage- gated Sodium Channels (Na</w:t>
      </w:r>
      <w:r>
        <w:rPr>
          <w:vertAlign w:val="subscript"/>
        </w:rPr>
        <w:t>v</w:t>
      </w:r>
      <w:r>
        <w:rPr>
          <w:vertAlign w:val="baseline"/>
        </w:rPr>
        <w:t>1.6)’’has been performed by me in the Department of Pharmacology and Therapeutics.</w:t>
      </w:r>
    </w:p>
    <w:p>
      <w:pPr>
        <w:pStyle w:val="BodyText"/>
      </w:pPr>
    </w:p>
    <w:p>
      <w:pPr>
        <w:pStyle w:val="BodyText"/>
        <w:spacing w:before="1"/>
      </w:pPr>
    </w:p>
    <w:p>
      <w:pPr>
        <w:pStyle w:val="BodyText"/>
        <w:spacing w:line="480" w:lineRule="auto"/>
        <w:ind w:left="308" w:right="115"/>
        <w:jc w:val="both"/>
      </w:pPr>
      <w:r>
        <w:rPr/>
        <w:t>The information derived from</w:t>
      </w:r>
      <w:r>
        <w:rPr>
          <w:spacing w:val="-5"/>
        </w:rPr>
        <w:t> </w:t>
      </w:r>
      <w:r>
        <w:rPr/>
        <w:t>the literature has been duly acknowledged in the text and a list of references provided. No part of this dissertation was previously presented for another degree or diploma at any institution.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5"/>
      </w:pPr>
    </w:p>
    <w:p>
      <w:pPr>
        <w:pStyle w:val="BodyText"/>
        <w:ind w:left="308"/>
        <w:jc w:val="both"/>
      </w:pPr>
      <w:r>
        <w:rPr/>
        <w:t>Sani</w:t>
      </w:r>
      <w:r>
        <w:rPr>
          <w:spacing w:val="-6"/>
        </w:rPr>
        <w:t> </w:t>
      </w:r>
      <w:r>
        <w:rPr>
          <w:spacing w:val="-2"/>
        </w:rPr>
        <w:t>Malami</w:t>
      </w:r>
    </w:p>
    <w:p>
      <w:pPr>
        <w:pStyle w:val="BodyText"/>
        <w:spacing w:before="20"/>
        <w:rPr>
          <w:sz w:val="20"/>
        </w:rPr>
      </w:pPr>
      <w:r>
        <w:rPr/>
        <mc:AlternateContent>
          <mc:Choice Requires="wps">
            <w:drawing>
              <wp:anchor distT="0" distB="0" distL="0" distR="0" allowOverlap="1" layoutInCell="1" locked="0" behindDoc="1" simplePos="0" relativeHeight="487587840">
                <wp:simplePos x="0" y="0"/>
                <wp:positionH relativeFrom="page">
                  <wp:posOffset>1262481</wp:posOffset>
                </wp:positionH>
                <wp:positionV relativeFrom="paragraph">
                  <wp:posOffset>174050</wp:posOffset>
                </wp:positionV>
                <wp:extent cx="13716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371600" cy="1270"/>
                        </a:xfrm>
                        <a:custGeom>
                          <a:avLst/>
                          <a:gdLst/>
                          <a:ahLst/>
                          <a:cxnLst/>
                          <a:rect l="l" t="t" r="r" b="b"/>
                          <a:pathLst>
                            <a:path w="1371600" h="0">
                              <a:moveTo>
                                <a:pt x="0" y="0"/>
                              </a:moveTo>
                              <a:lnTo>
                                <a:pt x="1371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13.704773pt;width:108pt;height:.1pt;mso-position-horizontal-relative:page;mso-position-vertical-relative:paragraph;z-index:-15728640;mso-wrap-distance-left:0;mso-wrap-distance-right:0" id="docshape2" coordorigin="1988,274" coordsize="2160,0" path="m1988,274l4148,274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3549141</wp:posOffset>
                </wp:positionH>
                <wp:positionV relativeFrom="paragraph">
                  <wp:posOffset>174050</wp:posOffset>
                </wp:positionV>
                <wp:extent cx="11430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143000" cy="1270"/>
                        </a:xfrm>
                        <a:custGeom>
                          <a:avLst/>
                          <a:gdLst/>
                          <a:ahLst/>
                          <a:cxnLst/>
                          <a:rect l="l" t="t" r="r" b="b"/>
                          <a:pathLst>
                            <a:path w="1143000" h="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79.459991pt;margin-top:13.704773pt;width:90pt;height:.1pt;mso-position-horizontal-relative:page;mso-position-vertical-relative:paragraph;z-index:-15728128;mso-wrap-distance-left:0;mso-wrap-distance-right:0" id="docshape3" coordorigin="5589,274" coordsize="1800,0" path="m5589,274l7389,274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5378830</wp:posOffset>
                </wp:positionH>
                <wp:positionV relativeFrom="paragraph">
                  <wp:posOffset>174050</wp:posOffset>
                </wp:positionV>
                <wp:extent cx="11430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143000" cy="1270"/>
                        </a:xfrm>
                        <a:custGeom>
                          <a:avLst/>
                          <a:gdLst/>
                          <a:ahLst/>
                          <a:cxnLst/>
                          <a:rect l="l" t="t" r="r" b="b"/>
                          <a:pathLst>
                            <a:path w="1143000" h="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13.704773pt;width:90pt;height:.1pt;mso-position-horizontal-relative:page;mso-position-vertical-relative:paragraph;z-index:-15727616;mso-wrap-distance-left:0;mso-wrap-distance-right:0" id="docshape4" coordorigin="8471,274" coordsize="1800,0" path="m8471,274l10271,274e" filled="false" stroked="true" strokeweight=".487125pt" strokecolor="#000000">
                <v:path arrowok="t"/>
                <v:stroke dashstyle="solid"/>
                <w10:wrap type="topAndBottom"/>
              </v:shape>
            </w:pict>
          </mc:Fallback>
        </mc:AlternateContent>
      </w:r>
    </w:p>
    <w:p>
      <w:pPr>
        <w:pStyle w:val="BodyText"/>
        <w:tabs>
          <w:tab w:pos="3993" w:val="left" w:leader="none"/>
          <w:tab w:pos="7198" w:val="left" w:leader="none"/>
        </w:tabs>
        <w:ind w:left="433"/>
      </w:pPr>
      <w:r>
        <w:rPr/>
        <w:t>Name</w:t>
      </w:r>
      <w:r>
        <w:rPr>
          <w:spacing w:val="-1"/>
        </w:rPr>
        <w:t> </w:t>
      </w:r>
      <w:r>
        <w:rPr/>
        <w:t>of</w:t>
      </w:r>
      <w:r>
        <w:rPr>
          <w:spacing w:val="-7"/>
        </w:rPr>
        <w:t> </w:t>
      </w:r>
      <w:r>
        <w:rPr>
          <w:spacing w:val="-2"/>
        </w:rPr>
        <w:t>student</w:t>
      </w:r>
      <w:r>
        <w:rPr/>
        <w:tab/>
      </w:r>
      <w:r>
        <w:rPr>
          <w:spacing w:val="-2"/>
        </w:rPr>
        <w:t>Signature</w:t>
      </w:r>
      <w:r>
        <w:rPr/>
        <w:tab/>
      </w:r>
      <w:r>
        <w:rPr>
          <w:spacing w:val="-4"/>
        </w:rPr>
        <w:t>Date</w:t>
      </w:r>
    </w:p>
    <w:p>
      <w:pPr>
        <w:spacing w:after="0"/>
        <w:sectPr>
          <w:pgSz w:w="11910" w:h="16840"/>
          <w:pgMar w:header="0" w:footer="777" w:top="1320" w:bottom="960" w:left="1680" w:right="1300"/>
        </w:sectPr>
      </w:pPr>
    </w:p>
    <w:p>
      <w:pPr>
        <w:pStyle w:val="Heading2"/>
        <w:spacing w:before="74"/>
        <w:ind w:left="188"/>
        <w:jc w:val="center"/>
      </w:pPr>
      <w:r>
        <w:rPr>
          <w:spacing w:val="-2"/>
        </w:rPr>
        <w:t>Certification</w:t>
      </w:r>
    </w:p>
    <w:p>
      <w:pPr>
        <w:pStyle w:val="BodyText"/>
        <w:spacing w:before="43"/>
        <w:rPr>
          <w:b/>
        </w:rPr>
      </w:pPr>
    </w:p>
    <w:p>
      <w:pPr>
        <w:pStyle w:val="BodyText"/>
        <w:spacing w:line="480" w:lineRule="auto" w:before="1"/>
        <w:ind w:left="308" w:right="104"/>
        <w:jc w:val="both"/>
      </w:pPr>
      <w:r>
        <w:rPr/>
        <w:t>This dissertation entitled “SYNTHESIS AND ANTICONVULSANT STUDIES OF DICHLORO-SUBSTITUTED PHENYL PROPANAMIDES AND THEIR ACTION ON</w:t>
      </w:r>
      <w:r>
        <w:rPr>
          <w:spacing w:val="23"/>
        </w:rPr>
        <w:t> </w:t>
      </w:r>
      <w:r>
        <w:rPr/>
        <w:t>VOLTAGE-GATED</w:t>
      </w:r>
      <w:r>
        <w:rPr>
          <w:spacing w:val="24"/>
        </w:rPr>
        <w:t> </w:t>
      </w:r>
      <w:r>
        <w:rPr/>
        <w:t>SODIUM</w:t>
      </w:r>
      <w:r>
        <w:rPr>
          <w:spacing w:val="21"/>
        </w:rPr>
        <w:t> </w:t>
      </w:r>
      <w:r>
        <w:rPr/>
        <w:t>CHANNELS</w:t>
      </w:r>
      <w:r>
        <w:rPr>
          <w:spacing w:val="30"/>
        </w:rPr>
        <w:t> </w:t>
      </w:r>
      <w:r>
        <w:rPr/>
        <w:t>(Na</w:t>
      </w:r>
      <w:r>
        <w:rPr>
          <w:vertAlign w:val="subscript"/>
        </w:rPr>
        <w:t>v</w:t>
      </w:r>
      <w:r>
        <w:rPr>
          <w:vertAlign w:val="baseline"/>
        </w:rPr>
        <w:t>1.6)’’</w:t>
      </w:r>
      <w:r>
        <w:rPr>
          <w:spacing w:val="26"/>
          <w:vertAlign w:val="baseline"/>
        </w:rPr>
        <w:t> </w:t>
      </w:r>
      <w:r>
        <w:rPr>
          <w:vertAlign w:val="baseline"/>
        </w:rPr>
        <w:t>by</w:t>
      </w:r>
      <w:r>
        <w:rPr>
          <w:spacing w:val="21"/>
          <w:vertAlign w:val="baseline"/>
        </w:rPr>
        <w:t> </w:t>
      </w:r>
      <w:r>
        <w:rPr>
          <w:vertAlign w:val="baseline"/>
        </w:rPr>
        <w:t>Sani</w:t>
      </w:r>
      <w:r>
        <w:rPr>
          <w:spacing w:val="25"/>
          <w:vertAlign w:val="baseline"/>
        </w:rPr>
        <w:t> </w:t>
      </w:r>
      <w:r>
        <w:rPr>
          <w:vertAlign w:val="baseline"/>
        </w:rPr>
        <w:t>MALAMI</w:t>
      </w:r>
      <w:r>
        <w:rPr>
          <w:spacing w:val="32"/>
          <w:vertAlign w:val="baseline"/>
        </w:rPr>
        <w:t> </w:t>
      </w:r>
      <w:r>
        <w:rPr>
          <w:spacing w:val="-2"/>
          <w:vertAlign w:val="baseline"/>
        </w:rPr>
        <w:t>meets</w:t>
      </w:r>
    </w:p>
    <w:p>
      <w:pPr>
        <w:pStyle w:val="BodyText"/>
        <w:spacing w:line="480" w:lineRule="auto"/>
        <w:ind w:left="308" w:right="110"/>
        <w:jc w:val="both"/>
      </w:pPr>
      <w:r>
        <w:rPr/>
        <w:t>the regulations governing the award of the degree of Doctor of Philosophy of Ahmadu Bello University, Zaria, and is approved for its contribution to knowledge and literary </w:t>
      </w:r>
      <w:r>
        <w:rPr>
          <w:spacing w:val="-2"/>
        </w:rPr>
        <w:t>presentation.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5"/>
        <w:rPr>
          <w:sz w:val="20"/>
        </w:rPr>
      </w:pPr>
      <w:r>
        <w:rPr/>
        <mc:AlternateContent>
          <mc:Choice Requires="wps">
            <w:drawing>
              <wp:anchor distT="0" distB="0" distL="0" distR="0" allowOverlap="1" layoutInCell="1" locked="0" behindDoc="1" simplePos="0" relativeHeight="487589376">
                <wp:simplePos x="0" y="0"/>
                <wp:positionH relativeFrom="page">
                  <wp:posOffset>1262481</wp:posOffset>
                </wp:positionH>
                <wp:positionV relativeFrom="paragraph">
                  <wp:posOffset>202586</wp:posOffset>
                </wp:positionV>
                <wp:extent cx="19812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981200" cy="1270"/>
                        </a:xfrm>
                        <a:custGeom>
                          <a:avLst/>
                          <a:gdLst/>
                          <a:ahLst/>
                          <a:cxnLst/>
                          <a:rect l="l" t="t" r="r" b="b"/>
                          <a:pathLst>
                            <a:path w="1981200" h="0">
                              <a:moveTo>
                                <a:pt x="0" y="0"/>
                              </a:moveTo>
                              <a:lnTo>
                                <a:pt x="1981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15.951673pt;width:156pt;height:.1pt;mso-position-horizontal-relative:page;mso-position-vertical-relative:paragraph;z-index:-15727104;mso-wrap-distance-left:0;mso-wrap-distance-right:0" id="docshape5" coordorigin="1988,319" coordsize="3120,0" path="m1988,319l5108,319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5378830</wp:posOffset>
                </wp:positionH>
                <wp:positionV relativeFrom="paragraph">
                  <wp:posOffset>202586</wp:posOffset>
                </wp:positionV>
                <wp:extent cx="12192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15.951673pt;width:96pt;height:.1pt;mso-position-horizontal-relative:page;mso-position-vertical-relative:paragraph;z-index:-15726592;mso-wrap-distance-left:0;mso-wrap-distance-right:0" id="docshape6" coordorigin="8471,319" coordsize="1920,0" path="m8471,319l10391,319e" filled="false" stroked="true" strokeweight=".487125pt" strokecolor="#000000">
                <v:path arrowok="t"/>
                <v:stroke dashstyle="solid"/>
                <w10:wrap type="topAndBottom"/>
              </v:shape>
            </w:pict>
          </mc:Fallback>
        </mc:AlternateContent>
      </w:r>
    </w:p>
    <w:p>
      <w:pPr>
        <w:pStyle w:val="BodyText"/>
        <w:tabs>
          <w:tab w:pos="6795" w:val="left" w:leader="none"/>
        </w:tabs>
        <w:ind w:left="553"/>
      </w:pPr>
      <w:r>
        <w:rPr/>
        <w:t>Prof.</w:t>
      </w:r>
      <w:r>
        <w:rPr>
          <w:spacing w:val="-6"/>
        </w:rPr>
        <w:t> </w:t>
      </w:r>
      <w:r>
        <w:rPr/>
        <w:t>J.A.</w:t>
      </w:r>
      <w:r>
        <w:rPr>
          <w:spacing w:val="-5"/>
        </w:rPr>
        <w:t> </w:t>
      </w:r>
      <w:r>
        <w:rPr>
          <w:spacing w:val="-2"/>
        </w:rPr>
        <w:t>Anuka</w:t>
      </w:r>
      <w:r>
        <w:rPr/>
        <w:tab/>
      </w:r>
      <w:r>
        <w:rPr>
          <w:spacing w:val="-4"/>
        </w:rPr>
        <w:t>Date</w:t>
      </w:r>
    </w:p>
    <w:p>
      <w:pPr>
        <w:pStyle w:val="BodyText"/>
        <w:ind w:left="553"/>
      </w:pPr>
      <w:r>
        <w:rPr/>
        <w:t>(Chairman,</w:t>
      </w:r>
      <w:r>
        <w:rPr>
          <w:spacing w:val="-5"/>
        </w:rPr>
        <w:t> </w:t>
      </w:r>
      <w:r>
        <w:rPr/>
        <w:t>Supervisory</w:t>
      </w:r>
      <w:r>
        <w:rPr>
          <w:spacing w:val="-15"/>
        </w:rPr>
        <w:t> </w:t>
      </w:r>
      <w:r>
        <w:rPr>
          <w:spacing w:val="-2"/>
        </w:rPr>
        <w:t>Committee)</w:t>
      </w:r>
    </w:p>
    <w:p>
      <w:pPr>
        <w:pStyle w:val="BodyText"/>
        <w:rPr>
          <w:sz w:val="20"/>
        </w:rPr>
      </w:pPr>
    </w:p>
    <w:p>
      <w:pPr>
        <w:pStyle w:val="BodyText"/>
        <w:rPr>
          <w:sz w:val="20"/>
        </w:rPr>
      </w:pPr>
    </w:p>
    <w:p>
      <w:pPr>
        <w:pStyle w:val="BodyText"/>
        <w:rPr>
          <w:sz w:val="20"/>
        </w:rPr>
      </w:pPr>
    </w:p>
    <w:p>
      <w:pPr>
        <w:pStyle w:val="BodyText"/>
        <w:spacing w:before="155"/>
        <w:rPr>
          <w:sz w:val="20"/>
        </w:rPr>
      </w:pPr>
      <w:r>
        <w:rPr/>
        <mc:AlternateContent>
          <mc:Choice Requires="wps">
            <w:drawing>
              <wp:anchor distT="0" distB="0" distL="0" distR="0" allowOverlap="1" layoutInCell="1" locked="0" behindDoc="1" simplePos="0" relativeHeight="487590400">
                <wp:simplePos x="0" y="0"/>
                <wp:positionH relativeFrom="page">
                  <wp:posOffset>1262481</wp:posOffset>
                </wp:positionH>
                <wp:positionV relativeFrom="paragraph">
                  <wp:posOffset>260117</wp:posOffset>
                </wp:positionV>
                <wp:extent cx="20574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0.481718pt;width:162pt;height:.1pt;mso-position-horizontal-relative:page;mso-position-vertical-relative:paragraph;z-index:-15726080;mso-wrap-distance-left:0;mso-wrap-distance-right:0" id="docshape7" coordorigin="1988,410" coordsize="3240,0" path="m1988,410l5228,410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912">
                <wp:simplePos x="0" y="0"/>
                <wp:positionH relativeFrom="page">
                  <wp:posOffset>5378830</wp:posOffset>
                </wp:positionH>
                <wp:positionV relativeFrom="paragraph">
                  <wp:posOffset>260117</wp:posOffset>
                </wp:positionV>
                <wp:extent cx="12192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20.481718pt;width:96pt;height:.1pt;mso-position-horizontal-relative:page;mso-position-vertical-relative:paragraph;z-index:-15725568;mso-wrap-distance-left:0;mso-wrap-distance-right:0" id="docshape8" coordorigin="8471,410" coordsize="1920,0" path="m8471,410l10391,410e" filled="false" stroked="true" strokeweight=".487125pt" strokecolor="#000000">
                <v:path arrowok="t"/>
                <v:stroke dashstyle="solid"/>
                <w10:wrap type="topAndBottom"/>
              </v:shape>
            </w:pict>
          </mc:Fallback>
        </mc:AlternateContent>
      </w:r>
    </w:p>
    <w:p>
      <w:pPr>
        <w:pStyle w:val="BodyText"/>
        <w:tabs>
          <w:tab w:pos="6780" w:val="left" w:leader="none"/>
        </w:tabs>
        <w:ind w:left="610"/>
      </w:pPr>
      <w:r>
        <w:rPr/>
        <w:t>Prof.</w:t>
      </w:r>
      <w:r>
        <w:rPr>
          <w:spacing w:val="-1"/>
        </w:rPr>
        <w:t> </w:t>
      </w:r>
      <w:r>
        <w:rPr/>
        <w:t>I.M.</w:t>
      </w:r>
      <w:r>
        <w:rPr>
          <w:spacing w:val="-4"/>
        </w:rPr>
        <w:t> </w:t>
      </w:r>
      <w:r>
        <w:rPr>
          <w:spacing w:val="-2"/>
        </w:rPr>
        <w:t>Hussaini</w:t>
      </w:r>
      <w:r>
        <w:rPr/>
        <w:tab/>
      </w:r>
      <w:r>
        <w:rPr>
          <w:spacing w:val="-4"/>
        </w:rPr>
        <w:t>Date</w:t>
      </w:r>
    </w:p>
    <w:p>
      <w:pPr>
        <w:pStyle w:val="BodyText"/>
        <w:ind w:left="610"/>
      </w:pPr>
      <w:r>
        <w:rPr/>
        <w:t>(Member,</w:t>
      </w:r>
      <w:r>
        <w:rPr>
          <w:spacing w:val="-3"/>
        </w:rPr>
        <w:t> </w:t>
      </w:r>
      <w:r>
        <w:rPr/>
        <w:t>Supervisory</w:t>
      </w:r>
      <w:r>
        <w:rPr>
          <w:spacing w:val="-13"/>
        </w:rPr>
        <w:t> </w:t>
      </w:r>
      <w:r>
        <w:rPr>
          <w:spacing w:val="-2"/>
        </w:rPr>
        <w:t>Committee)</w:t>
      </w:r>
    </w:p>
    <w:p>
      <w:pPr>
        <w:pStyle w:val="BodyText"/>
        <w:rPr>
          <w:sz w:val="20"/>
        </w:rPr>
      </w:pPr>
    </w:p>
    <w:p>
      <w:pPr>
        <w:pStyle w:val="BodyText"/>
        <w:rPr>
          <w:sz w:val="20"/>
        </w:rPr>
      </w:pPr>
    </w:p>
    <w:p>
      <w:pPr>
        <w:pStyle w:val="BodyText"/>
        <w:spacing w:before="107"/>
        <w:rPr>
          <w:sz w:val="20"/>
        </w:rPr>
      </w:pPr>
      <w:r>
        <w:rPr/>
        <mc:AlternateContent>
          <mc:Choice Requires="wps">
            <w:drawing>
              <wp:anchor distT="0" distB="0" distL="0" distR="0" allowOverlap="1" layoutInCell="1" locked="0" behindDoc="1" simplePos="0" relativeHeight="487591424">
                <wp:simplePos x="0" y="0"/>
                <wp:positionH relativeFrom="page">
                  <wp:posOffset>1262481</wp:posOffset>
                </wp:positionH>
                <wp:positionV relativeFrom="paragraph">
                  <wp:posOffset>229371</wp:posOffset>
                </wp:positionV>
                <wp:extent cx="19812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981200" cy="1270"/>
                        </a:xfrm>
                        <a:custGeom>
                          <a:avLst/>
                          <a:gdLst/>
                          <a:ahLst/>
                          <a:cxnLst/>
                          <a:rect l="l" t="t" r="r" b="b"/>
                          <a:pathLst>
                            <a:path w="1981200" h="0">
                              <a:moveTo>
                                <a:pt x="0" y="0"/>
                              </a:moveTo>
                              <a:lnTo>
                                <a:pt x="1981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18.060728pt;width:156pt;height:.1pt;mso-position-horizontal-relative:page;mso-position-vertical-relative:paragraph;z-index:-15725056;mso-wrap-distance-left:0;mso-wrap-distance-right:0" id="docshape9" coordorigin="1988,361" coordsize="3120,0" path="m1988,361l5108,361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5378830</wp:posOffset>
                </wp:positionH>
                <wp:positionV relativeFrom="paragraph">
                  <wp:posOffset>229371</wp:posOffset>
                </wp:positionV>
                <wp:extent cx="12192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18.060728pt;width:96pt;height:.1pt;mso-position-horizontal-relative:page;mso-position-vertical-relative:paragraph;z-index:-15724544;mso-wrap-distance-left:0;mso-wrap-distance-right:0" id="docshape10" coordorigin="8471,361" coordsize="1920,0" path="m8471,361l10391,361e" filled="false" stroked="true" strokeweight=".487125pt" strokecolor="#000000">
                <v:path arrowok="t"/>
                <v:stroke dashstyle="solid"/>
                <w10:wrap type="topAndBottom"/>
              </v:shape>
            </w:pict>
          </mc:Fallback>
        </mc:AlternateContent>
      </w:r>
    </w:p>
    <w:p>
      <w:pPr>
        <w:pStyle w:val="BodyText"/>
        <w:tabs>
          <w:tab w:pos="6795" w:val="left" w:leader="none"/>
        </w:tabs>
        <w:spacing w:line="275" w:lineRule="exact" w:before="2"/>
        <w:ind w:left="553"/>
      </w:pPr>
      <w:r>
        <w:rPr/>
        <w:t>Dr.</w:t>
      </w:r>
      <w:r>
        <w:rPr>
          <w:spacing w:val="-1"/>
        </w:rPr>
        <w:t> </w:t>
      </w:r>
      <w:r>
        <w:rPr/>
        <w:t>A.Y.</w:t>
      </w:r>
      <w:r>
        <w:rPr>
          <w:spacing w:val="-4"/>
        </w:rPr>
        <w:t> </w:t>
      </w:r>
      <w:r>
        <w:rPr>
          <w:spacing w:val="-2"/>
        </w:rPr>
        <w:t>Idris</w:t>
      </w:r>
      <w:r>
        <w:rPr/>
        <w:tab/>
      </w:r>
      <w:r>
        <w:rPr>
          <w:spacing w:val="-4"/>
        </w:rPr>
        <w:t>Date</w:t>
      </w:r>
    </w:p>
    <w:p>
      <w:pPr>
        <w:pStyle w:val="BodyText"/>
        <w:spacing w:line="275" w:lineRule="exact"/>
        <w:ind w:left="553"/>
      </w:pPr>
      <w:r>
        <w:rPr/>
        <w:t>(Member,</w:t>
      </w:r>
      <w:r>
        <w:rPr>
          <w:spacing w:val="-3"/>
        </w:rPr>
        <w:t> </w:t>
      </w:r>
      <w:r>
        <w:rPr/>
        <w:t>Supervisory</w:t>
      </w:r>
      <w:r>
        <w:rPr>
          <w:spacing w:val="-12"/>
        </w:rPr>
        <w:t> </w:t>
      </w:r>
      <w:r>
        <w:rPr>
          <w:spacing w:val="-2"/>
        </w:rPr>
        <w:t>Committee)</w:t>
      </w:r>
    </w:p>
    <w:p>
      <w:pPr>
        <w:pStyle w:val="BodyText"/>
        <w:rPr>
          <w:sz w:val="20"/>
        </w:rPr>
      </w:pPr>
    </w:p>
    <w:p>
      <w:pPr>
        <w:pStyle w:val="BodyText"/>
        <w:rPr>
          <w:sz w:val="20"/>
        </w:rPr>
      </w:pPr>
    </w:p>
    <w:p>
      <w:pPr>
        <w:pStyle w:val="BodyText"/>
        <w:spacing w:before="112"/>
        <w:rPr>
          <w:sz w:val="20"/>
        </w:rPr>
      </w:pPr>
      <w:r>
        <w:rPr/>
        <mc:AlternateContent>
          <mc:Choice Requires="wps">
            <w:drawing>
              <wp:anchor distT="0" distB="0" distL="0" distR="0" allowOverlap="1" layoutInCell="1" locked="0" behindDoc="1" simplePos="0" relativeHeight="487592448">
                <wp:simplePos x="0" y="0"/>
                <wp:positionH relativeFrom="page">
                  <wp:posOffset>1262481</wp:posOffset>
                </wp:positionH>
                <wp:positionV relativeFrom="paragraph">
                  <wp:posOffset>232785</wp:posOffset>
                </wp:positionV>
                <wp:extent cx="20574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18.329563pt;width:162pt;height:.1pt;mso-position-horizontal-relative:page;mso-position-vertical-relative:paragraph;z-index:-15724032;mso-wrap-distance-left:0;mso-wrap-distance-right:0" id="docshape11" coordorigin="1988,367" coordsize="3240,0" path="m1988,367l5228,367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5378830</wp:posOffset>
                </wp:positionH>
                <wp:positionV relativeFrom="paragraph">
                  <wp:posOffset>232785</wp:posOffset>
                </wp:positionV>
                <wp:extent cx="1219835"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219835" cy="1270"/>
                        </a:xfrm>
                        <a:custGeom>
                          <a:avLst/>
                          <a:gdLst/>
                          <a:ahLst/>
                          <a:cxnLst/>
                          <a:rect l="l" t="t" r="r" b="b"/>
                          <a:pathLst>
                            <a:path w="1219835" h="0">
                              <a:moveTo>
                                <a:pt x="0" y="0"/>
                              </a:moveTo>
                              <a:lnTo>
                                <a:pt x="121945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18.329563pt;width:96.05pt;height:.1pt;mso-position-horizontal-relative:page;mso-position-vertical-relative:paragraph;z-index:-15723520;mso-wrap-distance-left:0;mso-wrap-distance-right:0" id="docshape12" coordorigin="8471,367" coordsize="1921,0" path="m8471,367l10391,367e" filled="false" stroked="true" strokeweight=".487125pt" strokecolor="#000000">
                <v:path arrowok="t"/>
                <v:stroke dashstyle="solid"/>
                <w10:wrap type="topAndBottom"/>
              </v:shape>
            </w:pict>
          </mc:Fallback>
        </mc:AlternateContent>
      </w:r>
    </w:p>
    <w:p>
      <w:pPr>
        <w:pStyle w:val="BodyText"/>
        <w:tabs>
          <w:tab w:pos="6790" w:val="left" w:leader="none"/>
        </w:tabs>
        <w:ind w:left="673"/>
      </w:pPr>
      <w:r>
        <w:rPr/>
        <w:t>Dr.</w:t>
      </w:r>
      <w:r>
        <w:rPr>
          <w:spacing w:val="-3"/>
        </w:rPr>
        <w:t> </w:t>
      </w:r>
      <w:r>
        <w:rPr/>
        <w:t>A.U.</w:t>
      </w:r>
      <w:r>
        <w:rPr>
          <w:spacing w:val="-4"/>
        </w:rPr>
        <w:t> Zezi</w:t>
      </w:r>
      <w:r>
        <w:rPr/>
        <w:tab/>
      </w:r>
      <w:r>
        <w:rPr>
          <w:spacing w:val="-4"/>
        </w:rPr>
        <w:t>Date</w:t>
      </w:r>
    </w:p>
    <w:p>
      <w:pPr>
        <w:pStyle w:val="BodyText"/>
        <w:ind w:left="673"/>
      </w:pPr>
      <w:r>
        <w:rPr/>
        <w:t>(Head</w:t>
      </w:r>
      <w:r>
        <w:rPr>
          <w:spacing w:val="-2"/>
        </w:rPr>
        <w:t> </w:t>
      </w:r>
      <w:r>
        <w:rPr/>
        <w:t>of</w:t>
      </w:r>
      <w:r>
        <w:rPr>
          <w:spacing w:val="-5"/>
        </w:rPr>
        <w:t> </w:t>
      </w:r>
      <w:r>
        <w:rPr>
          <w:spacing w:val="-2"/>
        </w:rPr>
        <w:t>Department)</w:t>
      </w:r>
    </w:p>
    <w:p>
      <w:pPr>
        <w:pStyle w:val="BodyText"/>
        <w:rPr>
          <w:sz w:val="20"/>
        </w:rPr>
      </w:pPr>
    </w:p>
    <w:p>
      <w:pPr>
        <w:pStyle w:val="BodyText"/>
        <w:rPr>
          <w:sz w:val="20"/>
        </w:rPr>
      </w:pPr>
    </w:p>
    <w:p>
      <w:pPr>
        <w:pStyle w:val="BodyText"/>
        <w:rPr>
          <w:sz w:val="20"/>
        </w:rPr>
      </w:pPr>
    </w:p>
    <w:p>
      <w:pPr>
        <w:pStyle w:val="BodyText"/>
        <w:spacing w:before="203"/>
        <w:rPr>
          <w:sz w:val="20"/>
        </w:rPr>
      </w:pPr>
      <w:r>
        <w:rPr/>
        <mc:AlternateContent>
          <mc:Choice Requires="wps">
            <w:drawing>
              <wp:anchor distT="0" distB="0" distL="0" distR="0" allowOverlap="1" layoutInCell="1" locked="0" behindDoc="1" simplePos="0" relativeHeight="487593472">
                <wp:simplePos x="0" y="0"/>
                <wp:positionH relativeFrom="page">
                  <wp:posOffset>1262481</wp:posOffset>
                </wp:positionH>
                <wp:positionV relativeFrom="paragraph">
                  <wp:posOffset>290341</wp:posOffset>
                </wp:positionV>
                <wp:extent cx="2130425"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2130425" cy="1270"/>
                        </a:xfrm>
                        <a:custGeom>
                          <a:avLst/>
                          <a:gdLst/>
                          <a:ahLst/>
                          <a:cxnLst/>
                          <a:rect l="l" t="t" r="r" b="b"/>
                          <a:pathLst>
                            <a:path w="2130425" h="0">
                              <a:moveTo>
                                <a:pt x="0" y="0"/>
                              </a:moveTo>
                              <a:lnTo>
                                <a:pt x="2129893" y="0"/>
                              </a:lnTo>
                            </a:path>
                          </a:pathLst>
                        </a:custGeom>
                        <a:ln w="1113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2.861525pt;width:167.75pt;height:.1pt;mso-position-horizontal-relative:page;mso-position-vertical-relative:paragraph;z-index:-15723008;mso-wrap-distance-left:0;mso-wrap-distance-right:0" id="docshape13" coordorigin="1988,457" coordsize="3355,0" path="m1988,457l5342,457e" filled="false" stroked="true" strokeweight=".8769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3984">
                <wp:simplePos x="0" y="0"/>
                <wp:positionH relativeFrom="page">
                  <wp:posOffset>5378830</wp:posOffset>
                </wp:positionH>
                <wp:positionV relativeFrom="paragraph">
                  <wp:posOffset>290341</wp:posOffset>
                </wp:positionV>
                <wp:extent cx="124079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240790" cy="1270"/>
                        </a:xfrm>
                        <a:custGeom>
                          <a:avLst/>
                          <a:gdLst/>
                          <a:ahLst/>
                          <a:cxnLst/>
                          <a:rect l="l" t="t" r="r" b="b"/>
                          <a:pathLst>
                            <a:path w="1240790" h="0">
                              <a:moveTo>
                                <a:pt x="0" y="0"/>
                              </a:moveTo>
                              <a:lnTo>
                                <a:pt x="1240316" y="0"/>
                              </a:lnTo>
                            </a:path>
                          </a:pathLst>
                        </a:custGeom>
                        <a:ln w="1113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529999pt;margin-top:22.861525pt;width:97.7pt;height:.1pt;mso-position-horizontal-relative:page;mso-position-vertical-relative:paragraph;z-index:-15722496;mso-wrap-distance-left:0;mso-wrap-distance-right:0" id="docshape14" coordorigin="8471,457" coordsize="1954,0" path="m8471,457l10424,457e" filled="false" stroked="true" strokeweight=".87696pt" strokecolor="#000000">
                <v:path arrowok="t"/>
                <v:stroke dashstyle="solid"/>
                <w10:wrap type="topAndBottom"/>
              </v:shape>
            </w:pict>
          </mc:Fallback>
        </mc:AlternateContent>
      </w:r>
    </w:p>
    <w:p>
      <w:pPr>
        <w:pStyle w:val="BodyText"/>
        <w:tabs>
          <w:tab w:pos="6780" w:val="left" w:leader="none"/>
        </w:tabs>
        <w:spacing w:line="269" w:lineRule="exact"/>
        <w:ind w:left="730"/>
      </w:pPr>
      <w:r>
        <w:rPr/>
        <w:t>Prof.</w:t>
      </w:r>
      <w:r>
        <w:rPr>
          <w:spacing w:val="-3"/>
        </w:rPr>
        <w:t> </w:t>
      </w:r>
      <w:r>
        <w:rPr/>
        <w:t>A.Z</w:t>
      </w:r>
      <w:r>
        <w:rPr>
          <w:spacing w:val="-6"/>
        </w:rPr>
        <w:t> </w:t>
      </w:r>
      <w:r>
        <w:rPr>
          <w:spacing w:val="-2"/>
        </w:rPr>
        <w:t>Hassan</w:t>
      </w:r>
      <w:r>
        <w:rPr/>
        <w:tab/>
      </w:r>
      <w:r>
        <w:rPr>
          <w:spacing w:val="-4"/>
        </w:rPr>
        <w:t>Date</w:t>
      </w:r>
    </w:p>
    <w:p>
      <w:pPr>
        <w:pStyle w:val="BodyText"/>
        <w:spacing w:line="275" w:lineRule="exact"/>
        <w:ind w:left="308"/>
      </w:pPr>
      <w:r>
        <w:rPr/>
        <w:t>(Dean,</w:t>
      </w:r>
      <w:r>
        <w:rPr>
          <w:spacing w:val="6"/>
        </w:rPr>
        <w:t> </w:t>
      </w:r>
      <w:r>
        <w:rPr/>
        <w:t>School</w:t>
      </w:r>
      <w:r>
        <w:rPr>
          <w:spacing w:val="-6"/>
        </w:rPr>
        <w:t> </w:t>
      </w:r>
      <w:r>
        <w:rPr/>
        <w:t>of</w:t>
      </w:r>
      <w:r>
        <w:rPr>
          <w:spacing w:val="-5"/>
        </w:rPr>
        <w:t> </w:t>
      </w:r>
      <w:r>
        <w:rPr/>
        <w:t>Postgraduate</w:t>
      </w:r>
      <w:r>
        <w:rPr>
          <w:spacing w:val="-3"/>
        </w:rPr>
        <w:t> </w:t>
      </w:r>
      <w:r>
        <w:rPr>
          <w:spacing w:val="-2"/>
        </w:rPr>
        <w:t>Studies)</w:t>
      </w:r>
    </w:p>
    <w:p>
      <w:pPr>
        <w:spacing w:after="0" w:line="275" w:lineRule="exact"/>
        <w:sectPr>
          <w:pgSz w:w="11910" w:h="16840"/>
          <w:pgMar w:header="0" w:footer="777" w:top="1320" w:bottom="960" w:left="1680" w:right="1300"/>
        </w:sectPr>
      </w:pPr>
    </w:p>
    <w:p>
      <w:pPr>
        <w:pStyle w:val="Heading2"/>
        <w:spacing w:before="74"/>
        <w:ind w:left="187"/>
        <w:jc w:val="center"/>
      </w:pPr>
      <w:r>
        <w:rPr>
          <w:spacing w:val="-2"/>
        </w:rPr>
        <w:t>Acknowledgement</w:t>
      </w:r>
    </w:p>
    <w:p>
      <w:pPr>
        <w:pStyle w:val="BodyText"/>
        <w:spacing w:line="480" w:lineRule="auto" w:before="272"/>
        <w:ind w:left="308" w:right="112"/>
        <w:jc w:val="both"/>
      </w:pPr>
      <w:r>
        <w:rPr/>
        <w:t>Words are not enough to quantify my gratitude to the almighty Allah, whose help and mercy acted in me and made this work a success; without which my effort could have yielded nothing but a failure.</w:t>
      </w:r>
    </w:p>
    <w:p>
      <w:pPr>
        <w:pStyle w:val="BodyText"/>
      </w:pPr>
    </w:p>
    <w:p>
      <w:pPr>
        <w:pStyle w:val="BodyText"/>
        <w:spacing w:before="1"/>
      </w:pPr>
    </w:p>
    <w:p>
      <w:pPr>
        <w:pStyle w:val="BodyText"/>
        <w:spacing w:line="480" w:lineRule="auto"/>
        <w:ind w:left="308" w:right="107"/>
        <w:jc w:val="both"/>
      </w:pPr>
      <w:r>
        <w:rPr/>
        <w:t>My sincere appreciation goes to my able and well known dedicated supervisors; Professor J.A. Anuka, Professor I.M. Hussaini and Dr. A.Y. Idris, for their enormous contributions toward the success of this work. Without being told, I would continue to cherish and remember our good relationship throughout the work. I am indeed very </w:t>
      </w:r>
      <w:r>
        <w:rPr>
          <w:spacing w:val="-2"/>
        </w:rPr>
        <w:t>grateful.</w:t>
      </w:r>
    </w:p>
    <w:p>
      <w:pPr>
        <w:pStyle w:val="BodyText"/>
      </w:pPr>
    </w:p>
    <w:p>
      <w:pPr>
        <w:pStyle w:val="BodyText"/>
        <w:spacing w:before="1"/>
      </w:pPr>
    </w:p>
    <w:p>
      <w:pPr>
        <w:pStyle w:val="BodyText"/>
        <w:spacing w:line="480" w:lineRule="auto"/>
        <w:ind w:left="308" w:right="116"/>
        <w:jc w:val="both"/>
      </w:pPr>
      <w:r>
        <w:rPr/>
        <w:t>I find it imperative to specially thank Prof. I.M. Hussaini for securing bench space for me at the University of Virginia, USA, where I worked as a Visiting Scholar for six months, and in addition to this, he linked me to other laboratories where I was exposed to essential biomedical research technique. Sir, I am grateful!</w:t>
      </w:r>
    </w:p>
    <w:p>
      <w:pPr>
        <w:pStyle w:val="BodyText"/>
      </w:pPr>
    </w:p>
    <w:p>
      <w:pPr>
        <w:pStyle w:val="BodyText"/>
        <w:spacing w:before="1"/>
      </w:pPr>
    </w:p>
    <w:p>
      <w:pPr>
        <w:pStyle w:val="BodyText"/>
        <w:spacing w:line="480" w:lineRule="auto"/>
        <w:ind w:left="308" w:right="110"/>
        <w:jc w:val="both"/>
      </w:pPr>
      <w:r>
        <w:rPr/>
        <w:t>I thank and appreciate Dr Manoj</w:t>
      </w:r>
      <w:r>
        <w:rPr>
          <w:spacing w:val="-1"/>
        </w:rPr>
        <w:t> </w:t>
      </w:r>
      <w:r>
        <w:rPr/>
        <w:t>K. Patel, Department of Anesthesiology, University</w:t>
      </w:r>
      <w:r>
        <w:rPr>
          <w:spacing w:val="-1"/>
        </w:rPr>
        <w:t> </w:t>
      </w:r>
      <w:r>
        <w:rPr/>
        <w:t>of Virginia, Charlottesville, USA, for his good gesture and academic mentoring with free access to all consumables and laboratory equipments. Similarly I appreciate other members of his research Laboratory especially Mirko Rivera (PhD), Divina (PhD), Corinne, and Luqman, for their friendly</w:t>
      </w:r>
      <w:r>
        <w:rPr>
          <w:spacing w:val="-1"/>
        </w:rPr>
        <w:t> </w:t>
      </w:r>
      <w:r>
        <w:rPr/>
        <w:t>reception and good guidance during my stay</w:t>
      </w:r>
      <w:r>
        <w:rPr>
          <w:spacing w:val="-1"/>
        </w:rPr>
        <w:t> </w:t>
      </w:r>
      <w:r>
        <w:rPr/>
        <w:t>in the Lab. Also, I thank K. Zaman (PhD), Kamal (PhD), Benjamin Purow (PhD) and his technician, Aizhen, for what they taught me</w:t>
      </w:r>
      <w:r>
        <w:rPr>
          <w:spacing w:val="22"/>
        </w:rPr>
        <w:t> </w:t>
      </w:r>
      <w:r>
        <w:rPr/>
        <w:t>in their various research areas while I was in University of Virginia.</w:t>
      </w:r>
    </w:p>
    <w:p>
      <w:pPr>
        <w:spacing w:after="0" w:line="480" w:lineRule="auto"/>
        <w:jc w:val="both"/>
        <w:sectPr>
          <w:pgSz w:w="11910" w:h="16840"/>
          <w:pgMar w:header="0" w:footer="777" w:top="1320" w:bottom="960" w:left="1680" w:right="1300"/>
        </w:sectPr>
      </w:pPr>
    </w:p>
    <w:p>
      <w:pPr>
        <w:pStyle w:val="BodyText"/>
        <w:spacing w:line="480" w:lineRule="auto" w:before="70"/>
        <w:ind w:left="308" w:right="114"/>
        <w:jc w:val="both"/>
      </w:pPr>
      <w:r>
        <w:rPr/>
        <w:t>I must sincerely</w:t>
      </w:r>
      <w:r>
        <w:rPr>
          <w:spacing w:val="-7"/>
        </w:rPr>
        <w:t> </w:t>
      </w:r>
      <w:r>
        <w:rPr/>
        <w:t>appreciate and acknowledge TETFund for awarding full</w:t>
      </w:r>
      <w:r>
        <w:rPr>
          <w:spacing w:val="-3"/>
        </w:rPr>
        <w:t> </w:t>
      </w:r>
      <w:r>
        <w:rPr/>
        <w:t>sponsorship to me which I utilized for my bench work at the University of Virginia, Charlottesville, Virginia, USA, for 6 months.</w:t>
      </w:r>
    </w:p>
    <w:p>
      <w:pPr>
        <w:pStyle w:val="BodyText"/>
      </w:pPr>
    </w:p>
    <w:p>
      <w:pPr>
        <w:pStyle w:val="BodyText"/>
      </w:pPr>
    </w:p>
    <w:p>
      <w:pPr>
        <w:pStyle w:val="BodyText"/>
        <w:spacing w:line="480" w:lineRule="auto"/>
        <w:ind w:left="308" w:right="110"/>
        <w:jc w:val="both"/>
      </w:pPr>
      <w:r>
        <w:rPr/>
        <w:t>I also wish</w:t>
      </w:r>
      <w:r>
        <w:rPr>
          <w:spacing w:val="-5"/>
        </w:rPr>
        <w:t> </w:t>
      </w:r>
      <w:r>
        <w:rPr/>
        <w:t>to express my</w:t>
      </w:r>
      <w:r>
        <w:rPr>
          <w:spacing w:val="-5"/>
        </w:rPr>
        <w:t> </w:t>
      </w:r>
      <w:r>
        <w:rPr/>
        <w:t>thanks</w:t>
      </w:r>
      <w:r>
        <w:rPr>
          <w:spacing w:val="-1"/>
        </w:rPr>
        <w:t> </w:t>
      </w:r>
      <w:r>
        <w:rPr/>
        <w:t>to everybody</w:t>
      </w:r>
      <w:r>
        <w:rPr>
          <w:spacing w:val="-10"/>
        </w:rPr>
        <w:t> </w:t>
      </w:r>
      <w:r>
        <w:rPr/>
        <w:t>who has contributed</w:t>
      </w:r>
      <w:r>
        <w:rPr>
          <w:spacing w:val="-1"/>
        </w:rPr>
        <w:t> </w:t>
      </w:r>
      <w:r>
        <w:rPr/>
        <w:t>directly</w:t>
      </w:r>
      <w:r>
        <w:rPr>
          <w:spacing w:val="-10"/>
        </w:rPr>
        <w:t> </w:t>
      </w:r>
      <w:r>
        <w:rPr/>
        <w:t>or indirectly toward the actualization of this</w:t>
      </w:r>
      <w:r>
        <w:rPr>
          <w:spacing w:val="23"/>
        </w:rPr>
        <w:t> </w:t>
      </w:r>
      <w:r>
        <w:rPr/>
        <w:t>achievement. In fact, a paragraph may appear too little</w:t>
      </w:r>
      <w:r>
        <w:rPr>
          <w:spacing w:val="40"/>
        </w:rPr>
        <w:t> </w:t>
      </w:r>
      <w:r>
        <w:rPr/>
        <w:t>to accommodate the full description of your kind support and contributions. Let me say</w:t>
      </w:r>
      <w:r>
        <w:rPr>
          <w:spacing w:val="40"/>
        </w:rPr>
        <w:t> </w:t>
      </w:r>
      <w:r>
        <w:rPr/>
        <w:t>a big ‘Thank’ to you all; especially to Dr. Abdullahi Hamza Yaro, Dr Jamilu Ya’u, Dr Nuhu M. Danjuma, Dr A.U. Zezi- Head of</w:t>
      </w:r>
      <w:r>
        <w:rPr>
          <w:spacing w:val="-1"/>
        </w:rPr>
        <w:t> </w:t>
      </w:r>
      <w:r>
        <w:rPr/>
        <w:t>Department, Asma’u Hamza, Aliyu Ahmad and my colleaques in the Department.</w:t>
      </w:r>
    </w:p>
    <w:p>
      <w:pPr>
        <w:pStyle w:val="BodyText"/>
      </w:pPr>
    </w:p>
    <w:p>
      <w:pPr>
        <w:pStyle w:val="BodyText"/>
        <w:spacing w:before="2"/>
      </w:pPr>
    </w:p>
    <w:p>
      <w:pPr>
        <w:pStyle w:val="BodyText"/>
        <w:spacing w:line="480" w:lineRule="auto"/>
        <w:ind w:left="308" w:right="111"/>
        <w:jc w:val="both"/>
      </w:pPr>
      <w:r>
        <w:rPr/>
        <w:t>It is</w:t>
      </w:r>
      <w:r>
        <w:rPr>
          <w:spacing w:val="-3"/>
        </w:rPr>
        <w:t> </w:t>
      </w:r>
      <w:r>
        <w:rPr/>
        <w:t>also imperative</w:t>
      </w:r>
      <w:r>
        <w:rPr>
          <w:spacing w:val="-2"/>
        </w:rPr>
        <w:t> </w:t>
      </w:r>
      <w:r>
        <w:rPr/>
        <w:t>on</w:t>
      </w:r>
      <w:r>
        <w:rPr>
          <w:spacing w:val="-1"/>
        </w:rPr>
        <w:t> </w:t>
      </w:r>
      <w:r>
        <w:rPr/>
        <w:t>me</w:t>
      </w:r>
      <w:r>
        <w:rPr>
          <w:spacing w:val="-2"/>
        </w:rPr>
        <w:t> </w:t>
      </w:r>
      <w:r>
        <w:rPr/>
        <w:t>to appreciate</w:t>
      </w:r>
      <w:r>
        <w:rPr>
          <w:spacing w:val="-2"/>
        </w:rPr>
        <w:t> </w:t>
      </w:r>
      <w:r>
        <w:rPr/>
        <w:t>and</w:t>
      </w:r>
      <w:r>
        <w:rPr>
          <w:spacing w:val="-1"/>
        </w:rPr>
        <w:t> </w:t>
      </w:r>
      <w:r>
        <w:rPr/>
        <w:t>thank the</w:t>
      </w:r>
      <w:r>
        <w:rPr>
          <w:spacing w:val="-2"/>
        </w:rPr>
        <w:t> </w:t>
      </w:r>
      <w:r>
        <w:rPr/>
        <w:t>entire members</w:t>
      </w:r>
      <w:r>
        <w:rPr>
          <w:spacing w:val="-3"/>
        </w:rPr>
        <w:t> </w:t>
      </w:r>
      <w:r>
        <w:rPr/>
        <w:t>of</w:t>
      </w:r>
      <w:r>
        <w:rPr>
          <w:spacing w:val="-4"/>
        </w:rPr>
        <w:t> </w:t>
      </w:r>
      <w:r>
        <w:rPr/>
        <w:t>my</w:t>
      </w:r>
      <w:r>
        <w:rPr>
          <w:spacing w:val="-1"/>
        </w:rPr>
        <w:t> </w:t>
      </w:r>
      <w:r>
        <w:rPr/>
        <w:t>family</w:t>
      </w:r>
      <w:r>
        <w:rPr>
          <w:spacing w:val="-5"/>
        </w:rPr>
        <w:t> </w:t>
      </w:r>
      <w:r>
        <w:rPr/>
        <w:t>and friends, including my Grand mother (Hajiya Iya); for their prayers, support and understanding. May Almighty Allah reward them abundantly.</w:t>
      </w:r>
    </w:p>
    <w:p>
      <w:pPr>
        <w:pStyle w:val="BodyText"/>
      </w:pPr>
    </w:p>
    <w:p>
      <w:pPr>
        <w:pStyle w:val="BodyText"/>
        <w:spacing w:before="1"/>
      </w:pPr>
    </w:p>
    <w:p>
      <w:pPr>
        <w:pStyle w:val="BodyText"/>
        <w:spacing w:line="480" w:lineRule="auto"/>
        <w:ind w:left="308" w:right="111"/>
        <w:jc w:val="both"/>
      </w:pPr>
      <w:r>
        <w:rPr/>
        <w:t>All can not be ended without extending my special and specific regards to my beloved and caring wife, for her magnanimous and enthusiastic support and well wishes. I</w:t>
      </w:r>
      <w:r>
        <w:rPr>
          <w:spacing w:val="40"/>
        </w:rPr>
        <w:t> </w:t>
      </w:r>
      <w:r>
        <w:rPr/>
        <w:t>extend same to my children; Mahmud, Hafsat, Ibrahim Khalil and Ahmad. Please, endeavor to keep it up.</w:t>
      </w:r>
    </w:p>
    <w:p>
      <w:pPr>
        <w:spacing w:after="0" w:line="480" w:lineRule="auto"/>
        <w:jc w:val="both"/>
        <w:sectPr>
          <w:pgSz w:w="11910" w:h="16840"/>
          <w:pgMar w:header="0" w:footer="777" w:top="1320" w:bottom="960" w:left="1680" w:right="1300"/>
        </w:sectPr>
      </w:pPr>
    </w:p>
    <w:p>
      <w:pPr>
        <w:pStyle w:val="Heading2"/>
        <w:spacing w:before="74"/>
        <w:ind w:left="308"/>
        <w:jc w:val="left"/>
      </w:pPr>
      <w:r>
        <w:rPr>
          <w:spacing w:val="-2"/>
        </w:rPr>
        <w:t>Abstract</w:t>
      </w:r>
    </w:p>
    <w:p>
      <w:pPr>
        <w:pStyle w:val="BodyText"/>
        <w:spacing w:before="235"/>
        <w:rPr>
          <w:b/>
        </w:rPr>
      </w:pPr>
    </w:p>
    <w:p>
      <w:pPr>
        <w:pStyle w:val="BodyText"/>
        <w:spacing w:line="480" w:lineRule="auto" w:before="1"/>
        <w:ind w:left="308" w:right="101"/>
        <w:jc w:val="both"/>
      </w:pPr>
      <w:r>
        <w:rPr/>
        <w:t>The field of antiepileptic drug development has become dynamic, affording many promising research opportunities. Continued efforts are being made in the development of antiepileptic drugs employing a range of strategies, including modification of the structures of existing drugs, targeting novel molecular substrates and non-mechanism- based drug screening. This research is aimed at conducting anticonvulsant studies on three synthesized dichloro-substituted phenyl propanamides. Isomers of 2,3- (DCP23)- 2,5- (DCP25) and 3,4- (DCP34) Dichloro-substituted Phenyl Propanamides were synthesized from acrylamide and dichloro-substituted anilines. The products were formed by an addition reaction according to Michael’s reaction. The physicochemical properties of the products were determined, and their structures were elucidated using standard analytical procedures; infrared (IR) and nuclear magnetic resonance (NMR) spectroscopy. The test compounds were evaluated for anticonvulsant effect</w:t>
      </w:r>
      <w:r>
        <w:rPr>
          <w:spacing w:val="40"/>
        </w:rPr>
        <w:t> </w:t>
      </w:r>
      <w:r>
        <w:rPr/>
        <w:t>in both</w:t>
      </w:r>
      <w:r>
        <w:rPr>
          <w:spacing w:val="40"/>
        </w:rPr>
        <w:t> </w:t>
      </w:r>
      <w:r>
        <w:rPr/>
        <w:t>acute and chronic animal models, via intraperitoneal</w:t>
      </w:r>
      <w:r>
        <w:rPr>
          <w:spacing w:val="-6"/>
        </w:rPr>
        <w:t> </w:t>
      </w:r>
      <w:r>
        <w:rPr/>
        <w:t>(i.p.). In</w:t>
      </w:r>
      <w:r>
        <w:rPr>
          <w:spacing w:val="-1"/>
        </w:rPr>
        <w:t> </w:t>
      </w:r>
      <w:r>
        <w:rPr/>
        <w:t>maximal</w:t>
      </w:r>
      <w:r>
        <w:rPr>
          <w:spacing w:val="-1"/>
        </w:rPr>
        <w:t> </w:t>
      </w:r>
      <w:r>
        <w:rPr/>
        <w:t>electroshock test (MEST),</w:t>
      </w:r>
      <w:r>
        <w:rPr>
          <w:spacing w:val="-4"/>
        </w:rPr>
        <w:t> </w:t>
      </w:r>
      <w:r>
        <w:rPr/>
        <w:t>the</w:t>
      </w:r>
      <w:r>
        <w:rPr>
          <w:spacing w:val="-2"/>
        </w:rPr>
        <w:t> </w:t>
      </w:r>
      <w:r>
        <w:rPr/>
        <w:t>percentage</w:t>
      </w:r>
      <w:r>
        <w:rPr>
          <w:spacing w:val="-2"/>
        </w:rPr>
        <w:t> </w:t>
      </w:r>
      <w:r>
        <w:rPr/>
        <w:t>protection</w:t>
      </w:r>
      <w:r>
        <w:rPr>
          <w:spacing w:val="-1"/>
        </w:rPr>
        <w:t> </w:t>
      </w:r>
      <w:r>
        <w:rPr/>
        <w:t>offered</w:t>
      </w:r>
      <w:r>
        <w:rPr>
          <w:spacing w:val="-1"/>
        </w:rPr>
        <w:t> </w:t>
      </w:r>
      <w:r>
        <w:rPr/>
        <w:t>by</w:t>
      </w:r>
      <w:r>
        <w:rPr>
          <w:spacing w:val="-6"/>
        </w:rPr>
        <w:t> </w:t>
      </w:r>
      <w:r>
        <w:rPr/>
        <w:t>DCP23, DCP25</w:t>
      </w:r>
      <w:r>
        <w:rPr>
          <w:spacing w:val="-1"/>
        </w:rPr>
        <w:t> </w:t>
      </w:r>
      <w:r>
        <w:rPr/>
        <w:t>and</w:t>
      </w:r>
      <w:r>
        <w:rPr>
          <w:spacing w:val="-1"/>
        </w:rPr>
        <w:t> </w:t>
      </w:r>
      <w:r>
        <w:rPr/>
        <w:t>DCP34, at 50</w:t>
      </w:r>
      <w:r>
        <w:rPr>
          <w:spacing w:val="-1"/>
        </w:rPr>
        <w:t> </w:t>
      </w:r>
      <w:r>
        <w:rPr/>
        <w:t>mg/kg, was 71.4%, 57.2% and 42.9% respectively. The middle dose (25 mg/kg) of the compounds</w:t>
      </w:r>
      <w:r>
        <w:rPr>
          <w:spacing w:val="-3"/>
        </w:rPr>
        <w:t> </w:t>
      </w:r>
      <w:r>
        <w:rPr/>
        <w:t>offered</w:t>
      </w:r>
      <w:r>
        <w:rPr>
          <w:spacing w:val="-1"/>
        </w:rPr>
        <w:t> </w:t>
      </w:r>
      <w:r>
        <w:rPr/>
        <w:t>protection</w:t>
      </w:r>
      <w:r>
        <w:rPr>
          <w:spacing w:val="-6"/>
        </w:rPr>
        <w:t> </w:t>
      </w:r>
      <w:r>
        <w:rPr/>
        <w:t>of</w:t>
      </w:r>
      <w:r>
        <w:rPr>
          <w:spacing w:val="-9"/>
        </w:rPr>
        <w:t> </w:t>
      </w:r>
      <w:r>
        <w:rPr/>
        <w:t>42.9% (DCP23),</w:t>
      </w:r>
      <w:r>
        <w:rPr>
          <w:spacing w:val="-4"/>
        </w:rPr>
        <w:t> </w:t>
      </w:r>
      <w:r>
        <w:rPr/>
        <w:t>28.5%</w:t>
      </w:r>
      <w:r>
        <w:rPr>
          <w:spacing w:val="-3"/>
        </w:rPr>
        <w:t> </w:t>
      </w:r>
      <w:r>
        <w:rPr/>
        <w:t>(DCP25) and</w:t>
      </w:r>
      <w:r>
        <w:rPr>
          <w:spacing w:val="-1"/>
        </w:rPr>
        <w:t> </w:t>
      </w:r>
      <w:r>
        <w:rPr/>
        <w:t>14.3%</w:t>
      </w:r>
      <w:r>
        <w:rPr>
          <w:spacing w:val="-3"/>
        </w:rPr>
        <w:t> </w:t>
      </w:r>
      <w:r>
        <w:rPr/>
        <w:t>(DCP34), while the lowest dose (12.5 mg/kg) offered minimal / no protection. The highest dose (50 mg/kg) of DCP23, DCP25 and DCP34 used in pentylenetetrazole-induced seizure test, offered 66.7%, 66.7 and 0% protections against clonic seizures. Also, DCP23, at doses of 25 and 12.5 mg/kg, produced 16.7% protection while similar doses of DCP25 and DCP34 did not offer any</w:t>
      </w:r>
      <w:r>
        <w:rPr>
          <w:spacing w:val="-2"/>
        </w:rPr>
        <w:t> </w:t>
      </w:r>
      <w:r>
        <w:rPr/>
        <w:t>protection. There was statistically</w:t>
      </w:r>
      <w:r>
        <w:rPr>
          <w:spacing w:val="-2"/>
        </w:rPr>
        <w:t> </w:t>
      </w:r>
      <w:r>
        <w:rPr/>
        <w:t>significant difference in the mean onset of seizure exhibited by DCP23 at doses of 50 mg/kg (p&lt;0.001) and 25 mg/kg (p&lt;0.001). In 4-aminopyridine-induced seizure test, there was no protection offered</w:t>
      </w:r>
      <w:r>
        <w:rPr>
          <w:spacing w:val="31"/>
        </w:rPr>
        <w:t> </w:t>
      </w:r>
      <w:r>
        <w:rPr/>
        <w:t>by</w:t>
      </w:r>
      <w:r>
        <w:rPr>
          <w:spacing w:val="22"/>
        </w:rPr>
        <w:t> </w:t>
      </w:r>
      <w:r>
        <w:rPr/>
        <w:t>all</w:t>
      </w:r>
      <w:r>
        <w:rPr>
          <w:spacing w:val="22"/>
        </w:rPr>
        <w:t> </w:t>
      </w:r>
      <w:r>
        <w:rPr/>
        <w:t>the</w:t>
      </w:r>
      <w:r>
        <w:rPr>
          <w:spacing w:val="26"/>
        </w:rPr>
        <w:t> </w:t>
      </w:r>
      <w:r>
        <w:rPr/>
        <w:t>tested</w:t>
      </w:r>
      <w:r>
        <w:rPr>
          <w:spacing w:val="31"/>
        </w:rPr>
        <w:t> </w:t>
      </w:r>
      <w:r>
        <w:rPr/>
        <w:t>compounds,</w:t>
      </w:r>
      <w:r>
        <w:rPr>
          <w:spacing w:val="29"/>
        </w:rPr>
        <w:t> </w:t>
      </w:r>
      <w:r>
        <w:rPr/>
        <w:t>but</w:t>
      </w:r>
      <w:r>
        <w:rPr>
          <w:spacing w:val="32"/>
        </w:rPr>
        <w:t> </w:t>
      </w:r>
      <w:r>
        <w:rPr/>
        <w:t>DCP34</w:t>
      </w:r>
      <w:r>
        <w:rPr>
          <w:spacing w:val="26"/>
        </w:rPr>
        <w:t> </w:t>
      </w:r>
      <w:r>
        <w:rPr/>
        <w:t>at</w:t>
      </w:r>
      <w:r>
        <w:rPr>
          <w:spacing w:val="30"/>
        </w:rPr>
        <w:t> </w:t>
      </w:r>
      <w:r>
        <w:rPr/>
        <w:t>doses</w:t>
      </w:r>
      <w:r>
        <w:rPr>
          <w:spacing w:val="24"/>
        </w:rPr>
        <w:t> </w:t>
      </w:r>
      <w:r>
        <w:rPr/>
        <w:t>of</w:t>
      </w:r>
      <w:r>
        <w:rPr>
          <w:spacing w:val="19"/>
        </w:rPr>
        <w:t> </w:t>
      </w:r>
      <w:r>
        <w:rPr/>
        <w:t>50</w:t>
      </w:r>
      <w:r>
        <w:rPr>
          <w:spacing w:val="31"/>
        </w:rPr>
        <w:t> </w:t>
      </w:r>
      <w:r>
        <w:rPr/>
        <w:t>mg/kg</w:t>
      </w:r>
      <w:r>
        <w:rPr>
          <w:spacing w:val="27"/>
        </w:rPr>
        <w:t> </w:t>
      </w:r>
      <w:r>
        <w:rPr/>
        <w:t>and</w:t>
      </w:r>
      <w:r>
        <w:rPr>
          <w:spacing w:val="26"/>
        </w:rPr>
        <w:t> </w:t>
      </w:r>
      <w:r>
        <w:rPr/>
        <w:t>25</w:t>
      </w:r>
      <w:r>
        <w:rPr>
          <w:spacing w:val="31"/>
        </w:rPr>
        <w:t> </w:t>
      </w:r>
      <w:r>
        <w:rPr/>
        <w:t>mg/kg</w:t>
      </w:r>
    </w:p>
    <w:p>
      <w:pPr>
        <w:spacing w:after="0" w:line="480" w:lineRule="auto"/>
        <w:jc w:val="both"/>
        <w:sectPr>
          <w:pgSz w:w="11910" w:h="16840"/>
          <w:pgMar w:header="0" w:footer="777" w:top="1320" w:bottom="960" w:left="1680" w:right="1300"/>
        </w:sectPr>
      </w:pPr>
    </w:p>
    <w:p>
      <w:pPr>
        <w:pStyle w:val="BodyText"/>
        <w:spacing w:line="480" w:lineRule="auto" w:before="70"/>
        <w:ind w:left="308" w:right="105"/>
        <w:jc w:val="both"/>
      </w:pPr>
      <w:r>
        <w:rPr/>
        <w:t>exhibited statistically (p&lt;0.05) significant difference in the onset of seizures. All test compounds did not offer protection in strychnine-induced seizure test. In Picrotoxin- induced seizure test, DCP23 and DCP25 offered protection against clonic convulsion of 66.7% and 83.3% (50 mg/kg) respectively and 50.0% and 66.7% (25 mg/kg) respectively. There was no protection at 12.5 mg/kg. The medial effective dose (ED</w:t>
      </w:r>
      <w:r>
        <w:rPr>
          <w:vertAlign w:val="subscript"/>
        </w:rPr>
        <w:t>50</w:t>
      </w:r>
      <w:r>
        <w:rPr>
          <w:vertAlign w:val="baseline"/>
        </w:rPr>
        <w:t>) for DCP23, DCP25 and DCP34 using MEST was found to be 25.12, 39.81 and 44.67 mg/kg respectively, while that of picrotoxin was 35.48 mg/kg (DCP23) and 28.18</w:t>
      </w:r>
      <w:r>
        <w:rPr>
          <w:spacing w:val="40"/>
          <w:vertAlign w:val="baseline"/>
        </w:rPr>
        <w:t> </w:t>
      </w:r>
      <w:r>
        <w:rPr>
          <w:vertAlign w:val="baseline"/>
        </w:rPr>
        <w:t>mg/kg (DCP25). The median</w:t>
      </w:r>
      <w:r>
        <w:rPr>
          <w:spacing w:val="-1"/>
          <w:vertAlign w:val="baseline"/>
        </w:rPr>
        <w:t> </w:t>
      </w:r>
      <w:r>
        <w:rPr>
          <w:vertAlign w:val="baseline"/>
        </w:rPr>
        <w:t>toxic doses (TD</w:t>
      </w:r>
      <w:r>
        <w:rPr>
          <w:vertAlign w:val="subscript"/>
        </w:rPr>
        <w:t>50</w:t>
      </w:r>
      <w:r>
        <w:rPr>
          <w:vertAlign w:val="baseline"/>
        </w:rPr>
        <w:t>) were 100.0, 100.0</w:t>
      </w:r>
      <w:r>
        <w:rPr>
          <w:spacing w:val="-1"/>
          <w:vertAlign w:val="baseline"/>
        </w:rPr>
        <w:t> </w:t>
      </w:r>
      <w:r>
        <w:rPr>
          <w:vertAlign w:val="baseline"/>
        </w:rPr>
        <w:t>and 104.7 mg/kg for DCP23, DCP25 and DCP34 respectively. The protective index (MEST) was 3.98, 2.51 and 2.33 respectively while that of picrotoxin-induced seizure test was 2.82 (DCP23) and 3.55 (DCP25). In the single oral administration (100 mg/kg) evaluation, DCP23, DCP25</w:t>
      </w:r>
      <w:r>
        <w:rPr>
          <w:spacing w:val="-1"/>
          <w:vertAlign w:val="baseline"/>
        </w:rPr>
        <w:t> </w:t>
      </w:r>
      <w:r>
        <w:rPr>
          <w:vertAlign w:val="baseline"/>
        </w:rPr>
        <w:t>and</w:t>
      </w:r>
      <w:r>
        <w:rPr>
          <w:spacing w:val="-1"/>
          <w:vertAlign w:val="baseline"/>
        </w:rPr>
        <w:t> </w:t>
      </w:r>
      <w:r>
        <w:rPr>
          <w:vertAlign w:val="baseline"/>
        </w:rPr>
        <w:t>DCP34 offered</w:t>
      </w:r>
      <w:r>
        <w:rPr>
          <w:spacing w:val="-1"/>
          <w:vertAlign w:val="baseline"/>
        </w:rPr>
        <w:t> </w:t>
      </w:r>
      <w:r>
        <w:rPr>
          <w:vertAlign w:val="baseline"/>
        </w:rPr>
        <w:t>37.5%, 50% and</w:t>
      </w:r>
      <w:r>
        <w:rPr>
          <w:spacing w:val="-1"/>
          <w:vertAlign w:val="baseline"/>
        </w:rPr>
        <w:t> </w:t>
      </w:r>
      <w:r>
        <w:rPr>
          <w:vertAlign w:val="baseline"/>
        </w:rPr>
        <w:t>0.0% protections respectively</w:t>
      </w:r>
      <w:r>
        <w:rPr>
          <w:spacing w:val="-4"/>
          <w:vertAlign w:val="baseline"/>
        </w:rPr>
        <w:t> </w:t>
      </w:r>
      <w:r>
        <w:rPr>
          <w:vertAlign w:val="baseline"/>
        </w:rPr>
        <w:t>against tonic hind limb extension (THLE) while a 5-day administration offered higher protection of 50%, 75% and 25% respectively. Co-administration of DCP23 (50 mg/kg), DCP25 (50 mg/kg) and DCP34 (50 mg/kg) each with 5 mg/kg fluphenamic acid, resulted in potentiation as the percentage protection against THLE (MEST) were 100% for DCP23 and DCP25, and 50% for DCP34. When DCP23 and DCP25 at the doses of 25 mg/kg, were coadministered with nickel chloride (5 mg/kg) the percentage protection against PTZ-induced seizure were 66.67% and 33.33% respectively. Similarly, their co- administration produced significant (p&lt;0.05) difference in the mean onset of seizure when compared with the control group. Cyproheptadine at the dose of 4 mg/kg did not affect the anticonvulsant effect of DCP23 (50 mg/kg) and DCP25 (50 mg/kg) against PTZ-induced seizure. DCP23 (50 mg/kg) and DCP25 (50 mg/kg), significantly (p&lt;0.001) decreased the onset of sleep as well as increased the duration of sleep (p&lt;0.05).</w:t>
      </w:r>
      <w:r>
        <w:rPr>
          <w:spacing w:val="6"/>
          <w:vertAlign w:val="baseline"/>
        </w:rPr>
        <w:t> </w:t>
      </w:r>
      <w:r>
        <w:rPr>
          <w:vertAlign w:val="baseline"/>
        </w:rPr>
        <w:t>All</w:t>
      </w:r>
      <w:r>
        <w:rPr>
          <w:spacing w:val="1"/>
          <w:vertAlign w:val="baseline"/>
        </w:rPr>
        <w:t> </w:t>
      </w:r>
      <w:r>
        <w:rPr>
          <w:vertAlign w:val="baseline"/>
        </w:rPr>
        <w:t>the</w:t>
      </w:r>
      <w:r>
        <w:rPr>
          <w:spacing w:val="4"/>
          <w:vertAlign w:val="baseline"/>
        </w:rPr>
        <w:t> </w:t>
      </w:r>
      <w:r>
        <w:rPr>
          <w:vertAlign w:val="baseline"/>
        </w:rPr>
        <w:t>compounds</w:t>
      </w:r>
      <w:r>
        <w:rPr>
          <w:spacing w:val="3"/>
          <w:vertAlign w:val="baseline"/>
        </w:rPr>
        <w:t> </w:t>
      </w:r>
      <w:r>
        <w:rPr>
          <w:vertAlign w:val="baseline"/>
        </w:rPr>
        <w:t>at</w:t>
      </w:r>
      <w:r>
        <w:rPr>
          <w:spacing w:val="6"/>
          <w:vertAlign w:val="baseline"/>
        </w:rPr>
        <w:t> </w:t>
      </w:r>
      <w:r>
        <w:rPr>
          <w:vertAlign w:val="baseline"/>
        </w:rPr>
        <w:t>the</w:t>
      </w:r>
      <w:r>
        <w:rPr>
          <w:spacing w:val="4"/>
          <w:vertAlign w:val="baseline"/>
        </w:rPr>
        <w:t> </w:t>
      </w:r>
      <w:r>
        <w:rPr>
          <w:vertAlign w:val="baseline"/>
        </w:rPr>
        <w:t>dose</w:t>
      </w:r>
      <w:r>
        <w:rPr>
          <w:spacing w:val="5"/>
          <w:vertAlign w:val="baseline"/>
        </w:rPr>
        <w:t> </w:t>
      </w:r>
      <w:r>
        <w:rPr>
          <w:vertAlign w:val="baseline"/>
        </w:rPr>
        <w:t>of</w:t>
      </w:r>
      <w:r>
        <w:rPr>
          <w:spacing w:val="-2"/>
          <w:vertAlign w:val="baseline"/>
        </w:rPr>
        <w:t> </w:t>
      </w:r>
      <w:r>
        <w:rPr>
          <w:vertAlign w:val="baseline"/>
        </w:rPr>
        <w:t>50</w:t>
      </w:r>
      <w:r>
        <w:rPr>
          <w:spacing w:val="4"/>
          <w:vertAlign w:val="baseline"/>
        </w:rPr>
        <w:t> </w:t>
      </w:r>
      <w:r>
        <w:rPr>
          <w:vertAlign w:val="baseline"/>
        </w:rPr>
        <w:t>mg/kg</w:t>
      </w:r>
      <w:r>
        <w:rPr>
          <w:spacing w:val="12"/>
          <w:vertAlign w:val="baseline"/>
        </w:rPr>
        <w:t> </w:t>
      </w:r>
      <w:r>
        <w:rPr>
          <w:vertAlign w:val="baseline"/>
        </w:rPr>
        <w:t>significantly</w:t>
      </w:r>
      <w:r>
        <w:rPr>
          <w:spacing w:val="-3"/>
          <w:vertAlign w:val="baseline"/>
        </w:rPr>
        <w:t> </w:t>
      </w:r>
      <w:r>
        <w:rPr>
          <w:vertAlign w:val="baseline"/>
        </w:rPr>
        <w:t>(p&lt;0.05)</w:t>
      </w:r>
      <w:r>
        <w:rPr>
          <w:spacing w:val="7"/>
          <w:vertAlign w:val="baseline"/>
        </w:rPr>
        <w:t> </w:t>
      </w:r>
      <w:r>
        <w:rPr>
          <w:vertAlign w:val="baseline"/>
        </w:rPr>
        <w:t>reduced</w:t>
      </w:r>
      <w:r>
        <w:rPr>
          <w:spacing w:val="7"/>
          <w:vertAlign w:val="baseline"/>
        </w:rPr>
        <w:t> </w:t>
      </w:r>
      <w:r>
        <w:rPr>
          <w:spacing w:val="-5"/>
          <w:vertAlign w:val="baseline"/>
        </w:rPr>
        <w:t>the</w:t>
      </w:r>
    </w:p>
    <w:p>
      <w:pPr>
        <w:spacing w:after="0" w:line="480" w:lineRule="auto"/>
        <w:jc w:val="both"/>
        <w:sectPr>
          <w:pgSz w:w="11910" w:h="16840"/>
          <w:pgMar w:header="0" w:footer="777" w:top="1320" w:bottom="960" w:left="1680" w:right="1300"/>
        </w:sectPr>
      </w:pPr>
    </w:p>
    <w:p>
      <w:pPr>
        <w:pStyle w:val="BodyText"/>
        <w:spacing w:line="480" w:lineRule="auto" w:before="70"/>
        <w:ind w:left="308" w:right="107"/>
        <w:jc w:val="both"/>
      </w:pPr>
      <w:r>
        <w:rPr/>
        <w:t>severity of seizure episodes induced by kindling. A 28-day sub-chronic study was conducted for DCP25 at doses of 50, 25 and 12.5 mg/kg. The results showed that DCP25 at 50 mg/kg only, caused significant (p&lt;0.05) increase in urea, creatinine and aspartate aminotransferase levels. There was no significant (p&lt;0.05) change in haematological indices, lipid profile parameters as well</w:t>
      </w:r>
      <w:r>
        <w:rPr>
          <w:spacing w:val="-1"/>
        </w:rPr>
        <w:t> </w:t>
      </w:r>
      <w:r>
        <w:rPr/>
        <w:t>as other renal</w:t>
      </w:r>
      <w:r>
        <w:rPr>
          <w:spacing w:val="-6"/>
        </w:rPr>
        <w:t> </w:t>
      </w:r>
      <w:r>
        <w:rPr/>
        <w:t>and liver function test parameters caused by DCP25. The possible mechanism of action was studied on voltage-gated sodium channels(Na</w:t>
      </w:r>
      <w:r>
        <w:rPr>
          <w:vertAlign w:val="subscript"/>
        </w:rPr>
        <w:t>v</w:t>
      </w:r>
      <w:r>
        <w:rPr>
          <w:vertAlign w:val="baseline"/>
        </w:rPr>
        <w:t>1.6) at different states of the channel: DCP23 at holding potential of -60 mV, produced concentration-dependent tonic blockade of sodium</w:t>
      </w:r>
      <w:r>
        <w:rPr>
          <w:spacing w:val="-7"/>
          <w:vertAlign w:val="baseline"/>
        </w:rPr>
        <w:t> </w:t>
      </w:r>
      <w:r>
        <w:rPr>
          <w:vertAlign w:val="baseline"/>
        </w:rPr>
        <w:t>current</w:t>
      </w:r>
      <w:r>
        <w:rPr>
          <w:spacing w:val="-2"/>
          <w:vertAlign w:val="baseline"/>
        </w:rPr>
        <w:t> </w:t>
      </w:r>
      <w:r>
        <w:rPr>
          <w:vertAlign w:val="baseline"/>
        </w:rPr>
        <w:t>of</w:t>
      </w:r>
      <w:r>
        <w:rPr>
          <w:spacing w:val="-8"/>
          <w:vertAlign w:val="baseline"/>
        </w:rPr>
        <w:t> </w:t>
      </w:r>
      <w:r>
        <w:rPr>
          <w:vertAlign w:val="baseline"/>
        </w:rPr>
        <w:t>9.73%, 18.04%,</w:t>
      </w:r>
      <w:r>
        <w:rPr>
          <w:spacing w:val="-5"/>
          <w:vertAlign w:val="baseline"/>
        </w:rPr>
        <w:t> </w:t>
      </w:r>
      <w:r>
        <w:rPr>
          <w:vertAlign w:val="baseline"/>
        </w:rPr>
        <w:t>46.80%, 68.46%, 95.64</w:t>
      </w:r>
      <w:r>
        <w:rPr>
          <w:spacing w:val="-2"/>
          <w:vertAlign w:val="baseline"/>
        </w:rPr>
        <w:t> </w:t>
      </w:r>
      <w:r>
        <w:rPr>
          <w:vertAlign w:val="baseline"/>
        </w:rPr>
        <w:t>and</w:t>
      </w:r>
      <w:r>
        <w:rPr>
          <w:spacing w:val="-2"/>
          <w:vertAlign w:val="baseline"/>
        </w:rPr>
        <w:t> </w:t>
      </w:r>
      <w:r>
        <w:rPr>
          <w:vertAlign w:val="baseline"/>
        </w:rPr>
        <w:t>98.10%</w:t>
      </w:r>
      <w:r>
        <w:rPr>
          <w:spacing w:val="-1"/>
          <w:vertAlign w:val="baseline"/>
        </w:rPr>
        <w:t> </w:t>
      </w:r>
      <w:r>
        <w:rPr>
          <w:vertAlign w:val="baseline"/>
        </w:rPr>
        <w:t>at 10µM, 30µM, 60µM, 100µM, 300µM and 600µM respectively. At holding potential of -60 mV, DCP25 at 100µM and 600µM blocked the current by 21.63% and 83.03%; while</w:t>
      </w:r>
      <w:r>
        <w:rPr>
          <w:spacing w:val="40"/>
          <w:vertAlign w:val="baseline"/>
        </w:rPr>
        <w:t> </w:t>
      </w:r>
      <w:r>
        <w:rPr>
          <w:vertAlign w:val="baseline"/>
        </w:rPr>
        <w:t>DCP34 (100µM and 600µM) blocked the current minimally by 3.8% and 16.9%, respectively. DCP23 was further tested at a holding potential of -100 mV at the graded concentration (10µM, 30µM, 60µM, 100µM, 300µM and 600µM) and similarly</w:t>
      </w:r>
      <w:r>
        <w:rPr>
          <w:spacing w:val="40"/>
          <w:vertAlign w:val="baseline"/>
        </w:rPr>
        <w:t> </w:t>
      </w:r>
      <w:r>
        <w:rPr>
          <w:vertAlign w:val="baseline"/>
        </w:rPr>
        <w:t>blocked the sodium currents by 0%, 10%, 28.93%, 50.12%, 88.51% and 90.10% respectively. The IC</w:t>
      </w:r>
      <w:r>
        <w:rPr>
          <w:vertAlign w:val="subscript"/>
        </w:rPr>
        <w:t>50</w:t>
      </w:r>
      <w:r>
        <w:rPr>
          <w:vertAlign w:val="baseline"/>
        </w:rPr>
        <w:t> values of DCP23 were 64.76 and 100.37 µM at resting and inactivated states respectively. The activation/inactivation pattern in the presence of DCP23 (100 µM) indicated that there was significant reduction in the elicited current even at depolarized potential where the sodium conductance was found to be highest. The results obtained from</w:t>
      </w:r>
      <w:r>
        <w:rPr>
          <w:spacing w:val="-5"/>
          <w:vertAlign w:val="baseline"/>
        </w:rPr>
        <w:t> </w:t>
      </w:r>
      <w:r>
        <w:rPr>
          <w:vertAlign w:val="baseline"/>
        </w:rPr>
        <w:t>this work showed that the compounds possess anticonvulsant effects mediated partly via voltage-gated sodium channel blockade.</w:t>
      </w:r>
    </w:p>
    <w:p>
      <w:pPr>
        <w:spacing w:after="0" w:line="480" w:lineRule="auto"/>
        <w:jc w:val="both"/>
        <w:sectPr>
          <w:pgSz w:w="11910" w:h="16840"/>
          <w:pgMar w:header="0" w:footer="777" w:top="1320" w:bottom="960" w:left="1680" w:right="1300"/>
        </w:sectPr>
      </w:pPr>
    </w:p>
    <w:p>
      <w:pPr>
        <w:pStyle w:val="Heading2"/>
        <w:spacing w:before="74"/>
        <w:ind w:left="192"/>
        <w:jc w:val="center"/>
      </w:pPr>
      <w:r>
        <w:rPr/>
        <w:t>Table</w:t>
      </w:r>
      <w:r>
        <w:rPr>
          <w:spacing w:val="-3"/>
        </w:rPr>
        <w:t> </w:t>
      </w:r>
      <w:r>
        <w:rPr/>
        <w:t>of</w:t>
      </w:r>
      <w:r>
        <w:rPr>
          <w:spacing w:val="-4"/>
        </w:rPr>
        <w:t> </w:t>
      </w:r>
      <w:r>
        <w:rPr>
          <w:spacing w:val="-2"/>
        </w:rPr>
        <w:t>Contents</w:t>
      </w:r>
    </w:p>
    <w:p>
      <w:pPr>
        <w:pStyle w:val="BodyText"/>
        <w:rPr>
          <w:b/>
        </w:rPr>
      </w:pPr>
    </w:p>
    <w:p>
      <w:pPr>
        <w:pStyle w:val="BodyText"/>
        <w:spacing w:before="3"/>
        <w:rPr>
          <w:b/>
        </w:rPr>
      </w:pPr>
    </w:p>
    <w:p>
      <w:pPr>
        <w:pStyle w:val="Heading2"/>
        <w:tabs>
          <w:tab w:pos="6790" w:val="left" w:leader="none"/>
        </w:tabs>
        <w:ind w:left="673"/>
        <w:jc w:val="left"/>
      </w:pPr>
      <w:bookmarkStart w:name="_TOC_250083" w:id="1"/>
      <w:r>
        <w:rPr>
          <w:spacing w:val="-2"/>
        </w:rPr>
        <w:t>Title</w:t>
      </w:r>
      <w:r>
        <w:rPr/>
        <w:tab/>
      </w:r>
      <w:bookmarkEnd w:id="1"/>
      <w:r>
        <w:rPr>
          <w:spacing w:val="-4"/>
        </w:rPr>
        <w:t>Page</w:t>
      </w:r>
    </w:p>
    <w:p>
      <w:pPr>
        <w:spacing w:after="0"/>
        <w:jc w:val="left"/>
        <w:sectPr>
          <w:pgSz w:w="11910" w:h="16840"/>
          <w:pgMar w:header="0" w:footer="777" w:top="1320" w:bottom="1603" w:left="1680" w:right="1300"/>
        </w:sectPr>
      </w:pPr>
    </w:p>
    <w:sdt>
      <w:sdtPr>
        <w:docPartObj>
          <w:docPartGallery w:val="Table of Contents"/>
          <w:docPartUnique/>
        </w:docPartObj>
      </w:sdtPr>
      <w:sdtEndPr/>
      <w:sdtContent>
        <w:p>
          <w:pPr>
            <w:pStyle w:val="TOC2"/>
            <w:tabs>
              <w:tab w:pos="7644" w:val="right" w:leader="none"/>
            </w:tabs>
            <w:spacing w:before="272"/>
          </w:pPr>
          <w:hyperlink w:history="true" w:anchor="_TOC_250083">
            <w:r>
              <w:rPr/>
              <w:t>Title</w:t>
            </w:r>
            <w:r>
              <w:rPr>
                <w:spacing w:val="-9"/>
              </w:rPr>
              <w:t> </w:t>
            </w:r>
            <w:r>
              <w:rPr>
                <w:spacing w:val="-4"/>
              </w:rPr>
              <w:t>page</w:t>
            </w:r>
            <w:r>
              <w:rPr/>
              <w:tab/>
            </w:r>
            <w:r>
              <w:rPr>
                <w:spacing w:val="-5"/>
              </w:rPr>
              <w:t>ii</w:t>
            </w:r>
          </w:hyperlink>
        </w:p>
        <w:p>
          <w:pPr>
            <w:pStyle w:val="TOC2"/>
            <w:tabs>
              <w:tab w:pos="7711" w:val="right" w:leader="none"/>
            </w:tabs>
          </w:pPr>
          <w:r>
            <w:rPr>
              <w:spacing w:val="-2"/>
            </w:rPr>
            <w:t>Declaration</w:t>
          </w:r>
          <w:r>
            <w:rPr/>
            <w:tab/>
          </w:r>
          <w:r>
            <w:rPr>
              <w:spacing w:val="-5"/>
            </w:rPr>
            <w:t>iii</w:t>
          </w:r>
        </w:p>
        <w:p>
          <w:pPr>
            <w:pStyle w:val="TOC2"/>
            <w:tabs>
              <w:tab w:pos="7688" w:val="right" w:leader="none"/>
            </w:tabs>
          </w:pPr>
          <w:r>
            <w:rPr>
              <w:spacing w:val="-2"/>
            </w:rPr>
            <w:t>Certification</w:t>
          </w:r>
          <w:r>
            <w:rPr/>
            <w:tab/>
          </w:r>
          <w:r>
            <w:rPr>
              <w:spacing w:val="-5"/>
            </w:rPr>
            <w:t>iv</w:t>
          </w:r>
        </w:p>
        <w:p>
          <w:pPr>
            <w:pStyle w:val="TOC2"/>
            <w:tabs>
              <w:tab w:pos="7630" w:val="right" w:leader="none"/>
            </w:tabs>
          </w:pPr>
          <w:r>
            <w:rPr>
              <w:spacing w:val="-2"/>
            </w:rPr>
            <w:t>Acknowledgement</w:t>
          </w:r>
          <w:r>
            <w:rPr/>
            <w:tab/>
          </w:r>
          <w:r>
            <w:rPr>
              <w:spacing w:val="-10"/>
            </w:rPr>
            <w:t>v</w:t>
          </w:r>
        </w:p>
        <w:p>
          <w:pPr>
            <w:pStyle w:val="TOC2"/>
            <w:tabs>
              <w:tab w:pos="7764" w:val="right" w:leader="none"/>
            </w:tabs>
          </w:pPr>
          <w:r>
            <w:rPr>
              <w:spacing w:val="-2"/>
            </w:rPr>
            <w:t>Abstract</w:t>
          </w:r>
          <w:r>
            <w:rPr/>
            <w:tab/>
          </w:r>
          <w:r>
            <w:rPr>
              <w:spacing w:val="-5"/>
            </w:rPr>
            <w:t>vii</w:t>
          </w:r>
        </w:p>
        <w:p>
          <w:pPr>
            <w:pStyle w:val="TOC2"/>
            <w:tabs>
              <w:tab w:pos="7630" w:val="right" w:leader="none"/>
            </w:tabs>
          </w:pPr>
          <w:r>
            <w:rPr/>
            <w:t>Table</w:t>
          </w:r>
          <w:r>
            <w:rPr>
              <w:spacing w:val="-3"/>
            </w:rPr>
            <w:t> </w:t>
          </w:r>
          <w:r>
            <w:rPr/>
            <w:t>of</w:t>
          </w:r>
          <w:r>
            <w:rPr>
              <w:spacing w:val="-8"/>
            </w:rPr>
            <w:t> </w:t>
          </w:r>
          <w:r>
            <w:rPr>
              <w:spacing w:val="-2"/>
            </w:rPr>
            <w:t>Contents</w:t>
          </w:r>
          <w:r>
            <w:rPr/>
            <w:tab/>
          </w:r>
          <w:r>
            <w:rPr>
              <w:spacing w:val="-10"/>
            </w:rPr>
            <w:t>x</w:t>
          </w:r>
        </w:p>
        <w:p>
          <w:pPr>
            <w:pStyle w:val="TOC2"/>
            <w:tabs>
              <w:tab w:pos="7750" w:val="right" w:leader="none"/>
            </w:tabs>
            <w:spacing w:before="277"/>
          </w:pPr>
          <w:r>
            <w:rPr/>
            <w:t>List of</w:t>
          </w:r>
          <w:r>
            <w:rPr>
              <w:spacing w:val="-9"/>
            </w:rPr>
            <w:t> </w:t>
          </w:r>
          <w:r>
            <w:rPr>
              <w:spacing w:val="-2"/>
            </w:rPr>
            <w:t>Tables</w:t>
          </w:r>
          <w:r>
            <w:rPr/>
            <w:tab/>
          </w:r>
          <w:r>
            <w:rPr>
              <w:spacing w:val="-5"/>
            </w:rPr>
            <w:t>xv</w:t>
          </w:r>
        </w:p>
        <w:p>
          <w:pPr>
            <w:pStyle w:val="TOC2"/>
            <w:tabs>
              <w:tab w:pos="7883" w:val="right" w:leader="none"/>
            </w:tabs>
          </w:pPr>
          <w:r>
            <w:rPr/>
            <w:t>List</w:t>
          </w:r>
          <w:r>
            <w:rPr>
              <w:spacing w:val="2"/>
            </w:rPr>
            <w:t> </w:t>
          </w:r>
          <w:r>
            <w:rPr/>
            <w:t>of</w:t>
          </w:r>
          <w:r>
            <w:rPr>
              <w:spacing w:val="-9"/>
            </w:rPr>
            <w:t> </w:t>
          </w:r>
          <w:r>
            <w:rPr>
              <w:spacing w:val="-2"/>
            </w:rPr>
            <w:t>Figures</w:t>
          </w:r>
          <w:r>
            <w:rPr/>
            <w:tab/>
          </w:r>
          <w:r>
            <w:rPr>
              <w:spacing w:val="-4"/>
            </w:rPr>
            <w:t>xvii</w:t>
          </w:r>
        </w:p>
        <w:p>
          <w:pPr>
            <w:pStyle w:val="TOC2"/>
            <w:tabs>
              <w:tab w:pos="7951" w:val="right" w:leader="none"/>
            </w:tabs>
          </w:pPr>
          <w:r>
            <w:rPr/>
            <w:t>List</w:t>
          </w:r>
          <w:r>
            <w:rPr>
              <w:spacing w:val="2"/>
            </w:rPr>
            <w:t> </w:t>
          </w:r>
          <w:r>
            <w:rPr/>
            <w:t>of</w:t>
          </w:r>
          <w:r>
            <w:rPr>
              <w:spacing w:val="-9"/>
            </w:rPr>
            <w:t> </w:t>
          </w:r>
          <w:r>
            <w:rPr>
              <w:spacing w:val="-2"/>
            </w:rPr>
            <w:t>Appendices</w:t>
          </w:r>
          <w:r>
            <w:rPr/>
            <w:tab/>
          </w:r>
          <w:r>
            <w:rPr>
              <w:spacing w:val="-2"/>
            </w:rPr>
            <w:t>xviii</w:t>
          </w:r>
        </w:p>
        <w:p>
          <w:pPr>
            <w:pStyle w:val="TOC2"/>
            <w:tabs>
              <w:tab w:pos="7812" w:val="right" w:leader="none"/>
            </w:tabs>
            <w:ind w:left="553"/>
          </w:pPr>
          <w:hyperlink w:history="true" w:anchor="_TOC_250082">
            <w:r>
              <w:rPr/>
              <w:t>Abbreviations,</w:t>
            </w:r>
            <w:r>
              <w:rPr>
                <w:spacing w:val="-5"/>
              </w:rPr>
              <w:t> </w:t>
            </w:r>
            <w:r>
              <w:rPr/>
              <w:t>Definitions,</w:t>
            </w:r>
            <w:r>
              <w:rPr>
                <w:spacing w:val="-5"/>
              </w:rPr>
              <w:t> </w:t>
            </w:r>
            <w:r>
              <w:rPr/>
              <w:t>Glossary</w:t>
            </w:r>
            <w:r>
              <w:rPr>
                <w:spacing w:val="-10"/>
              </w:rPr>
              <w:t> </w:t>
            </w:r>
            <w:r>
              <w:rPr/>
              <w:t>and</w:t>
            </w:r>
            <w:r>
              <w:rPr>
                <w:spacing w:val="-6"/>
              </w:rPr>
              <w:t> </w:t>
            </w:r>
            <w:r>
              <w:rPr>
                <w:spacing w:val="-2"/>
              </w:rPr>
              <w:t>Symbols</w:t>
            </w:r>
            <w:r>
              <w:rPr/>
              <w:tab/>
            </w:r>
            <w:r>
              <w:rPr>
                <w:spacing w:val="-5"/>
              </w:rPr>
              <w:t>xix</w:t>
            </w:r>
          </w:hyperlink>
        </w:p>
        <w:p>
          <w:pPr>
            <w:pStyle w:val="TOC1"/>
            <w:numPr>
              <w:ilvl w:val="1"/>
              <w:numId w:val="1"/>
            </w:numPr>
            <w:tabs>
              <w:tab w:pos="791" w:val="left" w:leader="none"/>
              <w:tab w:pos="7947" w:val="right" w:leader="dot"/>
            </w:tabs>
            <w:spacing w:line="240" w:lineRule="auto" w:before="550" w:after="0"/>
            <w:ind w:left="791" w:right="0" w:hanging="483"/>
            <w:jc w:val="left"/>
          </w:pPr>
          <w:hyperlink w:history="true" w:anchor="_TOC_250081">
            <w:r>
              <w:rPr>
                <w:spacing w:val="-2"/>
              </w:rPr>
              <w:t>INTRODUCTION</w:t>
            </w:r>
            <w:r>
              <w:rPr/>
              <w:tab/>
            </w:r>
            <w:r>
              <w:rPr>
                <w:spacing w:val="-10"/>
              </w:rPr>
              <w:t>1</w:t>
            </w:r>
          </w:hyperlink>
        </w:p>
        <w:p>
          <w:pPr>
            <w:pStyle w:val="TOC1"/>
            <w:numPr>
              <w:ilvl w:val="1"/>
              <w:numId w:val="1"/>
            </w:numPr>
            <w:tabs>
              <w:tab w:pos="672" w:val="left" w:leader="none"/>
              <w:tab w:pos="8000" w:val="right" w:leader="dot"/>
            </w:tabs>
            <w:spacing w:line="240" w:lineRule="auto" w:before="276" w:after="0"/>
            <w:ind w:left="672" w:right="0" w:hanging="364"/>
            <w:jc w:val="left"/>
          </w:pPr>
          <w:hyperlink w:history="true" w:anchor="_TOC_250080">
            <w:r>
              <w:rPr/>
              <w:t>Statement</w:t>
            </w:r>
            <w:r>
              <w:rPr>
                <w:spacing w:val="-2"/>
              </w:rPr>
              <w:t> </w:t>
            </w:r>
            <w:r>
              <w:rPr/>
              <w:t>of</w:t>
            </w:r>
            <w:r>
              <w:rPr>
                <w:spacing w:val="-9"/>
              </w:rPr>
              <w:t> </w:t>
            </w:r>
            <w:r>
              <w:rPr/>
              <w:t>Research</w:t>
            </w:r>
            <w:r>
              <w:rPr>
                <w:spacing w:val="-5"/>
              </w:rPr>
              <w:t> </w:t>
            </w:r>
            <w:r>
              <w:rPr>
                <w:spacing w:val="-2"/>
              </w:rPr>
              <w:t>Problems</w:t>
            </w:r>
            <w:r>
              <w:rPr/>
              <w:tab/>
            </w:r>
            <w:r>
              <w:rPr>
                <w:spacing w:val="-10"/>
              </w:rPr>
              <w:t>2</w:t>
            </w:r>
          </w:hyperlink>
        </w:p>
        <w:p>
          <w:pPr>
            <w:pStyle w:val="TOC1"/>
            <w:numPr>
              <w:ilvl w:val="1"/>
              <w:numId w:val="1"/>
            </w:numPr>
            <w:tabs>
              <w:tab w:pos="672" w:val="left" w:leader="none"/>
              <w:tab w:pos="7957" w:val="right" w:leader="dot"/>
            </w:tabs>
            <w:spacing w:line="240" w:lineRule="auto" w:before="276" w:after="0"/>
            <w:ind w:left="672" w:right="0" w:hanging="364"/>
            <w:jc w:val="left"/>
          </w:pPr>
          <w:hyperlink w:history="true" w:anchor="_TOC_250079">
            <w:r>
              <w:rPr>
                <w:spacing w:val="-2"/>
              </w:rPr>
              <w:t>Justification</w:t>
            </w:r>
            <w:r>
              <w:rPr/>
              <w:tab/>
            </w:r>
            <w:r>
              <w:rPr>
                <w:spacing w:val="-10"/>
              </w:rPr>
              <w:t>4</w:t>
            </w:r>
          </w:hyperlink>
        </w:p>
        <w:p>
          <w:pPr>
            <w:pStyle w:val="TOC1"/>
            <w:numPr>
              <w:ilvl w:val="1"/>
              <w:numId w:val="1"/>
            </w:numPr>
            <w:tabs>
              <w:tab w:pos="672" w:val="left" w:leader="none"/>
              <w:tab w:pos="7962" w:val="right" w:leader="dot"/>
            </w:tabs>
            <w:spacing w:line="240" w:lineRule="auto" w:before="276" w:after="0"/>
            <w:ind w:left="672" w:right="0" w:hanging="364"/>
            <w:jc w:val="left"/>
          </w:pPr>
          <w:hyperlink w:history="true" w:anchor="_TOC_250078">
            <w:r>
              <w:rPr/>
              <w:t>Theoretical</w:t>
            </w:r>
            <w:r>
              <w:rPr>
                <w:spacing w:val="-10"/>
              </w:rPr>
              <w:t> </w:t>
            </w:r>
            <w:r>
              <w:rPr/>
              <w:t>Frame</w:t>
            </w:r>
            <w:r>
              <w:rPr>
                <w:spacing w:val="-5"/>
              </w:rPr>
              <w:t> </w:t>
            </w:r>
            <w:r>
              <w:rPr>
                <w:spacing w:val="-4"/>
              </w:rPr>
              <w:t>Work…</w:t>
            </w:r>
            <w:r>
              <w:rPr/>
              <w:tab/>
            </w:r>
            <w:r>
              <w:rPr>
                <w:spacing w:val="-10"/>
              </w:rPr>
              <w:t>5</w:t>
            </w:r>
          </w:hyperlink>
        </w:p>
        <w:p>
          <w:pPr>
            <w:pStyle w:val="TOC1"/>
            <w:numPr>
              <w:ilvl w:val="1"/>
              <w:numId w:val="1"/>
            </w:numPr>
            <w:tabs>
              <w:tab w:pos="672" w:val="left" w:leader="none"/>
              <w:tab w:pos="7914" w:val="right" w:leader="dot"/>
            </w:tabs>
            <w:spacing w:line="240" w:lineRule="auto" w:before="277" w:after="0"/>
            <w:ind w:left="672" w:right="0" w:hanging="364"/>
            <w:jc w:val="left"/>
          </w:pPr>
          <w:r>
            <w:rPr/>
            <w:t>Objectives</w:t>
          </w:r>
          <w:r>
            <w:rPr>
              <w:spacing w:val="-5"/>
            </w:rPr>
            <w:t> </w:t>
          </w:r>
          <w:r>
            <w:rPr/>
            <w:t>of</w:t>
          </w:r>
          <w:r>
            <w:rPr>
              <w:spacing w:val="-7"/>
            </w:rPr>
            <w:t> </w:t>
          </w:r>
          <w:r>
            <w:rPr/>
            <w:t>the</w:t>
          </w:r>
          <w:r>
            <w:rPr>
              <w:spacing w:val="-1"/>
            </w:rPr>
            <w:t> </w:t>
          </w:r>
          <w:r>
            <w:rPr>
              <w:spacing w:val="-4"/>
            </w:rPr>
            <w:t>Study</w:t>
          </w:r>
          <w:r>
            <w:rPr/>
            <w:tab/>
          </w:r>
          <w:r>
            <w:rPr>
              <w:spacing w:val="-10"/>
            </w:rPr>
            <w:t>7</w:t>
          </w:r>
        </w:p>
        <w:p>
          <w:pPr>
            <w:pStyle w:val="TOC1"/>
            <w:numPr>
              <w:ilvl w:val="1"/>
              <w:numId w:val="1"/>
            </w:numPr>
            <w:tabs>
              <w:tab w:pos="672" w:val="left" w:leader="none"/>
              <w:tab w:pos="7972" w:val="right" w:leader="dot"/>
            </w:tabs>
            <w:spacing w:line="240" w:lineRule="auto" w:before="276" w:after="0"/>
            <w:ind w:left="672" w:right="0" w:hanging="364"/>
            <w:jc w:val="left"/>
          </w:pPr>
          <w:r>
            <w:rPr/>
            <w:t>Research</w:t>
          </w:r>
          <w:r>
            <w:rPr>
              <w:spacing w:val="-11"/>
            </w:rPr>
            <w:t> </w:t>
          </w:r>
          <w:r>
            <w:rPr>
              <w:spacing w:val="-2"/>
            </w:rPr>
            <w:t>Hypothesis</w:t>
          </w:r>
          <w:r>
            <w:rPr/>
            <w:tab/>
          </w:r>
          <w:r>
            <w:rPr>
              <w:spacing w:val="-10"/>
            </w:rPr>
            <w:t>7</w:t>
          </w:r>
        </w:p>
        <w:p>
          <w:pPr>
            <w:pStyle w:val="TOC1"/>
            <w:numPr>
              <w:ilvl w:val="1"/>
              <w:numId w:val="2"/>
            </w:numPr>
            <w:tabs>
              <w:tab w:pos="672" w:val="left" w:leader="none"/>
              <w:tab w:pos="7947" w:val="right" w:leader="dot"/>
            </w:tabs>
            <w:spacing w:line="240" w:lineRule="auto" w:before="276" w:after="0"/>
            <w:ind w:left="672" w:right="0" w:hanging="364"/>
            <w:jc w:val="left"/>
          </w:pPr>
          <w:hyperlink w:history="true" w:anchor="_TOC_250077">
            <w:r>
              <w:rPr/>
              <w:t>LITERATURE</w:t>
            </w:r>
            <w:r>
              <w:rPr>
                <w:spacing w:val="-8"/>
              </w:rPr>
              <w:t> </w:t>
            </w:r>
            <w:r>
              <w:rPr>
                <w:spacing w:val="-2"/>
              </w:rPr>
              <w:t>REVIEW</w:t>
            </w:r>
            <w:r>
              <w:rPr/>
              <w:tab/>
            </w:r>
            <w:r>
              <w:rPr>
                <w:spacing w:val="-10"/>
              </w:rPr>
              <w:t>8</w:t>
            </w:r>
          </w:hyperlink>
        </w:p>
        <w:p>
          <w:pPr>
            <w:pStyle w:val="TOC1"/>
            <w:numPr>
              <w:ilvl w:val="1"/>
              <w:numId w:val="2"/>
            </w:numPr>
            <w:tabs>
              <w:tab w:pos="672" w:val="left" w:leader="none"/>
              <w:tab w:pos="8053" w:val="right" w:leader="dot"/>
            </w:tabs>
            <w:spacing w:line="240" w:lineRule="auto" w:before="277" w:after="0"/>
            <w:ind w:left="672" w:right="0" w:hanging="364"/>
            <w:jc w:val="left"/>
          </w:pPr>
          <w:hyperlink w:history="true" w:anchor="_TOC_250076">
            <w:r>
              <w:rPr>
                <w:spacing w:val="-2"/>
              </w:rPr>
              <w:t>Epilepsy</w:t>
            </w:r>
            <w:r>
              <w:rPr/>
              <w:tab/>
            </w:r>
            <w:r>
              <w:rPr>
                <w:spacing w:val="-10"/>
              </w:rPr>
              <w:t>8</w:t>
            </w:r>
          </w:hyperlink>
        </w:p>
        <w:p>
          <w:pPr>
            <w:pStyle w:val="TOC1"/>
            <w:numPr>
              <w:ilvl w:val="2"/>
              <w:numId w:val="2"/>
            </w:numPr>
            <w:tabs>
              <w:tab w:pos="849" w:val="left" w:leader="none"/>
              <w:tab w:pos="8070" w:val="right" w:leader="dot"/>
            </w:tabs>
            <w:spacing w:line="240" w:lineRule="auto" w:before="276" w:after="0"/>
            <w:ind w:left="849" w:right="0" w:hanging="541"/>
            <w:jc w:val="left"/>
          </w:pPr>
          <w:hyperlink w:history="true" w:anchor="_TOC_250075">
            <w:r>
              <w:rPr/>
              <w:t>Neural</w:t>
            </w:r>
            <w:r>
              <w:rPr>
                <w:spacing w:val="-1"/>
              </w:rPr>
              <w:t> </w:t>
            </w:r>
            <w:r>
              <w:rPr/>
              <w:t>network</w:t>
            </w:r>
            <w:r>
              <w:rPr>
                <w:spacing w:val="-5"/>
              </w:rPr>
              <w:t> </w:t>
            </w:r>
            <w:r>
              <w:rPr>
                <w:spacing w:val="-2"/>
              </w:rPr>
              <w:t>oscillations</w:t>
            </w:r>
            <w:r>
              <w:rPr/>
              <w:tab/>
            </w:r>
            <w:r>
              <w:rPr>
                <w:spacing w:val="-10"/>
              </w:rPr>
              <w:t>8</w:t>
            </w:r>
          </w:hyperlink>
        </w:p>
        <w:p>
          <w:pPr>
            <w:pStyle w:val="TOC1"/>
            <w:numPr>
              <w:ilvl w:val="2"/>
              <w:numId w:val="2"/>
            </w:numPr>
            <w:tabs>
              <w:tab w:pos="849" w:val="left" w:leader="none"/>
              <w:tab w:pos="8058" w:val="right" w:leader="dot"/>
            </w:tabs>
            <w:spacing w:line="240" w:lineRule="auto" w:before="276" w:after="0"/>
            <w:ind w:left="849" w:right="0" w:hanging="541"/>
            <w:jc w:val="left"/>
          </w:pPr>
          <w:hyperlink w:history="true" w:anchor="_TOC_250074">
            <w:r>
              <w:rPr/>
              <w:t>Epileptogenesis</w:t>
            </w:r>
            <w:r>
              <w:rPr>
                <w:spacing w:val="-5"/>
              </w:rPr>
              <w:t> </w:t>
            </w:r>
            <w:r>
              <w:rPr/>
              <w:t>and</w:t>
            </w:r>
            <w:r>
              <w:rPr>
                <w:spacing w:val="-3"/>
              </w:rPr>
              <w:t> </w:t>
            </w:r>
            <w:r>
              <w:rPr>
                <w:spacing w:val="-2"/>
              </w:rPr>
              <w:t>Ictogenesis</w:t>
            </w:r>
            <w:r>
              <w:rPr/>
              <w:tab/>
            </w:r>
            <w:r>
              <w:rPr>
                <w:spacing w:val="-10"/>
              </w:rPr>
              <w:t>9</w:t>
            </w:r>
          </w:hyperlink>
        </w:p>
        <w:p>
          <w:pPr>
            <w:pStyle w:val="TOC1"/>
            <w:numPr>
              <w:ilvl w:val="1"/>
              <w:numId w:val="2"/>
            </w:numPr>
            <w:tabs>
              <w:tab w:pos="672" w:val="left" w:leader="none"/>
              <w:tab w:pos="8125" w:val="right" w:leader="dot"/>
            </w:tabs>
            <w:spacing w:line="240" w:lineRule="auto" w:before="276" w:after="0"/>
            <w:ind w:left="672" w:right="0" w:hanging="364"/>
            <w:jc w:val="left"/>
          </w:pPr>
          <w:hyperlink w:history="true" w:anchor="_TOC_250073">
            <w:r>
              <w:rPr/>
              <w:t>Ion</w:t>
            </w:r>
            <w:r>
              <w:rPr>
                <w:spacing w:val="-5"/>
              </w:rPr>
              <w:t> </w:t>
            </w:r>
            <w:r>
              <w:rPr>
                <w:spacing w:val="-2"/>
              </w:rPr>
              <w:t>Channels</w:t>
            </w:r>
            <w:r>
              <w:rPr/>
              <w:tab/>
            </w:r>
            <w:r>
              <w:rPr>
                <w:spacing w:val="-5"/>
              </w:rPr>
              <w:t>11</w:t>
            </w:r>
          </w:hyperlink>
        </w:p>
        <w:p>
          <w:pPr>
            <w:pStyle w:val="TOC1"/>
            <w:numPr>
              <w:ilvl w:val="1"/>
              <w:numId w:val="2"/>
            </w:numPr>
            <w:tabs>
              <w:tab w:pos="672" w:val="left" w:leader="none"/>
              <w:tab w:pos="8120" w:val="right" w:leader="dot"/>
            </w:tabs>
            <w:spacing w:line="240" w:lineRule="auto" w:before="276" w:after="240"/>
            <w:ind w:left="672" w:right="0" w:hanging="364"/>
            <w:jc w:val="left"/>
          </w:pPr>
          <w:hyperlink w:history="true" w:anchor="_TOC_250072">
            <w:r>
              <w:rPr/>
              <w:t>Action</w:t>
            </w:r>
            <w:r>
              <w:rPr>
                <w:spacing w:val="-11"/>
              </w:rPr>
              <w:t> </w:t>
            </w:r>
            <w:r>
              <w:rPr>
                <w:spacing w:val="-2"/>
              </w:rPr>
              <w:t>Potential</w:t>
            </w:r>
            <w:r>
              <w:rPr/>
              <w:tab/>
            </w:r>
            <w:r>
              <w:rPr>
                <w:spacing w:val="-5"/>
              </w:rPr>
              <w:t>12</w:t>
            </w:r>
          </w:hyperlink>
        </w:p>
        <w:p>
          <w:pPr>
            <w:pStyle w:val="TOC1"/>
            <w:numPr>
              <w:ilvl w:val="1"/>
              <w:numId w:val="2"/>
            </w:numPr>
            <w:tabs>
              <w:tab w:pos="672" w:val="left" w:leader="none"/>
              <w:tab w:pos="8198" w:val="right" w:leader="dot"/>
            </w:tabs>
            <w:spacing w:line="240" w:lineRule="auto" w:before="70" w:after="0"/>
            <w:ind w:left="672" w:right="0" w:hanging="364"/>
            <w:jc w:val="left"/>
          </w:pPr>
          <w:hyperlink w:history="true" w:anchor="_TOC_250071">
            <w:r>
              <w:rPr/>
              <w:t>Current-Voltage</w:t>
            </w:r>
            <w:r>
              <w:rPr>
                <w:spacing w:val="-10"/>
              </w:rPr>
              <w:t> </w:t>
            </w:r>
            <w:r>
              <w:rPr>
                <w:spacing w:val="-2"/>
              </w:rPr>
              <w:t>Relationship…</w:t>
            </w:r>
            <w:r>
              <w:rPr/>
              <w:tab/>
            </w:r>
            <w:r>
              <w:rPr>
                <w:spacing w:val="-5"/>
              </w:rPr>
              <w:t>14</w:t>
            </w:r>
          </w:hyperlink>
        </w:p>
        <w:p>
          <w:pPr>
            <w:pStyle w:val="TOC1"/>
            <w:numPr>
              <w:ilvl w:val="1"/>
              <w:numId w:val="2"/>
            </w:numPr>
            <w:tabs>
              <w:tab w:pos="672" w:val="left" w:leader="none"/>
              <w:tab w:pos="8222" w:val="right" w:leader="dot"/>
            </w:tabs>
            <w:spacing w:line="240" w:lineRule="auto" w:before="276" w:after="0"/>
            <w:ind w:left="672" w:right="0" w:hanging="364"/>
            <w:jc w:val="left"/>
          </w:pPr>
          <w:r>
            <w:rPr/>
            <w:t>Voltage-Gated</w:t>
          </w:r>
          <w:r>
            <w:rPr>
              <w:spacing w:val="-4"/>
            </w:rPr>
            <w:t> </w:t>
          </w:r>
          <w:r>
            <w:rPr/>
            <w:t>Sodium</w:t>
          </w:r>
          <w:r>
            <w:rPr>
              <w:spacing w:val="-11"/>
            </w:rPr>
            <w:t> </w:t>
          </w:r>
          <w:r>
            <w:rPr>
              <w:spacing w:val="-2"/>
            </w:rPr>
            <w:t>Channels</w:t>
          </w:r>
          <w:r>
            <w:rPr/>
            <w:tab/>
          </w:r>
          <w:r>
            <w:rPr>
              <w:spacing w:val="-5"/>
            </w:rPr>
            <w:t>14</w:t>
          </w:r>
        </w:p>
        <w:p>
          <w:pPr>
            <w:pStyle w:val="TOC1"/>
            <w:numPr>
              <w:ilvl w:val="2"/>
              <w:numId w:val="2"/>
            </w:numPr>
            <w:tabs>
              <w:tab w:pos="849" w:val="left" w:leader="none"/>
              <w:tab w:pos="8262" w:val="right" w:leader="dot"/>
            </w:tabs>
            <w:spacing w:line="240" w:lineRule="auto" w:before="276" w:after="0"/>
            <w:ind w:left="849" w:right="0" w:hanging="541"/>
            <w:jc w:val="left"/>
          </w:pPr>
          <w:hyperlink w:history="true" w:anchor="_TOC_250070">
            <w:r>
              <w:rPr/>
              <w:t>Nomenclature</w:t>
            </w:r>
            <w:r>
              <w:rPr>
                <w:spacing w:val="-8"/>
              </w:rPr>
              <w:t> </w:t>
            </w:r>
            <w:r>
              <w:rPr/>
              <w:t>of</w:t>
            </w:r>
            <w:r>
              <w:rPr>
                <w:spacing w:val="-7"/>
              </w:rPr>
              <w:t> </w:t>
            </w:r>
            <w:r>
              <w:rPr/>
              <w:t>voltage-gated</w:t>
            </w:r>
            <w:r>
              <w:rPr>
                <w:spacing w:val="1"/>
              </w:rPr>
              <w:t> </w:t>
            </w:r>
            <w:r>
              <w:rPr/>
              <w:t>sodium</w:t>
            </w:r>
            <w:r>
              <w:rPr>
                <w:spacing w:val="-4"/>
              </w:rPr>
              <w:t> </w:t>
            </w:r>
            <w:r>
              <w:rPr>
                <w:spacing w:val="-2"/>
              </w:rPr>
              <w:t>channels</w:t>
            </w:r>
            <w:r>
              <w:rPr/>
              <w:tab/>
            </w:r>
            <w:r>
              <w:rPr>
                <w:spacing w:val="-5"/>
              </w:rPr>
              <w:t>15</w:t>
            </w:r>
          </w:hyperlink>
        </w:p>
        <w:p>
          <w:pPr>
            <w:pStyle w:val="TOC1"/>
            <w:numPr>
              <w:ilvl w:val="2"/>
              <w:numId w:val="2"/>
            </w:numPr>
            <w:tabs>
              <w:tab w:pos="849" w:val="left" w:leader="none"/>
              <w:tab w:pos="8246" w:val="right" w:leader="dot"/>
            </w:tabs>
            <w:spacing w:line="240" w:lineRule="auto" w:before="276" w:after="0"/>
            <w:ind w:left="849" w:right="0" w:hanging="541"/>
            <w:jc w:val="left"/>
          </w:pPr>
          <w:hyperlink w:history="true" w:anchor="_TOC_250069">
            <w:r>
              <w:rPr/>
              <w:t>Anatomical</w:t>
            </w:r>
            <w:r>
              <w:rPr>
                <w:spacing w:val="-5"/>
              </w:rPr>
              <w:t> </w:t>
            </w:r>
            <w:r>
              <w:rPr/>
              <w:t>location</w:t>
            </w:r>
            <w:r>
              <w:rPr>
                <w:spacing w:val="-4"/>
              </w:rPr>
              <w:t> </w:t>
            </w:r>
            <w:r>
              <w:rPr/>
              <w:t>of</w:t>
            </w:r>
            <w:r>
              <w:rPr>
                <w:spacing w:val="-2"/>
              </w:rPr>
              <w:t> </w:t>
            </w:r>
            <w:r>
              <w:rPr/>
              <w:t>voltage-gated</w:t>
            </w:r>
            <w:r>
              <w:rPr>
                <w:spacing w:val="-4"/>
              </w:rPr>
              <w:t> </w:t>
            </w:r>
            <w:r>
              <w:rPr/>
              <w:t>sodium</w:t>
            </w:r>
            <w:r>
              <w:rPr>
                <w:spacing w:val="1"/>
              </w:rPr>
              <w:t> </w:t>
            </w:r>
            <w:r>
              <w:rPr>
                <w:spacing w:val="-2"/>
              </w:rPr>
              <w:t>channels</w:t>
            </w:r>
            <w:r>
              <w:rPr/>
              <w:tab/>
            </w:r>
            <w:r>
              <w:rPr>
                <w:spacing w:val="-5"/>
              </w:rPr>
              <w:t>15</w:t>
            </w:r>
          </w:hyperlink>
        </w:p>
        <w:p>
          <w:pPr>
            <w:pStyle w:val="TOC1"/>
            <w:numPr>
              <w:ilvl w:val="2"/>
              <w:numId w:val="2"/>
            </w:numPr>
            <w:tabs>
              <w:tab w:pos="849" w:val="left" w:leader="none"/>
              <w:tab w:pos="8292" w:val="right" w:leader="dot"/>
            </w:tabs>
            <w:spacing w:line="240" w:lineRule="auto" w:before="276" w:after="0"/>
            <w:ind w:left="849" w:right="0" w:hanging="541"/>
            <w:jc w:val="left"/>
          </w:pPr>
          <w:r>
            <w:rPr/>
            <w:t>Structural</w:t>
          </w:r>
          <w:r>
            <w:rPr>
              <w:spacing w:val="-4"/>
            </w:rPr>
            <w:t> </w:t>
          </w:r>
          <w:r>
            <w:rPr/>
            <w:t>function</w:t>
          </w:r>
          <w:r>
            <w:rPr>
              <w:spacing w:val="-4"/>
            </w:rPr>
            <w:t> </w:t>
          </w:r>
          <w:r>
            <w:rPr/>
            <w:t>of</w:t>
          </w:r>
          <w:r>
            <w:rPr>
              <w:spacing w:val="-7"/>
            </w:rPr>
            <w:t> </w:t>
          </w:r>
          <w:r>
            <w:rPr/>
            <w:t>voltage-gated</w:t>
          </w:r>
          <w:r>
            <w:rPr>
              <w:spacing w:val="1"/>
            </w:rPr>
            <w:t> </w:t>
          </w:r>
          <w:r>
            <w:rPr/>
            <w:t>sodium</w:t>
          </w:r>
          <w:r>
            <w:rPr>
              <w:spacing w:val="-4"/>
            </w:rPr>
            <w:t> </w:t>
          </w:r>
          <w:r>
            <w:rPr>
              <w:spacing w:val="-2"/>
            </w:rPr>
            <w:t>channels</w:t>
          </w:r>
          <w:r>
            <w:rPr/>
            <w:tab/>
          </w:r>
          <w:r>
            <w:rPr>
              <w:spacing w:val="-5"/>
            </w:rPr>
            <w:t>16</w:t>
          </w:r>
        </w:p>
        <w:p>
          <w:pPr>
            <w:pStyle w:val="TOC1"/>
            <w:numPr>
              <w:ilvl w:val="2"/>
              <w:numId w:val="2"/>
            </w:numPr>
            <w:tabs>
              <w:tab w:pos="849" w:val="left" w:leader="none"/>
              <w:tab w:pos="8341" w:val="right" w:leader="dot"/>
            </w:tabs>
            <w:spacing w:line="240" w:lineRule="auto" w:before="277" w:after="0"/>
            <w:ind w:left="849" w:right="0" w:hanging="541"/>
            <w:jc w:val="left"/>
          </w:pPr>
          <w:hyperlink w:history="true" w:anchor="_TOC_250068">
            <w:r>
              <w:rPr/>
              <w:t>Sodium</w:t>
            </w:r>
            <w:r>
              <w:rPr>
                <w:spacing w:val="-6"/>
              </w:rPr>
              <w:t> </w:t>
            </w:r>
            <w:r>
              <w:rPr/>
              <w:t>channel</w:t>
            </w:r>
            <w:r>
              <w:rPr>
                <w:spacing w:val="-6"/>
              </w:rPr>
              <w:t> </w:t>
            </w:r>
            <w:r>
              <w:rPr/>
              <w:t>molecular</w:t>
            </w:r>
            <w:r>
              <w:rPr>
                <w:spacing w:val="1"/>
              </w:rPr>
              <w:t> </w:t>
            </w:r>
            <w:r>
              <w:rPr>
                <w:spacing w:val="-2"/>
              </w:rPr>
              <w:t>pharmacology</w:t>
            </w:r>
            <w:r>
              <w:rPr/>
              <w:tab/>
            </w:r>
            <w:r>
              <w:rPr>
                <w:spacing w:val="-5"/>
              </w:rPr>
              <w:t>16</w:t>
            </w:r>
          </w:hyperlink>
        </w:p>
        <w:p>
          <w:pPr>
            <w:pStyle w:val="TOC1"/>
            <w:numPr>
              <w:ilvl w:val="2"/>
              <w:numId w:val="2"/>
            </w:numPr>
            <w:tabs>
              <w:tab w:pos="849" w:val="left" w:leader="none"/>
              <w:tab w:pos="8365" w:val="right" w:leader="dot"/>
            </w:tabs>
            <w:spacing w:line="240" w:lineRule="auto" w:before="276" w:after="0"/>
            <w:ind w:left="849" w:right="0" w:hanging="541"/>
            <w:jc w:val="left"/>
          </w:pPr>
          <w:r>
            <w:rPr/>
            <w:t>Biophysical</w:t>
          </w:r>
          <w:r>
            <w:rPr>
              <w:spacing w:val="-3"/>
            </w:rPr>
            <w:t> </w:t>
          </w:r>
          <w:r>
            <w:rPr/>
            <w:t>modulation</w:t>
          </w:r>
          <w:r>
            <w:rPr>
              <w:spacing w:val="-6"/>
            </w:rPr>
            <w:t> </w:t>
          </w:r>
          <w:r>
            <w:rPr/>
            <w:t>of</w:t>
          </w:r>
          <w:r>
            <w:rPr>
              <w:spacing w:val="-8"/>
            </w:rPr>
            <w:t> </w:t>
          </w:r>
          <w:r>
            <w:rPr/>
            <w:t>voltage-gated</w:t>
          </w:r>
          <w:r>
            <w:rPr>
              <w:spacing w:val="-1"/>
            </w:rPr>
            <w:t> </w:t>
          </w:r>
          <w:r>
            <w:rPr/>
            <w:t>sodium</w:t>
          </w:r>
          <w:r>
            <w:rPr>
              <w:spacing w:val="-9"/>
            </w:rPr>
            <w:t> </w:t>
          </w:r>
          <w:r>
            <w:rPr>
              <w:spacing w:val="-2"/>
            </w:rPr>
            <w:t>channels</w:t>
          </w:r>
          <w:r>
            <w:rPr/>
            <w:tab/>
          </w:r>
          <w:r>
            <w:rPr>
              <w:spacing w:val="-5"/>
            </w:rPr>
            <w:t>19</w:t>
          </w:r>
        </w:p>
        <w:p>
          <w:pPr>
            <w:pStyle w:val="TOC1"/>
            <w:numPr>
              <w:ilvl w:val="3"/>
              <w:numId w:val="2"/>
            </w:numPr>
            <w:tabs>
              <w:tab w:pos="1031" w:val="left" w:leader="none"/>
              <w:tab w:pos="8310" w:val="right" w:leader="dot"/>
            </w:tabs>
            <w:spacing w:line="240" w:lineRule="auto" w:before="276" w:after="0"/>
            <w:ind w:left="1031" w:right="0" w:hanging="723"/>
            <w:jc w:val="left"/>
          </w:pPr>
          <w:r>
            <w:rPr/>
            <w:t>State</w:t>
          </w:r>
          <w:r>
            <w:rPr>
              <w:spacing w:val="-11"/>
            </w:rPr>
            <w:t> </w:t>
          </w:r>
          <w:r>
            <w:rPr/>
            <w:t>dependent</w:t>
          </w:r>
          <w:r>
            <w:rPr>
              <w:spacing w:val="3"/>
            </w:rPr>
            <w:t> </w:t>
          </w:r>
          <w:r>
            <w:rPr>
              <w:spacing w:val="-4"/>
            </w:rPr>
            <w:t>block</w:t>
          </w:r>
          <w:r>
            <w:rPr/>
            <w:tab/>
          </w:r>
          <w:r>
            <w:rPr>
              <w:spacing w:val="-5"/>
            </w:rPr>
            <w:t>20</w:t>
          </w:r>
        </w:p>
        <w:p>
          <w:pPr>
            <w:pStyle w:val="TOC1"/>
            <w:numPr>
              <w:ilvl w:val="3"/>
              <w:numId w:val="2"/>
            </w:numPr>
            <w:tabs>
              <w:tab w:pos="1031" w:val="left" w:leader="none"/>
              <w:tab w:pos="8357" w:val="right" w:leader="dot"/>
            </w:tabs>
            <w:spacing w:line="240" w:lineRule="auto" w:before="276" w:after="0"/>
            <w:ind w:left="1031" w:right="0" w:hanging="723"/>
            <w:jc w:val="left"/>
          </w:pPr>
          <w:r>
            <w:rPr/>
            <w:t>Use</w:t>
          </w:r>
          <w:r>
            <w:rPr>
              <w:spacing w:val="-5"/>
            </w:rPr>
            <w:t> </w:t>
          </w:r>
          <w:r>
            <w:rPr/>
            <w:t>dependent</w:t>
          </w:r>
          <w:r>
            <w:rPr>
              <w:spacing w:val="3"/>
            </w:rPr>
            <w:t> </w:t>
          </w:r>
          <w:r>
            <w:rPr>
              <w:spacing w:val="-2"/>
            </w:rPr>
            <w:t>blockade</w:t>
          </w:r>
          <w:r>
            <w:rPr/>
            <w:tab/>
          </w:r>
          <w:r>
            <w:rPr>
              <w:spacing w:val="-5"/>
            </w:rPr>
            <w:t>21</w:t>
          </w:r>
        </w:p>
        <w:p>
          <w:pPr>
            <w:pStyle w:val="TOC1"/>
            <w:numPr>
              <w:ilvl w:val="3"/>
              <w:numId w:val="2"/>
            </w:numPr>
            <w:tabs>
              <w:tab w:pos="1031" w:val="left" w:leader="none"/>
              <w:tab w:pos="8386" w:val="right" w:leader="dot"/>
            </w:tabs>
            <w:spacing w:line="240" w:lineRule="auto" w:before="276" w:after="0"/>
            <w:ind w:left="1031" w:right="0" w:hanging="723"/>
            <w:jc w:val="left"/>
          </w:pPr>
          <w:r>
            <w:rPr/>
            <w:t>Inactivation</w:t>
          </w:r>
          <w:r>
            <w:rPr>
              <w:spacing w:val="-5"/>
            </w:rPr>
            <w:t> </w:t>
          </w:r>
          <w:r>
            <w:rPr/>
            <w:t>of</w:t>
          </w:r>
          <w:r>
            <w:rPr>
              <w:spacing w:val="-8"/>
            </w:rPr>
            <w:t> </w:t>
          </w:r>
          <w:r>
            <w:rPr/>
            <w:t>Na</w:t>
          </w:r>
          <w:r>
            <w:rPr>
              <w:vertAlign w:val="superscript"/>
            </w:rPr>
            <w:t>+</w:t>
          </w:r>
          <w:r>
            <w:rPr>
              <w:spacing w:val="3"/>
              <w:vertAlign w:val="baseline"/>
            </w:rPr>
            <w:t> </w:t>
          </w:r>
          <w:r>
            <w:rPr>
              <w:spacing w:val="-2"/>
              <w:vertAlign w:val="baseline"/>
            </w:rPr>
            <w:t>channels</w:t>
          </w:r>
          <w:r>
            <w:rPr>
              <w:vertAlign w:val="baseline"/>
            </w:rPr>
            <w:tab/>
          </w:r>
          <w:r>
            <w:rPr>
              <w:spacing w:val="-5"/>
              <w:vertAlign w:val="baseline"/>
            </w:rPr>
            <w:t>21</w:t>
          </w:r>
        </w:p>
        <w:p>
          <w:pPr>
            <w:pStyle w:val="TOC1"/>
            <w:numPr>
              <w:ilvl w:val="3"/>
              <w:numId w:val="2"/>
            </w:numPr>
            <w:tabs>
              <w:tab w:pos="1031" w:val="left" w:leader="none"/>
              <w:tab w:pos="8388" w:val="right" w:leader="dot"/>
            </w:tabs>
            <w:spacing w:line="240" w:lineRule="auto" w:before="276" w:after="0"/>
            <w:ind w:left="1031" w:right="0" w:hanging="723"/>
            <w:jc w:val="left"/>
          </w:pPr>
          <w:r>
            <w:rPr/>
            <w:t>Fast</w:t>
          </w:r>
          <w:r>
            <w:rPr>
              <w:spacing w:val="-1"/>
            </w:rPr>
            <w:t> </w:t>
          </w:r>
          <w:r>
            <w:rPr>
              <w:spacing w:val="-2"/>
            </w:rPr>
            <w:t>inactivation</w:t>
          </w:r>
          <w:r>
            <w:rPr/>
            <w:tab/>
          </w:r>
          <w:r>
            <w:rPr>
              <w:spacing w:val="-5"/>
            </w:rPr>
            <w:t>21</w:t>
          </w:r>
        </w:p>
        <w:p>
          <w:pPr>
            <w:pStyle w:val="TOC1"/>
            <w:numPr>
              <w:ilvl w:val="3"/>
              <w:numId w:val="2"/>
            </w:numPr>
            <w:tabs>
              <w:tab w:pos="1031" w:val="left" w:leader="none"/>
              <w:tab w:pos="8409" w:val="right" w:leader="dot"/>
            </w:tabs>
            <w:spacing w:line="240" w:lineRule="auto" w:before="277" w:after="0"/>
            <w:ind w:left="1031" w:right="0" w:hanging="723"/>
            <w:jc w:val="left"/>
          </w:pPr>
          <w:r>
            <w:rPr/>
            <w:t>Recovery</w:t>
          </w:r>
          <w:r>
            <w:rPr>
              <w:spacing w:val="-5"/>
            </w:rPr>
            <w:t> </w:t>
          </w:r>
          <w:r>
            <w:rPr/>
            <w:t>from</w:t>
          </w:r>
          <w:r>
            <w:rPr>
              <w:spacing w:val="-4"/>
            </w:rPr>
            <w:t> </w:t>
          </w:r>
          <w:r>
            <w:rPr>
              <w:spacing w:val="-2"/>
            </w:rPr>
            <w:t>inactivation</w:t>
          </w:r>
          <w:r>
            <w:rPr/>
            <w:tab/>
          </w:r>
          <w:r>
            <w:rPr>
              <w:spacing w:val="-5"/>
            </w:rPr>
            <w:t>22</w:t>
          </w:r>
        </w:p>
        <w:p>
          <w:pPr>
            <w:pStyle w:val="TOC1"/>
            <w:numPr>
              <w:ilvl w:val="2"/>
              <w:numId w:val="2"/>
            </w:numPr>
            <w:tabs>
              <w:tab w:pos="849" w:val="left" w:leader="none"/>
              <w:tab w:pos="8393" w:val="right" w:leader="dot"/>
            </w:tabs>
            <w:spacing w:line="240" w:lineRule="auto" w:before="276" w:after="0"/>
            <w:ind w:left="849" w:right="0" w:hanging="541"/>
            <w:jc w:val="left"/>
          </w:pPr>
          <w:hyperlink w:history="true" w:anchor="_TOC_250067">
            <w:r>
              <w:rPr/>
              <w:t>Voltage</w:t>
            </w:r>
            <w:r>
              <w:rPr>
                <w:spacing w:val="-4"/>
              </w:rPr>
              <w:t> </w:t>
            </w:r>
            <w:r>
              <w:rPr/>
              <w:t>sensing</w:t>
            </w:r>
            <w:r>
              <w:rPr>
                <w:spacing w:val="-3"/>
              </w:rPr>
              <w:t> </w:t>
            </w:r>
            <w:r>
              <w:rPr/>
              <w:t>and</w:t>
            </w:r>
            <w:r>
              <w:rPr>
                <w:spacing w:val="-2"/>
              </w:rPr>
              <w:t> </w:t>
            </w:r>
            <w:r>
              <w:rPr/>
              <w:t>voltage-dependent</w:t>
            </w:r>
            <w:r>
              <w:rPr>
                <w:spacing w:val="2"/>
              </w:rPr>
              <w:t> </w:t>
            </w:r>
            <w:r>
              <w:rPr>
                <w:spacing w:val="-2"/>
              </w:rPr>
              <w:t>activation</w:t>
            </w:r>
            <w:r>
              <w:rPr/>
              <w:tab/>
            </w:r>
            <w:r>
              <w:rPr>
                <w:spacing w:val="-5"/>
              </w:rPr>
              <w:t>22</w:t>
            </w:r>
          </w:hyperlink>
        </w:p>
        <w:p>
          <w:pPr>
            <w:pStyle w:val="TOC1"/>
            <w:numPr>
              <w:ilvl w:val="2"/>
              <w:numId w:val="2"/>
            </w:numPr>
            <w:tabs>
              <w:tab w:pos="849" w:val="left" w:leader="none"/>
              <w:tab w:pos="8446" w:val="right" w:leader="dot"/>
            </w:tabs>
            <w:spacing w:line="240" w:lineRule="auto" w:before="276" w:after="0"/>
            <w:ind w:left="849" w:right="0" w:hanging="541"/>
            <w:jc w:val="left"/>
          </w:pPr>
          <w:hyperlink w:history="true" w:anchor="_TOC_250066">
            <w:r>
              <w:rPr/>
              <w:t>Ion</w:t>
            </w:r>
            <w:r>
              <w:rPr>
                <w:spacing w:val="-6"/>
              </w:rPr>
              <w:t> </w:t>
            </w:r>
            <w:r>
              <w:rPr/>
              <w:t>selectivity</w:t>
            </w:r>
            <w:r>
              <w:rPr>
                <w:spacing w:val="-7"/>
              </w:rPr>
              <w:t> </w:t>
            </w:r>
            <w:r>
              <w:rPr/>
              <w:t>and</w:t>
            </w:r>
            <w:r>
              <w:rPr>
                <w:spacing w:val="-1"/>
              </w:rPr>
              <w:t> </w:t>
            </w:r>
            <w:r>
              <w:rPr>
                <w:spacing w:val="-2"/>
              </w:rPr>
              <w:t>conductance</w:t>
            </w:r>
            <w:r>
              <w:rPr/>
              <w:tab/>
            </w:r>
            <w:r>
              <w:rPr>
                <w:spacing w:val="-5"/>
              </w:rPr>
              <w:t>23</w:t>
            </w:r>
          </w:hyperlink>
        </w:p>
        <w:p>
          <w:pPr>
            <w:pStyle w:val="TOC1"/>
            <w:numPr>
              <w:ilvl w:val="2"/>
              <w:numId w:val="2"/>
            </w:numPr>
            <w:tabs>
              <w:tab w:pos="849" w:val="left" w:leader="none"/>
              <w:tab w:pos="8490" w:val="right" w:leader="dot"/>
            </w:tabs>
            <w:spacing w:line="240" w:lineRule="auto" w:before="276" w:after="0"/>
            <w:ind w:left="849" w:right="0" w:hanging="541"/>
            <w:jc w:val="left"/>
          </w:pPr>
          <w:hyperlink w:history="true" w:anchor="_TOC_250065">
            <w:r>
              <w:rPr/>
              <w:t>Phosphorylation</w:t>
            </w:r>
            <w:r>
              <w:rPr>
                <w:spacing w:val="-7"/>
              </w:rPr>
              <w:t> </w:t>
            </w:r>
            <w:r>
              <w:rPr/>
              <w:t>of</w:t>
            </w:r>
            <w:r>
              <w:rPr>
                <w:spacing w:val="-8"/>
              </w:rPr>
              <w:t> </w:t>
            </w:r>
            <w:r>
              <w:rPr/>
              <w:t>sodium</w:t>
            </w:r>
            <w:r>
              <w:rPr>
                <w:spacing w:val="-6"/>
              </w:rPr>
              <w:t> </w:t>
            </w:r>
            <w:r>
              <w:rPr>
                <w:spacing w:val="-2"/>
              </w:rPr>
              <w:t>channels</w:t>
            </w:r>
            <w:r>
              <w:rPr/>
              <w:tab/>
            </w:r>
            <w:r>
              <w:rPr>
                <w:spacing w:val="-5"/>
              </w:rPr>
              <w:t>24</w:t>
            </w:r>
          </w:hyperlink>
        </w:p>
        <w:p>
          <w:pPr>
            <w:pStyle w:val="TOC1"/>
            <w:numPr>
              <w:ilvl w:val="2"/>
              <w:numId w:val="2"/>
            </w:numPr>
            <w:tabs>
              <w:tab w:pos="849" w:val="left" w:leader="none"/>
              <w:tab w:pos="8452" w:val="right" w:leader="dot"/>
            </w:tabs>
            <w:spacing w:line="240" w:lineRule="auto" w:before="276" w:after="0"/>
            <w:ind w:left="849" w:right="0" w:hanging="541"/>
            <w:jc w:val="left"/>
          </w:pPr>
          <w:hyperlink w:history="true" w:anchor="_TOC_250064">
            <w:r>
              <w:rPr/>
              <w:t>Channelopathies</w:t>
            </w:r>
            <w:r>
              <w:rPr>
                <w:spacing w:val="-2"/>
              </w:rPr>
              <w:t> </w:t>
            </w:r>
            <w:r>
              <w:rPr/>
              <w:t>of</w:t>
            </w:r>
            <w:r>
              <w:rPr>
                <w:spacing w:val="-7"/>
              </w:rPr>
              <w:t> </w:t>
            </w:r>
            <w:r>
              <w:rPr/>
              <w:t>sodium</w:t>
            </w:r>
            <w:r>
              <w:rPr>
                <w:spacing w:val="-7"/>
              </w:rPr>
              <w:t> </w:t>
            </w:r>
            <w:r>
              <w:rPr>
                <w:spacing w:val="-2"/>
              </w:rPr>
              <w:t>channels</w:t>
            </w:r>
            <w:r>
              <w:rPr/>
              <w:tab/>
            </w:r>
            <w:r>
              <w:rPr>
                <w:spacing w:val="-5"/>
              </w:rPr>
              <w:t>25</w:t>
            </w:r>
          </w:hyperlink>
        </w:p>
        <w:p>
          <w:pPr>
            <w:pStyle w:val="TOC1"/>
            <w:numPr>
              <w:ilvl w:val="1"/>
              <w:numId w:val="2"/>
            </w:numPr>
            <w:tabs>
              <w:tab w:pos="672" w:val="left" w:leader="none"/>
              <w:tab w:pos="8434" w:val="right" w:leader="dot"/>
            </w:tabs>
            <w:spacing w:line="240" w:lineRule="auto" w:before="276" w:after="0"/>
            <w:ind w:left="672" w:right="0" w:hanging="364"/>
            <w:jc w:val="left"/>
          </w:pPr>
          <w:hyperlink w:history="true" w:anchor="_TOC_250063">
            <w:r>
              <w:rPr/>
              <w:t>Voltage-Gated</w:t>
            </w:r>
            <w:r>
              <w:rPr>
                <w:spacing w:val="-5"/>
              </w:rPr>
              <w:t> </w:t>
            </w:r>
            <w:r>
              <w:rPr/>
              <w:t>Potassium</w:t>
            </w:r>
            <w:r>
              <w:rPr>
                <w:spacing w:val="-7"/>
              </w:rPr>
              <w:t> </w:t>
            </w:r>
            <w:r>
              <w:rPr/>
              <w:t>Channels</w:t>
            </w:r>
            <w:r>
              <w:rPr>
                <w:spacing w:val="-6"/>
              </w:rPr>
              <w:t> </w:t>
            </w:r>
            <w:r>
              <w:rPr>
                <w:spacing w:val="-2"/>
              </w:rPr>
              <w:t>(VGKCs)</w:t>
            </w:r>
            <w:r>
              <w:rPr/>
              <w:tab/>
            </w:r>
            <w:r>
              <w:rPr>
                <w:spacing w:val="-5"/>
              </w:rPr>
              <w:t>26</w:t>
            </w:r>
          </w:hyperlink>
        </w:p>
        <w:p>
          <w:pPr>
            <w:pStyle w:val="TOC1"/>
            <w:numPr>
              <w:ilvl w:val="1"/>
              <w:numId w:val="2"/>
            </w:numPr>
            <w:tabs>
              <w:tab w:pos="672" w:val="left" w:leader="none"/>
              <w:tab w:pos="8432" w:val="right" w:leader="dot"/>
            </w:tabs>
            <w:spacing w:line="240" w:lineRule="auto" w:before="277" w:after="0"/>
            <w:ind w:left="672" w:right="0" w:hanging="364"/>
            <w:jc w:val="left"/>
          </w:pPr>
          <w:hyperlink w:history="true" w:anchor="_TOC_250062">
            <w:r>
              <w:rPr/>
              <w:t>Voltage-Gated</w:t>
            </w:r>
            <w:r>
              <w:rPr>
                <w:spacing w:val="-6"/>
              </w:rPr>
              <w:t> </w:t>
            </w:r>
            <w:r>
              <w:rPr/>
              <w:t>Calcium</w:t>
            </w:r>
            <w:r>
              <w:rPr>
                <w:spacing w:val="-9"/>
              </w:rPr>
              <w:t> </w:t>
            </w:r>
            <w:r>
              <w:rPr/>
              <w:t>Channels</w:t>
            </w:r>
            <w:r>
              <w:rPr>
                <w:spacing w:val="-7"/>
              </w:rPr>
              <w:t> </w:t>
            </w:r>
            <w:r>
              <w:rPr>
                <w:spacing w:val="-2"/>
              </w:rPr>
              <w:t>(VGCCs)</w:t>
            </w:r>
            <w:r>
              <w:rPr/>
              <w:tab/>
            </w:r>
            <w:r>
              <w:rPr>
                <w:spacing w:val="-5"/>
              </w:rPr>
              <w:t>28</w:t>
            </w:r>
          </w:hyperlink>
        </w:p>
        <w:p>
          <w:pPr>
            <w:pStyle w:val="TOC1"/>
            <w:numPr>
              <w:ilvl w:val="1"/>
              <w:numId w:val="2"/>
            </w:numPr>
            <w:tabs>
              <w:tab w:pos="672" w:val="left" w:leader="none"/>
              <w:tab w:pos="8458" w:val="right" w:leader="dot"/>
            </w:tabs>
            <w:spacing w:line="240" w:lineRule="auto" w:before="276" w:after="0"/>
            <w:ind w:left="672" w:right="0" w:hanging="364"/>
            <w:jc w:val="left"/>
          </w:pPr>
          <w:hyperlink w:history="true" w:anchor="_TOC_250061">
            <w:r>
              <w:rPr/>
              <w:t>Chloride</w:t>
            </w:r>
            <w:r>
              <w:rPr>
                <w:spacing w:val="-11"/>
              </w:rPr>
              <w:t> </w:t>
            </w:r>
            <w:r>
              <w:rPr>
                <w:spacing w:val="-2"/>
              </w:rPr>
              <w:t>Channels</w:t>
            </w:r>
            <w:r>
              <w:rPr/>
              <w:tab/>
            </w:r>
            <w:r>
              <w:rPr>
                <w:spacing w:val="-5"/>
              </w:rPr>
              <w:t>30</w:t>
            </w:r>
          </w:hyperlink>
        </w:p>
        <w:p>
          <w:pPr>
            <w:pStyle w:val="TOC1"/>
            <w:numPr>
              <w:ilvl w:val="1"/>
              <w:numId w:val="2"/>
            </w:numPr>
            <w:tabs>
              <w:tab w:pos="672" w:val="left" w:leader="none"/>
              <w:tab w:pos="8514" w:val="right" w:leader="dot"/>
            </w:tabs>
            <w:spacing w:line="240" w:lineRule="auto" w:before="276" w:after="0"/>
            <w:ind w:left="672" w:right="0" w:hanging="364"/>
            <w:jc w:val="left"/>
          </w:pPr>
          <w:hyperlink w:history="true" w:anchor="_TOC_250060">
            <w:r>
              <w:rPr/>
              <w:t>Neurotransmitter</w:t>
            </w:r>
            <w:r>
              <w:rPr>
                <w:spacing w:val="-4"/>
              </w:rPr>
              <w:t> </w:t>
            </w:r>
            <w:r>
              <w:rPr/>
              <w:t>Mediated</w:t>
            </w:r>
            <w:r>
              <w:rPr>
                <w:spacing w:val="-4"/>
              </w:rPr>
              <w:t> </w:t>
            </w:r>
            <w:r>
              <w:rPr>
                <w:spacing w:val="-2"/>
              </w:rPr>
              <w:t>Mechanisms</w:t>
            </w:r>
            <w:r>
              <w:rPr/>
              <w:tab/>
            </w:r>
            <w:r>
              <w:rPr>
                <w:spacing w:val="-5"/>
              </w:rPr>
              <w:t>31</w:t>
            </w:r>
          </w:hyperlink>
        </w:p>
        <w:p>
          <w:pPr>
            <w:pStyle w:val="TOC1"/>
            <w:numPr>
              <w:ilvl w:val="2"/>
              <w:numId w:val="2"/>
            </w:numPr>
            <w:tabs>
              <w:tab w:pos="849" w:val="left" w:leader="none"/>
              <w:tab w:pos="8509" w:val="right" w:leader="dot"/>
            </w:tabs>
            <w:spacing w:line="240" w:lineRule="auto" w:before="277" w:after="0"/>
            <w:ind w:left="849" w:right="0" w:hanging="541"/>
            <w:jc w:val="left"/>
          </w:pPr>
          <w:hyperlink w:history="true" w:anchor="_TOC_250059">
            <w:r>
              <w:rPr/>
              <w:t>Gamma</w:t>
            </w:r>
            <w:r>
              <w:rPr>
                <w:spacing w:val="-7"/>
              </w:rPr>
              <w:t> </w:t>
            </w:r>
            <w:r>
              <w:rPr/>
              <w:t>amino</w:t>
            </w:r>
            <w:r>
              <w:rPr>
                <w:spacing w:val="2"/>
              </w:rPr>
              <w:t> </w:t>
            </w:r>
            <w:r>
              <w:rPr/>
              <w:t>butyric</w:t>
            </w:r>
            <w:r>
              <w:rPr>
                <w:spacing w:val="-3"/>
              </w:rPr>
              <w:t> </w:t>
            </w:r>
            <w:r>
              <w:rPr/>
              <w:t>acid</w:t>
            </w:r>
            <w:r>
              <w:rPr>
                <w:spacing w:val="-5"/>
              </w:rPr>
              <w:t> </w:t>
            </w:r>
            <w:r>
              <w:rPr>
                <w:spacing w:val="-2"/>
              </w:rPr>
              <w:t>(GABA)</w:t>
            </w:r>
            <w:r>
              <w:rPr/>
              <w:tab/>
            </w:r>
            <w:r>
              <w:rPr>
                <w:spacing w:val="-5"/>
              </w:rPr>
              <w:t>31</w:t>
            </w:r>
          </w:hyperlink>
        </w:p>
        <w:p>
          <w:pPr>
            <w:pStyle w:val="TOC1"/>
            <w:numPr>
              <w:ilvl w:val="3"/>
              <w:numId w:val="2"/>
            </w:numPr>
            <w:tabs>
              <w:tab w:pos="1031" w:val="left" w:leader="none"/>
              <w:tab w:pos="8499" w:val="right" w:leader="dot"/>
            </w:tabs>
            <w:spacing w:line="240" w:lineRule="auto" w:before="276" w:after="0"/>
            <w:ind w:left="1031" w:right="0" w:hanging="723"/>
            <w:jc w:val="left"/>
          </w:pPr>
          <w:r>
            <w:rPr/>
            <w:t>GABA</w:t>
          </w:r>
          <w:r>
            <w:rPr>
              <w:spacing w:val="-5"/>
            </w:rPr>
            <w:t> </w:t>
          </w:r>
          <w:r>
            <w:rPr/>
            <w:t>receptor</w:t>
          </w:r>
          <w:r>
            <w:rPr>
              <w:spacing w:val="-1"/>
            </w:rPr>
            <w:t> </w:t>
          </w:r>
          <w:r>
            <w:rPr>
              <w:spacing w:val="-2"/>
            </w:rPr>
            <w:t>subtypes</w:t>
          </w:r>
          <w:r>
            <w:rPr/>
            <w:tab/>
          </w:r>
          <w:r>
            <w:rPr>
              <w:spacing w:val="-5"/>
            </w:rPr>
            <w:t>33</w:t>
          </w:r>
        </w:p>
        <w:p>
          <w:pPr>
            <w:pStyle w:val="TOC1"/>
            <w:numPr>
              <w:ilvl w:val="2"/>
              <w:numId w:val="2"/>
            </w:numPr>
            <w:tabs>
              <w:tab w:pos="849" w:val="left" w:leader="none"/>
              <w:tab w:pos="8514" w:val="right" w:leader="dot"/>
            </w:tabs>
            <w:spacing w:line="240" w:lineRule="auto" w:before="276" w:after="0"/>
            <w:ind w:left="849" w:right="0" w:hanging="541"/>
            <w:jc w:val="left"/>
          </w:pPr>
          <w:hyperlink w:history="true" w:anchor="_TOC_250058">
            <w:r>
              <w:rPr>
                <w:spacing w:val="-2"/>
              </w:rPr>
              <w:t>Glycine</w:t>
            </w:r>
            <w:r>
              <w:rPr/>
              <w:tab/>
            </w:r>
            <w:r>
              <w:rPr>
                <w:spacing w:val="-5"/>
              </w:rPr>
              <w:t>34</w:t>
            </w:r>
          </w:hyperlink>
        </w:p>
        <w:p>
          <w:pPr>
            <w:pStyle w:val="TOC1"/>
            <w:numPr>
              <w:ilvl w:val="2"/>
              <w:numId w:val="2"/>
            </w:numPr>
            <w:tabs>
              <w:tab w:pos="849" w:val="left" w:leader="none"/>
              <w:tab w:pos="8490" w:val="right" w:leader="dot"/>
            </w:tabs>
            <w:spacing w:line="240" w:lineRule="auto" w:before="276" w:after="0"/>
            <w:ind w:left="849" w:right="0" w:hanging="541"/>
            <w:jc w:val="left"/>
          </w:pPr>
          <w:hyperlink w:history="true" w:anchor="_TOC_250057">
            <w:r>
              <w:rPr/>
              <w:t>Glutamate</w:t>
            </w:r>
            <w:r>
              <w:rPr>
                <w:spacing w:val="-2"/>
              </w:rPr>
              <w:t> receptors</w:t>
            </w:r>
            <w:r>
              <w:rPr/>
              <w:tab/>
            </w:r>
            <w:r>
              <w:rPr>
                <w:spacing w:val="-5"/>
              </w:rPr>
              <w:t>35</w:t>
            </w:r>
          </w:hyperlink>
        </w:p>
        <w:p>
          <w:pPr>
            <w:pStyle w:val="TOC1"/>
            <w:numPr>
              <w:ilvl w:val="3"/>
              <w:numId w:val="2"/>
            </w:numPr>
            <w:tabs>
              <w:tab w:pos="1031" w:val="left" w:leader="none"/>
              <w:tab w:pos="8472" w:val="right" w:leader="dot"/>
            </w:tabs>
            <w:spacing w:line="240" w:lineRule="auto" w:before="276" w:after="240"/>
            <w:ind w:left="1031" w:right="0" w:hanging="723"/>
            <w:jc w:val="left"/>
          </w:pPr>
          <w:r>
            <w:rPr/>
            <w:t>Ionotropic</w:t>
          </w:r>
          <w:r>
            <w:rPr>
              <w:spacing w:val="-6"/>
            </w:rPr>
            <w:t> </w:t>
          </w:r>
          <w:r>
            <w:rPr/>
            <w:t>glutamate</w:t>
          </w:r>
          <w:r>
            <w:rPr>
              <w:spacing w:val="-1"/>
            </w:rPr>
            <w:t> </w:t>
          </w:r>
          <w:r>
            <w:rPr>
              <w:spacing w:val="-2"/>
            </w:rPr>
            <w:t>receptors</w:t>
          </w:r>
          <w:r>
            <w:rPr/>
            <w:tab/>
          </w:r>
          <w:r>
            <w:rPr>
              <w:spacing w:val="-5"/>
            </w:rPr>
            <w:t>35</w:t>
          </w:r>
        </w:p>
        <w:p>
          <w:pPr>
            <w:pStyle w:val="TOC1"/>
            <w:numPr>
              <w:ilvl w:val="3"/>
              <w:numId w:val="2"/>
            </w:numPr>
            <w:tabs>
              <w:tab w:pos="1031" w:val="left" w:leader="none"/>
              <w:tab w:pos="8173" w:val="left" w:leader="dot"/>
            </w:tabs>
            <w:spacing w:line="240" w:lineRule="auto" w:before="70" w:after="0"/>
            <w:ind w:left="1031" w:right="0" w:hanging="723"/>
            <w:jc w:val="left"/>
          </w:pPr>
          <w:r>
            <w:rPr/>
            <w:t>Metabotropic</w:t>
          </w:r>
          <w:r>
            <w:rPr>
              <w:spacing w:val="-3"/>
            </w:rPr>
            <w:t> </w:t>
          </w:r>
          <w:r>
            <w:rPr/>
            <w:t>glutamate</w:t>
          </w:r>
          <w:r>
            <w:rPr>
              <w:spacing w:val="-4"/>
            </w:rPr>
            <w:t> </w:t>
          </w:r>
          <w:r>
            <w:rPr>
              <w:spacing w:val="-2"/>
            </w:rPr>
            <w:t>receptors</w:t>
          </w:r>
          <w:r>
            <w:rPr/>
            <w:tab/>
          </w:r>
          <w:r>
            <w:rPr>
              <w:spacing w:val="-5"/>
            </w:rPr>
            <w:t>35</w:t>
          </w:r>
        </w:p>
        <w:p>
          <w:pPr>
            <w:pStyle w:val="TOC1"/>
            <w:numPr>
              <w:ilvl w:val="1"/>
              <w:numId w:val="2"/>
            </w:numPr>
            <w:tabs>
              <w:tab w:pos="792" w:val="left" w:leader="none"/>
              <w:tab w:pos="8168" w:val="left" w:leader="dot"/>
            </w:tabs>
            <w:spacing w:line="240" w:lineRule="auto" w:before="276" w:after="0"/>
            <w:ind w:left="792" w:right="0" w:hanging="484"/>
            <w:jc w:val="left"/>
          </w:pPr>
          <w:hyperlink w:history="true" w:anchor="_TOC_250056">
            <w:r>
              <w:rPr/>
              <w:t>Neuromodulators</w:t>
            </w:r>
            <w:r>
              <w:rPr>
                <w:spacing w:val="-9"/>
              </w:rPr>
              <w:t> </w:t>
            </w:r>
            <w:r>
              <w:rPr/>
              <w:t>(neuropeptide</w:t>
            </w:r>
            <w:r>
              <w:rPr>
                <w:spacing w:val="-5"/>
              </w:rPr>
              <w:t> </w:t>
            </w:r>
            <w:r>
              <w:rPr/>
              <w:t>Y</w:t>
            </w:r>
            <w:r>
              <w:rPr>
                <w:spacing w:val="-6"/>
              </w:rPr>
              <w:t> </w:t>
            </w:r>
            <w:r>
              <w:rPr/>
              <w:t>and</w:t>
            </w:r>
            <w:r>
              <w:rPr>
                <w:spacing w:val="-4"/>
              </w:rPr>
              <w:t> </w:t>
            </w:r>
            <w:r>
              <w:rPr/>
              <w:t>corticotropin-releasing</w:t>
            </w:r>
            <w:r>
              <w:rPr>
                <w:spacing w:val="-1"/>
              </w:rPr>
              <w:t> </w:t>
            </w:r>
            <w:r>
              <w:rPr>
                <w:spacing w:val="-2"/>
              </w:rPr>
              <w:t>hormone)</w:t>
            </w:r>
            <w:r>
              <w:rPr/>
              <w:tab/>
            </w:r>
            <w:r>
              <w:rPr>
                <w:spacing w:val="-5"/>
              </w:rPr>
              <w:t>36</w:t>
            </w:r>
          </w:hyperlink>
        </w:p>
        <w:p>
          <w:pPr>
            <w:pStyle w:val="TOC1"/>
            <w:numPr>
              <w:ilvl w:val="2"/>
              <w:numId w:val="2"/>
            </w:numPr>
            <w:tabs>
              <w:tab w:pos="969" w:val="left" w:leader="none"/>
              <w:tab w:pos="8134" w:val="left" w:leader="dot"/>
            </w:tabs>
            <w:spacing w:line="240" w:lineRule="auto" w:before="276" w:after="0"/>
            <w:ind w:left="969" w:right="0" w:hanging="661"/>
            <w:jc w:val="left"/>
          </w:pPr>
          <w:hyperlink w:history="true" w:anchor="_TOC_250055">
            <w:r>
              <w:rPr/>
              <w:t>Neuropeptide</w:t>
            </w:r>
            <w:r>
              <w:rPr>
                <w:spacing w:val="-4"/>
              </w:rPr>
              <w:t> </w:t>
            </w:r>
            <w:r>
              <w:rPr/>
              <w:t>Y</w:t>
            </w:r>
            <w:r>
              <w:rPr>
                <w:spacing w:val="-3"/>
              </w:rPr>
              <w:t> </w:t>
            </w:r>
            <w:r>
              <w:rPr>
                <w:spacing w:val="-2"/>
              </w:rPr>
              <w:t>(NPY)</w:t>
            </w:r>
            <w:r>
              <w:rPr/>
              <w:tab/>
            </w:r>
            <w:r>
              <w:rPr>
                <w:spacing w:val="-5"/>
              </w:rPr>
              <w:t>36</w:t>
            </w:r>
          </w:hyperlink>
        </w:p>
        <w:p>
          <w:pPr>
            <w:pStyle w:val="TOC1"/>
            <w:numPr>
              <w:ilvl w:val="2"/>
              <w:numId w:val="2"/>
            </w:numPr>
            <w:tabs>
              <w:tab w:pos="969" w:val="left" w:leader="none"/>
              <w:tab w:pos="8128" w:val="left" w:leader="dot"/>
            </w:tabs>
            <w:spacing w:line="240" w:lineRule="auto" w:before="276" w:after="0"/>
            <w:ind w:left="969" w:right="0" w:hanging="661"/>
            <w:jc w:val="left"/>
          </w:pPr>
          <w:hyperlink w:history="true" w:anchor="_TOC_250054">
            <w:r>
              <w:rPr/>
              <w:t>Neuropeptide</w:t>
            </w:r>
            <w:r>
              <w:rPr>
                <w:spacing w:val="-9"/>
              </w:rPr>
              <w:t> </w:t>
            </w:r>
            <w:r>
              <w:rPr/>
              <w:t>corticotrophin-releasing</w:t>
            </w:r>
            <w:r>
              <w:rPr>
                <w:spacing w:val="-3"/>
              </w:rPr>
              <w:t> </w:t>
            </w:r>
            <w:r>
              <w:rPr/>
              <w:t>hormone</w:t>
            </w:r>
            <w:r>
              <w:rPr>
                <w:spacing w:val="-8"/>
              </w:rPr>
              <w:t> </w:t>
            </w:r>
            <w:r>
              <w:rPr>
                <w:spacing w:val="-2"/>
              </w:rPr>
              <w:t>(CRH)</w:t>
            </w:r>
            <w:r>
              <w:rPr/>
              <w:tab/>
            </w:r>
            <w:r>
              <w:rPr>
                <w:spacing w:val="-5"/>
              </w:rPr>
              <w:t>37</w:t>
            </w:r>
          </w:hyperlink>
        </w:p>
        <w:p>
          <w:pPr>
            <w:pStyle w:val="TOC1"/>
            <w:numPr>
              <w:ilvl w:val="1"/>
              <w:numId w:val="2"/>
            </w:numPr>
            <w:tabs>
              <w:tab w:pos="792" w:val="left" w:leader="none"/>
              <w:tab w:pos="8146" w:val="left" w:leader="dot"/>
            </w:tabs>
            <w:spacing w:line="240" w:lineRule="auto" w:before="276" w:after="0"/>
            <w:ind w:left="792" w:right="0" w:hanging="484"/>
            <w:jc w:val="left"/>
          </w:pPr>
          <w:hyperlink w:history="true" w:anchor="_TOC_250053">
            <w:r>
              <w:rPr/>
              <w:t>Other</w:t>
            </w:r>
            <w:r>
              <w:rPr>
                <w:spacing w:val="-4"/>
              </w:rPr>
              <w:t> </w:t>
            </w:r>
            <w:r>
              <w:rPr>
                <w:spacing w:val="-2"/>
              </w:rPr>
              <w:t>Modulators</w:t>
            </w:r>
            <w:r>
              <w:rPr/>
              <w:tab/>
            </w:r>
            <w:r>
              <w:rPr>
                <w:spacing w:val="-5"/>
              </w:rPr>
              <w:t>37</w:t>
            </w:r>
          </w:hyperlink>
        </w:p>
        <w:p>
          <w:pPr>
            <w:pStyle w:val="TOC1"/>
            <w:numPr>
              <w:ilvl w:val="2"/>
              <w:numId w:val="2"/>
            </w:numPr>
            <w:tabs>
              <w:tab w:pos="969" w:val="left" w:leader="none"/>
              <w:tab w:pos="8123" w:val="left" w:leader="dot"/>
            </w:tabs>
            <w:spacing w:line="240" w:lineRule="auto" w:before="277" w:after="0"/>
            <w:ind w:left="969" w:right="0" w:hanging="661"/>
            <w:jc w:val="left"/>
          </w:pPr>
          <w:hyperlink w:history="true" w:anchor="_TOC_250052">
            <w:r>
              <w:rPr/>
              <w:t>GABA</w:t>
            </w:r>
            <w:r>
              <w:rPr>
                <w:spacing w:val="-8"/>
              </w:rPr>
              <w:t> </w:t>
            </w:r>
            <w:r>
              <w:rPr>
                <w:spacing w:val="-2"/>
              </w:rPr>
              <w:t>transporters</w:t>
            </w:r>
            <w:r>
              <w:rPr/>
              <w:tab/>
            </w:r>
            <w:r>
              <w:rPr>
                <w:spacing w:val="-5"/>
              </w:rPr>
              <w:t>37</w:t>
            </w:r>
          </w:hyperlink>
        </w:p>
        <w:p>
          <w:pPr>
            <w:pStyle w:val="TOC1"/>
            <w:numPr>
              <w:ilvl w:val="2"/>
              <w:numId w:val="2"/>
            </w:numPr>
            <w:tabs>
              <w:tab w:pos="969" w:val="left" w:leader="none"/>
              <w:tab w:pos="8123" w:val="left" w:leader="dot"/>
            </w:tabs>
            <w:spacing w:line="240" w:lineRule="auto" w:before="276" w:after="0"/>
            <w:ind w:left="969" w:right="0" w:hanging="661"/>
            <w:jc w:val="left"/>
          </w:pPr>
          <w:hyperlink w:history="true" w:anchor="_TOC_250051">
            <w:r>
              <w:rPr/>
              <w:t>Gene</w:t>
            </w:r>
            <w:r>
              <w:rPr>
                <w:spacing w:val="-5"/>
              </w:rPr>
              <w:t> </w:t>
            </w:r>
            <w:r>
              <w:rPr/>
              <w:t>expression</w:t>
            </w:r>
            <w:r>
              <w:rPr>
                <w:spacing w:val="-8"/>
              </w:rPr>
              <w:t> </w:t>
            </w:r>
            <w:r>
              <w:rPr>
                <w:spacing w:val="-2"/>
              </w:rPr>
              <w:t>patterns</w:t>
            </w:r>
            <w:r>
              <w:rPr/>
              <w:tab/>
            </w:r>
            <w:r>
              <w:rPr>
                <w:spacing w:val="-5"/>
              </w:rPr>
              <w:t>37</w:t>
            </w:r>
          </w:hyperlink>
        </w:p>
        <w:p>
          <w:pPr>
            <w:pStyle w:val="TOC1"/>
            <w:numPr>
              <w:ilvl w:val="2"/>
              <w:numId w:val="2"/>
            </w:numPr>
            <w:tabs>
              <w:tab w:pos="969" w:val="left" w:leader="none"/>
              <w:tab w:pos="8156" w:val="left" w:leader="dot"/>
            </w:tabs>
            <w:spacing w:line="240" w:lineRule="auto" w:before="276" w:after="0"/>
            <w:ind w:left="969" w:right="0" w:hanging="661"/>
            <w:jc w:val="left"/>
          </w:pPr>
          <w:hyperlink w:history="true" w:anchor="_TOC_250050">
            <w:r>
              <w:rPr/>
              <w:t>Gap</w:t>
            </w:r>
            <w:r>
              <w:rPr>
                <w:spacing w:val="-2"/>
              </w:rPr>
              <w:t> junction</w:t>
            </w:r>
            <w:r>
              <w:rPr/>
              <w:tab/>
            </w:r>
            <w:r>
              <w:rPr>
                <w:spacing w:val="-5"/>
              </w:rPr>
              <w:t>37</w:t>
            </w:r>
          </w:hyperlink>
        </w:p>
        <w:p>
          <w:pPr>
            <w:pStyle w:val="TOC1"/>
            <w:numPr>
              <w:ilvl w:val="1"/>
              <w:numId w:val="2"/>
            </w:numPr>
            <w:tabs>
              <w:tab w:pos="792" w:val="left" w:leader="none"/>
              <w:tab w:pos="8124" w:val="left" w:leader="dot"/>
            </w:tabs>
            <w:spacing w:line="240" w:lineRule="auto" w:before="276" w:after="0"/>
            <w:ind w:left="792" w:right="0" w:hanging="484"/>
            <w:jc w:val="left"/>
          </w:pPr>
          <w:hyperlink w:history="true" w:anchor="_TOC_250049">
            <w:r>
              <w:rPr/>
              <w:t>Structure</w:t>
            </w:r>
            <w:r>
              <w:rPr>
                <w:spacing w:val="-4"/>
              </w:rPr>
              <w:t> </w:t>
            </w:r>
            <w:r>
              <w:rPr/>
              <w:t>Activity</w:t>
            </w:r>
            <w:r>
              <w:rPr>
                <w:spacing w:val="-10"/>
              </w:rPr>
              <w:t> </w:t>
            </w:r>
            <w:r>
              <w:rPr/>
              <w:t>Relationship</w:t>
            </w:r>
            <w:r>
              <w:rPr>
                <w:spacing w:val="-1"/>
              </w:rPr>
              <w:t> </w:t>
            </w:r>
            <w:r>
              <w:rPr/>
              <w:t>of</w:t>
            </w:r>
            <w:r>
              <w:rPr>
                <w:spacing w:val="-9"/>
              </w:rPr>
              <w:t> </w:t>
            </w:r>
            <w:r>
              <w:rPr/>
              <w:t>Sodium</w:t>
            </w:r>
            <w:r>
              <w:rPr>
                <w:spacing w:val="-5"/>
              </w:rPr>
              <w:t> </w:t>
            </w:r>
            <w:r>
              <w:rPr/>
              <w:t>Channel</w:t>
            </w:r>
            <w:r>
              <w:rPr>
                <w:spacing w:val="-5"/>
              </w:rPr>
              <w:t> </w:t>
            </w:r>
            <w:r>
              <w:rPr>
                <w:spacing w:val="-2"/>
              </w:rPr>
              <w:t>Blockers</w:t>
            </w:r>
            <w:r>
              <w:rPr/>
              <w:tab/>
            </w:r>
            <w:r>
              <w:rPr>
                <w:spacing w:val="-5"/>
              </w:rPr>
              <w:t>38</w:t>
            </w:r>
          </w:hyperlink>
        </w:p>
        <w:p>
          <w:pPr>
            <w:pStyle w:val="TOC1"/>
            <w:numPr>
              <w:ilvl w:val="1"/>
              <w:numId w:val="2"/>
            </w:numPr>
            <w:tabs>
              <w:tab w:pos="792" w:val="left" w:leader="none"/>
              <w:tab w:pos="8192" w:val="left" w:leader="dot"/>
            </w:tabs>
            <w:spacing w:line="240" w:lineRule="auto" w:before="276" w:after="0"/>
            <w:ind w:left="792" w:right="0" w:hanging="484"/>
            <w:jc w:val="left"/>
          </w:pPr>
          <w:hyperlink w:history="true" w:anchor="_TOC_250048">
            <w:r>
              <w:rPr/>
              <w:t>Michael</w:t>
            </w:r>
            <w:r>
              <w:rPr>
                <w:spacing w:val="-11"/>
              </w:rPr>
              <w:t> </w:t>
            </w:r>
            <w:r>
              <w:rPr>
                <w:spacing w:val="-2"/>
              </w:rPr>
              <w:t>Reaction</w:t>
            </w:r>
            <w:r>
              <w:rPr/>
              <w:tab/>
            </w:r>
            <w:r>
              <w:rPr>
                <w:spacing w:val="-5"/>
              </w:rPr>
              <w:t>43</w:t>
            </w:r>
          </w:hyperlink>
        </w:p>
        <w:p>
          <w:pPr>
            <w:pStyle w:val="TOC1"/>
            <w:numPr>
              <w:ilvl w:val="1"/>
              <w:numId w:val="2"/>
            </w:numPr>
            <w:tabs>
              <w:tab w:pos="835" w:val="left" w:leader="none"/>
              <w:tab w:pos="8133" w:val="left" w:leader="dot"/>
            </w:tabs>
            <w:spacing w:line="242" w:lineRule="auto" w:before="276" w:after="0"/>
            <w:ind w:left="308" w:right="117" w:firstLine="0"/>
            <w:jc w:val="left"/>
          </w:pPr>
          <w:hyperlink w:history="true" w:anchor="_TOC_250047">
            <w:r>
              <w:rPr/>
              <w:t>Pharmacophoric</w:t>
            </w:r>
            <w:r>
              <w:rPr>
                <w:spacing w:val="36"/>
              </w:rPr>
              <w:t> </w:t>
            </w:r>
            <w:r>
              <w:rPr/>
              <w:t>Units</w:t>
            </w:r>
            <w:r>
              <w:rPr>
                <w:spacing w:val="40"/>
              </w:rPr>
              <w:t> </w:t>
            </w:r>
            <w:r>
              <w:rPr/>
              <w:t>for</w:t>
            </w:r>
            <w:r>
              <w:rPr>
                <w:spacing w:val="38"/>
              </w:rPr>
              <w:t> </w:t>
            </w:r>
            <w:r>
              <w:rPr/>
              <w:t>Clinically</w:t>
            </w:r>
            <w:r>
              <w:rPr>
                <w:spacing w:val="37"/>
              </w:rPr>
              <w:t> </w:t>
            </w:r>
            <w:r>
              <w:rPr/>
              <w:t>Available</w:t>
            </w:r>
            <w:r>
              <w:rPr>
                <w:spacing w:val="40"/>
              </w:rPr>
              <w:t> </w:t>
            </w:r>
            <w:r>
              <w:rPr/>
              <w:t>Antiepileptic</w:t>
            </w:r>
            <w:r>
              <w:rPr>
                <w:spacing w:val="40"/>
              </w:rPr>
              <w:t> </w:t>
            </w:r>
            <w:r>
              <w:rPr/>
              <w:t>Agents</w:t>
            </w:r>
            <w:r>
              <w:rPr>
                <w:spacing w:val="40"/>
              </w:rPr>
              <w:t> </w:t>
            </w:r>
            <w:r>
              <w:rPr/>
              <w:t>Acting</w:t>
            </w:r>
            <w:r>
              <w:rPr>
                <w:spacing w:val="40"/>
              </w:rPr>
              <w:t> </w:t>
            </w:r>
            <w:r>
              <w:rPr/>
              <w:t>via Sodium Channels</w:t>
              <w:tab/>
            </w:r>
            <w:r>
              <w:rPr>
                <w:spacing w:val="-6"/>
              </w:rPr>
              <w:t>43</w:t>
            </w:r>
          </w:hyperlink>
        </w:p>
        <w:p>
          <w:pPr>
            <w:pStyle w:val="TOC1"/>
            <w:numPr>
              <w:ilvl w:val="1"/>
              <w:numId w:val="3"/>
            </w:numPr>
            <w:tabs>
              <w:tab w:pos="850" w:val="left" w:leader="none"/>
              <w:tab w:pos="8034" w:val="left" w:leader="dot"/>
            </w:tabs>
            <w:spacing w:line="240" w:lineRule="auto" w:before="274" w:after="0"/>
            <w:ind w:left="850" w:right="0" w:hanging="542"/>
            <w:jc w:val="left"/>
          </w:pPr>
          <w:hyperlink w:history="true" w:anchor="_TOC_250046">
            <w:r>
              <w:rPr/>
              <w:t>MATERIALS</w:t>
            </w:r>
            <w:r>
              <w:rPr>
                <w:spacing w:val="-7"/>
              </w:rPr>
              <w:t> </w:t>
            </w:r>
            <w:r>
              <w:rPr/>
              <w:t>AND</w:t>
            </w:r>
            <w:r>
              <w:rPr>
                <w:spacing w:val="-6"/>
              </w:rPr>
              <w:t> </w:t>
            </w:r>
            <w:r>
              <w:rPr>
                <w:spacing w:val="-2"/>
              </w:rPr>
              <w:t>METHODOLOGY</w:t>
            </w:r>
            <w:r>
              <w:rPr/>
              <w:tab/>
            </w:r>
            <w:r>
              <w:rPr>
                <w:spacing w:val="-5"/>
              </w:rPr>
              <w:t>45</w:t>
            </w:r>
          </w:hyperlink>
        </w:p>
        <w:p>
          <w:pPr>
            <w:pStyle w:val="TOC1"/>
            <w:numPr>
              <w:ilvl w:val="1"/>
              <w:numId w:val="3"/>
            </w:numPr>
            <w:tabs>
              <w:tab w:pos="672" w:val="left" w:leader="none"/>
              <w:tab w:pos="8104" w:val="left" w:leader="dot"/>
            </w:tabs>
            <w:spacing w:line="240" w:lineRule="auto" w:before="276" w:after="0"/>
            <w:ind w:left="672" w:right="0" w:hanging="364"/>
            <w:jc w:val="left"/>
          </w:pPr>
          <w:hyperlink w:history="true" w:anchor="_TOC_250045">
            <w:r>
              <w:rPr/>
              <w:t>Materials,</w:t>
            </w:r>
            <w:r>
              <w:rPr>
                <w:spacing w:val="-5"/>
              </w:rPr>
              <w:t> </w:t>
            </w:r>
            <w:r>
              <w:rPr/>
              <w:t>Equipment,</w:t>
            </w:r>
            <w:r>
              <w:rPr>
                <w:spacing w:val="-4"/>
              </w:rPr>
              <w:t> </w:t>
            </w:r>
            <w:r>
              <w:rPr/>
              <w:t>Chemicals</w:t>
            </w:r>
            <w:r>
              <w:rPr>
                <w:spacing w:val="-8"/>
              </w:rPr>
              <w:t> </w:t>
            </w:r>
            <w:r>
              <w:rPr/>
              <w:t>and</w:t>
            </w:r>
            <w:r>
              <w:rPr>
                <w:spacing w:val="-6"/>
              </w:rPr>
              <w:t> </w:t>
            </w:r>
            <w:r>
              <w:rPr>
                <w:spacing w:val="-2"/>
              </w:rPr>
              <w:t>Animals</w:t>
            </w:r>
            <w:r>
              <w:rPr/>
              <w:tab/>
            </w:r>
            <w:r>
              <w:rPr>
                <w:spacing w:val="-5"/>
              </w:rPr>
              <w:t>45</w:t>
            </w:r>
          </w:hyperlink>
        </w:p>
        <w:p>
          <w:pPr>
            <w:pStyle w:val="TOC1"/>
            <w:numPr>
              <w:ilvl w:val="2"/>
              <w:numId w:val="3"/>
            </w:numPr>
            <w:tabs>
              <w:tab w:pos="849" w:val="left" w:leader="none"/>
              <w:tab w:pos="8158" w:val="left" w:leader="dot"/>
            </w:tabs>
            <w:spacing w:line="240" w:lineRule="auto" w:before="276" w:after="0"/>
            <w:ind w:left="849" w:right="0" w:hanging="541"/>
            <w:jc w:val="left"/>
          </w:pPr>
          <w:hyperlink w:history="true" w:anchor="_TOC_250044">
            <w:r>
              <w:rPr/>
              <w:t>Materials</w:t>
            </w:r>
            <w:r>
              <w:rPr>
                <w:spacing w:val="-6"/>
              </w:rPr>
              <w:t> </w:t>
            </w:r>
            <w:r>
              <w:rPr/>
              <w:t>and</w:t>
            </w:r>
            <w:r>
              <w:rPr>
                <w:spacing w:val="-4"/>
              </w:rPr>
              <w:t> </w:t>
            </w:r>
            <w:r>
              <w:rPr>
                <w:spacing w:val="-2"/>
              </w:rPr>
              <w:t>equipment</w:t>
            </w:r>
            <w:r>
              <w:rPr/>
              <w:tab/>
            </w:r>
            <w:r>
              <w:rPr>
                <w:spacing w:val="-5"/>
              </w:rPr>
              <w:t>45</w:t>
            </w:r>
          </w:hyperlink>
        </w:p>
        <w:p>
          <w:pPr>
            <w:pStyle w:val="TOC1"/>
            <w:numPr>
              <w:ilvl w:val="2"/>
              <w:numId w:val="3"/>
            </w:numPr>
            <w:tabs>
              <w:tab w:pos="849" w:val="left" w:leader="none"/>
              <w:tab w:pos="8161" w:val="left" w:leader="dot"/>
            </w:tabs>
            <w:spacing w:line="240" w:lineRule="auto" w:before="276" w:after="0"/>
            <w:ind w:left="849" w:right="0" w:hanging="541"/>
            <w:jc w:val="left"/>
          </w:pPr>
          <w:hyperlink w:history="true" w:anchor="_TOC_250043">
            <w:r>
              <w:rPr>
                <w:spacing w:val="-2"/>
              </w:rPr>
              <w:t>Chemicals</w:t>
            </w:r>
            <w:r>
              <w:rPr/>
              <w:tab/>
            </w:r>
            <w:r>
              <w:rPr>
                <w:spacing w:val="-5"/>
              </w:rPr>
              <w:t>45</w:t>
            </w:r>
          </w:hyperlink>
        </w:p>
        <w:p>
          <w:pPr>
            <w:pStyle w:val="TOC1"/>
            <w:numPr>
              <w:ilvl w:val="1"/>
              <w:numId w:val="3"/>
            </w:numPr>
            <w:tabs>
              <w:tab w:pos="791" w:val="left" w:leader="none"/>
              <w:tab w:pos="8137" w:val="left" w:leader="dot"/>
            </w:tabs>
            <w:spacing w:line="240" w:lineRule="auto" w:before="276" w:after="0"/>
            <w:ind w:left="791" w:right="0" w:hanging="483"/>
            <w:jc w:val="left"/>
          </w:pPr>
          <w:hyperlink w:history="true" w:anchor="_TOC_250042">
            <w:r>
              <w:rPr/>
              <w:t>Synthesis</w:t>
            </w:r>
            <w:r>
              <w:rPr>
                <w:spacing w:val="-5"/>
              </w:rPr>
              <w:t> </w:t>
            </w:r>
            <w:r>
              <w:rPr/>
              <w:t>and</w:t>
            </w:r>
            <w:r>
              <w:rPr>
                <w:spacing w:val="-3"/>
              </w:rPr>
              <w:t> </w:t>
            </w:r>
            <w:r>
              <w:rPr/>
              <w:t>Chemical</w:t>
            </w:r>
            <w:r>
              <w:rPr>
                <w:spacing w:val="-7"/>
              </w:rPr>
              <w:t> </w:t>
            </w:r>
            <w:r>
              <w:rPr>
                <w:spacing w:val="-2"/>
              </w:rPr>
              <w:t>Analysis</w:t>
            </w:r>
            <w:r>
              <w:rPr/>
              <w:tab/>
            </w:r>
            <w:r>
              <w:rPr>
                <w:spacing w:val="-5"/>
              </w:rPr>
              <w:t>46</w:t>
            </w:r>
          </w:hyperlink>
        </w:p>
        <w:p>
          <w:pPr>
            <w:pStyle w:val="TOC1"/>
            <w:numPr>
              <w:ilvl w:val="2"/>
              <w:numId w:val="3"/>
            </w:numPr>
            <w:tabs>
              <w:tab w:pos="849" w:val="left" w:leader="none"/>
              <w:tab w:pos="8131" w:val="left" w:leader="dot"/>
            </w:tabs>
            <w:spacing w:line="240" w:lineRule="auto" w:before="276" w:after="0"/>
            <w:ind w:left="849" w:right="0" w:hanging="541"/>
            <w:jc w:val="left"/>
          </w:pPr>
          <w:r>
            <w:rPr>
              <w:spacing w:val="-2"/>
            </w:rPr>
            <w:t>Synthesis</w:t>
          </w:r>
          <w:r>
            <w:rPr/>
            <w:tab/>
          </w:r>
          <w:r>
            <w:rPr>
              <w:spacing w:val="-5"/>
            </w:rPr>
            <w:t>46</w:t>
          </w:r>
        </w:p>
        <w:p>
          <w:pPr>
            <w:pStyle w:val="TOC1"/>
            <w:numPr>
              <w:ilvl w:val="3"/>
              <w:numId w:val="3"/>
            </w:numPr>
            <w:tabs>
              <w:tab w:pos="1031" w:val="left" w:leader="none"/>
              <w:tab w:pos="8127" w:val="left" w:leader="dot"/>
            </w:tabs>
            <w:spacing w:line="240" w:lineRule="auto" w:before="277" w:after="0"/>
            <w:ind w:left="1031" w:right="0" w:hanging="723"/>
            <w:jc w:val="left"/>
          </w:pPr>
          <w:r>
            <w:rPr>
              <w:spacing w:val="-2"/>
            </w:rPr>
            <w:t>Procedure</w:t>
          </w:r>
          <w:r>
            <w:rPr/>
            <w:tab/>
          </w:r>
          <w:r>
            <w:rPr>
              <w:spacing w:val="-5"/>
            </w:rPr>
            <w:t>47</w:t>
          </w:r>
        </w:p>
        <w:p>
          <w:pPr>
            <w:pStyle w:val="TOC1"/>
            <w:numPr>
              <w:ilvl w:val="2"/>
              <w:numId w:val="3"/>
            </w:numPr>
            <w:tabs>
              <w:tab w:pos="849" w:val="left" w:leader="none"/>
              <w:tab w:pos="8154" w:val="left" w:leader="dot"/>
            </w:tabs>
            <w:spacing w:line="240" w:lineRule="auto" w:before="276" w:after="0"/>
            <w:ind w:left="849" w:right="0" w:hanging="541"/>
            <w:jc w:val="left"/>
          </w:pPr>
          <w:hyperlink w:history="true" w:anchor="_TOC_250041">
            <w:r>
              <w:rPr/>
              <w:t>Thin</w:t>
            </w:r>
            <w:r>
              <w:rPr>
                <w:spacing w:val="-6"/>
              </w:rPr>
              <w:t> </w:t>
            </w:r>
            <w:r>
              <w:rPr/>
              <w:t>layer</w:t>
            </w:r>
            <w:r>
              <w:rPr>
                <w:spacing w:val="-5"/>
              </w:rPr>
              <w:t> </w:t>
            </w:r>
            <w:r>
              <w:rPr>
                <w:spacing w:val="-2"/>
              </w:rPr>
              <w:t>chromatography</w:t>
            </w:r>
            <w:r>
              <w:rPr/>
              <w:tab/>
            </w:r>
            <w:r>
              <w:rPr>
                <w:spacing w:val="-5"/>
              </w:rPr>
              <w:t>49</w:t>
            </w:r>
          </w:hyperlink>
        </w:p>
        <w:p>
          <w:pPr>
            <w:pStyle w:val="TOC1"/>
            <w:numPr>
              <w:ilvl w:val="2"/>
              <w:numId w:val="3"/>
            </w:numPr>
            <w:tabs>
              <w:tab w:pos="849" w:val="left" w:leader="none"/>
              <w:tab w:pos="8138" w:val="left" w:leader="dot"/>
            </w:tabs>
            <w:spacing w:line="240" w:lineRule="auto" w:before="276" w:after="0"/>
            <w:ind w:left="849" w:right="0" w:hanging="541"/>
            <w:jc w:val="left"/>
          </w:pPr>
          <w:hyperlink w:history="true" w:anchor="_TOC_250040">
            <w:r>
              <w:rPr/>
              <w:t>Identification</w:t>
            </w:r>
            <w:r>
              <w:rPr>
                <w:spacing w:val="-6"/>
              </w:rPr>
              <w:t> </w:t>
            </w:r>
            <w:r>
              <w:rPr/>
              <w:t>and</w:t>
            </w:r>
            <w:r>
              <w:rPr>
                <w:spacing w:val="-1"/>
              </w:rPr>
              <w:t> </w:t>
            </w:r>
            <w:r>
              <w:rPr/>
              <w:t>characterization</w:t>
            </w:r>
            <w:r>
              <w:rPr>
                <w:spacing w:val="-5"/>
              </w:rPr>
              <w:t> </w:t>
            </w:r>
            <w:r>
              <w:rPr/>
              <w:t>of</w:t>
            </w:r>
            <w:r>
              <w:rPr>
                <w:spacing w:val="-9"/>
              </w:rPr>
              <w:t> </w:t>
            </w:r>
            <w:r>
              <w:rPr/>
              <w:t>the</w:t>
            </w:r>
            <w:r>
              <w:rPr>
                <w:spacing w:val="-1"/>
              </w:rPr>
              <w:t> </w:t>
            </w:r>
            <w:r>
              <w:rPr>
                <w:spacing w:val="-2"/>
              </w:rPr>
              <w:t>compounds</w:t>
            </w:r>
            <w:r>
              <w:rPr/>
              <w:tab/>
            </w:r>
            <w:r>
              <w:rPr>
                <w:spacing w:val="-7"/>
              </w:rPr>
              <w:t>49</w:t>
            </w:r>
          </w:hyperlink>
        </w:p>
        <w:p>
          <w:pPr>
            <w:pStyle w:val="TOC1"/>
            <w:numPr>
              <w:ilvl w:val="1"/>
              <w:numId w:val="3"/>
            </w:numPr>
            <w:tabs>
              <w:tab w:pos="672" w:val="left" w:leader="none"/>
              <w:tab w:pos="8187" w:val="left" w:leader="dot"/>
            </w:tabs>
            <w:spacing w:line="240" w:lineRule="auto" w:before="276" w:after="0"/>
            <w:ind w:left="672" w:right="0" w:hanging="364"/>
            <w:jc w:val="left"/>
          </w:pPr>
          <w:hyperlink w:history="true" w:anchor="_TOC_250039">
            <w:r>
              <w:rPr/>
              <w:t>Study</w:t>
            </w:r>
            <w:r>
              <w:rPr>
                <w:spacing w:val="-10"/>
              </w:rPr>
              <w:t> </w:t>
            </w:r>
            <w:r>
              <w:rPr/>
              <w:t>Animals</w:t>
            </w:r>
            <w:r>
              <w:rPr>
                <w:spacing w:val="-2"/>
              </w:rPr>
              <w:t> </w:t>
            </w:r>
            <w:r>
              <w:rPr/>
              <w:t>and Cell</w:t>
            </w:r>
            <w:r>
              <w:rPr>
                <w:spacing w:val="-3"/>
              </w:rPr>
              <w:t> </w:t>
            </w:r>
            <w:r>
              <w:rPr>
                <w:spacing w:val="-4"/>
              </w:rPr>
              <w:t>Lines</w:t>
            </w:r>
            <w:r>
              <w:rPr/>
              <w:tab/>
            </w:r>
            <w:r>
              <w:rPr>
                <w:spacing w:val="-5"/>
              </w:rPr>
              <w:t>50</w:t>
            </w:r>
          </w:hyperlink>
        </w:p>
        <w:p>
          <w:pPr>
            <w:pStyle w:val="TOC1"/>
            <w:numPr>
              <w:ilvl w:val="2"/>
              <w:numId w:val="3"/>
            </w:numPr>
            <w:tabs>
              <w:tab w:pos="850" w:val="left" w:leader="none"/>
              <w:tab w:pos="8206" w:val="left" w:leader="dot"/>
            </w:tabs>
            <w:spacing w:line="240" w:lineRule="auto" w:before="276" w:after="0"/>
            <w:ind w:left="850" w:right="0" w:hanging="542"/>
            <w:jc w:val="left"/>
          </w:pPr>
          <w:hyperlink w:history="true" w:anchor="_TOC_250038">
            <w:r>
              <w:rPr>
                <w:spacing w:val="-2"/>
              </w:rPr>
              <w:t>Animals</w:t>
            </w:r>
            <w:r>
              <w:rPr/>
              <w:tab/>
            </w:r>
            <w:r>
              <w:rPr>
                <w:spacing w:val="-5"/>
              </w:rPr>
              <w:t>50</w:t>
            </w:r>
          </w:hyperlink>
        </w:p>
        <w:p>
          <w:pPr>
            <w:pStyle w:val="TOC1"/>
            <w:numPr>
              <w:ilvl w:val="2"/>
              <w:numId w:val="3"/>
            </w:numPr>
            <w:tabs>
              <w:tab w:pos="849" w:val="left" w:leader="none"/>
              <w:tab w:pos="8245" w:val="left" w:leader="dot"/>
            </w:tabs>
            <w:spacing w:line="240" w:lineRule="auto" w:before="276" w:after="0"/>
            <w:ind w:left="849" w:right="0" w:hanging="541"/>
            <w:jc w:val="left"/>
          </w:pPr>
          <w:hyperlink w:history="true" w:anchor="_TOC_250037">
            <w:r>
              <w:rPr/>
              <w:t>Cell</w:t>
            </w:r>
            <w:r>
              <w:rPr>
                <w:spacing w:val="-9"/>
              </w:rPr>
              <w:t> </w:t>
            </w:r>
            <w:r>
              <w:rPr>
                <w:spacing w:val="-2"/>
              </w:rPr>
              <w:t>lines</w:t>
            </w:r>
            <w:r>
              <w:rPr/>
              <w:tab/>
            </w:r>
            <w:r>
              <w:rPr>
                <w:spacing w:val="-7"/>
              </w:rPr>
              <w:t>50</w:t>
            </w:r>
          </w:hyperlink>
        </w:p>
        <w:p>
          <w:pPr>
            <w:pStyle w:val="TOC1"/>
            <w:numPr>
              <w:ilvl w:val="1"/>
              <w:numId w:val="3"/>
            </w:numPr>
            <w:tabs>
              <w:tab w:pos="672" w:val="left" w:leader="none"/>
              <w:tab w:pos="8206" w:val="left" w:leader="dot"/>
            </w:tabs>
            <w:spacing w:line="240" w:lineRule="auto" w:before="277" w:after="0"/>
            <w:ind w:left="672" w:right="0" w:hanging="364"/>
            <w:jc w:val="left"/>
          </w:pPr>
          <w:hyperlink w:history="true" w:anchor="_TOC_250036">
            <w:r>
              <w:rPr/>
              <w:t>Preparation</w:t>
            </w:r>
            <w:r>
              <w:rPr>
                <w:spacing w:val="-10"/>
              </w:rPr>
              <w:t> </w:t>
            </w:r>
            <w:r>
              <w:rPr/>
              <w:t>and Administration</w:t>
            </w:r>
            <w:r>
              <w:rPr>
                <w:spacing w:val="-8"/>
              </w:rPr>
              <w:t> </w:t>
            </w:r>
            <w:r>
              <w:rPr/>
              <w:t>of</w:t>
            </w:r>
            <w:r>
              <w:rPr>
                <w:spacing w:val="-10"/>
              </w:rPr>
              <w:t> </w:t>
            </w:r>
            <w:r>
              <w:rPr>
                <w:spacing w:val="-2"/>
              </w:rPr>
              <w:t>Drugs</w:t>
            </w:r>
            <w:r>
              <w:rPr/>
              <w:tab/>
            </w:r>
            <w:r>
              <w:rPr>
                <w:spacing w:val="-5"/>
              </w:rPr>
              <w:t>51</w:t>
            </w:r>
          </w:hyperlink>
        </w:p>
        <w:p>
          <w:pPr>
            <w:pStyle w:val="TOC1"/>
            <w:numPr>
              <w:ilvl w:val="1"/>
              <w:numId w:val="3"/>
            </w:numPr>
            <w:tabs>
              <w:tab w:pos="672" w:val="left" w:leader="none"/>
              <w:tab w:pos="8226" w:val="left" w:leader="dot"/>
            </w:tabs>
            <w:spacing w:line="240" w:lineRule="auto" w:before="276" w:after="20"/>
            <w:ind w:left="672" w:right="0" w:hanging="364"/>
            <w:jc w:val="left"/>
          </w:pPr>
          <w:hyperlink w:history="true" w:anchor="_TOC_250035">
            <w:r>
              <w:rPr/>
              <w:t>Toxicity</w:t>
            </w:r>
            <w:r>
              <w:rPr>
                <w:spacing w:val="-15"/>
              </w:rPr>
              <w:t> </w:t>
            </w:r>
            <w:r>
              <w:rPr>
                <w:spacing w:val="-2"/>
              </w:rPr>
              <w:t>Study</w:t>
            </w:r>
            <w:r>
              <w:rPr/>
              <w:tab/>
            </w:r>
            <w:r>
              <w:rPr>
                <w:spacing w:val="-5"/>
              </w:rPr>
              <w:t>51</w:t>
            </w:r>
          </w:hyperlink>
        </w:p>
        <w:p>
          <w:pPr>
            <w:pStyle w:val="TOC1"/>
            <w:numPr>
              <w:ilvl w:val="2"/>
              <w:numId w:val="3"/>
            </w:numPr>
            <w:tabs>
              <w:tab w:pos="850" w:val="left" w:leader="none"/>
              <w:tab w:pos="7962" w:val="left" w:leader="dot"/>
            </w:tabs>
            <w:spacing w:line="240" w:lineRule="auto" w:before="70" w:after="0"/>
            <w:ind w:left="850" w:right="0" w:hanging="542"/>
            <w:jc w:val="left"/>
          </w:pPr>
          <w:hyperlink w:history="true" w:anchor="_TOC_250034">
            <w:r>
              <w:rPr/>
              <w:t>Acute</w:t>
            </w:r>
            <w:r>
              <w:rPr>
                <w:spacing w:val="-9"/>
              </w:rPr>
              <w:t> </w:t>
            </w:r>
            <w:r>
              <w:rPr/>
              <w:t>toxicity</w:t>
            </w:r>
            <w:r>
              <w:rPr>
                <w:spacing w:val="-5"/>
              </w:rPr>
              <w:t> </w:t>
            </w:r>
            <w:r>
              <w:rPr>
                <w:spacing w:val="-4"/>
              </w:rPr>
              <w:t>study</w:t>
            </w:r>
            <w:r>
              <w:rPr/>
              <w:tab/>
            </w:r>
            <w:r>
              <w:rPr>
                <w:spacing w:val="-5"/>
              </w:rPr>
              <w:t>51</w:t>
            </w:r>
          </w:hyperlink>
        </w:p>
        <w:p>
          <w:pPr>
            <w:pStyle w:val="TOC1"/>
            <w:numPr>
              <w:ilvl w:val="2"/>
              <w:numId w:val="3"/>
            </w:numPr>
            <w:tabs>
              <w:tab w:pos="849" w:val="left" w:leader="none"/>
              <w:tab w:pos="7950" w:val="left" w:leader="dot"/>
            </w:tabs>
            <w:spacing w:line="240" w:lineRule="auto" w:before="276" w:after="0"/>
            <w:ind w:left="849" w:right="0" w:hanging="541"/>
            <w:jc w:val="left"/>
          </w:pPr>
          <w:hyperlink w:history="true" w:anchor="_TOC_250033">
            <w:r>
              <w:rPr/>
              <w:t>Sub-chronic</w:t>
            </w:r>
            <w:r>
              <w:rPr>
                <w:spacing w:val="-2"/>
              </w:rPr>
              <w:t> </w:t>
            </w:r>
            <w:r>
              <w:rPr/>
              <w:t>toxicity</w:t>
            </w:r>
            <w:r>
              <w:rPr>
                <w:spacing w:val="-6"/>
              </w:rPr>
              <w:t> </w:t>
            </w:r>
            <w:r>
              <w:rPr/>
              <w:t>study</w:t>
            </w:r>
            <w:r>
              <w:rPr>
                <w:spacing w:val="-6"/>
              </w:rPr>
              <w:t> </w:t>
            </w:r>
            <w:r>
              <w:rPr/>
              <w:t>in</w:t>
            </w:r>
            <w:r>
              <w:rPr>
                <w:spacing w:val="-5"/>
              </w:rPr>
              <w:t> </w:t>
            </w:r>
            <w:r>
              <w:rPr>
                <w:spacing w:val="-4"/>
              </w:rPr>
              <w:t>rats</w:t>
            </w:r>
            <w:r>
              <w:rPr/>
              <w:tab/>
            </w:r>
            <w:r>
              <w:rPr>
                <w:spacing w:val="-5"/>
              </w:rPr>
              <w:t>52</w:t>
            </w:r>
          </w:hyperlink>
        </w:p>
        <w:p>
          <w:pPr>
            <w:pStyle w:val="TOC1"/>
            <w:numPr>
              <w:ilvl w:val="3"/>
              <w:numId w:val="3"/>
            </w:numPr>
            <w:tabs>
              <w:tab w:pos="1031" w:val="left" w:leader="none"/>
              <w:tab w:pos="7973" w:val="left" w:leader="dot"/>
            </w:tabs>
            <w:spacing w:line="240" w:lineRule="auto" w:before="276" w:after="0"/>
            <w:ind w:left="1031" w:right="0" w:hanging="723"/>
            <w:jc w:val="left"/>
          </w:pPr>
          <w:r>
            <w:rPr/>
            <w:t>Blood</w:t>
          </w:r>
          <w:r>
            <w:rPr>
              <w:spacing w:val="-2"/>
            </w:rPr>
            <w:t> analysis</w:t>
          </w:r>
          <w:r>
            <w:rPr/>
            <w:tab/>
          </w:r>
          <w:r>
            <w:rPr>
              <w:spacing w:val="-7"/>
            </w:rPr>
            <w:t>52</w:t>
          </w:r>
        </w:p>
        <w:p>
          <w:pPr>
            <w:pStyle w:val="TOC1"/>
            <w:numPr>
              <w:ilvl w:val="2"/>
              <w:numId w:val="3"/>
            </w:numPr>
            <w:tabs>
              <w:tab w:pos="850" w:val="left" w:leader="none"/>
              <w:tab w:pos="7945" w:val="left" w:leader="dot"/>
            </w:tabs>
            <w:spacing w:line="240" w:lineRule="auto" w:before="276" w:after="0"/>
            <w:ind w:left="850" w:right="0" w:hanging="542"/>
            <w:jc w:val="left"/>
          </w:pPr>
          <w:r>
            <w:rPr/>
            <w:t>Determination</w:t>
          </w:r>
          <w:r>
            <w:rPr>
              <w:spacing w:val="-8"/>
            </w:rPr>
            <w:t> </w:t>
          </w:r>
          <w:r>
            <w:rPr/>
            <w:t>of</w:t>
          </w:r>
          <w:r>
            <w:rPr>
              <w:spacing w:val="-5"/>
            </w:rPr>
            <w:t> </w:t>
          </w:r>
          <w:r>
            <w:rPr/>
            <w:t>median neurotoxicity</w:t>
          </w:r>
          <w:r>
            <w:rPr>
              <w:spacing w:val="-7"/>
            </w:rPr>
            <w:t> </w:t>
          </w:r>
          <w:r>
            <w:rPr>
              <w:spacing w:val="-2"/>
            </w:rPr>
            <w:t>(TD</w:t>
          </w:r>
          <w:r>
            <w:rPr>
              <w:spacing w:val="-2"/>
              <w:vertAlign w:val="subscript"/>
            </w:rPr>
            <w:t>50</w:t>
          </w:r>
          <w:r>
            <w:rPr>
              <w:spacing w:val="-2"/>
              <w:vertAlign w:val="baseline"/>
            </w:rPr>
            <w:t>)</w:t>
          </w:r>
          <w:r>
            <w:rPr>
              <w:vertAlign w:val="baseline"/>
            </w:rPr>
            <w:tab/>
          </w:r>
          <w:r>
            <w:rPr>
              <w:spacing w:val="-5"/>
              <w:vertAlign w:val="baseline"/>
            </w:rPr>
            <w:t>53</w:t>
          </w:r>
        </w:p>
        <w:p>
          <w:pPr>
            <w:pStyle w:val="TOC1"/>
            <w:numPr>
              <w:ilvl w:val="1"/>
              <w:numId w:val="3"/>
            </w:numPr>
            <w:tabs>
              <w:tab w:pos="672" w:val="left" w:leader="none"/>
              <w:tab w:pos="7941" w:val="left" w:leader="dot"/>
            </w:tabs>
            <w:spacing w:line="240" w:lineRule="auto" w:before="276" w:after="0"/>
            <w:ind w:left="672" w:right="0" w:hanging="364"/>
            <w:jc w:val="left"/>
          </w:pPr>
          <w:hyperlink w:history="true" w:anchor="_TOC_250032">
            <w:r>
              <w:rPr/>
              <w:t>Anticonvulsant</w:t>
            </w:r>
            <w:r>
              <w:rPr>
                <w:spacing w:val="-8"/>
              </w:rPr>
              <w:t> </w:t>
            </w:r>
            <w:r>
              <w:rPr>
                <w:spacing w:val="-2"/>
              </w:rPr>
              <w:t>Studies</w:t>
            </w:r>
            <w:r>
              <w:rPr/>
              <w:tab/>
            </w:r>
            <w:r>
              <w:rPr>
                <w:spacing w:val="-5"/>
              </w:rPr>
              <w:t>53</w:t>
            </w:r>
          </w:hyperlink>
        </w:p>
        <w:p>
          <w:pPr>
            <w:pStyle w:val="TOC1"/>
            <w:numPr>
              <w:ilvl w:val="2"/>
              <w:numId w:val="3"/>
            </w:numPr>
            <w:tabs>
              <w:tab w:pos="850" w:val="left" w:leader="none"/>
              <w:tab w:pos="7986" w:val="left" w:leader="dot"/>
            </w:tabs>
            <w:spacing w:line="240" w:lineRule="auto" w:before="277" w:after="0"/>
            <w:ind w:left="850" w:right="0" w:hanging="542"/>
            <w:jc w:val="left"/>
          </w:pPr>
          <w:hyperlink w:history="true" w:anchor="_TOC_250031">
            <w:r>
              <w:rPr/>
              <w:t>Maximal</w:t>
            </w:r>
            <w:r>
              <w:rPr>
                <w:spacing w:val="-9"/>
              </w:rPr>
              <w:t> </w:t>
            </w:r>
            <w:r>
              <w:rPr/>
              <w:t>electroshock-induced</w:t>
            </w:r>
            <w:r>
              <w:rPr>
                <w:spacing w:val="-4"/>
              </w:rPr>
              <w:t> </w:t>
            </w:r>
            <w:r>
              <w:rPr/>
              <w:t>seizure in</w:t>
            </w:r>
            <w:r>
              <w:rPr>
                <w:spacing w:val="-3"/>
              </w:rPr>
              <w:t> </w:t>
            </w:r>
            <w:r>
              <w:rPr>
                <w:spacing w:val="-4"/>
              </w:rPr>
              <w:t>mice</w:t>
            </w:r>
            <w:r>
              <w:rPr/>
              <w:tab/>
            </w:r>
            <w:r>
              <w:rPr>
                <w:spacing w:val="-5"/>
              </w:rPr>
              <w:t>53</w:t>
            </w:r>
          </w:hyperlink>
        </w:p>
        <w:p>
          <w:pPr>
            <w:pStyle w:val="TOC1"/>
            <w:numPr>
              <w:ilvl w:val="2"/>
              <w:numId w:val="3"/>
            </w:numPr>
            <w:tabs>
              <w:tab w:pos="850" w:val="left" w:leader="none"/>
              <w:tab w:pos="7955" w:val="left" w:leader="dot"/>
            </w:tabs>
            <w:spacing w:line="240" w:lineRule="auto" w:before="276" w:after="0"/>
            <w:ind w:left="850" w:right="0" w:hanging="542"/>
            <w:jc w:val="left"/>
          </w:pPr>
          <w:hyperlink w:history="true" w:anchor="_TOC_250030">
            <w:r>
              <w:rPr/>
              <w:t>Pentylenetetrazole-induced</w:t>
            </w:r>
            <w:r>
              <w:rPr>
                <w:spacing w:val="-7"/>
              </w:rPr>
              <w:t> </w:t>
            </w:r>
            <w:r>
              <w:rPr/>
              <w:t>seizure</w:t>
            </w:r>
            <w:r>
              <w:rPr>
                <w:spacing w:val="-6"/>
              </w:rPr>
              <w:t> </w:t>
            </w:r>
            <w:r>
              <w:rPr>
                <w:spacing w:val="-4"/>
              </w:rPr>
              <w:t>test</w:t>
            </w:r>
            <w:r>
              <w:rPr/>
              <w:tab/>
            </w:r>
            <w:r>
              <w:rPr>
                <w:spacing w:val="-5"/>
              </w:rPr>
              <w:t>54</w:t>
            </w:r>
          </w:hyperlink>
        </w:p>
        <w:p>
          <w:pPr>
            <w:pStyle w:val="TOC1"/>
            <w:numPr>
              <w:ilvl w:val="2"/>
              <w:numId w:val="3"/>
            </w:numPr>
            <w:tabs>
              <w:tab w:pos="850" w:val="left" w:leader="none"/>
              <w:tab w:pos="7965" w:val="left" w:leader="dot"/>
            </w:tabs>
            <w:spacing w:line="240" w:lineRule="auto" w:before="276" w:after="0"/>
            <w:ind w:left="850" w:right="0" w:hanging="542"/>
            <w:jc w:val="left"/>
          </w:pPr>
          <w:hyperlink w:history="true" w:anchor="_TOC_250029">
            <w:r>
              <w:rPr/>
              <w:t>4-</w:t>
            </w:r>
            <w:r>
              <w:rPr>
                <w:spacing w:val="-5"/>
              </w:rPr>
              <w:t> </w:t>
            </w:r>
            <w:r>
              <w:rPr/>
              <w:t>aminopyridine-induced</w:t>
            </w:r>
            <w:r>
              <w:rPr>
                <w:spacing w:val="-6"/>
              </w:rPr>
              <w:t> </w:t>
            </w:r>
            <w:r>
              <w:rPr/>
              <w:t>seizure</w:t>
            </w:r>
            <w:r>
              <w:rPr>
                <w:spacing w:val="-6"/>
              </w:rPr>
              <w:t> </w:t>
            </w:r>
            <w:r>
              <w:rPr>
                <w:spacing w:val="-4"/>
              </w:rPr>
              <w:t>test</w:t>
            </w:r>
            <w:r>
              <w:rPr/>
              <w:tab/>
            </w:r>
            <w:r>
              <w:rPr>
                <w:spacing w:val="-5"/>
              </w:rPr>
              <w:t>54</w:t>
            </w:r>
          </w:hyperlink>
        </w:p>
        <w:p>
          <w:pPr>
            <w:pStyle w:val="TOC1"/>
            <w:numPr>
              <w:ilvl w:val="2"/>
              <w:numId w:val="3"/>
            </w:numPr>
            <w:tabs>
              <w:tab w:pos="850" w:val="left" w:leader="none"/>
              <w:tab w:pos="7986" w:val="left" w:leader="dot"/>
            </w:tabs>
            <w:spacing w:line="240" w:lineRule="auto" w:before="276" w:after="0"/>
            <w:ind w:left="850" w:right="0" w:hanging="542"/>
            <w:jc w:val="left"/>
          </w:pPr>
          <w:hyperlink w:history="true" w:anchor="_TOC_250028">
            <w:r>
              <w:rPr/>
              <w:t>Strychnine</w:t>
            </w:r>
            <w:r>
              <w:rPr>
                <w:spacing w:val="-5"/>
              </w:rPr>
              <w:t> </w:t>
            </w:r>
            <w:r>
              <w:rPr/>
              <w:t>–induced</w:t>
            </w:r>
            <w:r>
              <w:rPr>
                <w:spacing w:val="-4"/>
              </w:rPr>
              <w:t> </w:t>
            </w:r>
            <w:r>
              <w:rPr/>
              <w:t>seizure</w:t>
            </w:r>
            <w:r>
              <w:rPr>
                <w:spacing w:val="-5"/>
              </w:rPr>
              <w:t> </w:t>
            </w:r>
            <w:r>
              <w:rPr>
                <w:spacing w:val="-4"/>
              </w:rPr>
              <w:t>test</w:t>
            </w:r>
            <w:r>
              <w:rPr/>
              <w:tab/>
            </w:r>
            <w:r>
              <w:rPr>
                <w:spacing w:val="-5"/>
              </w:rPr>
              <w:t>55</w:t>
            </w:r>
          </w:hyperlink>
        </w:p>
        <w:p>
          <w:pPr>
            <w:pStyle w:val="TOC1"/>
            <w:numPr>
              <w:ilvl w:val="2"/>
              <w:numId w:val="3"/>
            </w:numPr>
            <w:tabs>
              <w:tab w:pos="850" w:val="left" w:leader="none"/>
              <w:tab w:pos="7966" w:val="left" w:leader="dot"/>
            </w:tabs>
            <w:spacing w:line="240" w:lineRule="auto" w:before="276" w:after="0"/>
            <w:ind w:left="850" w:right="0" w:hanging="542"/>
            <w:jc w:val="left"/>
          </w:pPr>
          <w:hyperlink w:history="true" w:anchor="_TOC_250027">
            <w:r>
              <w:rPr/>
              <w:t>Picrotoxin-induced</w:t>
            </w:r>
            <w:r>
              <w:rPr>
                <w:spacing w:val="-7"/>
              </w:rPr>
              <w:t> </w:t>
            </w:r>
            <w:r>
              <w:rPr/>
              <w:t>seizure</w:t>
            </w:r>
            <w:r>
              <w:rPr>
                <w:spacing w:val="-7"/>
              </w:rPr>
              <w:t> </w:t>
            </w:r>
            <w:r>
              <w:rPr>
                <w:spacing w:val="-4"/>
              </w:rPr>
              <w:t>test</w:t>
            </w:r>
            <w:r>
              <w:rPr/>
              <w:tab/>
            </w:r>
            <w:r>
              <w:rPr>
                <w:spacing w:val="-5"/>
              </w:rPr>
              <w:t>55</w:t>
            </w:r>
          </w:hyperlink>
        </w:p>
        <w:p>
          <w:pPr>
            <w:pStyle w:val="TOC1"/>
            <w:numPr>
              <w:ilvl w:val="2"/>
              <w:numId w:val="3"/>
            </w:numPr>
            <w:tabs>
              <w:tab w:pos="849" w:val="left" w:leader="none"/>
              <w:tab w:pos="7928" w:val="left" w:leader="dot"/>
            </w:tabs>
            <w:spacing w:line="240" w:lineRule="auto" w:before="276" w:after="0"/>
            <w:ind w:left="849" w:right="0" w:hanging="541"/>
            <w:jc w:val="left"/>
          </w:pPr>
          <w:r>
            <w:rPr/>
            <w:t>Pentylenetetrazole-induced</w:t>
          </w:r>
          <w:r>
            <w:rPr>
              <w:spacing w:val="-9"/>
            </w:rPr>
            <w:t> </w:t>
          </w:r>
          <w:r>
            <w:rPr>
              <w:spacing w:val="-2"/>
            </w:rPr>
            <w:t>kindling</w:t>
          </w:r>
          <w:r>
            <w:rPr/>
            <w:tab/>
          </w:r>
          <w:r>
            <w:rPr>
              <w:spacing w:val="-5"/>
            </w:rPr>
            <w:t>55</w:t>
          </w:r>
        </w:p>
        <w:p>
          <w:pPr>
            <w:pStyle w:val="TOC1"/>
            <w:numPr>
              <w:ilvl w:val="2"/>
              <w:numId w:val="3"/>
            </w:numPr>
            <w:tabs>
              <w:tab w:pos="849" w:val="left" w:leader="none"/>
              <w:tab w:pos="7884" w:val="left" w:leader="dot"/>
            </w:tabs>
            <w:spacing w:line="240" w:lineRule="auto" w:before="277" w:after="0"/>
            <w:ind w:left="849" w:right="0" w:hanging="541"/>
            <w:jc w:val="left"/>
          </w:pPr>
          <w:hyperlink w:history="true" w:anchor="_TOC_250026">
            <w:r>
              <w:rPr/>
              <w:t>Determination</w:t>
            </w:r>
            <w:r>
              <w:rPr>
                <w:spacing w:val="-7"/>
              </w:rPr>
              <w:t> </w:t>
            </w:r>
            <w:r>
              <w:rPr/>
              <w:t>of</w:t>
            </w:r>
            <w:r>
              <w:rPr>
                <w:spacing w:val="-4"/>
              </w:rPr>
              <w:t> </w:t>
            </w:r>
            <w:r>
              <w:rPr/>
              <w:t>median</w:t>
            </w:r>
            <w:r>
              <w:rPr>
                <w:spacing w:val="-6"/>
              </w:rPr>
              <w:t> </w:t>
            </w:r>
            <w:r>
              <w:rPr/>
              <w:t>effective</w:t>
            </w:r>
            <w:r>
              <w:rPr>
                <w:spacing w:val="-3"/>
              </w:rPr>
              <w:t> </w:t>
            </w:r>
            <w:r>
              <w:rPr/>
              <w:t>dose</w:t>
            </w:r>
            <w:r>
              <w:rPr>
                <w:spacing w:val="-2"/>
              </w:rPr>
              <w:t> (ED</w:t>
            </w:r>
            <w:r>
              <w:rPr>
                <w:spacing w:val="-2"/>
                <w:vertAlign w:val="subscript"/>
              </w:rPr>
              <w:t>50</w:t>
            </w:r>
            <w:r>
              <w:rPr>
                <w:spacing w:val="-2"/>
                <w:vertAlign w:val="baseline"/>
              </w:rPr>
              <w:t>)</w:t>
            </w:r>
            <w:r>
              <w:rPr>
                <w:vertAlign w:val="baseline"/>
              </w:rPr>
              <w:tab/>
            </w:r>
            <w:r>
              <w:rPr>
                <w:spacing w:val="-5"/>
                <w:vertAlign w:val="baseline"/>
              </w:rPr>
              <w:t>56</w:t>
            </w:r>
          </w:hyperlink>
        </w:p>
        <w:p>
          <w:pPr>
            <w:pStyle w:val="TOC1"/>
            <w:numPr>
              <w:ilvl w:val="2"/>
              <w:numId w:val="3"/>
            </w:numPr>
            <w:tabs>
              <w:tab w:pos="969" w:val="left" w:leader="none"/>
              <w:tab w:pos="7932" w:val="left" w:leader="dot"/>
            </w:tabs>
            <w:spacing w:line="240" w:lineRule="auto" w:before="276" w:after="0"/>
            <w:ind w:left="969" w:right="0" w:hanging="661"/>
            <w:jc w:val="left"/>
          </w:pPr>
          <w:hyperlink w:history="true" w:anchor="_TOC_250025">
            <w:r>
              <w:rPr/>
              <w:t>Tolerance</w:t>
            </w:r>
            <w:r>
              <w:rPr>
                <w:spacing w:val="-3"/>
              </w:rPr>
              <w:t> </w:t>
            </w:r>
            <w:r>
              <w:rPr/>
              <w:t>study</w:t>
            </w:r>
            <w:r>
              <w:rPr>
                <w:spacing w:val="-11"/>
              </w:rPr>
              <w:t> </w:t>
            </w:r>
            <w:r>
              <w:rPr/>
              <w:t>Using</w:t>
            </w:r>
            <w:r>
              <w:rPr>
                <w:spacing w:val="2"/>
              </w:rPr>
              <w:t> </w:t>
            </w:r>
            <w:r>
              <w:rPr/>
              <w:t>maximal</w:t>
            </w:r>
            <w:r>
              <w:rPr>
                <w:spacing w:val="-7"/>
              </w:rPr>
              <w:t> </w:t>
            </w:r>
            <w:r>
              <w:rPr/>
              <w:t>electroshock</w:t>
            </w:r>
            <w:r>
              <w:rPr>
                <w:spacing w:val="-6"/>
              </w:rPr>
              <w:t> </w:t>
            </w:r>
            <w:r>
              <w:rPr>
                <w:spacing w:val="-4"/>
              </w:rPr>
              <w:t>test</w:t>
            </w:r>
            <w:r>
              <w:rPr/>
              <w:tab/>
            </w:r>
            <w:r>
              <w:rPr>
                <w:spacing w:val="-5"/>
              </w:rPr>
              <w:t>57</w:t>
            </w:r>
          </w:hyperlink>
        </w:p>
        <w:p>
          <w:pPr>
            <w:pStyle w:val="TOC1"/>
            <w:numPr>
              <w:ilvl w:val="1"/>
              <w:numId w:val="3"/>
            </w:numPr>
            <w:tabs>
              <w:tab w:pos="672" w:val="left" w:leader="none"/>
              <w:tab w:pos="7940" w:val="left" w:leader="dot"/>
            </w:tabs>
            <w:spacing w:line="240" w:lineRule="auto" w:before="276" w:after="0"/>
            <w:ind w:left="672" w:right="0" w:hanging="364"/>
            <w:jc w:val="left"/>
          </w:pPr>
          <w:r>
            <w:rPr>
              <w:spacing w:val="-2"/>
            </w:rPr>
            <w:t>Pharmacological</w:t>
          </w:r>
          <w:r>
            <w:rPr>
              <w:spacing w:val="10"/>
            </w:rPr>
            <w:t> </w:t>
          </w:r>
          <w:r>
            <w:rPr>
              <w:spacing w:val="-2"/>
            </w:rPr>
            <w:t>Interaction</w:t>
          </w:r>
          <w:r>
            <w:rPr/>
            <w:tab/>
          </w:r>
          <w:r>
            <w:rPr>
              <w:spacing w:val="-5"/>
            </w:rPr>
            <w:t>57</w:t>
          </w:r>
        </w:p>
        <w:p>
          <w:pPr>
            <w:pStyle w:val="TOC1"/>
            <w:numPr>
              <w:ilvl w:val="2"/>
              <w:numId w:val="3"/>
            </w:numPr>
            <w:tabs>
              <w:tab w:pos="902" w:val="left" w:leader="none"/>
              <w:tab w:pos="7910" w:val="left" w:leader="dot"/>
            </w:tabs>
            <w:spacing w:line="242" w:lineRule="auto" w:before="276" w:after="0"/>
            <w:ind w:left="308" w:right="118" w:firstLine="0"/>
            <w:jc w:val="left"/>
          </w:pPr>
          <w:hyperlink w:history="true" w:anchor="_TOC_250024">
            <w:r>
              <w:rPr/>
              <w:t>Effect</w:t>
            </w:r>
            <w:r>
              <w:rPr>
                <w:spacing w:val="40"/>
              </w:rPr>
              <w:t> </w:t>
            </w:r>
            <w:r>
              <w:rPr/>
              <w:t>of</w:t>
            </w:r>
            <w:r>
              <w:rPr>
                <w:spacing w:val="40"/>
              </w:rPr>
              <w:t> </w:t>
            </w:r>
            <w:r>
              <w:rPr/>
              <w:t>fluphenamic</w:t>
            </w:r>
            <w:r>
              <w:rPr>
                <w:spacing w:val="40"/>
              </w:rPr>
              <w:t> </w:t>
            </w:r>
            <w:r>
              <w:rPr/>
              <w:t>acid</w:t>
            </w:r>
            <w:r>
              <w:rPr>
                <w:spacing w:val="40"/>
              </w:rPr>
              <w:t> </w:t>
            </w:r>
            <w:r>
              <w:rPr/>
              <w:t>on</w:t>
            </w:r>
            <w:r>
              <w:rPr>
                <w:spacing w:val="40"/>
              </w:rPr>
              <w:t> </w:t>
            </w:r>
            <w:r>
              <w:rPr/>
              <w:t>anticonvulsant</w:t>
            </w:r>
            <w:r>
              <w:rPr>
                <w:spacing w:val="40"/>
              </w:rPr>
              <w:t> </w:t>
            </w:r>
            <w:r>
              <w:rPr/>
              <w:t>activity</w:t>
            </w:r>
            <w:r>
              <w:rPr>
                <w:spacing w:val="40"/>
              </w:rPr>
              <w:t> </w:t>
            </w:r>
            <w:r>
              <w:rPr/>
              <w:t>of</w:t>
            </w:r>
            <w:r>
              <w:rPr>
                <w:spacing w:val="40"/>
              </w:rPr>
              <w:t> </w:t>
            </w:r>
            <w:r>
              <w:rPr/>
              <w:t>DCP23,</w:t>
            </w:r>
            <w:r>
              <w:rPr>
                <w:spacing w:val="40"/>
              </w:rPr>
              <w:t> </w:t>
            </w:r>
            <w:r>
              <w:rPr/>
              <w:t>DCP25</w:t>
            </w:r>
            <w:r>
              <w:rPr>
                <w:spacing w:val="40"/>
              </w:rPr>
              <w:t> </w:t>
            </w:r>
            <w:r>
              <w:rPr/>
              <w:t>and DCP34 in mice</w:t>
              <w:tab/>
            </w:r>
            <w:r>
              <w:rPr>
                <w:spacing w:val="-6"/>
              </w:rPr>
              <w:t>57</w:t>
            </w:r>
          </w:hyperlink>
        </w:p>
        <w:p>
          <w:pPr>
            <w:pStyle w:val="TOC1"/>
            <w:spacing w:line="275" w:lineRule="exact" w:before="273"/>
            <w:ind w:left="308" w:firstLine="0"/>
          </w:pPr>
          <w:r>
            <w:rPr/>
            <w:t>3</w:t>
          </w:r>
          <w:r>
            <w:rPr>
              <w:spacing w:val="-1"/>
            </w:rPr>
            <w:t> </w:t>
          </w:r>
          <w:r>
            <w:rPr/>
            <w:t>7.2</w:t>
          </w:r>
          <w:r>
            <w:rPr>
              <w:spacing w:val="1"/>
            </w:rPr>
            <w:t> </w:t>
          </w:r>
          <w:r>
            <w:rPr/>
            <w:t>Effect</w:t>
          </w:r>
          <w:r>
            <w:rPr>
              <w:spacing w:val="6"/>
            </w:rPr>
            <w:t> </w:t>
          </w:r>
          <w:r>
            <w:rPr/>
            <w:t>of</w:t>
          </w:r>
          <w:r>
            <w:rPr>
              <w:spacing w:val="-1"/>
            </w:rPr>
            <w:t> </w:t>
          </w:r>
          <w:r>
            <w:rPr/>
            <w:t>nickel</w:t>
          </w:r>
          <w:r>
            <w:rPr>
              <w:spacing w:val="1"/>
            </w:rPr>
            <w:t> </w:t>
          </w:r>
          <w:r>
            <w:rPr/>
            <w:t>chloride on</w:t>
          </w:r>
          <w:r>
            <w:rPr>
              <w:spacing w:val="2"/>
            </w:rPr>
            <w:t> </w:t>
          </w:r>
          <w:r>
            <w:rPr/>
            <w:t>anticonvulsant</w:t>
          </w:r>
          <w:r>
            <w:rPr>
              <w:spacing w:val="6"/>
            </w:rPr>
            <w:t> </w:t>
          </w:r>
          <w:r>
            <w:rPr/>
            <w:t>activity</w:t>
          </w:r>
          <w:r>
            <w:rPr>
              <w:spacing w:val="-4"/>
            </w:rPr>
            <w:t> </w:t>
          </w:r>
          <w:r>
            <w:rPr/>
            <w:t>of</w:t>
          </w:r>
          <w:r>
            <w:rPr>
              <w:spacing w:val="-6"/>
            </w:rPr>
            <w:t> </w:t>
          </w:r>
          <w:r>
            <w:rPr/>
            <w:t>DCP23,</w:t>
          </w:r>
          <w:r>
            <w:rPr>
              <w:spacing w:val="3"/>
            </w:rPr>
            <w:t> </w:t>
          </w:r>
          <w:r>
            <w:rPr/>
            <w:t>DCP25</w:t>
          </w:r>
          <w:r>
            <w:rPr>
              <w:spacing w:val="5"/>
            </w:rPr>
            <w:t> </w:t>
          </w:r>
          <w:r>
            <w:rPr/>
            <w:t>and</w:t>
          </w:r>
          <w:r>
            <w:rPr>
              <w:spacing w:val="2"/>
            </w:rPr>
            <w:t> </w:t>
          </w:r>
          <w:r>
            <w:rPr>
              <w:spacing w:val="-2"/>
            </w:rPr>
            <w:t>DCP34</w:t>
          </w:r>
        </w:p>
        <w:p>
          <w:pPr>
            <w:pStyle w:val="TOC1"/>
            <w:tabs>
              <w:tab w:pos="7981" w:val="left" w:leader="dot"/>
            </w:tabs>
            <w:spacing w:line="275" w:lineRule="exact" w:before="0"/>
            <w:ind w:left="308" w:firstLine="0"/>
          </w:pPr>
          <w:r>
            <w:rPr/>
            <w:t>in</w:t>
          </w:r>
          <w:r>
            <w:rPr>
              <w:spacing w:val="-3"/>
            </w:rPr>
            <w:t> </w:t>
          </w:r>
          <w:r>
            <w:rPr>
              <w:spacing w:val="-4"/>
            </w:rPr>
            <w:t>mice</w:t>
          </w:r>
          <w:r>
            <w:rPr/>
            <w:tab/>
          </w:r>
          <w:r>
            <w:rPr>
              <w:spacing w:val="-5"/>
            </w:rPr>
            <w:t>58</w:t>
          </w:r>
        </w:p>
        <w:p>
          <w:pPr>
            <w:pStyle w:val="TOC1"/>
            <w:spacing w:before="277"/>
            <w:ind w:left="308" w:firstLine="0"/>
          </w:pPr>
          <w:r>
            <w:rPr/>
            <w:t>3</w:t>
          </w:r>
          <w:r>
            <w:rPr>
              <w:spacing w:val="-2"/>
            </w:rPr>
            <w:t> </w:t>
          </w:r>
          <w:r>
            <w:rPr/>
            <w:t>7.3</w:t>
          </w:r>
          <w:r>
            <w:rPr>
              <w:spacing w:val="-3"/>
            </w:rPr>
            <w:t> </w:t>
          </w:r>
          <w:r>
            <w:rPr/>
            <w:t>Effect</w:t>
          </w:r>
          <w:r>
            <w:rPr>
              <w:spacing w:val="1"/>
            </w:rPr>
            <w:t> </w:t>
          </w:r>
          <w:r>
            <w:rPr/>
            <w:t>of</w:t>
          </w:r>
          <w:r>
            <w:rPr>
              <w:spacing w:val="-6"/>
            </w:rPr>
            <w:t> </w:t>
          </w:r>
          <w:r>
            <w:rPr/>
            <w:t>cyproheptadine on</w:t>
          </w:r>
          <w:r>
            <w:rPr>
              <w:spacing w:val="-4"/>
            </w:rPr>
            <w:t> </w:t>
          </w:r>
          <w:r>
            <w:rPr/>
            <w:t>anticonvulsant</w:t>
          </w:r>
          <w:r>
            <w:rPr>
              <w:spacing w:val="5"/>
            </w:rPr>
            <w:t> </w:t>
          </w:r>
          <w:r>
            <w:rPr/>
            <w:t>activity</w:t>
          </w:r>
          <w:r>
            <w:rPr>
              <w:spacing w:val="-8"/>
            </w:rPr>
            <w:t> </w:t>
          </w:r>
          <w:r>
            <w:rPr/>
            <w:t>of</w:t>
          </w:r>
          <w:r>
            <w:rPr>
              <w:spacing w:val="-7"/>
            </w:rPr>
            <w:t> </w:t>
          </w:r>
          <w:r>
            <w:rPr/>
            <w:t>DCP23,</w:t>
          </w:r>
          <w:r>
            <w:rPr>
              <w:spacing w:val="3"/>
            </w:rPr>
            <w:t> </w:t>
          </w:r>
          <w:r>
            <w:rPr/>
            <w:t>DCP25</w:t>
          </w:r>
          <w:r>
            <w:rPr>
              <w:spacing w:val="1"/>
            </w:rPr>
            <w:t> </w:t>
          </w:r>
          <w:r>
            <w:rPr/>
            <w:t>and</w:t>
          </w:r>
          <w:r>
            <w:rPr>
              <w:spacing w:val="1"/>
            </w:rPr>
            <w:t> </w:t>
          </w:r>
          <w:r>
            <w:rPr>
              <w:spacing w:val="-2"/>
            </w:rPr>
            <w:t>DCP34</w:t>
          </w:r>
        </w:p>
        <w:p>
          <w:pPr>
            <w:pStyle w:val="TOC1"/>
            <w:tabs>
              <w:tab w:pos="7981" w:val="left" w:leader="dot"/>
            </w:tabs>
            <w:spacing w:before="2"/>
            <w:ind w:left="308" w:firstLine="0"/>
          </w:pPr>
          <w:r>
            <w:rPr/>
            <w:t>in</w:t>
          </w:r>
          <w:r>
            <w:rPr>
              <w:spacing w:val="-3"/>
            </w:rPr>
            <w:t> </w:t>
          </w:r>
          <w:r>
            <w:rPr>
              <w:spacing w:val="-4"/>
            </w:rPr>
            <w:t>mice</w:t>
          </w:r>
          <w:r>
            <w:rPr/>
            <w:tab/>
          </w:r>
          <w:r>
            <w:rPr>
              <w:spacing w:val="-5"/>
            </w:rPr>
            <w:t>58</w:t>
          </w:r>
        </w:p>
        <w:p>
          <w:pPr>
            <w:pStyle w:val="TOC1"/>
            <w:numPr>
              <w:ilvl w:val="2"/>
              <w:numId w:val="4"/>
            </w:numPr>
            <w:tabs>
              <w:tab w:pos="1028" w:val="left" w:leader="none"/>
              <w:tab w:pos="8022" w:val="left" w:leader="dot"/>
            </w:tabs>
            <w:spacing w:line="240" w:lineRule="auto" w:before="276" w:after="0"/>
            <w:ind w:left="1028" w:right="0" w:hanging="720"/>
            <w:jc w:val="left"/>
          </w:pPr>
          <w:hyperlink w:history="true" w:anchor="_TOC_250023">
            <w:r>
              <w:rPr/>
              <w:t>Diazepam-induced</w:t>
            </w:r>
            <w:r>
              <w:rPr>
                <w:spacing w:val="-4"/>
              </w:rPr>
              <w:t> </w:t>
            </w:r>
            <w:r>
              <w:rPr/>
              <w:t>sleeping</w:t>
            </w:r>
            <w:r>
              <w:rPr>
                <w:spacing w:val="-4"/>
              </w:rPr>
              <w:t> </w:t>
            </w:r>
            <w:r>
              <w:rPr/>
              <w:t>time in</w:t>
            </w:r>
            <w:r>
              <w:rPr>
                <w:spacing w:val="-3"/>
              </w:rPr>
              <w:t> </w:t>
            </w:r>
            <w:r>
              <w:rPr>
                <w:spacing w:val="-4"/>
              </w:rPr>
              <w:t>mice</w:t>
            </w:r>
            <w:r>
              <w:rPr/>
              <w:tab/>
            </w:r>
            <w:r>
              <w:rPr>
                <w:spacing w:val="-5"/>
              </w:rPr>
              <w:t>59</w:t>
            </w:r>
          </w:hyperlink>
        </w:p>
        <w:p>
          <w:pPr>
            <w:pStyle w:val="TOC1"/>
            <w:numPr>
              <w:ilvl w:val="1"/>
              <w:numId w:val="3"/>
            </w:numPr>
            <w:tabs>
              <w:tab w:pos="786" w:val="left" w:leader="none"/>
              <w:tab w:pos="788" w:val="left" w:leader="none"/>
            </w:tabs>
            <w:spacing w:line="240" w:lineRule="auto" w:before="276" w:after="0"/>
            <w:ind w:left="788" w:right="109" w:hanging="481"/>
            <w:jc w:val="left"/>
          </w:pPr>
          <w:r>
            <w:rPr/>
            <w:t>Actions</w:t>
          </w:r>
          <w:r>
            <w:rPr>
              <w:spacing w:val="71"/>
            </w:rPr>
            <w:t> </w:t>
          </w:r>
          <w:r>
            <w:rPr/>
            <w:t>of</w:t>
          </w:r>
          <w:r>
            <w:rPr>
              <w:spacing w:val="40"/>
            </w:rPr>
            <w:t> </w:t>
          </w:r>
          <w:r>
            <w:rPr/>
            <w:t>DCP23,</w:t>
          </w:r>
          <w:r>
            <w:rPr>
              <w:spacing w:val="75"/>
            </w:rPr>
            <w:t> </w:t>
          </w:r>
          <w:r>
            <w:rPr/>
            <w:t>DCP25</w:t>
          </w:r>
          <w:r>
            <w:rPr>
              <w:spacing w:val="73"/>
            </w:rPr>
            <w:t> </w:t>
          </w:r>
          <w:r>
            <w:rPr/>
            <w:t>and</w:t>
          </w:r>
          <w:r>
            <w:rPr>
              <w:spacing w:val="73"/>
            </w:rPr>
            <w:t> </w:t>
          </w:r>
          <w:r>
            <w:rPr/>
            <w:t>DCP34</w:t>
          </w:r>
          <w:r>
            <w:rPr>
              <w:spacing w:val="73"/>
            </w:rPr>
            <w:t> </w:t>
          </w:r>
          <w:r>
            <w:rPr/>
            <w:t>on</w:t>
          </w:r>
          <w:r>
            <w:rPr>
              <w:spacing w:val="40"/>
            </w:rPr>
            <w:t> </w:t>
          </w:r>
          <w:r>
            <w:rPr/>
            <w:t>Voltage-gated</w:t>
          </w:r>
          <w:r>
            <w:rPr>
              <w:spacing w:val="73"/>
            </w:rPr>
            <w:t> </w:t>
          </w:r>
          <w:r>
            <w:rPr/>
            <w:t>(Nav</w:t>
          </w:r>
          <w:r>
            <w:rPr>
              <w:spacing w:val="40"/>
            </w:rPr>
            <w:t> </w:t>
          </w:r>
          <w:r>
            <w:rPr/>
            <w:t>1.6)</w:t>
          </w:r>
          <w:r>
            <w:rPr>
              <w:spacing w:val="74"/>
            </w:rPr>
            <w:t> </w:t>
          </w:r>
          <w:r>
            <w:rPr/>
            <w:t>Sodium Channels Stably Expressed in Human Embryonic Kidney (HEK Cells 293) 59</w:t>
          </w:r>
        </w:p>
        <w:p>
          <w:pPr>
            <w:pStyle w:val="TOC1"/>
            <w:numPr>
              <w:ilvl w:val="1"/>
              <w:numId w:val="5"/>
            </w:numPr>
            <w:tabs>
              <w:tab w:pos="672" w:val="left" w:leader="none"/>
              <w:tab w:pos="8074" w:val="left" w:leader="dot"/>
            </w:tabs>
            <w:spacing w:line="240" w:lineRule="auto" w:before="274" w:after="0"/>
            <w:ind w:left="672" w:right="0" w:hanging="364"/>
            <w:jc w:val="left"/>
          </w:pPr>
          <w:hyperlink w:history="true" w:anchor="_TOC_250022">
            <w:r>
              <w:rPr>
                <w:spacing w:val="-2"/>
              </w:rPr>
              <w:t>RESULTS</w:t>
            </w:r>
            <w:r>
              <w:rPr/>
              <w:tab/>
            </w:r>
            <w:r>
              <w:rPr>
                <w:spacing w:val="-5"/>
              </w:rPr>
              <w:t>61</w:t>
            </w:r>
          </w:hyperlink>
        </w:p>
        <w:p>
          <w:pPr>
            <w:pStyle w:val="TOC1"/>
            <w:numPr>
              <w:ilvl w:val="1"/>
              <w:numId w:val="5"/>
            </w:numPr>
            <w:tabs>
              <w:tab w:pos="672" w:val="left" w:leader="none"/>
              <w:tab w:pos="8110" w:val="left" w:leader="dot"/>
            </w:tabs>
            <w:spacing w:line="240" w:lineRule="auto" w:before="276" w:after="0"/>
            <w:ind w:left="672" w:right="0" w:hanging="364"/>
            <w:jc w:val="left"/>
          </w:pPr>
          <w:hyperlink w:history="true" w:anchor="_TOC_250021">
            <w:r>
              <w:rPr/>
              <w:t>Purification,</w:t>
            </w:r>
            <w:r>
              <w:rPr>
                <w:spacing w:val="-3"/>
              </w:rPr>
              <w:t> </w:t>
            </w:r>
            <w:r>
              <w:rPr/>
              <w:t>Identification</w:t>
            </w:r>
            <w:r>
              <w:rPr>
                <w:spacing w:val="-7"/>
              </w:rPr>
              <w:t> </w:t>
            </w:r>
            <w:r>
              <w:rPr/>
              <w:t>and</w:t>
            </w:r>
            <w:r>
              <w:rPr>
                <w:spacing w:val="-3"/>
              </w:rPr>
              <w:t> </w:t>
            </w:r>
            <w:r>
              <w:rPr/>
              <w:t>Characterization</w:t>
            </w:r>
            <w:r>
              <w:rPr>
                <w:spacing w:val="-7"/>
              </w:rPr>
              <w:t> </w:t>
            </w:r>
            <w:r>
              <w:rPr/>
              <w:t>of</w:t>
            </w:r>
            <w:r>
              <w:rPr>
                <w:spacing w:val="-10"/>
              </w:rPr>
              <w:t> </w:t>
            </w:r>
            <w:r>
              <w:rPr/>
              <w:t>the</w:t>
            </w:r>
            <w:r>
              <w:rPr>
                <w:spacing w:val="-4"/>
              </w:rPr>
              <w:t> </w:t>
            </w:r>
            <w:r>
              <w:rPr/>
              <w:t>Test</w:t>
            </w:r>
            <w:r>
              <w:rPr>
                <w:spacing w:val="3"/>
              </w:rPr>
              <w:t> </w:t>
            </w:r>
            <w:r>
              <w:rPr>
                <w:spacing w:val="-2"/>
              </w:rPr>
              <w:t>Compounds</w:t>
            </w:r>
            <w:r>
              <w:rPr/>
              <w:tab/>
            </w:r>
            <w:r>
              <w:rPr>
                <w:spacing w:val="-5"/>
              </w:rPr>
              <w:t>61</w:t>
            </w:r>
          </w:hyperlink>
        </w:p>
        <w:p>
          <w:pPr>
            <w:pStyle w:val="TOC1"/>
            <w:numPr>
              <w:ilvl w:val="1"/>
              <w:numId w:val="5"/>
            </w:numPr>
            <w:tabs>
              <w:tab w:pos="672" w:val="left" w:leader="none"/>
              <w:tab w:pos="8163" w:val="left" w:leader="dot"/>
            </w:tabs>
            <w:spacing w:line="240" w:lineRule="auto" w:before="277" w:after="0"/>
            <w:ind w:left="672" w:right="0" w:hanging="364"/>
            <w:jc w:val="left"/>
          </w:pPr>
          <w:hyperlink w:history="true" w:anchor="_TOC_250020">
            <w:r>
              <w:rPr/>
              <w:t>Toxicity</w:t>
            </w:r>
            <w:r>
              <w:rPr>
                <w:spacing w:val="-15"/>
              </w:rPr>
              <w:t> </w:t>
            </w:r>
            <w:r>
              <w:rPr>
                <w:spacing w:val="-2"/>
              </w:rPr>
              <w:t>Study</w:t>
            </w:r>
            <w:r>
              <w:rPr/>
              <w:tab/>
            </w:r>
            <w:r>
              <w:rPr>
                <w:spacing w:val="-5"/>
              </w:rPr>
              <w:t>69</w:t>
            </w:r>
          </w:hyperlink>
        </w:p>
        <w:p>
          <w:pPr>
            <w:pStyle w:val="TOC1"/>
            <w:numPr>
              <w:ilvl w:val="2"/>
              <w:numId w:val="5"/>
            </w:numPr>
            <w:tabs>
              <w:tab w:pos="849" w:val="left" w:leader="none"/>
              <w:tab w:pos="8139" w:val="left" w:leader="dot"/>
            </w:tabs>
            <w:spacing w:line="240" w:lineRule="auto" w:before="276" w:after="240"/>
            <w:ind w:left="849" w:right="0" w:hanging="541"/>
            <w:jc w:val="left"/>
          </w:pPr>
          <w:r>
            <w:rPr/>
            <w:t>Acute</w:t>
          </w:r>
          <w:r>
            <w:rPr>
              <w:spacing w:val="-9"/>
            </w:rPr>
            <w:t> </w:t>
          </w:r>
          <w:r>
            <w:rPr/>
            <w:t>toxicity</w:t>
          </w:r>
          <w:r>
            <w:rPr>
              <w:spacing w:val="-5"/>
            </w:rPr>
            <w:t> </w:t>
          </w:r>
          <w:r>
            <w:rPr>
              <w:spacing w:val="-4"/>
            </w:rPr>
            <w:t>study</w:t>
          </w:r>
          <w:r>
            <w:rPr/>
            <w:tab/>
          </w:r>
          <w:r>
            <w:rPr>
              <w:spacing w:val="-5"/>
            </w:rPr>
            <w:t>69</w:t>
          </w:r>
        </w:p>
        <w:p>
          <w:pPr>
            <w:pStyle w:val="TOC1"/>
            <w:numPr>
              <w:ilvl w:val="2"/>
              <w:numId w:val="5"/>
            </w:numPr>
            <w:tabs>
              <w:tab w:pos="849" w:val="left" w:leader="none"/>
              <w:tab w:pos="8190" w:val="left" w:leader="dot"/>
            </w:tabs>
            <w:spacing w:line="240" w:lineRule="auto" w:before="70" w:after="0"/>
            <w:ind w:left="849" w:right="0" w:hanging="541"/>
            <w:jc w:val="left"/>
          </w:pPr>
          <w:hyperlink w:history="true" w:anchor="_TOC_250019">
            <w:r>
              <w:rPr/>
              <w:t>Subchronic</w:t>
            </w:r>
            <w:r>
              <w:rPr>
                <w:spacing w:val="-2"/>
              </w:rPr>
              <w:t> </w:t>
            </w:r>
            <w:r>
              <w:rPr/>
              <w:t>Toxicity</w:t>
            </w:r>
            <w:r>
              <w:rPr>
                <w:spacing w:val="-6"/>
              </w:rPr>
              <w:t> </w:t>
            </w:r>
            <w:r>
              <w:rPr/>
              <w:t>Study</w:t>
            </w:r>
            <w:r>
              <w:rPr>
                <w:spacing w:val="-5"/>
              </w:rPr>
              <w:t> </w:t>
            </w:r>
            <w:r>
              <w:rPr/>
              <w:t>in</w:t>
            </w:r>
            <w:r>
              <w:rPr>
                <w:spacing w:val="-5"/>
              </w:rPr>
              <w:t> </w:t>
            </w:r>
            <w:r>
              <w:rPr>
                <w:spacing w:val="-4"/>
              </w:rPr>
              <w:t>Rats</w:t>
            </w:r>
            <w:r>
              <w:rPr/>
              <w:tab/>
            </w:r>
            <w:r>
              <w:rPr>
                <w:spacing w:val="-5"/>
              </w:rPr>
              <w:t>70</w:t>
            </w:r>
          </w:hyperlink>
        </w:p>
        <w:p>
          <w:pPr>
            <w:pStyle w:val="TOC1"/>
            <w:numPr>
              <w:ilvl w:val="1"/>
              <w:numId w:val="5"/>
            </w:numPr>
            <w:tabs>
              <w:tab w:pos="672" w:val="left" w:leader="none"/>
              <w:tab w:pos="8243" w:val="left" w:leader="dot"/>
            </w:tabs>
            <w:spacing w:line="240" w:lineRule="auto" w:before="276" w:after="0"/>
            <w:ind w:left="672" w:right="0" w:hanging="364"/>
            <w:jc w:val="left"/>
          </w:pPr>
          <w:hyperlink w:history="true" w:anchor="_TOC_250018">
            <w:r>
              <w:rPr/>
              <w:t>Anticonvulsant</w:t>
            </w:r>
            <w:r>
              <w:rPr>
                <w:spacing w:val="-8"/>
              </w:rPr>
              <w:t> </w:t>
            </w:r>
            <w:r>
              <w:rPr>
                <w:spacing w:val="-2"/>
              </w:rPr>
              <w:t>Studies</w:t>
            </w:r>
            <w:r>
              <w:rPr/>
              <w:tab/>
            </w:r>
            <w:r>
              <w:rPr>
                <w:spacing w:val="-5"/>
              </w:rPr>
              <w:t>75</w:t>
            </w:r>
          </w:hyperlink>
        </w:p>
        <w:p>
          <w:pPr>
            <w:pStyle w:val="TOC1"/>
            <w:numPr>
              <w:ilvl w:val="2"/>
              <w:numId w:val="5"/>
            </w:numPr>
            <w:tabs>
              <w:tab w:pos="849" w:val="left" w:leader="none"/>
              <w:tab w:pos="8283" w:val="left" w:leader="dot"/>
            </w:tabs>
            <w:spacing w:line="240" w:lineRule="auto" w:before="276" w:after="0"/>
            <w:ind w:left="849" w:right="0" w:hanging="541"/>
            <w:jc w:val="left"/>
          </w:pPr>
          <w:r>
            <w:rPr/>
            <w:t>Maximal</w:t>
          </w:r>
          <w:r>
            <w:rPr>
              <w:spacing w:val="-9"/>
            </w:rPr>
            <w:t> </w:t>
          </w:r>
          <w:r>
            <w:rPr/>
            <w:t>electroshock-induced</w:t>
          </w:r>
          <w:r>
            <w:rPr>
              <w:spacing w:val="-3"/>
            </w:rPr>
            <w:t> </w:t>
          </w:r>
          <w:r>
            <w:rPr/>
            <w:t>seizure in</w:t>
          </w:r>
          <w:r>
            <w:rPr>
              <w:spacing w:val="-3"/>
            </w:rPr>
            <w:t> </w:t>
          </w:r>
          <w:r>
            <w:rPr>
              <w:spacing w:val="-4"/>
            </w:rPr>
            <w:t>mice</w:t>
          </w:r>
          <w:r>
            <w:rPr/>
            <w:tab/>
          </w:r>
          <w:r>
            <w:rPr>
              <w:spacing w:val="-5"/>
            </w:rPr>
            <w:t>75</w:t>
          </w:r>
        </w:p>
        <w:p>
          <w:pPr>
            <w:pStyle w:val="TOC1"/>
            <w:numPr>
              <w:ilvl w:val="2"/>
              <w:numId w:val="5"/>
            </w:numPr>
            <w:tabs>
              <w:tab w:pos="849" w:val="left" w:leader="none"/>
              <w:tab w:pos="8278" w:val="left" w:leader="dot"/>
            </w:tabs>
            <w:spacing w:line="240" w:lineRule="auto" w:before="276" w:after="0"/>
            <w:ind w:left="849" w:right="0" w:hanging="541"/>
            <w:jc w:val="left"/>
          </w:pPr>
          <w:r>
            <w:rPr/>
            <w:t>Pentylenetetrazole-induced</w:t>
          </w:r>
          <w:r>
            <w:rPr>
              <w:spacing w:val="-7"/>
            </w:rPr>
            <w:t> </w:t>
          </w:r>
          <w:r>
            <w:rPr/>
            <w:t>seizure</w:t>
          </w:r>
          <w:r>
            <w:rPr>
              <w:spacing w:val="-2"/>
            </w:rPr>
            <w:t> </w:t>
          </w:r>
          <w:r>
            <w:rPr/>
            <w:t>in</w:t>
          </w:r>
          <w:r>
            <w:rPr>
              <w:spacing w:val="-4"/>
            </w:rPr>
            <w:t> mice</w:t>
          </w:r>
          <w:r>
            <w:rPr/>
            <w:tab/>
          </w:r>
          <w:r>
            <w:rPr>
              <w:spacing w:val="-5"/>
            </w:rPr>
            <w:t>77</w:t>
          </w:r>
        </w:p>
        <w:p>
          <w:pPr>
            <w:pStyle w:val="TOC1"/>
            <w:numPr>
              <w:ilvl w:val="2"/>
              <w:numId w:val="5"/>
            </w:numPr>
            <w:tabs>
              <w:tab w:pos="849" w:val="left" w:leader="none"/>
              <w:tab w:pos="8293" w:val="left" w:leader="dot"/>
            </w:tabs>
            <w:spacing w:line="240" w:lineRule="auto" w:before="276" w:after="0"/>
            <w:ind w:left="849" w:right="0" w:hanging="541"/>
            <w:jc w:val="left"/>
          </w:pPr>
          <w:hyperlink w:history="true" w:anchor="_TOC_250017">
            <w:r>
              <w:rPr/>
              <w:t>4-Aminopyridine-induced</w:t>
            </w:r>
            <w:r>
              <w:rPr>
                <w:spacing w:val="-6"/>
              </w:rPr>
              <w:t> </w:t>
            </w:r>
            <w:r>
              <w:rPr/>
              <w:t>seizure</w:t>
            </w:r>
            <w:r>
              <w:rPr>
                <w:spacing w:val="1"/>
              </w:rPr>
              <w:t> </w:t>
            </w:r>
            <w:r>
              <w:rPr/>
              <w:t>in</w:t>
            </w:r>
            <w:r>
              <w:rPr>
                <w:spacing w:val="-5"/>
              </w:rPr>
              <w:t> </w:t>
            </w:r>
            <w:r>
              <w:rPr>
                <w:spacing w:val="-4"/>
              </w:rPr>
              <w:t>mice</w:t>
            </w:r>
            <w:r>
              <w:rPr/>
              <w:tab/>
            </w:r>
            <w:r>
              <w:rPr>
                <w:spacing w:val="-5"/>
              </w:rPr>
              <w:t>79</w:t>
            </w:r>
          </w:hyperlink>
        </w:p>
        <w:p>
          <w:pPr>
            <w:pStyle w:val="TOC1"/>
            <w:numPr>
              <w:ilvl w:val="2"/>
              <w:numId w:val="5"/>
            </w:numPr>
            <w:tabs>
              <w:tab w:pos="849" w:val="left" w:leader="none"/>
              <w:tab w:pos="8322" w:val="left" w:leader="dot"/>
            </w:tabs>
            <w:spacing w:line="240" w:lineRule="auto" w:before="277" w:after="0"/>
            <w:ind w:left="849" w:right="0" w:hanging="541"/>
            <w:jc w:val="left"/>
          </w:pPr>
          <w:r>
            <w:rPr/>
            <w:t>Strychnine-induced</w:t>
          </w:r>
          <w:r>
            <w:rPr>
              <w:spacing w:val="-5"/>
            </w:rPr>
            <w:t> </w:t>
          </w:r>
          <w:r>
            <w:rPr/>
            <w:t>seizure</w:t>
          </w:r>
          <w:r>
            <w:rPr>
              <w:spacing w:val="-1"/>
            </w:rPr>
            <w:t> </w:t>
          </w:r>
          <w:r>
            <w:rPr/>
            <w:t>in</w:t>
          </w:r>
          <w:r>
            <w:rPr>
              <w:spacing w:val="-4"/>
            </w:rPr>
            <w:t> mice</w:t>
          </w:r>
          <w:r>
            <w:rPr/>
            <w:tab/>
          </w:r>
          <w:r>
            <w:rPr>
              <w:spacing w:val="-5"/>
            </w:rPr>
            <w:t>81</w:t>
          </w:r>
        </w:p>
        <w:p>
          <w:pPr>
            <w:pStyle w:val="TOC1"/>
            <w:numPr>
              <w:ilvl w:val="2"/>
              <w:numId w:val="5"/>
            </w:numPr>
            <w:tabs>
              <w:tab w:pos="849" w:val="left" w:leader="none"/>
              <w:tab w:pos="8288" w:val="left" w:leader="dot"/>
            </w:tabs>
            <w:spacing w:line="240" w:lineRule="auto" w:before="276" w:after="0"/>
            <w:ind w:left="849" w:right="0" w:hanging="541"/>
            <w:jc w:val="left"/>
          </w:pPr>
          <w:hyperlink w:history="true" w:anchor="_TOC_250016">
            <w:r>
              <w:rPr/>
              <w:t>Picrotoxin-induced</w:t>
            </w:r>
            <w:r>
              <w:rPr>
                <w:spacing w:val="-5"/>
              </w:rPr>
              <w:t> </w:t>
            </w:r>
            <w:r>
              <w:rPr/>
              <w:t>seizure</w:t>
            </w:r>
            <w:r>
              <w:rPr>
                <w:spacing w:val="-2"/>
              </w:rPr>
              <w:t> </w:t>
            </w:r>
            <w:r>
              <w:rPr/>
              <w:t>in</w:t>
            </w:r>
            <w:r>
              <w:rPr>
                <w:spacing w:val="-4"/>
              </w:rPr>
              <w:t> mice</w:t>
            </w:r>
            <w:r>
              <w:rPr/>
              <w:tab/>
            </w:r>
            <w:r>
              <w:rPr>
                <w:spacing w:val="-5"/>
              </w:rPr>
              <w:t>83</w:t>
            </w:r>
          </w:hyperlink>
        </w:p>
        <w:p>
          <w:pPr>
            <w:pStyle w:val="TOC1"/>
            <w:numPr>
              <w:ilvl w:val="2"/>
              <w:numId w:val="5"/>
            </w:numPr>
            <w:tabs>
              <w:tab w:pos="849" w:val="left" w:leader="none"/>
              <w:tab w:pos="8277" w:val="left" w:leader="dot"/>
            </w:tabs>
            <w:spacing w:line="240" w:lineRule="auto" w:before="276" w:after="0"/>
            <w:ind w:left="849" w:right="0" w:hanging="541"/>
            <w:jc w:val="left"/>
          </w:pPr>
          <w:hyperlink w:history="true" w:anchor="_TOC_250015">
            <w:r>
              <w:rPr/>
              <w:t>Pentylenetetrazole-induced</w:t>
            </w:r>
            <w:r>
              <w:rPr>
                <w:spacing w:val="-6"/>
              </w:rPr>
              <w:t> </w:t>
            </w:r>
            <w:r>
              <w:rPr/>
              <w:t>kindling</w:t>
            </w:r>
            <w:r>
              <w:rPr>
                <w:spacing w:val="-1"/>
              </w:rPr>
              <w:t> </w:t>
            </w:r>
            <w:r>
              <w:rPr/>
              <w:t>in</w:t>
            </w:r>
            <w:r>
              <w:rPr>
                <w:spacing w:val="-5"/>
              </w:rPr>
              <w:t> </w:t>
            </w:r>
            <w:r>
              <w:rPr>
                <w:spacing w:val="-4"/>
              </w:rPr>
              <w:t>mice</w:t>
            </w:r>
            <w:r>
              <w:rPr/>
              <w:tab/>
            </w:r>
            <w:r>
              <w:rPr>
                <w:spacing w:val="-5"/>
              </w:rPr>
              <w:t>85</w:t>
            </w:r>
          </w:hyperlink>
        </w:p>
        <w:p>
          <w:pPr>
            <w:pStyle w:val="TOC1"/>
            <w:numPr>
              <w:ilvl w:val="2"/>
              <w:numId w:val="5"/>
            </w:numPr>
            <w:tabs>
              <w:tab w:pos="849" w:val="left" w:leader="none"/>
              <w:tab w:pos="8244" w:val="left" w:leader="dot"/>
            </w:tabs>
            <w:spacing w:line="240" w:lineRule="auto" w:before="276" w:after="0"/>
            <w:ind w:left="849" w:right="0" w:hanging="541"/>
            <w:jc w:val="left"/>
          </w:pPr>
          <w:hyperlink w:history="true" w:anchor="_TOC_250014">
            <w:r>
              <w:rPr/>
              <w:t>Determination</w:t>
            </w:r>
            <w:r>
              <w:rPr>
                <w:spacing w:val="-6"/>
              </w:rPr>
              <w:t> </w:t>
            </w:r>
            <w:r>
              <w:rPr/>
              <w:t>of</w:t>
            </w:r>
            <w:r>
              <w:rPr>
                <w:spacing w:val="-3"/>
              </w:rPr>
              <w:t> </w:t>
            </w:r>
            <w:r>
              <w:rPr/>
              <w:t>median</w:t>
            </w:r>
            <w:r>
              <w:rPr>
                <w:spacing w:val="-5"/>
              </w:rPr>
              <w:t> </w:t>
            </w:r>
            <w:r>
              <w:rPr/>
              <w:t>effective</w:t>
            </w:r>
            <w:r>
              <w:rPr>
                <w:spacing w:val="-1"/>
              </w:rPr>
              <w:t> </w:t>
            </w:r>
            <w:r>
              <w:rPr/>
              <w:t>dose</w:t>
            </w:r>
            <w:r>
              <w:rPr>
                <w:spacing w:val="-1"/>
              </w:rPr>
              <w:t> </w:t>
            </w:r>
            <w:r>
              <w:rPr>
                <w:spacing w:val="-2"/>
              </w:rPr>
              <w:t>(ED</w:t>
            </w:r>
            <w:r>
              <w:rPr>
                <w:spacing w:val="-2"/>
                <w:vertAlign w:val="subscript"/>
              </w:rPr>
              <w:t>50</w:t>
            </w:r>
            <w:r>
              <w:rPr>
                <w:spacing w:val="-2"/>
                <w:vertAlign w:val="baseline"/>
              </w:rPr>
              <w:t>)</w:t>
            </w:r>
            <w:r>
              <w:rPr>
                <w:vertAlign w:val="baseline"/>
              </w:rPr>
              <w:tab/>
            </w:r>
            <w:r>
              <w:rPr>
                <w:spacing w:val="-5"/>
                <w:vertAlign w:val="baseline"/>
              </w:rPr>
              <w:t>87</w:t>
            </w:r>
          </w:hyperlink>
        </w:p>
        <w:p>
          <w:pPr>
            <w:pStyle w:val="TOC1"/>
            <w:numPr>
              <w:ilvl w:val="2"/>
              <w:numId w:val="5"/>
            </w:numPr>
            <w:tabs>
              <w:tab w:pos="849" w:val="left" w:leader="none"/>
              <w:tab w:pos="8293" w:val="left" w:leader="dot"/>
            </w:tabs>
            <w:spacing w:line="240" w:lineRule="auto" w:before="276" w:after="0"/>
            <w:ind w:left="849" w:right="0" w:hanging="541"/>
            <w:jc w:val="left"/>
          </w:pPr>
          <w:hyperlink w:history="true" w:anchor="_TOC_250013">
            <w:r>
              <w:rPr/>
              <w:t>Tolerance</w:t>
            </w:r>
            <w:r>
              <w:rPr>
                <w:spacing w:val="-2"/>
              </w:rPr>
              <w:t> </w:t>
            </w:r>
            <w:r>
              <w:rPr/>
              <w:t>study</w:t>
            </w:r>
            <w:r>
              <w:rPr>
                <w:spacing w:val="-10"/>
              </w:rPr>
              <w:t> </w:t>
            </w:r>
            <w:r>
              <w:rPr/>
              <w:t>using</w:t>
            </w:r>
            <w:r>
              <w:rPr>
                <w:spacing w:val="3"/>
              </w:rPr>
              <w:t> </w:t>
            </w:r>
            <w:r>
              <w:rPr/>
              <w:t>maxmal</w:t>
            </w:r>
            <w:r>
              <w:rPr>
                <w:spacing w:val="-9"/>
              </w:rPr>
              <w:t> </w:t>
            </w:r>
            <w:r>
              <w:rPr/>
              <w:t>electroshock</w:t>
            </w:r>
            <w:r>
              <w:rPr>
                <w:spacing w:val="-5"/>
              </w:rPr>
              <w:t> </w:t>
            </w:r>
            <w:r>
              <w:rPr>
                <w:spacing w:val="-4"/>
              </w:rPr>
              <w:t>test</w:t>
            </w:r>
            <w:r>
              <w:rPr/>
              <w:tab/>
            </w:r>
            <w:r>
              <w:rPr>
                <w:spacing w:val="-5"/>
              </w:rPr>
              <w:t>88</w:t>
            </w:r>
          </w:hyperlink>
        </w:p>
        <w:p>
          <w:pPr>
            <w:pStyle w:val="TOC1"/>
            <w:numPr>
              <w:ilvl w:val="1"/>
              <w:numId w:val="5"/>
            </w:numPr>
            <w:tabs>
              <w:tab w:pos="672" w:val="left" w:leader="none"/>
              <w:tab w:pos="8307" w:val="left" w:leader="dot"/>
            </w:tabs>
            <w:spacing w:line="240" w:lineRule="auto" w:before="276" w:after="0"/>
            <w:ind w:left="672" w:right="0" w:hanging="364"/>
            <w:jc w:val="left"/>
          </w:pPr>
          <w:hyperlink w:history="true" w:anchor="_TOC_250012">
            <w:r>
              <w:rPr>
                <w:spacing w:val="-2"/>
              </w:rPr>
              <w:t>Pharmacological</w:t>
            </w:r>
            <w:r>
              <w:rPr>
                <w:spacing w:val="10"/>
              </w:rPr>
              <w:t> </w:t>
            </w:r>
            <w:r>
              <w:rPr>
                <w:spacing w:val="-2"/>
              </w:rPr>
              <w:t>Interaction</w:t>
            </w:r>
            <w:r>
              <w:rPr/>
              <w:tab/>
            </w:r>
            <w:r>
              <w:rPr>
                <w:spacing w:val="-5"/>
              </w:rPr>
              <w:t>89</w:t>
            </w:r>
          </w:hyperlink>
        </w:p>
        <w:p>
          <w:pPr>
            <w:pStyle w:val="TOC1"/>
            <w:numPr>
              <w:ilvl w:val="2"/>
              <w:numId w:val="5"/>
            </w:numPr>
            <w:tabs>
              <w:tab w:pos="902" w:val="left" w:leader="none"/>
              <w:tab w:pos="8330" w:val="left" w:leader="dot"/>
            </w:tabs>
            <w:spacing w:line="242" w:lineRule="auto" w:before="277" w:after="0"/>
            <w:ind w:left="308" w:right="126" w:firstLine="0"/>
            <w:jc w:val="left"/>
          </w:pPr>
          <w:hyperlink w:history="true" w:anchor="_TOC_250011">
            <w:r>
              <w:rPr/>
              <w:t>Effect</w:t>
            </w:r>
            <w:r>
              <w:rPr>
                <w:spacing w:val="40"/>
              </w:rPr>
              <w:t> </w:t>
            </w:r>
            <w:r>
              <w:rPr/>
              <w:t>of</w:t>
            </w:r>
            <w:r>
              <w:rPr>
                <w:spacing w:val="40"/>
              </w:rPr>
              <w:t> </w:t>
            </w:r>
            <w:r>
              <w:rPr/>
              <w:t>fluphenamic</w:t>
            </w:r>
            <w:r>
              <w:rPr>
                <w:spacing w:val="40"/>
              </w:rPr>
              <w:t> </w:t>
            </w:r>
            <w:r>
              <w:rPr/>
              <w:t>acid</w:t>
            </w:r>
            <w:r>
              <w:rPr>
                <w:spacing w:val="40"/>
              </w:rPr>
              <w:t> </w:t>
            </w:r>
            <w:r>
              <w:rPr/>
              <w:t>on</w:t>
            </w:r>
            <w:r>
              <w:rPr>
                <w:spacing w:val="40"/>
              </w:rPr>
              <w:t> </w:t>
            </w:r>
            <w:r>
              <w:rPr/>
              <w:t>anticonvulsant</w:t>
            </w:r>
            <w:r>
              <w:rPr>
                <w:spacing w:val="40"/>
              </w:rPr>
              <w:t> </w:t>
            </w:r>
            <w:r>
              <w:rPr/>
              <w:t>activity</w:t>
            </w:r>
            <w:r>
              <w:rPr>
                <w:spacing w:val="40"/>
              </w:rPr>
              <w:t> </w:t>
            </w:r>
            <w:r>
              <w:rPr/>
              <w:t>of</w:t>
            </w:r>
            <w:r>
              <w:rPr>
                <w:spacing w:val="40"/>
              </w:rPr>
              <w:t> </w:t>
            </w:r>
            <w:r>
              <w:rPr/>
              <w:t>DCP23,</w:t>
            </w:r>
            <w:r>
              <w:rPr>
                <w:spacing w:val="40"/>
              </w:rPr>
              <w:t> </w:t>
            </w:r>
            <w:r>
              <w:rPr/>
              <w:t>DCP25</w:t>
            </w:r>
            <w:r>
              <w:rPr>
                <w:spacing w:val="40"/>
              </w:rPr>
              <w:t> </w:t>
            </w:r>
            <w:r>
              <w:rPr/>
              <w:t>and DCP34 in mice</w:t>
              <w:tab/>
            </w:r>
            <w:r>
              <w:rPr>
                <w:spacing w:val="-6"/>
              </w:rPr>
              <w:t>89</w:t>
            </w:r>
          </w:hyperlink>
        </w:p>
        <w:p>
          <w:pPr>
            <w:pStyle w:val="TOC1"/>
            <w:numPr>
              <w:ilvl w:val="2"/>
              <w:numId w:val="5"/>
            </w:numPr>
            <w:tabs>
              <w:tab w:pos="911" w:val="left" w:leader="none"/>
              <w:tab w:pos="8405" w:val="left" w:leader="dot"/>
            </w:tabs>
            <w:spacing w:line="237" w:lineRule="auto" w:before="275" w:after="0"/>
            <w:ind w:left="308" w:right="111" w:firstLine="0"/>
            <w:jc w:val="left"/>
          </w:pPr>
          <w:hyperlink w:history="true" w:anchor="_TOC_250010">
            <w:r>
              <w:rPr/>
              <w:t>Effect</w:t>
            </w:r>
            <w:r>
              <w:rPr>
                <w:spacing w:val="40"/>
              </w:rPr>
              <w:t> </w:t>
            </w:r>
            <w:r>
              <w:rPr/>
              <w:t>of</w:t>
            </w:r>
            <w:r>
              <w:rPr>
                <w:spacing w:val="40"/>
              </w:rPr>
              <w:t> </w:t>
            </w:r>
            <w:r>
              <w:rPr/>
              <w:t>Nickel</w:t>
            </w:r>
            <w:r>
              <w:rPr>
                <w:spacing w:val="40"/>
              </w:rPr>
              <w:t> </w:t>
            </w:r>
            <w:r>
              <w:rPr/>
              <w:t>Chloride</w:t>
            </w:r>
            <w:r>
              <w:rPr>
                <w:spacing w:val="40"/>
              </w:rPr>
              <w:t> </w:t>
            </w:r>
            <w:r>
              <w:rPr/>
              <w:t>on</w:t>
            </w:r>
            <w:r>
              <w:rPr>
                <w:spacing w:val="40"/>
              </w:rPr>
              <w:t> </w:t>
            </w:r>
            <w:r>
              <w:rPr/>
              <w:t>DCP23</w:t>
            </w:r>
            <w:r>
              <w:rPr>
                <w:spacing w:val="40"/>
              </w:rPr>
              <w:t> </w:t>
            </w:r>
            <w:r>
              <w:rPr/>
              <w:t>and</w:t>
            </w:r>
            <w:r>
              <w:rPr>
                <w:spacing w:val="40"/>
              </w:rPr>
              <w:t> </w:t>
            </w:r>
            <w:r>
              <w:rPr/>
              <w:t>DCP25</w:t>
            </w:r>
            <w:r>
              <w:rPr>
                <w:spacing w:val="40"/>
              </w:rPr>
              <w:t> </w:t>
            </w:r>
            <w:r>
              <w:rPr/>
              <w:t>against</w:t>
            </w:r>
            <w:r>
              <w:rPr>
                <w:spacing w:val="40"/>
              </w:rPr>
              <w:t> </w:t>
            </w:r>
            <w:r>
              <w:rPr/>
              <w:t>Pentylenetetrazole- induced Seizure in Mice</w:t>
              <w:tab/>
            </w:r>
            <w:r>
              <w:rPr>
                <w:spacing w:val="-6"/>
              </w:rPr>
              <w:t>91</w:t>
            </w:r>
          </w:hyperlink>
        </w:p>
        <w:p>
          <w:pPr>
            <w:pStyle w:val="TOC1"/>
            <w:numPr>
              <w:ilvl w:val="2"/>
              <w:numId w:val="5"/>
            </w:numPr>
            <w:tabs>
              <w:tab w:pos="1041" w:val="left" w:leader="none"/>
              <w:tab w:pos="1871" w:val="left" w:leader="none"/>
              <w:tab w:pos="2322" w:val="left" w:leader="none"/>
              <w:tab w:pos="4101" w:val="left" w:leader="none"/>
              <w:tab w:pos="8401" w:val="left" w:leader="dot"/>
            </w:tabs>
            <w:spacing w:line="242" w:lineRule="auto" w:before="277" w:after="0"/>
            <w:ind w:left="308" w:right="129" w:firstLine="0"/>
            <w:jc w:val="left"/>
          </w:pPr>
          <w:hyperlink w:history="true" w:anchor="_TOC_250009">
            <w:r>
              <w:rPr>
                <w:spacing w:val="-2"/>
              </w:rPr>
              <w:t>Effect</w:t>
            </w:r>
            <w:r>
              <w:rPr/>
              <w:tab/>
            </w:r>
            <w:r>
              <w:rPr>
                <w:spacing w:val="-6"/>
              </w:rPr>
              <w:t>of</w:t>
            </w:r>
            <w:r>
              <w:rPr/>
              <w:tab/>
            </w:r>
            <w:r>
              <w:rPr>
                <w:spacing w:val="-2"/>
              </w:rPr>
              <w:t>Cyproheptadine</w:t>
            </w:r>
            <w:r>
              <w:rPr/>
              <w:tab/>
              <w:t>on</w:t>
            </w:r>
            <w:r>
              <w:rPr>
                <w:spacing w:val="40"/>
              </w:rPr>
              <w:t>  </w:t>
            </w:r>
            <w:r>
              <w:rPr/>
              <w:t>DCP23,</w:t>
            </w:r>
            <w:r>
              <w:rPr>
                <w:spacing w:val="40"/>
              </w:rPr>
              <w:t>  </w:t>
            </w:r>
            <w:r>
              <w:rPr/>
              <w:t>DCP25</w:t>
            </w:r>
            <w:r>
              <w:rPr>
                <w:spacing w:val="40"/>
              </w:rPr>
              <w:t>  </w:t>
            </w:r>
            <w:r>
              <w:rPr/>
              <w:t>and</w:t>
            </w:r>
            <w:r>
              <w:rPr>
                <w:spacing w:val="40"/>
              </w:rPr>
              <w:t>  </w:t>
            </w:r>
            <w:r>
              <w:rPr/>
              <w:t>DCP34</w:t>
            </w:r>
            <w:r>
              <w:rPr>
                <w:spacing w:val="40"/>
              </w:rPr>
              <w:t>  </w:t>
            </w:r>
            <w:r>
              <w:rPr/>
              <w:t>against</w:t>
            </w:r>
            <w:r>
              <w:rPr>
                <w:spacing w:val="40"/>
              </w:rPr>
              <w:t> </w:t>
            </w:r>
            <w:r>
              <w:rPr/>
              <w:t>Pentylenetetrazole-induced Seizure in Mice</w:t>
              <w:tab/>
            </w:r>
            <w:r>
              <w:rPr>
                <w:spacing w:val="-6"/>
              </w:rPr>
              <w:t>93</w:t>
            </w:r>
          </w:hyperlink>
        </w:p>
        <w:p>
          <w:pPr>
            <w:pStyle w:val="TOC1"/>
            <w:numPr>
              <w:ilvl w:val="2"/>
              <w:numId w:val="5"/>
            </w:numPr>
            <w:tabs>
              <w:tab w:pos="849" w:val="left" w:leader="none"/>
              <w:tab w:pos="8374" w:val="left" w:leader="dot"/>
            </w:tabs>
            <w:spacing w:line="240" w:lineRule="auto" w:before="273" w:after="0"/>
            <w:ind w:left="849" w:right="0" w:hanging="541"/>
            <w:jc w:val="left"/>
          </w:pPr>
          <w:r>
            <w:rPr/>
            <w:t>Effects</w:t>
          </w:r>
          <w:r>
            <w:rPr>
              <w:spacing w:val="-3"/>
            </w:rPr>
            <w:t> </w:t>
          </w:r>
          <w:r>
            <w:rPr/>
            <w:t>of</w:t>
          </w:r>
          <w:r>
            <w:rPr>
              <w:spacing w:val="-9"/>
            </w:rPr>
            <w:t> </w:t>
          </w:r>
          <w:r>
            <w:rPr/>
            <w:t>DCP23</w:t>
          </w:r>
          <w:r>
            <w:rPr>
              <w:spacing w:val="-1"/>
            </w:rPr>
            <w:t> </w:t>
          </w:r>
          <w:r>
            <w:rPr/>
            <w:t>and</w:t>
          </w:r>
          <w:r>
            <w:rPr>
              <w:spacing w:val="-1"/>
            </w:rPr>
            <w:t> </w:t>
          </w:r>
          <w:r>
            <w:rPr/>
            <w:t>DCP25</w:t>
          </w:r>
          <w:r>
            <w:rPr>
              <w:spacing w:val="-1"/>
            </w:rPr>
            <w:t> </w:t>
          </w:r>
          <w:r>
            <w:rPr/>
            <w:t>on</w:t>
          </w:r>
          <w:r>
            <w:rPr>
              <w:spacing w:val="-5"/>
            </w:rPr>
            <w:t> </w:t>
          </w:r>
          <w:r>
            <w:rPr/>
            <w:t>Diazepam-induced</w:t>
          </w:r>
          <w:r>
            <w:rPr>
              <w:spacing w:val="2"/>
            </w:rPr>
            <w:t> </w:t>
          </w:r>
          <w:r>
            <w:rPr/>
            <w:t>in </w:t>
          </w:r>
          <w:r>
            <w:rPr>
              <w:spacing w:val="-4"/>
            </w:rPr>
            <w:t>Mice</w:t>
          </w:r>
          <w:r>
            <w:rPr/>
            <w:tab/>
          </w:r>
          <w:r>
            <w:rPr>
              <w:spacing w:val="-5"/>
            </w:rPr>
            <w:t>95</w:t>
          </w:r>
        </w:p>
        <w:p>
          <w:pPr>
            <w:pStyle w:val="TOC1"/>
            <w:numPr>
              <w:ilvl w:val="1"/>
              <w:numId w:val="5"/>
            </w:numPr>
            <w:tabs>
              <w:tab w:pos="686" w:val="left" w:leader="none"/>
              <w:tab w:pos="8370" w:val="left" w:leader="dot"/>
            </w:tabs>
            <w:spacing w:line="480" w:lineRule="auto" w:before="276" w:after="0"/>
            <w:ind w:left="308" w:right="111" w:firstLine="0"/>
            <w:jc w:val="left"/>
          </w:pPr>
          <w:hyperlink w:history="true" w:anchor="_TOC_250008">
            <w:r>
              <w:rPr/>
              <w:t>Actions of DCP23, DCP25 and DCP34 ON Voltage-Gated Sodium Channels (Na</w:t>
            </w:r>
            <w:r>
              <w:rPr>
                <w:vertAlign w:val="subscript"/>
              </w:rPr>
              <w:t>V</w:t>
            </w:r>
            <w:r>
              <w:rPr>
                <w:vertAlign w:val="baseline"/>
              </w:rPr>
              <w:t> </w:t>
            </w:r>
            <w:r>
              <w:rPr>
                <w:spacing w:val="-4"/>
                <w:vertAlign w:val="baseline"/>
              </w:rPr>
              <w:t>1.6)</w:t>
            </w:r>
            <w:r>
              <w:rPr>
                <w:vertAlign w:val="baseline"/>
              </w:rPr>
              <w:tab/>
              <w:tab/>
            </w:r>
            <w:r>
              <w:rPr>
                <w:spacing w:val="-6"/>
                <w:vertAlign w:val="baseline"/>
              </w:rPr>
              <w:t>98</w:t>
            </w:r>
          </w:hyperlink>
        </w:p>
        <w:p>
          <w:pPr>
            <w:pStyle w:val="TOC1"/>
            <w:numPr>
              <w:ilvl w:val="2"/>
              <w:numId w:val="5"/>
            </w:numPr>
            <w:tabs>
              <w:tab w:pos="849" w:val="left" w:leader="none"/>
              <w:tab w:pos="8370" w:val="left" w:leader="dot"/>
            </w:tabs>
            <w:spacing w:line="240" w:lineRule="auto" w:before="1" w:after="0"/>
            <w:ind w:left="849" w:right="0" w:hanging="541"/>
            <w:jc w:val="left"/>
          </w:pPr>
          <w:hyperlink w:history="true" w:anchor="_TOC_250007">
            <w:r>
              <w:rPr/>
              <w:t>States</w:t>
            </w:r>
            <w:r>
              <w:rPr>
                <w:spacing w:val="-6"/>
              </w:rPr>
              <w:t> </w:t>
            </w:r>
            <w:r>
              <w:rPr/>
              <w:t>Dependent</w:t>
            </w:r>
            <w:r>
              <w:rPr>
                <w:spacing w:val="2"/>
              </w:rPr>
              <w:t> </w:t>
            </w:r>
            <w:r>
              <w:rPr>
                <w:spacing w:val="-2"/>
              </w:rPr>
              <w:t>Actions</w:t>
            </w:r>
            <w:r>
              <w:rPr/>
              <w:tab/>
            </w:r>
            <w:r>
              <w:rPr>
                <w:spacing w:val="-5"/>
              </w:rPr>
              <w:t>98</w:t>
            </w:r>
          </w:hyperlink>
        </w:p>
        <w:p>
          <w:pPr>
            <w:pStyle w:val="TOC1"/>
            <w:numPr>
              <w:ilvl w:val="2"/>
              <w:numId w:val="5"/>
            </w:numPr>
            <w:tabs>
              <w:tab w:pos="849" w:val="left" w:leader="none"/>
              <w:tab w:pos="8317" w:val="left" w:leader="dot"/>
            </w:tabs>
            <w:spacing w:line="240" w:lineRule="auto" w:before="276" w:after="0"/>
            <w:ind w:left="849" w:right="0" w:hanging="541"/>
            <w:jc w:val="left"/>
          </w:pPr>
          <w:hyperlink w:history="true" w:anchor="_TOC_250006">
            <w:r>
              <w:rPr/>
              <w:t>Use</w:t>
            </w:r>
            <w:r>
              <w:rPr>
                <w:spacing w:val="-6"/>
              </w:rPr>
              <w:t> </w:t>
            </w:r>
            <w:r>
              <w:rPr/>
              <w:t>Dependent</w:t>
            </w:r>
            <w:r>
              <w:rPr>
                <w:spacing w:val="1"/>
              </w:rPr>
              <w:t> </w:t>
            </w:r>
            <w:r>
              <w:rPr>
                <w:spacing w:val="-2"/>
              </w:rPr>
              <w:t>Action</w:t>
            </w:r>
            <w:r>
              <w:rPr/>
              <w:tab/>
            </w:r>
            <w:r>
              <w:rPr>
                <w:spacing w:val="-5"/>
              </w:rPr>
              <w:t>105</w:t>
            </w:r>
          </w:hyperlink>
        </w:p>
        <w:p>
          <w:pPr>
            <w:pStyle w:val="TOC1"/>
            <w:numPr>
              <w:ilvl w:val="0"/>
              <w:numId w:val="6"/>
            </w:numPr>
            <w:tabs>
              <w:tab w:pos="672" w:val="left" w:leader="none"/>
              <w:tab w:pos="8264" w:val="left" w:leader="dot"/>
            </w:tabs>
            <w:spacing w:line="240" w:lineRule="auto" w:before="276" w:after="0"/>
            <w:ind w:left="672" w:right="0" w:hanging="364"/>
            <w:jc w:val="left"/>
          </w:pPr>
          <w:hyperlink w:history="true" w:anchor="_TOC_250005">
            <w:r>
              <w:rPr>
                <w:spacing w:val="-2"/>
              </w:rPr>
              <w:t>DISCUSSION</w:t>
            </w:r>
            <w:r>
              <w:rPr/>
              <w:tab/>
            </w:r>
            <w:r>
              <w:rPr>
                <w:spacing w:val="-5"/>
              </w:rPr>
              <w:t>107</w:t>
            </w:r>
          </w:hyperlink>
        </w:p>
        <w:p>
          <w:pPr>
            <w:pStyle w:val="TOC1"/>
            <w:numPr>
              <w:ilvl w:val="0"/>
              <w:numId w:val="6"/>
            </w:numPr>
            <w:tabs>
              <w:tab w:pos="672" w:val="left" w:leader="none"/>
              <w:tab w:pos="8202" w:val="left" w:leader="dot"/>
            </w:tabs>
            <w:spacing w:line="240" w:lineRule="auto" w:before="277" w:after="0"/>
            <w:ind w:left="672" w:right="0" w:hanging="364"/>
            <w:jc w:val="left"/>
          </w:pPr>
          <w:hyperlink w:history="true" w:anchor="_TOC_250004">
            <w:r>
              <w:rPr/>
              <w:t>SUMMARY,</w:t>
            </w:r>
            <w:r>
              <w:rPr>
                <w:spacing w:val="-5"/>
              </w:rPr>
              <w:t> </w:t>
            </w:r>
            <w:r>
              <w:rPr/>
              <w:t>CONCLUSION</w:t>
            </w:r>
            <w:r>
              <w:rPr>
                <w:spacing w:val="-7"/>
              </w:rPr>
              <w:t> </w:t>
            </w:r>
            <w:r>
              <w:rPr/>
              <w:t>AND</w:t>
            </w:r>
            <w:r>
              <w:rPr>
                <w:spacing w:val="-6"/>
              </w:rPr>
              <w:t> </w:t>
            </w:r>
            <w:r>
              <w:rPr>
                <w:spacing w:val="-2"/>
              </w:rPr>
              <w:t>RECOMMENDATION</w:t>
            </w:r>
            <w:r>
              <w:rPr/>
              <w:tab/>
            </w:r>
            <w:r>
              <w:rPr>
                <w:spacing w:val="-5"/>
              </w:rPr>
              <w:t>127</w:t>
            </w:r>
          </w:hyperlink>
        </w:p>
        <w:p>
          <w:pPr>
            <w:pStyle w:val="TOC1"/>
            <w:numPr>
              <w:ilvl w:val="1"/>
              <w:numId w:val="6"/>
            </w:numPr>
            <w:tabs>
              <w:tab w:pos="672" w:val="left" w:leader="none"/>
              <w:tab w:pos="8384" w:val="left" w:leader="dot"/>
            </w:tabs>
            <w:spacing w:line="240" w:lineRule="auto" w:before="276" w:after="0"/>
            <w:ind w:left="672" w:right="0" w:hanging="364"/>
            <w:jc w:val="left"/>
          </w:pPr>
          <w:hyperlink w:history="true" w:anchor="_TOC_250003">
            <w:r>
              <w:rPr>
                <w:spacing w:val="-2"/>
              </w:rPr>
              <w:t>Summary</w:t>
            </w:r>
            <w:r>
              <w:rPr/>
              <w:tab/>
            </w:r>
            <w:r>
              <w:rPr>
                <w:spacing w:val="-5"/>
              </w:rPr>
              <w:t>127</w:t>
            </w:r>
          </w:hyperlink>
        </w:p>
        <w:p>
          <w:pPr>
            <w:pStyle w:val="TOC1"/>
            <w:numPr>
              <w:ilvl w:val="1"/>
              <w:numId w:val="6"/>
            </w:numPr>
            <w:tabs>
              <w:tab w:pos="672" w:val="left" w:leader="none"/>
              <w:tab w:pos="8370" w:val="left" w:leader="dot"/>
            </w:tabs>
            <w:spacing w:line="240" w:lineRule="auto" w:before="276" w:after="0"/>
            <w:ind w:left="672" w:right="0" w:hanging="364"/>
            <w:jc w:val="left"/>
          </w:pPr>
          <w:hyperlink w:history="true" w:anchor="_TOC_250002">
            <w:r>
              <w:rPr>
                <w:spacing w:val="-2"/>
              </w:rPr>
              <w:t>Conclusion</w:t>
            </w:r>
            <w:r>
              <w:rPr/>
              <w:tab/>
            </w:r>
            <w:r>
              <w:rPr>
                <w:spacing w:val="-5"/>
              </w:rPr>
              <w:t>129</w:t>
            </w:r>
          </w:hyperlink>
        </w:p>
        <w:p>
          <w:pPr>
            <w:pStyle w:val="TOC1"/>
            <w:numPr>
              <w:ilvl w:val="1"/>
              <w:numId w:val="6"/>
            </w:numPr>
            <w:tabs>
              <w:tab w:pos="672" w:val="left" w:leader="none"/>
              <w:tab w:pos="8365" w:val="left" w:leader="dot"/>
            </w:tabs>
            <w:spacing w:line="240" w:lineRule="auto" w:before="276" w:after="20"/>
            <w:ind w:left="672" w:right="0" w:hanging="364"/>
            <w:jc w:val="left"/>
          </w:pPr>
          <w:hyperlink w:history="true" w:anchor="_TOC_250001">
            <w:r>
              <w:rPr>
                <w:spacing w:val="-2"/>
              </w:rPr>
              <w:t>Recommendation</w:t>
            </w:r>
            <w:r>
              <w:rPr/>
              <w:tab/>
            </w:r>
            <w:r>
              <w:rPr>
                <w:spacing w:val="-5"/>
              </w:rPr>
              <w:t>130</w:t>
            </w:r>
          </w:hyperlink>
        </w:p>
        <w:p>
          <w:pPr>
            <w:pStyle w:val="TOC1"/>
            <w:tabs>
              <w:tab w:pos="8283" w:val="right" w:leader="dot"/>
            </w:tabs>
            <w:spacing w:before="70"/>
            <w:ind w:left="308" w:firstLine="0"/>
          </w:pPr>
          <w:hyperlink w:history="true" w:anchor="_TOC_250000">
            <w:r>
              <w:rPr>
                <w:spacing w:val="-2"/>
              </w:rPr>
              <w:t>REFERENCE</w:t>
            </w:r>
            <w:r>
              <w:rPr/>
              <w:tab/>
            </w:r>
            <w:r>
              <w:rPr>
                <w:spacing w:val="-5"/>
              </w:rPr>
              <w:t>131</w:t>
            </w:r>
          </w:hyperlink>
        </w:p>
        <w:p>
          <w:pPr>
            <w:pStyle w:val="TOC1"/>
            <w:tabs>
              <w:tab w:pos="8336" w:val="right" w:leader="dot"/>
            </w:tabs>
            <w:ind w:left="308" w:firstLine="0"/>
          </w:pPr>
          <w:r>
            <w:rPr>
              <w:spacing w:val="-2"/>
            </w:rPr>
            <w:t>APPENDIX…</w:t>
          </w:r>
          <w:r>
            <w:rPr/>
            <w:tab/>
          </w:r>
          <w:r>
            <w:rPr>
              <w:spacing w:val="-5"/>
            </w:rPr>
            <w:t>147</w:t>
          </w:r>
        </w:p>
      </w:sdtContent>
    </w:sdt>
    <w:p>
      <w:pPr>
        <w:spacing w:after="0"/>
        <w:sectPr>
          <w:type w:val="continuous"/>
          <w:pgSz w:w="11910" w:h="16840"/>
          <w:pgMar w:header="0" w:footer="777" w:top="1339" w:bottom="1603" w:left="1680" w:right="1300"/>
        </w:sectPr>
      </w:pPr>
    </w:p>
    <w:p>
      <w:pPr>
        <w:pStyle w:val="BodyText"/>
      </w:pPr>
    </w:p>
    <w:p>
      <w:pPr>
        <w:pStyle w:val="BodyText"/>
        <w:ind w:left="308"/>
      </w:pPr>
      <w:r>
        <w:rPr/>
        <w:t>LIST</w:t>
      </w:r>
      <w:r>
        <w:rPr>
          <w:spacing w:val="2"/>
        </w:rPr>
        <w:t> </w:t>
      </w:r>
      <w:r>
        <w:rPr/>
        <w:t>OF</w:t>
      </w:r>
      <w:r>
        <w:rPr>
          <w:spacing w:val="-3"/>
        </w:rPr>
        <w:t> </w:t>
      </w:r>
      <w:r>
        <w:rPr>
          <w:spacing w:val="-2"/>
        </w:rPr>
        <w:t>TABLES</w:t>
      </w:r>
    </w:p>
    <w:p>
      <w:pPr>
        <w:pStyle w:val="BodyText"/>
      </w:pPr>
    </w:p>
    <w:p>
      <w:pPr>
        <w:pStyle w:val="BodyText"/>
        <w:tabs>
          <w:tab w:pos="7985" w:val="left" w:leader="dot"/>
        </w:tabs>
        <w:ind w:left="308"/>
      </w:pPr>
      <w:r>
        <w:rPr/>
        <w:t>Table</w:t>
      </w:r>
      <w:r>
        <w:rPr>
          <w:spacing w:val="-2"/>
        </w:rPr>
        <w:t> </w:t>
      </w:r>
      <w:r>
        <w:rPr/>
        <w:t>4.1:</w:t>
      </w:r>
      <w:r>
        <w:rPr>
          <w:spacing w:val="-1"/>
        </w:rPr>
        <w:t> </w:t>
      </w:r>
      <w:r>
        <w:rPr/>
        <w:t>Physicochemical</w:t>
      </w:r>
      <w:r>
        <w:rPr>
          <w:spacing w:val="-10"/>
        </w:rPr>
        <w:t> </w:t>
      </w:r>
      <w:r>
        <w:rPr/>
        <w:t>Properties</w:t>
      </w:r>
      <w:r>
        <w:rPr>
          <w:spacing w:val="-3"/>
        </w:rPr>
        <w:t> </w:t>
      </w:r>
      <w:r>
        <w:rPr/>
        <w:t>of</w:t>
      </w:r>
      <w:r>
        <w:rPr>
          <w:spacing w:val="-8"/>
        </w:rPr>
        <w:t> </w:t>
      </w:r>
      <w:r>
        <w:rPr/>
        <w:t>DCP23, DCP25</w:t>
      </w:r>
      <w:r>
        <w:rPr>
          <w:spacing w:val="-1"/>
        </w:rPr>
        <w:t> </w:t>
      </w:r>
      <w:r>
        <w:rPr/>
        <w:t>and </w:t>
      </w:r>
      <w:r>
        <w:rPr>
          <w:spacing w:val="-2"/>
        </w:rPr>
        <w:t>DCP34</w:t>
      </w:r>
      <w:r>
        <w:rPr/>
        <w:tab/>
      </w:r>
      <w:r>
        <w:rPr>
          <w:spacing w:val="-5"/>
        </w:rPr>
        <w:t>61</w:t>
      </w:r>
    </w:p>
    <w:p>
      <w:pPr>
        <w:pStyle w:val="BodyText"/>
      </w:pPr>
    </w:p>
    <w:p>
      <w:pPr>
        <w:pStyle w:val="BodyText"/>
        <w:tabs>
          <w:tab w:pos="7973" w:val="left" w:leader="dot"/>
        </w:tabs>
        <w:spacing w:line="480" w:lineRule="auto"/>
        <w:ind w:left="308" w:right="121"/>
      </w:pPr>
      <w:r>
        <w:rPr/>
        <w:t>Table 4.2: Thin Layer Chromatographic Analysis of DCP23, DCP25 and DCP34 using </w:t>
      </w:r>
      <w:r>
        <w:rPr>
          <w:spacing w:val="-2"/>
        </w:rPr>
        <w:t>Ethylacetate</w:t>
      </w:r>
      <w:r>
        <w:rPr/>
        <w:tab/>
      </w:r>
      <w:r>
        <w:rPr>
          <w:spacing w:val="-6"/>
        </w:rPr>
        <w:t>62</w:t>
      </w:r>
    </w:p>
    <w:p>
      <w:pPr>
        <w:pStyle w:val="BodyText"/>
        <w:tabs>
          <w:tab w:pos="7994" w:val="left" w:leader="dot"/>
        </w:tabs>
        <w:spacing w:before="1"/>
        <w:ind w:left="308"/>
      </w:pPr>
      <w:r>
        <w:rPr/>
        <w:t>Table</w:t>
      </w:r>
      <w:r>
        <w:rPr>
          <w:spacing w:val="-5"/>
        </w:rPr>
        <w:t> </w:t>
      </w:r>
      <w:r>
        <w:rPr/>
        <w:t>4.3:</w:t>
      </w:r>
      <w:r>
        <w:rPr>
          <w:spacing w:val="-2"/>
        </w:rPr>
        <w:t> </w:t>
      </w:r>
      <w:r>
        <w:rPr/>
        <w:t>Pharmacophore</w:t>
      </w:r>
      <w:r>
        <w:rPr>
          <w:spacing w:val="-3"/>
        </w:rPr>
        <w:t> </w:t>
      </w:r>
      <w:r>
        <w:rPr/>
        <w:t>Units</w:t>
      </w:r>
      <w:r>
        <w:rPr>
          <w:spacing w:val="-4"/>
        </w:rPr>
        <w:t> </w:t>
      </w:r>
      <w:r>
        <w:rPr/>
        <w:t>of</w:t>
      </w:r>
      <w:r>
        <w:rPr>
          <w:spacing w:val="-9"/>
        </w:rPr>
        <w:t> </w:t>
      </w:r>
      <w:r>
        <w:rPr/>
        <w:t>the</w:t>
      </w:r>
      <w:r>
        <w:rPr>
          <w:spacing w:val="-3"/>
        </w:rPr>
        <w:t> </w:t>
      </w:r>
      <w:r>
        <w:rPr/>
        <w:t>Test</w:t>
      </w:r>
      <w:r>
        <w:rPr>
          <w:spacing w:val="3"/>
        </w:rPr>
        <w:t> </w:t>
      </w:r>
      <w:r>
        <w:rPr/>
        <w:t>Compounds</w:t>
      </w:r>
      <w:r>
        <w:rPr>
          <w:spacing w:val="-4"/>
        </w:rPr>
        <w:t> </w:t>
      </w:r>
      <w:r>
        <w:rPr/>
        <w:t>and</w:t>
      </w:r>
      <w:r>
        <w:rPr>
          <w:spacing w:val="-2"/>
        </w:rPr>
        <w:t> </w:t>
      </w:r>
      <w:r>
        <w:rPr/>
        <w:t>their </w:t>
      </w:r>
      <w:r>
        <w:rPr>
          <w:spacing w:val="-2"/>
        </w:rPr>
        <w:t>Distances</w:t>
      </w:r>
      <w:r>
        <w:rPr/>
        <w:tab/>
      </w:r>
      <w:r>
        <w:rPr>
          <w:spacing w:val="-5"/>
        </w:rPr>
        <w:t>63</w:t>
      </w:r>
    </w:p>
    <w:p>
      <w:pPr>
        <w:pStyle w:val="BodyText"/>
      </w:pPr>
    </w:p>
    <w:p>
      <w:pPr>
        <w:pStyle w:val="BodyText"/>
        <w:tabs>
          <w:tab w:pos="8018" w:val="left" w:leader="dot"/>
        </w:tabs>
        <w:spacing w:line="242" w:lineRule="auto"/>
        <w:ind w:left="308" w:right="121"/>
      </w:pPr>
      <w:r>
        <w:rPr/>
        <w:t>Table</w:t>
      </w:r>
      <w:r>
        <w:rPr>
          <w:spacing w:val="40"/>
        </w:rPr>
        <w:t> </w:t>
      </w:r>
      <w:r>
        <w:rPr/>
        <w:t>4.4:</w:t>
      </w:r>
      <w:r>
        <w:rPr>
          <w:spacing w:val="40"/>
        </w:rPr>
        <w:t> </w:t>
      </w:r>
      <w:r>
        <w:rPr/>
        <w:t>Infrared</w:t>
      </w:r>
      <w:r>
        <w:rPr>
          <w:spacing w:val="40"/>
        </w:rPr>
        <w:t> </w:t>
      </w:r>
      <w:r>
        <w:rPr/>
        <w:t>Spectra</w:t>
      </w:r>
      <w:r>
        <w:rPr>
          <w:spacing w:val="40"/>
        </w:rPr>
        <w:t> </w:t>
      </w:r>
      <w:r>
        <w:rPr/>
        <w:t>Data</w:t>
      </w:r>
      <w:r>
        <w:rPr>
          <w:spacing w:val="40"/>
        </w:rPr>
        <w:t> </w:t>
      </w:r>
      <w:r>
        <w:rPr/>
        <w:t>for</w:t>
      </w:r>
      <w:r>
        <w:rPr>
          <w:spacing w:val="40"/>
        </w:rPr>
        <w:t> </w:t>
      </w:r>
      <w:r>
        <w:rPr/>
        <w:t>2,3-,</w:t>
      </w:r>
      <w:r>
        <w:rPr>
          <w:spacing w:val="40"/>
        </w:rPr>
        <w:t> </w:t>
      </w:r>
      <w:r>
        <w:rPr/>
        <w:t>2,5-</w:t>
      </w:r>
      <w:r>
        <w:rPr>
          <w:spacing w:val="40"/>
        </w:rPr>
        <w:t> </w:t>
      </w:r>
      <w:r>
        <w:rPr/>
        <w:t>and</w:t>
      </w:r>
      <w:r>
        <w:rPr>
          <w:spacing w:val="40"/>
        </w:rPr>
        <w:t> </w:t>
      </w:r>
      <w:r>
        <w:rPr/>
        <w:t>3,4-</w:t>
      </w:r>
      <w:r>
        <w:rPr>
          <w:spacing w:val="40"/>
        </w:rPr>
        <w:t> </w:t>
      </w:r>
      <w:r>
        <w:rPr/>
        <w:t>Dichloro</w:t>
      </w:r>
      <w:r>
        <w:rPr>
          <w:spacing w:val="40"/>
        </w:rPr>
        <w:t> </w:t>
      </w:r>
      <w:r>
        <w:rPr/>
        <w:t>–</w:t>
      </w:r>
      <w:r>
        <w:rPr>
          <w:spacing w:val="40"/>
        </w:rPr>
        <w:t> </w:t>
      </w:r>
      <w:r>
        <w:rPr/>
        <w:t>3(aminophenyl) </w:t>
      </w:r>
      <w:r>
        <w:rPr>
          <w:spacing w:val="-2"/>
        </w:rPr>
        <w:t>propanamides</w:t>
      </w:r>
      <w:r>
        <w:rPr/>
        <w:tab/>
      </w:r>
      <w:r>
        <w:rPr>
          <w:spacing w:val="-6"/>
        </w:rPr>
        <w:t>64</w:t>
      </w:r>
    </w:p>
    <w:p>
      <w:pPr>
        <w:pStyle w:val="BodyText"/>
        <w:tabs>
          <w:tab w:pos="8023" w:val="left" w:leader="dot"/>
        </w:tabs>
        <w:spacing w:before="273"/>
        <w:ind w:left="308"/>
      </w:pPr>
      <w:r>
        <w:rPr/>
        <w:t>Table</w:t>
      </w:r>
      <w:r>
        <w:rPr>
          <w:spacing w:val="-1"/>
        </w:rPr>
        <w:t> </w:t>
      </w:r>
      <w:r>
        <w:rPr/>
        <w:t>4.5: H</w:t>
      </w:r>
      <w:r>
        <w:rPr>
          <w:vertAlign w:val="superscript"/>
        </w:rPr>
        <w:t>1</w:t>
      </w:r>
      <w:r>
        <w:rPr>
          <w:spacing w:val="-2"/>
          <w:vertAlign w:val="baseline"/>
        </w:rPr>
        <w:t> </w:t>
      </w:r>
      <w:r>
        <w:rPr>
          <w:vertAlign w:val="baseline"/>
        </w:rPr>
        <w:t>and </w:t>
      </w:r>
      <w:r>
        <w:rPr>
          <w:vertAlign w:val="superscript"/>
        </w:rPr>
        <w:t>13</w:t>
      </w:r>
      <w:r>
        <w:rPr>
          <w:vertAlign w:val="baseline"/>
        </w:rPr>
        <w:t>C</w:t>
      </w:r>
      <w:r>
        <w:rPr>
          <w:spacing w:val="-2"/>
          <w:vertAlign w:val="baseline"/>
        </w:rPr>
        <w:t> </w:t>
      </w:r>
      <w:r>
        <w:rPr>
          <w:vertAlign w:val="baseline"/>
        </w:rPr>
        <w:t>NMR</w:t>
      </w:r>
      <w:r>
        <w:rPr>
          <w:spacing w:val="-1"/>
          <w:vertAlign w:val="baseline"/>
        </w:rPr>
        <w:t> </w:t>
      </w:r>
      <w:r>
        <w:rPr>
          <w:vertAlign w:val="baseline"/>
        </w:rPr>
        <w:t>Interpretation</w:t>
      </w:r>
      <w:r>
        <w:rPr>
          <w:spacing w:val="-5"/>
          <w:vertAlign w:val="baseline"/>
        </w:rPr>
        <w:t> </w:t>
      </w:r>
      <w:r>
        <w:rPr>
          <w:vertAlign w:val="baseline"/>
        </w:rPr>
        <w:t>of</w:t>
      </w:r>
      <w:r>
        <w:rPr>
          <w:spacing w:val="-8"/>
          <w:vertAlign w:val="baseline"/>
        </w:rPr>
        <w:t> </w:t>
      </w:r>
      <w:r>
        <w:rPr>
          <w:vertAlign w:val="baseline"/>
        </w:rPr>
        <w:t>the DCP23 </w:t>
      </w:r>
      <w:r>
        <w:rPr>
          <w:spacing w:val="-2"/>
          <w:vertAlign w:val="baseline"/>
        </w:rPr>
        <w:t>Isomer</w:t>
      </w:r>
      <w:r>
        <w:rPr>
          <w:vertAlign w:val="baseline"/>
        </w:rPr>
        <w:tab/>
      </w:r>
      <w:r>
        <w:rPr>
          <w:spacing w:val="-5"/>
          <w:vertAlign w:val="baseline"/>
        </w:rPr>
        <w:t>66</w:t>
      </w:r>
    </w:p>
    <w:p>
      <w:pPr>
        <w:pStyle w:val="BodyText"/>
        <w:tabs>
          <w:tab w:pos="8023" w:val="left" w:leader="dot"/>
        </w:tabs>
        <w:spacing w:before="276"/>
        <w:ind w:left="308"/>
      </w:pPr>
      <w:r>
        <w:rPr/>
        <w:t>Table</w:t>
      </w:r>
      <w:r>
        <w:rPr>
          <w:spacing w:val="-1"/>
        </w:rPr>
        <w:t> </w:t>
      </w:r>
      <w:r>
        <w:rPr/>
        <w:t>4.6: H</w:t>
      </w:r>
      <w:r>
        <w:rPr>
          <w:vertAlign w:val="superscript"/>
        </w:rPr>
        <w:t>1</w:t>
      </w:r>
      <w:r>
        <w:rPr>
          <w:spacing w:val="-2"/>
          <w:vertAlign w:val="baseline"/>
        </w:rPr>
        <w:t> </w:t>
      </w:r>
      <w:r>
        <w:rPr>
          <w:vertAlign w:val="baseline"/>
        </w:rPr>
        <w:t>and </w:t>
      </w:r>
      <w:r>
        <w:rPr>
          <w:vertAlign w:val="superscript"/>
        </w:rPr>
        <w:t>13</w:t>
      </w:r>
      <w:r>
        <w:rPr>
          <w:vertAlign w:val="baseline"/>
        </w:rPr>
        <w:t>C</w:t>
      </w:r>
      <w:r>
        <w:rPr>
          <w:spacing w:val="-2"/>
          <w:vertAlign w:val="baseline"/>
        </w:rPr>
        <w:t> </w:t>
      </w:r>
      <w:r>
        <w:rPr>
          <w:vertAlign w:val="baseline"/>
        </w:rPr>
        <w:t>NMR</w:t>
      </w:r>
      <w:r>
        <w:rPr>
          <w:spacing w:val="-1"/>
          <w:vertAlign w:val="baseline"/>
        </w:rPr>
        <w:t> </w:t>
      </w:r>
      <w:r>
        <w:rPr>
          <w:vertAlign w:val="baseline"/>
        </w:rPr>
        <w:t>Interpretation</w:t>
      </w:r>
      <w:r>
        <w:rPr>
          <w:spacing w:val="-5"/>
          <w:vertAlign w:val="baseline"/>
        </w:rPr>
        <w:t> </w:t>
      </w:r>
      <w:r>
        <w:rPr>
          <w:vertAlign w:val="baseline"/>
        </w:rPr>
        <w:t>of</w:t>
      </w:r>
      <w:r>
        <w:rPr>
          <w:spacing w:val="-8"/>
          <w:vertAlign w:val="baseline"/>
        </w:rPr>
        <w:t> </w:t>
      </w:r>
      <w:r>
        <w:rPr>
          <w:vertAlign w:val="baseline"/>
        </w:rPr>
        <w:t>the DCP25 </w:t>
      </w:r>
      <w:r>
        <w:rPr>
          <w:spacing w:val="-2"/>
          <w:vertAlign w:val="baseline"/>
        </w:rPr>
        <w:t>Isomer</w:t>
      </w:r>
      <w:r>
        <w:rPr>
          <w:vertAlign w:val="baseline"/>
        </w:rPr>
        <w:tab/>
      </w:r>
      <w:r>
        <w:rPr>
          <w:spacing w:val="-5"/>
          <w:vertAlign w:val="baseline"/>
        </w:rPr>
        <w:t>67</w:t>
      </w:r>
    </w:p>
    <w:p>
      <w:pPr>
        <w:pStyle w:val="BodyText"/>
        <w:tabs>
          <w:tab w:pos="8023" w:val="left" w:leader="dot"/>
        </w:tabs>
        <w:spacing w:before="277"/>
        <w:ind w:left="308"/>
      </w:pPr>
      <w:r>
        <w:rPr/>
        <w:t>Table</w:t>
      </w:r>
      <w:r>
        <w:rPr>
          <w:spacing w:val="-1"/>
        </w:rPr>
        <w:t> </w:t>
      </w:r>
      <w:r>
        <w:rPr/>
        <w:t>4.7: H</w:t>
      </w:r>
      <w:r>
        <w:rPr>
          <w:vertAlign w:val="superscript"/>
        </w:rPr>
        <w:t>1</w:t>
      </w:r>
      <w:r>
        <w:rPr>
          <w:spacing w:val="-2"/>
          <w:vertAlign w:val="baseline"/>
        </w:rPr>
        <w:t> </w:t>
      </w:r>
      <w:r>
        <w:rPr>
          <w:vertAlign w:val="baseline"/>
        </w:rPr>
        <w:t>and </w:t>
      </w:r>
      <w:r>
        <w:rPr>
          <w:vertAlign w:val="superscript"/>
        </w:rPr>
        <w:t>13</w:t>
      </w:r>
      <w:r>
        <w:rPr>
          <w:vertAlign w:val="baseline"/>
        </w:rPr>
        <w:t>C</w:t>
      </w:r>
      <w:r>
        <w:rPr>
          <w:spacing w:val="-2"/>
          <w:vertAlign w:val="baseline"/>
        </w:rPr>
        <w:t> </w:t>
      </w:r>
      <w:r>
        <w:rPr>
          <w:vertAlign w:val="baseline"/>
        </w:rPr>
        <w:t>NMR</w:t>
      </w:r>
      <w:r>
        <w:rPr>
          <w:spacing w:val="-1"/>
          <w:vertAlign w:val="baseline"/>
        </w:rPr>
        <w:t> </w:t>
      </w:r>
      <w:r>
        <w:rPr>
          <w:vertAlign w:val="baseline"/>
        </w:rPr>
        <w:t>Interpretation</w:t>
      </w:r>
      <w:r>
        <w:rPr>
          <w:spacing w:val="-5"/>
          <w:vertAlign w:val="baseline"/>
        </w:rPr>
        <w:t> </w:t>
      </w:r>
      <w:r>
        <w:rPr>
          <w:vertAlign w:val="baseline"/>
        </w:rPr>
        <w:t>of</w:t>
      </w:r>
      <w:r>
        <w:rPr>
          <w:spacing w:val="-8"/>
          <w:vertAlign w:val="baseline"/>
        </w:rPr>
        <w:t> </w:t>
      </w:r>
      <w:r>
        <w:rPr>
          <w:vertAlign w:val="baseline"/>
        </w:rPr>
        <w:t>the DCP34 </w:t>
      </w:r>
      <w:r>
        <w:rPr>
          <w:spacing w:val="-2"/>
          <w:vertAlign w:val="baseline"/>
        </w:rPr>
        <w:t>Isomer</w:t>
      </w:r>
      <w:r>
        <w:rPr>
          <w:vertAlign w:val="baseline"/>
        </w:rPr>
        <w:tab/>
      </w:r>
      <w:r>
        <w:rPr>
          <w:spacing w:val="-5"/>
          <w:vertAlign w:val="baseline"/>
        </w:rPr>
        <w:t>68</w:t>
      </w:r>
    </w:p>
    <w:p>
      <w:pPr>
        <w:pStyle w:val="BodyText"/>
        <w:tabs>
          <w:tab w:pos="8086" w:val="left" w:leader="dot"/>
        </w:tabs>
        <w:spacing w:line="237" w:lineRule="auto" w:before="278"/>
        <w:ind w:left="308" w:right="121"/>
      </w:pPr>
      <w:r>
        <w:rPr/>
        <w:t>Table 4.8: LD</w:t>
      </w:r>
      <w:r>
        <w:rPr>
          <w:vertAlign w:val="subscript"/>
        </w:rPr>
        <w:t>50</w:t>
      </w:r>
      <w:r>
        <w:rPr>
          <w:vertAlign w:val="baseline"/>
        </w:rPr>
        <w:t> Values of 2,3-, 2,5- and 3,4- Dichloro – 3(aminophenyl) Propanamides in Mice and Rats via Intraperitoneal and Oral Routes</w:t>
        <w:tab/>
      </w:r>
      <w:r>
        <w:rPr>
          <w:spacing w:val="-6"/>
          <w:vertAlign w:val="baseline"/>
        </w:rPr>
        <w:t>69</w:t>
      </w:r>
    </w:p>
    <w:p>
      <w:pPr>
        <w:pStyle w:val="BodyText"/>
        <w:tabs>
          <w:tab w:pos="8028" w:val="left" w:leader="dot"/>
        </w:tabs>
        <w:spacing w:line="242" w:lineRule="auto" w:before="277"/>
        <w:ind w:left="308" w:right="121"/>
      </w:pPr>
      <w:r>
        <w:rPr/>
        <w:t>Table 4.9: Effect of 2,5- Dichloro – 3(aminophenyl) Propanamides on Liver Function</w:t>
      </w:r>
      <w:r>
        <w:rPr>
          <w:spacing w:val="40"/>
        </w:rPr>
        <w:t> </w:t>
      </w:r>
      <w:r>
        <w:rPr/>
        <w:t>Parameters after 28-Day Oral Admnistration in Rats</w:t>
        <w:tab/>
      </w:r>
      <w:r>
        <w:rPr>
          <w:spacing w:val="-6"/>
        </w:rPr>
        <w:t>71</w:t>
      </w:r>
    </w:p>
    <w:p>
      <w:pPr>
        <w:pStyle w:val="BodyText"/>
        <w:tabs>
          <w:tab w:pos="8029" w:val="left" w:leader="dot"/>
        </w:tabs>
        <w:spacing w:line="237" w:lineRule="auto" w:before="276"/>
        <w:ind w:left="308" w:right="121"/>
      </w:pPr>
      <w:r>
        <w:rPr/>
        <w:t>Table</w:t>
      </w:r>
      <w:r>
        <w:rPr>
          <w:spacing w:val="80"/>
          <w:w w:val="150"/>
        </w:rPr>
        <w:t> </w:t>
      </w:r>
      <w:r>
        <w:rPr/>
        <w:t>4.10:Effect</w:t>
      </w:r>
      <w:r>
        <w:rPr>
          <w:spacing w:val="80"/>
          <w:w w:val="150"/>
        </w:rPr>
        <w:t> </w:t>
      </w:r>
      <w:r>
        <w:rPr/>
        <w:t>of</w:t>
      </w:r>
      <w:r>
        <w:rPr>
          <w:spacing w:val="80"/>
        </w:rPr>
        <w:t> </w:t>
      </w:r>
      <w:r>
        <w:rPr/>
        <w:t>2,5-</w:t>
      </w:r>
      <w:r>
        <w:rPr>
          <w:spacing w:val="80"/>
          <w:w w:val="150"/>
        </w:rPr>
        <w:t> </w:t>
      </w:r>
      <w:r>
        <w:rPr/>
        <w:t>Dichloro</w:t>
      </w:r>
      <w:r>
        <w:rPr>
          <w:spacing w:val="80"/>
          <w:w w:val="150"/>
        </w:rPr>
        <w:t> </w:t>
      </w:r>
      <w:r>
        <w:rPr/>
        <w:t>–</w:t>
      </w:r>
      <w:r>
        <w:rPr>
          <w:spacing w:val="80"/>
          <w:w w:val="150"/>
        </w:rPr>
        <w:t> </w:t>
      </w:r>
      <w:r>
        <w:rPr/>
        <w:t>3(aminophenyl)</w:t>
      </w:r>
      <w:r>
        <w:rPr>
          <w:spacing w:val="80"/>
          <w:w w:val="150"/>
        </w:rPr>
        <w:t> </w:t>
      </w:r>
      <w:r>
        <w:rPr/>
        <w:t>Propanamides</w:t>
      </w:r>
      <w:r>
        <w:rPr>
          <w:spacing w:val="80"/>
          <w:w w:val="150"/>
        </w:rPr>
        <w:t> </w:t>
      </w:r>
      <w:r>
        <w:rPr/>
        <w:t>on</w:t>
      </w:r>
      <w:r>
        <w:rPr>
          <w:spacing w:val="80"/>
        </w:rPr>
        <w:t> </w:t>
      </w:r>
      <w:r>
        <w:rPr/>
        <w:t>Renal Parameters after 28-Day Oral Admnistration in Rats</w:t>
        <w:tab/>
      </w:r>
      <w:r>
        <w:rPr>
          <w:spacing w:val="-6"/>
        </w:rPr>
        <w:t>72</w:t>
      </w:r>
    </w:p>
    <w:p>
      <w:pPr>
        <w:pStyle w:val="BodyText"/>
        <w:tabs>
          <w:tab w:pos="8028" w:val="left" w:leader="dot"/>
        </w:tabs>
        <w:spacing w:line="242" w:lineRule="auto" w:before="277"/>
        <w:ind w:left="308" w:right="121"/>
      </w:pPr>
      <w:r>
        <w:rPr/>
        <w:t>Table</w:t>
      </w:r>
      <w:r>
        <w:rPr>
          <w:spacing w:val="80"/>
        </w:rPr>
        <w:t> </w:t>
      </w:r>
      <w:r>
        <w:rPr/>
        <w:t>4.11:</w:t>
      </w:r>
      <w:r>
        <w:rPr>
          <w:spacing w:val="80"/>
        </w:rPr>
        <w:t> </w:t>
      </w:r>
      <w:r>
        <w:rPr/>
        <w:t>Effect</w:t>
      </w:r>
      <w:r>
        <w:rPr>
          <w:spacing w:val="80"/>
        </w:rPr>
        <w:t> </w:t>
      </w:r>
      <w:r>
        <w:rPr/>
        <w:t>of</w:t>
      </w:r>
      <w:r>
        <w:rPr>
          <w:spacing w:val="80"/>
        </w:rPr>
        <w:t> </w:t>
      </w:r>
      <w:r>
        <w:rPr/>
        <w:t>2,5-</w:t>
      </w:r>
      <w:r>
        <w:rPr>
          <w:spacing w:val="80"/>
        </w:rPr>
        <w:t> </w:t>
      </w:r>
      <w:r>
        <w:rPr/>
        <w:t>Dichloro</w:t>
      </w:r>
      <w:r>
        <w:rPr>
          <w:spacing w:val="80"/>
        </w:rPr>
        <w:t> </w:t>
      </w:r>
      <w:r>
        <w:rPr/>
        <w:t>–</w:t>
      </w:r>
      <w:r>
        <w:rPr>
          <w:spacing w:val="80"/>
        </w:rPr>
        <w:t> </w:t>
      </w:r>
      <w:r>
        <w:rPr/>
        <w:t>3(aminophenyl)</w:t>
      </w:r>
      <w:r>
        <w:rPr>
          <w:spacing w:val="80"/>
        </w:rPr>
        <w:t> </w:t>
      </w:r>
      <w:r>
        <w:rPr/>
        <w:t>Propanamides</w:t>
      </w:r>
      <w:r>
        <w:rPr>
          <w:spacing w:val="80"/>
        </w:rPr>
        <w:t> </w:t>
      </w:r>
      <w:r>
        <w:rPr/>
        <w:t>on</w:t>
      </w:r>
      <w:r>
        <w:rPr>
          <w:spacing w:val="80"/>
        </w:rPr>
        <w:t> </w:t>
      </w:r>
      <w:r>
        <w:rPr/>
        <w:t>Lipid</w:t>
      </w:r>
      <w:r>
        <w:rPr>
          <w:spacing w:val="40"/>
        </w:rPr>
        <w:t> </w:t>
      </w:r>
      <w:r>
        <w:rPr/>
        <w:t>Parameters after 28-Day Oral Admnistration in Rats</w:t>
        <w:tab/>
      </w:r>
      <w:r>
        <w:rPr>
          <w:spacing w:val="-6"/>
        </w:rPr>
        <w:t>73</w:t>
      </w:r>
    </w:p>
    <w:p>
      <w:pPr>
        <w:pStyle w:val="BodyText"/>
        <w:tabs>
          <w:tab w:pos="8028" w:val="left" w:leader="dot"/>
        </w:tabs>
        <w:spacing w:line="237" w:lineRule="auto" w:before="275"/>
        <w:ind w:left="308" w:right="121"/>
      </w:pPr>
      <w:r>
        <w:rPr/>
        <w:t>Table 4.12: Effect of</w:t>
      </w:r>
      <w:r>
        <w:rPr>
          <w:spacing w:val="-3"/>
        </w:rPr>
        <w:t> </w:t>
      </w:r>
      <w:r>
        <w:rPr/>
        <w:t>2,5- Dichloro – 3(aminophenyl) Propanamides on Haematological Parameters after 28-Day Oral Admnistration in Rats</w:t>
        <w:tab/>
      </w:r>
      <w:r>
        <w:rPr>
          <w:spacing w:val="-6"/>
        </w:rPr>
        <w:t>74</w:t>
      </w:r>
    </w:p>
    <w:p>
      <w:pPr>
        <w:pStyle w:val="BodyText"/>
        <w:tabs>
          <w:tab w:pos="7998" w:val="left" w:leader="dot"/>
        </w:tabs>
        <w:spacing w:line="242" w:lineRule="auto" w:before="277"/>
        <w:ind w:left="308" w:right="114"/>
      </w:pPr>
      <w:r>
        <w:rPr/>
        <w:t>Table 4.13: Effect of DCP23, DCP25 and DCP34 Dichloro and Phenytoin on Maximal electroshock-induced Seizures in Mice</w:t>
        <w:tab/>
      </w:r>
      <w:r>
        <w:rPr>
          <w:spacing w:val="-6"/>
        </w:rPr>
        <w:t>76</w:t>
      </w:r>
    </w:p>
    <w:p>
      <w:pPr>
        <w:pStyle w:val="BodyText"/>
        <w:tabs>
          <w:tab w:pos="8022" w:val="left" w:leader="dot"/>
        </w:tabs>
        <w:spacing w:line="237" w:lineRule="auto" w:before="276"/>
        <w:ind w:left="308" w:right="121"/>
      </w:pPr>
      <w:r>
        <w:rPr/>
        <w:t>Table 4.14: Effect of DCP23, DCP25 and DCP34 and Valproate</w:t>
      </w:r>
      <w:r>
        <w:rPr>
          <w:spacing w:val="-2"/>
        </w:rPr>
        <w:t> </w:t>
      </w:r>
      <w:r>
        <w:rPr/>
        <w:t>on Pentylenetetrazole- induced Seizures in Mice</w:t>
        <w:tab/>
      </w:r>
      <w:r>
        <w:rPr>
          <w:spacing w:val="-6"/>
        </w:rPr>
        <w:t>78</w:t>
      </w:r>
    </w:p>
    <w:p>
      <w:pPr>
        <w:pStyle w:val="BodyText"/>
        <w:tabs>
          <w:tab w:pos="8607" w:val="left" w:leader="none"/>
        </w:tabs>
        <w:spacing w:before="277"/>
        <w:ind w:left="308"/>
      </w:pPr>
      <w:r>
        <w:rPr/>
        <w:t>Table</w:t>
      </w:r>
      <w:r>
        <w:rPr>
          <w:spacing w:val="31"/>
        </w:rPr>
        <w:t>  </w:t>
      </w:r>
      <w:r>
        <w:rPr/>
        <w:t>4.15:</w:t>
      </w:r>
      <w:r>
        <w:rPr>
          <w:spacing w:val="32"/>
        </w:rPr>
        <w:t>  </w:t>
      </w:r>
      <w:r>
        <w:rPr/>
        <w:t>Effect</w:t>
      </w:r>
      <w:r>
        <w:rPr>
          <w:spacing w:val="33"/>
        </w:rPr>
        <w:t>  </w:t>
      </w:r>
      <w:r>
        <w:rPr/>
        <w:t>of</w:t>
      </w:r>
      <w:r>
        <w:rPr>
          <w:spacing w:val="28"/>
        </w:rPr>
        <w:t>  </w:t>
      </w:r>
      <w:r>
        <w:rPr/>
        <w:t>DCP23,</w:t>
      </w:r>
      <w:r>
        <w:rPr>
          <w:spacing w:val="33"/>
        </w:rPr>
        <w:t>  </w:t>
      </w:r>
      <w:r>
        <w:rPr/>
        <w:t>DCP25</w:t>
      </w:r>
      <w:r>
        <w:rPr>
          <w:spacing w:val="32"/>
        </w:rPr>
        <w:t>  </w:t>
      </w:r>
      <w:r>
        <w:rPr/>
        <w:t>and</w:t>
      </w:r>
      <w:r>
        <w:rPr>
          <w:spacing w:val="34"/>
        </w:rPr>
        <w:t>  </w:t>
      </w:r>
      <w:r>
        <w:rPr/>
        <w:t>DCP34</w:t>
      </w:r>
      <w:r>
        <w:rPr>
          <w:spacing w:val="32"/>
        </w:rPr>
        <w:t>  </w:t>
      </w:r>
      <w:r>
        <w:rPr/>
        <w:t>and</w:t>
      </w:r>
      <w:r>
        <w:rPr>
          <w:spacing w:val="31"/>
        </w:rPr>
        <w:t>  </w:t>
      </w:r>
      <w:r>
        <w:rPr/>
        <w:t>Phenobarbital</w:t>
      </w:r>
      <w:r>
        <w:rPr>
          <w:spacing w:val="28"/>
        </w:rPr>
        <w:t>  </w:t>
      </w:r>
      <w:r>
        <w:rPr>
          <w:spacing w:val="-5"/>
        </w:rPr>
        <w:t>on</w:t>
      </w:r>
      <w:r>
        <w:rPr/>
        <w:tab/>
      </w:r>
      <w:r>
        <w:rPr>
          <w:spacing w:val="-5"/>
        </w:rPr>
        <w:t>4-</w:t>
      </w:r>
    </w:p>
    <w:p>
      <w:pPr>
        <w:pStyle w:val="BodyText"/>
        <w:tabs>
          <w:tab w:pos="8061" w:val="left" w:leader="dot"/>
        </w:tabs>
        <w:spacing w:before="2"/>
        <w:ind w:left="308"/>
      </w:pPr>
      <w:r>
        <w:rPr/>
        <w:t>aminopyridine-induced</w:t>
      </w:r>
      <w:r>
        <w:rPr>
          <w:spacing w:val="-6"/>
        </w:rPr>
        <w:t> </w:t>
      </w:r>
      <w:r>
        <w:rPr/>
        <w:t>Seizures</w:t>
      </w:r>
      <w:r>
        <w:rPr>
          <w:spacing w:val="-4"/>
        </w:rPr>
        <w:t> </w:t>
      </w:r>
      <w:r>
        <w:rPr/>
        <w:t>in</w:t>
      </w:r>
      <w:r>
        <w:rPr>
          <w:spacing w:val="-5"/>
        </w:rPr>
        <w:t> </w:t>
      </w:r>
      <w:r>
        <w:rPr>
          <w:spacing w:val="-4"/>
        </w:rPr>
        <w:t>Mice</w:t>
      </w:r>
      <w:r>
        <w:rPr/>
        <w:tab/>
      </w:r>
      <w:r>
        <w:rPr>
          <w:spacing w:val="-5"/>
        </w:rPr>
        <w:t>80</w:t>
      </w:r>
    </w:p>
    <w:p>
      <w:pPr>
        <w:pStyle w:val="BodyText"/>
        <w:tabs>
          <w:tab w:pos="8084" w:val="left" w:leader="dot"/>
        </w:tabs>
        <w:spacing w:line="237" w:lineRule="auto" w:before="279"/>
        <w:ind w:left="308" w:right="121"/>
      </w:pPr>
      <w:r>
        <w:rPr/>
        <w:t>Table</w:t>
      </w:r>
      <w:r>
        <w:rPr>
          <w:spacing w:val="38"/>
        </w:rPr>
        <w:t> </w:t>
      </w:r>
      <w:r>
        <w:rPr/>
        <w:t>4.16:</w:t>
      </w:r>
      <w:r>
        <w:rPr>
          <w:spacing w:val="40"/>
        </w:rPr>
        <w:t> </w:t>
      </w:r>
      <w:r>
        <w:rPr/>
        <w:t>Effect</w:t>
      </w:r>
      <w:r>
        <w:rPr>
          <w:spacing w:val="40"/>
        </w:rPr>
        <w:t> </w:t>
      </w:r>
      <w:r>
        <w:rPr/>
        <w:t>of</w:t>
      </w:r>
      <w:r>
        <w:rPr>
          <w:spacing w:val="31"/>
        </w:rPr>
        <w:t> </w:t>
      </w:r>
      <w:r>
        <w:rPr/>
        <w:t>DCP23,</w:t>
      </w:r>
      <w:r>
        <w:rPr>
          <w:spacing w:val="40"/>
        </w:rPr>
        <w:t> </w:t>
      </w:r>
      <w:r>
        <w:rPr/>
        <w:t>DCP25</w:t>
      </w:r>
      <w:r>
        <w:rPr>
          <w:spacing w:val="39"/>
        </w:rPr>
        <w:t> </w:t>
      </w:r>
      <w:r>
        <w:rPr/>
        <w:t>and</w:t>
      </w:r>
      <w:r>
        <w:rPr>
          <w:spacing w:val="39"/>
        </w:rPr>
        <w:t> </w:t>
      </w:r>
      <w:r>
        <w:rPr/>
        <w:t>DCP34</w:t>
      </w:r>
      <w:r>
        <w:rPr>
          <w:spacing w:val="39"/>
        </w:rPr>
        <w:t> </w:t>
      </w:r>
      <w:r>
        <w:rPr/>
        <w:t>and</w:t>
      </w:r>
      <w:r>
        <w:rPr>
          <w:spacing w:val="39"/>
        </w:rPr>
        <w:t> </w:t>
      </w:r>
      <w:r>
        <w:rPr/>
        <w:t>Phenobarbital</w:t>
      </w:r>
      <w:r>
        <w:rPr>
          <w:spacing w:val="35"/>
        </w:rPr>
        <w:t> </w:t>
      </w:r>
      <w:r>
        <w:rPr/>
        <w:t>on</w:t>
      </w:r>
      <w:r>
        <w:rPr>
          <w:spacing w:val="34"/>
        </w:rPr>
        <w:t> </w:t>
      </w:r>
      <w:r>
        <w:rPr/>
        <w:t>Strychnine- induced Seizures in Mice</w:t>
        <w:tab/>
      </w:r>
      <w:r>
        <w:rPr>
          <w:spacing w:val="-6"/>
        </w:rPr>
        <w:t>82</w:t>
      </w:r>
    </w:p>
    <w:p>
      <w:pPr>
        <w:spacing w:after="0" w:line="237" w:lineRule="auto"/>
        <w:sectPr>
          <w:type w:val="continuous"/>
          <w:pgSz w:w="11910" w:h="16840"/>
          <w:pgMar w:header="0" w:footer="777" w:top="1320" w:bottom="960" w:left="1680" w:right="1300"/>
        </w:sectPr>
      </w:pPr>
    </w:p>
    <w:p>
      <w:pPr>
        <w:pStyle w:val="BodyText"/>
        <w:tabs>
          <w:tab w:pos="8102" w:val="left" w:leader="dot"/>
        </w:tabs>
        <w:spacing w:line="242" w:lineRule="auto" w:before="70"/>
        <w:ind w:left="308" w:right="121"/>
      </w:pPr>
      <w:r>
        <w:rPr/>
        <w:t>Table 4.17: Effect of</w:t>
      </w:r>
      <w:r>
        <w:rPr>
          <w:spacing w:val="-3"/>
        </w:rPr>
        <w:t> </w:t>
      </w:r>
      <w:r>
        <w:rPr/>
        <w:t>DCP23, DCP25 and DCP34 and Diazepam on Picrotoxin-induced Seizures in Mice</w:t>
        <w:tab/>
      </w:r>
      <w:r>
        <w:rPr>
          <w:spacing w:val="-6"/>
        </w:rPr>
        <w:t>84</w:t>
      </w:r>
    </w:p>
    <w:p>
      <w:pPr>
        <w:pStyle w:val="BodyText"/>
        <w:tabs>
          <w:tab w:pos="8067" w:val="left" w:leader="dot"/>
        </w:tabs>
        <w:spacing w:before="273"/>
        <w:ind w:left="308"/>
      </w:pPr>
      <w:r>
        <w:rPr/>
        <w:t>Table</w:t>
      </w:r>
      <w:r>
        <w:rPr>
          <w:spacing w:val="-2"/>
        </w:rPr>
        <w:t> </w:t>
      </w:r>
      <w:r>
        <w:rPr/>
        <w:t>4.18:</w:t>
      </w:r>
      <w:r>
        <w:rPr>
          <w:spacing w:val="-1"/>
        </w:rPr>
        <w:t> </w:t>
      </w:r>
      <w:r>
        <w:rPr/>
        <w:t>Protective</w:t>
      </w:r>
      <w:r>
        <w:rPr>
          <w:spacing w:val="-2"/>
        </w:rPr>
        <w:t> </w:t>
      </w:r>
      <w:r>
        <w:rPr/>
        <w:t>Index</w:t>
      </w:r>
      <w:r>
        <w:rPr>
          <w:spacing w:val="-5"/>
        </w:rPr>
        <w:t> </w:t>
      </w:r>
      <w:r>
        <w:rPr/>
        <w:t>Values</w:t>
      </w:r>
      <w:r>
        <w:rPr>
          <w:spacing w:val="-3"/>
        </w:rPr>
        <w:t> </w:t>
      </w:r>
      <w:r>
        <w:rPr/>
        <w:t>of</w:t>
      </w:r>
      <w:r>
        <w:rPr>
          <w:spacing w:val="-8"/>
        </w:rPr>
        <w:t> </w:t>
      </w:r>
      <w:r>
        <w:rPr/>
        <w:t>DCP23,</w:t>
      </w:r>
      <w:r>
        <w:rPr>
          <w:spacing w:val="1"/>
        </w:rPr>
        <w:t> </w:t>
      </w:r>
      <w:r>
        <w:rPr/>
        <w:t>DCP25 and</w:t>
      </w:r>
      <w:r>
        <w:rPr>
          <w:spacing w:val="-1"/>
        </w:rPr>
        <w:t> </w:t>
      </w:r>
      <w:r>
        <w:rPr/>
        <w:t>DCP34</w:t>
      </w:r>
      <w:r>
        <w:rPr>
          <w:spacing w:val="3"/>
        </w:rPr>
        <w:t> </w:t>
      </w:r>
      <w:r>
        <w:rPr/>
        <w:t>in</w:t>
      </w:r>
      <w:r>
        <w:rPr>
          <w:spacing w:val="-5"/>
        </w:rPr>
        <w:t> </w:t>
      </w:r>
      <w:r>
        <w:rPr>
          <w:spacing w:val="-4"/>
        </w:rPr>
        <w:t>Mice</w:t>
      </w:r>
      <w:r>
        <w:rPr/>
        <w:tab/>
      </w:r>
      <w:r>
        <w:rPr>
          <w:spacing w:val="-5"/>
        </w:rPr>
        <w:t>87</w:t>
      </w:r>
    </w:p>
    <w:p>
      <w:pPr>
        <w:pStyle w:val="BodyText"/>
        <w:tabs>
          <w:tab w:pos="8129" w:val="left" w:leader="dot"/>
        </w:tabs>
        <w:spacing w:line="237" w:lineRule="auto" w:before="278"/>
        <w:ind w:left="308" w:right="121"/>
      </w:pPr>
      <w:r>
        <w:rPr/>
        <w:t>Table 4.19: Effect of Single and Multiple Oral Administrations of DCP23, DCP25 and DCP34 on Maximal Electroshock-induced Seizure in Mice</w:t>
        <w:tab/>
      </w:r>
      <w:r>
        <w:rPr>
          <w:spacing w:val="-6"/>
        </w:rPr>
        <w:t>88</w:t>
      </w:r>
    </w:p>
    <w:p>
      <w:pPr>
        <w:pStyle w:val="BodyText"/>
        <w:tabs>
          <w:tab w:pos="8091" w:val="left" w:leader="dot"/>
        </w:tabs>
        <w:spacing w:line="242" w:lineRule="auto" w:before="277"/>
        <w:ind w:left="308" w:right="129"/>
      </w:pPr>
      <w:r>
        <w:rPr/>
        <w:t>Table</w:t>
      </w:r>
      <w:r>
        <w:rPr>
          <w:spacing w:val="73"/>
        </w:rPr>
        <w:t> </w:t>
      </w:r>
      <w:r>
        <w:rPr/>
        <w:t>4.20:</w:t>
      </w:r>
      <w:r>
        <w:rPr>
          <w:spacing w:val="74"/>
        </w:rPr>
        <w:t> </w:t>
      </w:r>
      <w:r>
        <w:rPr/>
        <w:t>Effect</w:t>
      </w:r>
      <w:r>
        <w:rPr>
          <w:spacing w:val="74"/>
        </w:rPr>
        <w:t> </w:t>
      </w:r>
      <w:r>
        <w:rPr/>
        <w:t>of</w:t>
      </w:r>
      <w:r>
        <w:rPr>
          <w:spacing w:val="70"/>
        </w:rPr>
        <w:t> </w:t>
      </w:r>
      <w:r>
        <w:rPr/>
        <w:t>Fluphenamic</w:t>
      </w:r>
      <w:r>
        <w:rPr>
          <w:spacing w:val="77"/>
        </w:rPr>
        <w:t> </w:t>
      </w:r>
      <w:r>
        <w:rPr/>
        <w:t>Acid</w:t>
      </w:r>
      <w:r>
        <w:rPr>
          <w:spacing w:val="73"/>
        </w:rPr>
        <w:t> </w:t>
      </w:r>
      <w:r>
        <w:rPr/>
        <w:t>on</w:t>
      </w:r>
      <w:r>
        <w:rPr>
          <w:spacing w:val="69"/>
        </w:rPr>
        <w:t> </w:t>
      </w:r>
      <w:r>
        <w:rPr/>
        <w:t>DCP23,</w:t>
      </w:r>
      <w:r>
        <w:rPr>
          <w:spacing w:val="76"/>
        </w:rPr>
        <w:t> </w:t>
      </w:r>
      <w:r>
        <w:rPr/>
        <w:t>DCP25</w:t>
      </w:r>
      <w:r>
        <w:rPr>
          <w:spacing w:val="73"/>
        </w:rPr>
        <w:t> </w:t>
      </w:r>
      <w:r>
        <w:rPr/>
        <w:t>and</w:t>
      </w:r>
      <w:r>
        <w:rPr>
          <w:spacing w:val="73"/>
        </w:rPr>
        <w:t> </w:t>
      </w:r>
      <w:r>
        <w:rPr/>
        <w:t>DCP34</w:t>
      </w:r>
      <w:r>
        <w:rPr>
          <w:spacing w:val="73"/>
        </w:rPr>
        <w:t> </w:t>
      </w:r>
      <w:r>
        <w:rPr/>
        <w:t>against Maximal Electroshock-induced Seizure in Mice</w:t>
        <w:tab/>
      </w:r>
      <w:r>
        <w:rPr>
          <w:spacing w:val="-6"/>
        </w:rPr>
        <w:t>90</w:t>
      </w:r>
    </w:p>
    <w:p>
      <w:pPr>
        <w:pStyle w:val="BodyText"/>
        <w:tabs>
          <w:tab w:pos="8050" w:val="left" w:leader="dot"/>
        </w:tabs>
        <w:spacing w:line="237" w:lineRule="auto" w:before="276"/>
        <w:ind w:left="308" w:right="121"/>
      </w:pPr>
      <w:r>
        <w:rPr/>
        <w:t>Table</w:t>
      </w:r>
      <w:r>
        <w:rPr>
          <w:spacing w:val="-2"/>
        </w:rPr>
        <w:t> </w:t>
      </w:r>
      <w:r>
        <w:rPr/>
        <w:t>4.21:</w:t>
      </w:r>
      <w:r>
        <w:rPr>
          <w:spacing w:val="-1"/>
        </w:rPr>
        <w:t> </w:t>
      </w:r>
      <w:r>
        <w:rPr/>
        <w:t>Effect</w:t>
      </w:r>
      <w:r>
        <w:rPr>
          <w:spacing w:val="-2"/>
        </w:rPr>
        <w:t> </w:t>
      </w:r>
      <w:r>
        <w:rPr/>
        <w:t>of</w:t>
      </w:r>
      <w:r>
        <w:rPr>
          <w:spacing w:val="-9"/>
        </w:rPr>
        <w:t> </w:t>
      </w:r>
      <w:r>
        <w:rPr/>
        <w:t>Nickel</w:t>
      </w:r>
      <w:r>
        <w:rPr>
          <w:spacing w:val="-6"/>
        </w:rPr>
        <w:t> </w:t>
      </w:r>
      <w:r>
        <w:rPr/>
        <w:t>Chloride</w:t>
      </w:r>
      <w:r>
        <w:rPr>
          <w:spacing w:val="-2"/>
        </w:rPr>
        <w:t> </w:t>
      </w:r>
      <w:r>
        <w:rPr/>
        <w:t>on</w:t>
      </w:r>
      <w:r>
        <w:rPr>
          <w:spacing w:val="-6"/>
        </w:rPr>
        <w:t> </w:t>
      </w:r>
      <w:r>
        <w:rPr/>
        <w:t>DCP23</w:t>
      </w:r>
      <w:r>
        <w:rPr>
          <w:spacing w:val="-1"/>
        </w:rPr>
        <w:t> </w:t>
      </w:r>
      <w:r>
        <w:rPr/>
        <w:t>and</w:t>
      </w:r>
      <w:r>
        <w:rPr>
          <w:spacing w:val="-2"/>
        </w:rPr>
        <w:t> </w:t>
      </w:r>
      <w:r>
        <w:rPr/>
        <w:t>DCP25</w:t>
      </w:r>
      <w:r>
        <w:rPr>
          <w:spacing w:val="-1"/>
        </w:rPr>
        <w:t> </w:t>
      </w:r>
      <w:r>
        <w:rPr/>
        <w:t>against Pentylenetetrazole- induced Seizure in Mice</w:t>
        <w:tab/>
      </w:r>
      <w:r>
        <w:rPr>
          <w:spacing w:val="-6"/>
        </w:rPr>
        <w:t>92</w:t>
      </w:r>
    </w:p>
    <w:p>
      <w:pPr>
        <w:pStyle w:val="BodyText"/>
        <w:tabs>
          <w:tab w:pos="8099" w:val="left" w:leader="dot"/>
        </w:tabs>
        <w:spacing w:line="242" w:lineRule="auto" w:before="277"/>
        <w:ind w:left="308" w:right="125"/>
      </w:pPr>
      <w:r>
        <w:rPr/>
        <w:t>Table</w:t>
      </w:r>
      <w:r>
        <w:rPr>
          <w:spacing w:val="80"/>
        </w:rPr>
        <w:t> </w:t>
      </w:r>
      <w:r>
        <w:rPr/>
        <w:t>4.22:</w:t>
      </w:r>
      <w:r>
        <w:rPr>
          <w:spacing w:val="80"/>
        </w:rPr>
        <w:t> </w:t>
      </w:r>
      <w:r>
        <w:rPr/>
        <w:t>Effect</w:t>
      </w:r>
      <w:r>
        <w:rPr>
          <w:spacing w:val="80"/>
        </w:rPr>
        <w:t> </w:t>
      </w:r>
      <w:r>
        <w:rPr/>
        <w:t>of</w:t>
      </w:r>
      <w:r>
        <w:rPr>
          <w:spacing w:val="80"/>
        </w:rPr>
        <w:t> </w:t>
      </w:r>
      <w:r>
        <w:rPr/>
        <w:t>Cyproheptadine</w:t>
      </w:r>
      <w:r>
        <w:rPr>
          <w:spacing w:val="80"/>
        </w:rPr>
        <w:t> </w:t>
      </w:r>
      <w:r>
        <w:rPr/>
        <w:t>on</w:t>
      </w:r>
      <w:r>
        <w:rPr>
          <w:spacing w:val="80"/>
        </w:rPr>
        <w:t> </w:t>
      </w:r>
      <w:r>
        <w:rPr/>
        <w:t>DCP23,</w:t>
      </w:r>
      <w:r>
        <w:rPr>
          <w:spacing w:val="80"/>
        </w:rPr>
        <w:t> </w:t>
      </w:r>
      <w:r>
        <w:rPr/>
        <w:t>DCP25</w:t>
      </w:r>
      <w:r>
        <w:rPr>
          <w:spacing w:val="80"/>
        </w:rPr>
        <w:t> </w:t>
      </w:r>
      <w:r>
        <w:rPr/>
        <w:t>and</w:t>
      </w:r>
      <w:r>
        <w:rPr>
          <w:spacing w:val="80"/>
        </w:rPr>
        <w:t> </w:t>
      </w:r>
      <w:r>
        <w:rPr/>
        <w:t>DCP34</w:t>
      </w:r>
      <w:r>
        <w:rPr>
          <w:spacing w:val="80"/>
        </w:rPr>
        <w:t> </w:t>
      </w:r>
      <w:r>
        <w:rPr/>
        <w:t>against</w:t>
      </w:r>
      <w:r>
        <w:rPr>
          <w:spacing w:val="80"/>
        </w:rPr>
        <w:t> </w:t>
      </w:r>
      <w:r>
        <w:rPr/>
        <w:t>Pentylenetetrazole-induced Seizure in Mice</w:t>
        <w:tab/>
      </w:r>
      <w:r>
        <w:rPr>
          <w:spacing w:val="-6"/>
        </w:rPr>
        <w:t>94</w:t>
      </w:r>
    </w:p>
    <w:p>
      <w:pPr>
        <w:spacing w:after="0" w:line="242" w:lineRule="auto"/>
        <w:sectPr>
          <w:pgSz w:w="11910" w:h="16840"/>
          <w:pgMar w:header="0" w:footer="777" w:top="1320" w:bottom="960" w:left="1680" w:right="1300"/>
        </w:sectPr>
      </w:pPr>
    </w:p>
    <w:p>
      <w:pPr>
        <w:pStyle w:val="BodyText"/>
        <w:spacing w:before="70"/>
        <w:ind w:left="308"/>
      </w:pPr>
      <w:r>
        <w:rPr/>
        <w:t>LIST</w:t>
      </w:r>
      <w:r>
        <w:rPr>
          <w:spacing w:val="2"/>
        </w:rPr>
        <w:t> </w:t>
      </w:r>
      <w:r>
        <w:rPr/>
        <w:t>OF</w:t>
      </w:r>
      <w:r>
        <w:rPr>
          <w:spacing w:val="-3"/>
        </w:rPr>
        <w:t> </w:t>
      </w:r>
      <w:r>
        <w:rPr>
          <w:spacing w:val="-2"/>
        </w:rPr>
        <w:t>FIGURES</w:t>
      </w:r>
    </w:p>
    <w:p>
      <w:pPr>
        <w:pStyle w:val="BodyText"/>
        <w:tabs>
          <w:tab w:pos="7715" w:val="left" w:leader="dot"/>
        </w:tabs>
        <w:spacing w:before="276"/>
        <w:ind w:left="308"/>
      </w:pPr>
      <w:r>
        <w:rPr/>
        <w:t>Figure</w:t>
      </w:r>
      <w:r>
        <w:rPr>
          <w:spacing w:val="-3"/>
        </w:rPr>
        <w:t> </w:t>
      </w:r>
      <w:r>
        <w:rPr/>
        <w:t>1: Pharmacophore</w:t>
      </w:r>
      <w:r>
        <w:rPr>
          <w:spacing w:val="-1"/>
        </w:rPr>
        <w:t> </w:t>
      </w:r>
      <w:r>
        <w:rPr/>
        <w:t>Model</w:t>
      </w:r>
      <w:r>
        <w:rPr>
          <w:spacing w:val="-8"/>
        </w:rPr>
        <w:t> </w:t>
      </w:r>
      <w:r>
        <w:rPr/>
        <w:t>Proposed by</w:t>
      </w:r>
      <w:r>
        <w:rPr>
          <w:spacing w:val="-9"/>
        </w:rPr>
        <w:t> </w:t>
      </w:r>
      <w:r>
        <w:rPr>
          <w:spacing w:val="-2"/>
        </w:rPr>
        <w:t>Unverferth</w:t>
      </w:r>
      <w:r>
        <w:rPr/>
        <w:tab/>
      </w:r>
      <w:r>
        <w:rPr>
          <w:spacing w:val="-10"/>
        </w:rPr>
        <w:t>6</w:t>
      </w:r>
    </w:p>
    <w:p>
      <w:pPr>
        <w:pStyle w:val="BodyText"/>
      </w:pPr>
    </w:p>
    <w:p>
      <w:pPr>
        <w:pStyle w:val="BodyText"/>
        <w:tabs>
          <w:tab w:pos="7727" w:val="left" w:leader="dot"/>
        </w:tabs>
        <w:ind w:left="308"/>
      </w:pPr>
      <w:r>
        <w:rPr/>
        <w:t>Figure</w:t>
      </w:r>
      <w:r>
        <w:rPr>
          <w:spacing w:val="-2"/>
        </w:rPr>
        <w:t> </w:t>
      </w:r>
      <w:r>
        <w:rPr/>
        <w:t>2:</w:t>
      </w:r>
      <w:r>
        <w:rPr>
          <w:spacing w:val="-1"/>
        </w:rPr>
        <w:t> </w:t>
      </w:r>
      <w:r>
        <w:rPr/>
        <w:t>3-[(2,3-</w:t>
      </w:r>
      <w:r>
        <w:rPr>
          <w:spacing w:val="-2"/>
        </w:rPr>
        <w:t>dichlorophenyl)amino]propanamide…</w:t>
      </w:r>
      <w:r>
        <w:rPr/>
        <w:tab/>
      </w:r>
      <w:r>
        <w:rPr>
          <w:spacing w:val="-5"/>
        </w:rPr>
        <w:t>48</w:t>
      </w:r>
    </w:p>
    <w:p>
      <w:pPr>
        <w:pStyle w:val="BodyText"/>
      </w:pPr>
    </w:p>
    <w:p>
      <w:pPr>
        <w:pStyle w:val="BodyText"/>
        <w:tabs>
          <w:tab w:pos="7727" w:val="left" w:leader="dot"/>
        </w:tabs>
        <w:ind w:left="308"/>
      </w:pPr>
      <w:r>
        <w:rPr/>
        <w:t>Figure</w:t>
      </w:r>
      <w:r>
        <w:rPr>
          <w:spacing w:val="-2"/>
        </w:rPr>
        <w:t> </w:t>
      </w:r>
      <w:r>
        <w:rPr/>
        <w:t>3:</w:t>
      </w:r>
      <w:r>
        <w:rPr>
          <w:spacing w:val="-1"/>
        </w:rPr>
        <w:t> </w:t>
      </w:r>
      <w:r>
        <w:rPr/>
        <w:t>3-[(2,5-</w:t>
      </w:r>
      <w:r>
        <w:rPr>
          <w:spacing w:val="-2"/>
        </w:rPr>
        <w:t>dichlorophenyl)amino]propanamide…</w:t>
      </w:r>
      <w:r>
        <w:rPr/>
        <w:tab/>
      </w:r>
      <w:r>
        <w:rPr>
          <w:spacing w:val="-5"/>
        </w:rPr>
        <w:t>48</w:t>
      </w:r>
    </w:p>
    <w:p>
      <w:pPr>
        <w:pStyle w:val="BodyText"/>
      </w:pPr>
    </w:p>
    <w:p>
      <w:pPr>
        <w:pStyle w:val="BodyText"/>
        <w:tabs>
          <w:tab w:pos="7731" w:val="left" w:leader="dot"/>
        </w:tabs>
        <w:ind w:left="308"/>
      </w:pPr>
      <w:r>
        <w:rPr/>
        <w:t>Figure</w:t>
      </w:r>
      <w:r>
        <w:rPr>
          <w:spacing w:val="-2"/>
        </w:rPr>
        <w:t> </w:t>
      </w:r>
      <w:r>
        <w:rPr/>
        <w:t>4:</w:t>
      </w:r>
      <w:r>
        <w:rPr>
          <w:spacing w:val="-1"/>
        </w:rPr>
        <w:t> </w:t>
      </w:r>
      <w:r>
        <w:rPr/>
        <w:t>3-[(3,4-</w:t>
      </w:r>
      <w:r>
        <w:rPr>
          <w:spacing w:val="-2"/>
        </w:rPr>
        <w:t>dichlorophenyl)amino]propanamide…</w:t>
      </w:r>
      <w:r>
        <w:rPr/>
        <w:tab/>
      </w:r>
      <w:r>
        <w:rPr>
          <w:spacing w:val="-5"/>
        </w:rPr>
        <w:t>49</w:t>
      </w:r>
    </w:p>
    <w:p>
      <w:pPr>
        <w:pStyle w:val="BodyText"/>
        <w:spacing w:before="1"/>
      </w:pPr>
    </w:p>
    <w:p>
      <w:pPr>
        <w:pStyle w:val="BodyText"/>
        <w:tabs>
          <w:tab w:pos="7722" w:val="left" w:leader="dot"/>
        </w:tabs>
        <w:spacing w:line="242" w:lineRule="auto"/>
        <w:ind w:left="308" w:right="121"/>
      </w:pPr>
      <w:r>
        <w:rPr/>
        <w:t>Figure</w:t>
      </w:r>
      <w:r>
        <w:rPr>
          <w:spacing w:val="40"/>
        </w:rPr>
        <w:t> </w:t>
      </w:r>
      <w:r>
        <w:rPr/>
        <w:t>5:</w:t>
      </w:r>
      <w:r>
        <w:rPr>
          <w:spacing w:val="40"/>
        </w:rPr>
        <w:t> </w:t>
      </w:r>
      <w:r>
        <w:rPr/>
        <w:t>Effect</w:t>
      </w:r>
      <w:r>
        <w:rPr>
          <w:spacing w:val="40"/>
        </w:rPr>
        <w:t> </w:t>
      </w:r>
      <w:r>
        <w:rPr/>
        <w:t>of</w:t>
      </w:r>
      <w:r>
        <w:rPr>
          <w:spacing w:val="40"/>
        </w:rPr>
        <w:t> </w:t>
      </w:r>
      <w:r>
        <w:rPr/>
        <w:t>DCP23,</w:t>
      </w:r>
      <w:r>
        <w:rPr>
          <w:spacing w:val="40"/>
        </w:rPr>
        <w:t> </w:t>
      </w:r>
      <w:r>
        <w:rPr/>
        <w:t>DCP25</w:t>
      </w:r>
      <w:r>
        <w:rPr>
          <w:spacing w:val="40"/>
        </w:rPr>
        <w:t> </w:t>
      </w:r>
      <w:r>
        <w:rPr/>
        <w:t>and</w:t>
      </w:r>
      <w:r>
        <w:rPr>
          <w:spacing w:val="40"/>
        </w:rPr>
        <w:t> </w:t>
      </w:r>
      <w:r>
        <w:rPr/>
        <w:t>DCP34</w:t>
      </w:r>
      <w:r>
        <w:rPr>
          <w:spacing w:val="40"/>
        </w:rPr>
        <w:t> </w:t>
      </w:r>
      <w:r>
        <w:rPr/>
        <w:t>against</w:t>
      </w:r>
      <w:r>
        <w:rPr>
          <w:spacing w:val="40"/>
        </w:rPr>
        <w:t> </w:t>
      </w:r>
      <w:r>
        <w:rPr/>
        <w:t>Pentylenetetrazole-induced Kindling in Mice</w:t>
        <w:tab/>
      </w:r>
      <w:r>
        <w:rPr>
          <w:spacing w:val="-6"/>
        </w:rPr>
        <w:t>86</w:t>
      </w:r>
    </w:p>
    <w:p>
      <w:pPr>
        <w:pStyle w:val="BodyText"/>
        <w:tabs>
          <w:tab w:pos="7741" w:val="left" w:leader="dot"/>
        </w:tabs>
        <w:spacing w:before="273"/>
        <w:ind w:left="308"/>
      </w:pPr>
      <w:r>
        <w:rPr/>
        <w:t>Figure</w:t>
      </w:r>
      <w:r>
        <w:rPr>
          <w:spacing w:val="-2"/>
        </w:rPr>
        <w:t> </w:t>
      </w:r>
      <w:r>
        <w:rPr/>
        <w:t>6: Effect</w:t>
      </w:r>
      <w:r>
        <w:rPr>
          <w:spacing w:val="-1"/>
        </w:rPr>
        <w:t> </w:t>
      </w:r>
      <w:r>
        <w:rPr/>
        <w:t>of</w:t>
      </w:r>
      <w:r>
        <w:rPr>
          <w:spacing w:val="-8"/>
        </w:rPr>
        <w:t> </w:t>
      </w:r>
      <w:r>
        <w:rPr/>
        <w:t>DCP23 on</w:t>
      </w:r>
      <w:r>
        <w:rPr>
          <w:spacing w:val="-6"/>
        </w:rPr>
        <w:t> </w:t>
      </w:r>
      <w:r>
        <w:rPr/>
        <w:t>Diazepam-induced</w:t>
      </w:r>
      <w:r>
        <w:rPr>
          <w:spacing w:val="4"/>
        </w:rPr>
        <w:t> </w:t>
      </w:r>
      <w:r>
        <w:rPr/>
        <w:t>in</w:t>
      </w:r>
      <w:r>
        <w:rPr>
          <w:spacing w:val="-5"/>
        </w:rPr>
        <w:t> </w:t>
      </w:r>
      <w:r>
        <w:rPr>
          <w:spacing w:val="-4"/>
        </w:rPr>
        <w:t>Mice</w:t>
      </w:r>
      <w:r>
        <w:rPr/>
        <w:tab/>
      </w:r>
      <w:r>
        <w:rPr>
          <w:spacing w:val="-5"/>
        </w:rPr>
        <w:t>96</w:t>
      </w:r>
    </w:p>
    <w:p>
      <w:pPr>
        <w:pStyle w:val="BodyText"/>
      </w:pPr>
    </w:p>
    <w:p>
      <w:pPr>
        <w:pStyle w:val="BodyText"/>
        <w:tabs>
          <w:tab w:pos="7741" w:val="left" w:leader="dot"/>
        </w:tabs>
        <w:ind w:left="308"/>
      </w:pPr>
      <w:r>
        <w:rPr/>
        <w:t>Figure</w:t>
      </w:r>
      <w:r>
        <w:rPr>
          <w:spacing w:val="-2"/>
        </w:rPr>
        <w:t> </w:t>
      </w:r>
      <w:r>
        <w:rPr/>
        <w:t>7: Effect</w:t>
      </w:r>
      <w:r>
        <w:rPr>
          <w:spacing w:val="-1"/>
        </w:rPr>
        <w:t> </w:t>
      </w:r>
      <w:r>
        <w:rPr/>
        <w:t>of</w:t>
      </w:r>
      <w:r>
        <w:rPr>
          <w:spacing w:val="-8"/>
        </w:rPr>
        <w:t> </w:t>
      </w:r>
      <w:r>
        <w:rPr/>
        <w:t>DCP25 on</w:t>
      </w:r>
      <w:r>
        <w:rPr>
          <w:spacing w:val="-6"/>
        </w:rPr>
        <w:t> </w:t>
      </w:r>
      <w:r>
        <w:rPr/>
        <w:t>Diazepam-induced</w:t>
      </w:r>
      <w:r>
        <w:rPr>
          <w:spacing w:val="4"/>
        </w:rPr>
        <w:t> </w:t>
      </w:r>
      <w:r>
        <w:rPr/>
        <w:t>in</w:t>
      </w:r>
      <w:r>
        <w:rPr>
          <w:spacing w:val="-5"/>
        </w:rPr>
        <w:t> </w:t>
      </w:r>
      <w:r>
        <w:rPr>
          <w:spacing w:val="-4"/>
        </w:rPr>
        <w:t>Mice</w:t>
      </w:r>
      <w:r>
        <w:rPr/>
        <w:tab/>
      </w:r>
      <w:r>
        <w:rPr>
          <w:spacing w:val="-5"/>
        </w:rPr>
        <w:t>97</w:t>
      </w:r>
    </w:p>
    <w:p>
      <w:pPr>
        <w:pStyle w:val="BodyText"/>
        <w:spacing w:before="3"/>
      </w:pPr>
    </w:p>
    <w:p>
      <w:pPr>
        <w:pStyle w:val="BodyText"/>
        <w:tabs>
          <w:tab w:pos="7810" w:val="left" w:leader="dot"/>
        </w:tabs>
        <w:spacing w:line="237" w:lineRule="auto"/>
        <w:ind w:left="308" w:right="115"/>
      </w:pPr>
      <w:r>
        <w:rPr/>
        <w:t>Figure 8: Tonic Current Blockade by</w:t>
      </w:r>
      <w:r>
        <w:rPr>
          <w:spacing w:val="-2"/>
        </w:rPr>
        <w:t> </w:t>
      </w:r>
      <w:r>
        <w:rPr/>
        <w:t>DCP23 on</w:t>
      </w:r>
      <w:r>
        <w:rPr>
          <w:spacing w:val="-2"/>
        </w:rPr>
        <w:t> </w:t>
      </w:r>
      <w:r>
        <w:rPr/>
        <w:t>Na</w:t>
      </w:r>
      <w:r>
        <w:rPr>
          <w:vertAlign w:val="subscript"/>
        </w:rPr>
        <w:t>v</w:t>
      </w:r>
      <w:r>
        <w:rPr>
          <w:vertAlign w:val="baseline"/>
        </w:rPr>
        <w:t> 1.6 at Resting Membrane Potential (-60 mV)</w:t>
        <w:tab/>
      </w:r>
      <w:r>
        <w:rPr>
          <w:spacing w:val="-6"/>
          <w:vertAlign w:val="baseline"/>
        </w:rPr>
        <w:t>99</w:t>
      </w:r>
    </w:p>
    <w:p>
      <w:pPr>
        <w:pStyle w:val="BodyText"/>
      </w:pPr>
    </w:p>
    <w:p>
      <w:pPr>
        <w:pStyle w:val="BodyText"/>
        <w:tabs>
          <w:tab w:pos="7867" w:val="left" w:leader="dot"/>
        </w:tabs>
        <w:spacing w:line="242" w:lineRule="auto" w:before="1"/>
        <w:ind w:left="308" w:right="114"/>
      </w:pPr>
      <w:r>
        <w:rPr/>
        <w:t>Figure 9: Tonic Current Blockade by DCP25 on Na</w:t>
      </w:r>
      <w:r>
        <w:rPr>
          <w:vertAlign w:val="subscript"/>
        </w:rPr>
        <w:t>v</w:t>
      </w:r>
      <w:r>
        <w:rPr>
          <w:vertAlign w:val="baseline"/>
        </w:rPr>
        <w:t>1.6 at Resting Membrane Potential (-60 mV)</w:t>
        <w:tab/>
      </w:r>
      <w:r>
        <w:rPr>
          <w:spacing w:val="-4"/>
          <w:vertAlign w:val="baseline"/>
        </w:rPr>
        <w:t>100</w:t>
      </w:r>
    </w:p>
    <w:p>
      <w:pPr>
        <w:pStyle w:val="BodyText"/>
        <w:tabs>
          <w:tab w:pos="7885" w:val="left" w:leader="dot"/>
        </w:tabs>
        <w:spacing w:line="237" w:lineRule="auto" w:before="275"/>
        <w:ind w:left="308" w:right="121"/>
      </w:pPr>
      <w:r>
        <w:rPr/>
        <w:t>Figure</w:t>
      </w:r>
      <w:r>
        <w:rPr>
          <w:spacing w:val="74"/>
        </w:rPr>
        <w:t> </w:t>
      </w:r>
      <w:r>
        <w:rPr/>
        <w:t>10:</w:t>
      </w:r>
      <w:r>
        <w:rPr>
          <w:spacing w:val="75"/>
        </w:rPr>
        <w:t> </w:t>
      </w:r>
      <w:r>
        <w:rPr/>
        <w:t>Tonic</w:t>
      </w:r>
      <w:r>
        <w:rPr>
          <w:spacing w:val="78"/>
        </w:rPr>
        <w:t> </w:t>
      </w:r>
      <w:r>
        <w:rPr/>
        <w:t>Current</w:t>
      </w:r>
      <w:r>
        <w:rPr>
          <w:spacing w:val="80"/>
        </w:rPr>
        <w:t> </w:t>
      </w:r>
      <w:r>
        <w:rPr/>
        <w:t>Blockade</w:t>
      </w:r>
      <w:r>
        <w:rPr>
          <w:spacing w:val="78"/>
        </w:rPr>
        <w:t> </w:t>
      </w:r>
      <w:r>
        <w:rPr/>
        <w:t>by</w:t>
      </w:r>
      <w:r>
        <w:rPr>
          <w:spacing w:val="70"/>
        </w:rPr>
        <w:t> </w:t>
      </w:r>
      <w:r>
        <w:rPr/>
        <w:t>DCP34</w:t>
      </w:r>
      <w:r>
        <w:rPr>
          <w:spacing w:val="74"/>
        </w:rPr>
        <w:t> </w:t>
      </w:r>
      <w:r>
        <w:rPr/>
        <w:t>on</w:t>
      </w:r>
      <w:r>
        <w:rPr>
          <w:spacing w:val="70"/>
        </w:rPr>
        <w:t> </w:t>
      </w:r>
      <w:r>
        <w:rPr/>
        <w:t>Nav1.6</w:t>
      </w:r>
      <w:r>
        <w:rPr>
          <w:spacing w:val="74"/>
        </w:rPr>
        <w:t> </w:t>
      </w:r>
      <w:r>
        <w:rPr/>
        <w:t>at</w:t>
      </w:r>
      <w:r>
        <w:rPr>
          <w:spacing w:val="80"/>
        </w:rPr>
        <w:t> </w:t>
      </w:r>
      <w:r>
        <w:rPr/>
        <w:t>Resting</w:t>
      </w:r>
      <w:r>
        <w:rPr>
          <w:spacing w:val="79"/>
        </w:rPr>
        <w:t> </w:t>
      </w:r>
      <w:r>
        <w:rPr/>
        <w:t>Membrane Potential (-60 mV)</w:t>
        <w:tab/>
      </w:r>
      <w:r>
        <w:rPr>
          <w:spacing w:val="-4"/>
        </w:rPr>
        <w:t>101</w:t>
      </w:r>
    </w:p>
    <w:p>
      <w:pPr>
        <w:pStyle w:val="BodyText"/>
        <w:spacing w:before="1"/>
      </w:pPr>
    </w:p>
    <w:p>
      <w:pPr>
        <w:pStyle w:val="BodyText"/>
        <w:tabs>
          <w:tab w:pos="7890" w:val="left" w:leader="dot"/>
        </w:tabs>
        <w:spacing w:line="242" w:lineRule="auto"/>
        <w:ind w:left="308" w:right="121"/>
      </w:pPr>
      <w:r>
        <w:rPr/>
        <w:t>Figure</w:t>
      </w:r>
      <w:r>
        <w:rPr>
          <w:spacing w:val="-1"/>
        </w:rPr>
        <w:t> </w:t>
      </w:r>
      <w:r>
        <w:rPr/>
        <w:t>11: Current Blockade by</w:t>
      </w:r>
      <w:r>
        <w:rPr>
          <w:spacing w:val="-5"/>
        </w:rPr>
        <w:t> </w:t>
      </w:r>
      <w:r>
        <w:rPr/>
        <w:t>DCP23 on</w:t>
      </w:r>
      <w:r>
        <w:rPr>
          <w:spacing w:val="-5"/>
        </w:rPr>
        <w:t> </w:t>
      </w:r>
      <w:r>
        <w:rPr/>
        <w:t>Nav1.6 at Inactivated Membrane</w:t>
      </w:r>
      <w:r>
        <w:rPr>
          <w:spacing w:val="-1"/>
        </w:rPr>
        <w:t> </w:t>
      </w:r>
      <w:r>
        <w:rPr/>
        <w:t>Potential</w:t>
      </w:r>
      <w:r>
        <w:rPr>
          <w:spacing w:val="-5"/>
        </w:rPr>
        <w:t> </w:t>
      </w:r>
      <w:r>
        <w:rPr/>
        <w:t>(- 100 mV)</w:t>
        <w:tab/>
      </w:r>
      <w:r>
        <w:rPr>
          <w:spacing w:val="-4"/>
        </w:rPr>
        <w:t>102</w:t>
      </w:r>
    </w:p>
    <w:p>
      <w:pPr>
        <w:pStyle w:val="BodyText"/>
      </w:pPr>
    </w:p>
    <w:p>
      <w:pPr>
        <w:pStyle w:val="BodyText"/>
        <w:tabs>
          <w:tab w:pos="7904" w:val="left" w:leader="dot"/>
        </w:tabs>
        <w:spacing w:line="237" w:lineRule="auto"/>
        <w:ind w:left="308" w:right="121"/>
      </w:pPr>
      <w:r>
        <w:rPr/>
        <w:t>Figure</w:t>
      </w:r>
      <w:r>
        <w:rPr>
          <w:spacing w:val="40"/>
        </w:rPr>
        <w:t> </w:t>
      </w:r>
      <w:r>
        <w:rPr/>
        <w:t>12:</w:t>
      </w:r>
      <w:r>
        <w:rPr>
          <w:spacing w:val="40"/>
        </w:rPr>
        <w:t> </w:t>
      </w:r>
      <w:r>
        <w:rPr/>
        <w:t>Concentration</w:t>
      </w:r>
      <w:r>
        <w:rPr>
          <w:spacing w:val="40"/>
        </w:rPr>
        <w:t> </w:t>
      </w:r>
      <w:r>
        <w:rPr/>
        <w:t>–</w:t>
      </w:r>
      <w:r>
        <w:rPr>
          <w:spacing w:val="40"/>
        </w:rPr>
        <w:t> </w:t>
      </w:r>
      <w:r>
        <w:rPr/>
        <w:t>Response</w:t>
      </w:r>
      <w:r>
        <w:rPr>
          <w:spacing w:val="40"/>
        </w:rPr>
        <w:t> </w:t>
      </w:r>
      <w:r>
        <w:rPr/>
        <w:t>Curves</w:t>
      </w:r>
      <w:r>
        <w:rPr>
          <w:spacing w:val="40"/>
        </w:rPr>
        <w:t> </w:t>
      </w:r>
      <w:r>
        <w:rPr/>
        <w:t>for</w:t>
      </w:r>
      <w:r>
        <w:rPr>
          <w:spacing w:val="40"/>
        </w:rPr>
        <w:t> </w:t>
      </w:r>
      <w:r>
        <w:rPr/>
        <w:t>DCP23</w:t>
      </w:r>
      <w:r>
        <w:rPr>
          <w:spacing w:val="40"/>
        </w:rPr>
        <w:t> </w:t>
      </w:r>
      <w:r>
        <w:rPr/>
        <w:t>at</w:t>
      </w:r>
      <w:r>
        <w:rPr>
          <w:spacing w:val="40"/>
        </w:rPr>
        <w:t> </w:t>
      </w:r>
      <w:r>
        <w:rPr/>
        <w:t>Resting</w:t>
      </w:r>
      <w:r>
        <w:rPr>
          <w:spacing w:val="40"/>
        </w:rPr>
        <w:t> </w:t>
      </w:r>
      <w:r>
        <w:rPr/>
        <w:t>and</w:t>
      </w:r>
      <w:r>
        <w:rPr>
          <w:spacing w:val="40"/>
        </w:rPr>
        <w:t> </w:t>
      </w:r>
      <w:r>
        <w:rPr/>
        <w:t>Inactivated States of Nav1.6</w:t>
        <w:tab/>
      </w:r>
      <w:r>
        <w:rPr>
          <w:spacing w:val="-4"/>
        </w:rPr>
        <w:t>103</w:t>
      </w:r>
    </w:p>
    <w:p>
      <w:pPr>
        <w:pStyle w:val="BodyText"/>
        <w:spacing w:before="1"/>
      </w:pPr>
    </w:p>
    <w:p>
      <w:pPr>
        <w:pStyle w:val="BodyText"/>
        <w:ind w:left="308"/>
      </w:pPr>
      <w:r>
        <w:rPr/>
        <w:t>Figure</w:t>
      </w:r>
      <w:r>
        <w:rPr>
          <w:spacing w:val="-4"/>
        </w:rPr>
        <w:t> </w:t>
      </w:r>
      <w:r>
        <w:rPr/>
        <w:t>13:</w:t>
      </w:r>
      <w:r>
        <w:rPr>
          <w:spacing w:val="-1"/>
        </w:rPr>
        <w:t> </w:t>
      </w:r>
      <w:r>
        <w:rPr/>
        <w:t>Current</w:t>
      </w:r>
      <w:r>
        <w:rPr>
          <w:spacing w:val="5"/>
        </w:rPr>
        <w:t> </w:t>
      </w:r>
      <w:r>
        <w:rPr/>
        <w:t>Blockade</w:t>
      </w:r>
      <w:r>
        <w:rPr>
          <w:spacing w:val="-2"/>
        </w:rPr>
        <w:t> </w:t>
      </w:r>
      <w:r>
        <w:rPr/>
        <w:t>by</w:t>
      </w:r>
      <w:r>
        <w:rPr>
          <w:spacing w:val="-10"/>
        </w:rPr>
        <w:t> </w:t>
      </w:r>
      <w:r>
        <w:rPr/>
        <w:t>DCP25</w:t>
      </w:r>
      <w:r>
        <w:rPr>
          <w:spacing w:val="-1"/>
        </w:rPr>
        <w:t> </w:t>
      </w:r>
      <w:r>
        <w:rPr/>
        <w:t>at</w:t>
      </w:r>
      <w:r>
        <w:rPr>
          <w:spacing w:val="5"/>
        </w:rPr>
        <w:t> </w:t>
      </w:r>
      <w:r>
        <w:rPr/>
        <w:t>Resting</w:t>
      </w:r>
      <w:r>
        <w:rPr>
          <w:spacing w:val="3"/>
        </w:rPr>
        <w:t> </w:t>
      </w:r>
      <w:r>
        <w:rPr/>
        <w:t>and</w:t>
      </w:r>
      <w:r>
        <w:rPr>
          <w:spacing w:val="-1"/>
        </w:rPr>
        <w:t> </w:t>
      </w:r>
      <w:r>
        <w:rPr/>
        <w:t>Inactivated States</w:t>
      </w:r>
      <w:r>
        <w:rPr>
          <w:spacing w:val="-7"/>
        </w:rPr>
        <w:t> </w:t>
      </w:r>
      <w:r>
        <w:rPr/>
        <w:t>of</w:t>
      </w:r>
      <w:r>
        <w:rPr>
          <w:spacing w:val="-9"/>
        </w:rPr>
        <w:t> </w:t>
      </w:r>
      <w:r>
        <w:rPr/>
        <w:t>Nav</w:t>
      </w:r>
      <w:r>
        <w:rPr>
          <w:spacing w:val="5"/>
        </w:rPr>
        <w:t> </w:t>
      </w:r>
      <w:r>
        <w:rPr>
          <w:spacing w:val="-5"/>
        </w:rPr>
        <w:t>104</w:t>
      </w:r>
    </w:p>
    <w:p>
      <w:pPr>
        <w:pStyle w:val="BodyText"/>
      </w:pPr>
    </w:p>
    <w:p>
      <w:pPr>
        <w:pStyle w:val="BodyText"/>
        <w:tabs>
          <w:tab w:pos="8029" w:val="left" w:leader="dot"/>
        </w:tabs>
        <w:spacing w:line="242" w:lineRule="auto"/>
        <w:ind w:left="308" w:right="121"/>
      </w:pPr>
      <w:r>
        <w:rPr/>
        <w:t>Figure 14: Current-Voltage Curves obtained in Control Solution and in the Presence </w:t>
      </w:r>
      <w:r>
        <w:rPr>
          <w:spacing w:val="9"/>
        </w:rPr>
        <w:t>of </w:t>
      </w:r>
      <w:r>
        <w:rPr/>
        <w:t>DCP23 (100 µM) using Nav 1.6</w:t>
        <w:tab/>
      </w:r>
      <w:r>
        <w:rPr>
          <w:spacing w:val="-4"/>
        </w:rPr>
        <w:t>106</w:t>
      </w:r>
    </w:p>
    <w:p>
      <w:pPr>
        <w:spacing w:after="0" w:line="242" w:lineRule="auto"/>
        <w:sectPr>
          <w:pgSz w:w="11910" w:h="16840"/>
          <w:pgMar w:header="0" w:footer="777" w:top="1320" w:bottom="960" w:left="1680" w:right="1300"/>
        </w:sectPr>
      </w:pPr>
    </w:p>
    <w:p>
      <w:pPr>
        <w:pStyle w:val="BodyText"/>
        <w:spacing w:before="70"/>
        <w:ind w:left="308"/>
      </w:pPr>
      <w:r>
        <w:rPr/>
        <w:t>LIST</w:t>
      </w:r>
      <w:r>
        <w:rPr>
          <w:spacing w:val="2"/>
        </w:rPr>
        <w:t> </w:t>
      </w:r>
      <w:r>
        <w:rPr/>
        <w:t>OF</w:t>
      </w:r>
      <w:r>
        <w:rPr>
          <w:spacing w:val="-3"/>
        </w:rPr>
        <w:t> </w:t>
      </w:r>
      <w:r>
        <w:rPr>
          <w:spacing w:val="-2"/>
        </w:rPr>
        <w:t>APPENDICES</w:t>
      </w:r>
    </w:p>
    <w:p>
      <w:pPr>
        <w:pStyle w:val="BodyText"/>
        <w:tabs>
          <w:tab w:pos="8300" w:val="left" w:leader="dot"/>
        </w:tabs>
        <w:spacing w:line="242" w:lineRule="auto" w:before="276"/>
        <w:ind w:left="308" w:right="121"/>
      </w:pPr>
      <w:r>
        <w:rPr/>
        <w:t>APPENDIX A: Determination</w:t>
      </w:r>
      <w:r>
        <w:rPr>
          <w:spacing w:val="-2"/>
        </w:rPr>
        <w:t> </w:t>
      </w:r>
      <w:r>
        <w:rPr/>
        <w:t>of</w:t>
      </w:r>
      <w:r>
        <w:rPr>
          <w:spacing w:val="-5"/>
        </w:rPr>
        <w:t> </w:t>
      </w:r>
      <w:r>
        <w:rPr/>
        <w:t>TD</w:t>
      </w:r>
      <w:r>
        <w:rPr>
          <w:vertAlign w:val="subscript"/>
        </w:rPr>
        <w:t>50</w:t>
      </w:r>
      <w:r>
        <w:rPr>
          <w:spacing w:val="-13"/>
          <w:vertAlign w:val="baseline"/>
        </w:rPr>
        <w:t> </w:t>
      </w:r>
      <w:r>
        <w:rPr>
          <w:vertAlign w:val="baseline"/>
        </w:rPr>
        <w:t>for DCP23</w:t>
      </w:r>
      <w:r>
        <w:rPr>
          <w:spacing w:val="-2"/>
          <w:vertAlign w:val="baseline"/>
        </w:rPr>
        <w:t> </w:t>
      </w:r>
      <w:r>
        <w:rPr>
          <w:vertAlign w:val="baseline"/>
        </w:rPr>
        <w:t>Using Walking Beam</w:t>
      </w:r>
      <w:r>
        <w:rPr>
          <w:spacing w:val="-2"/>
          <w:vertAlign w:val="baseline"/>
        </w:rPr>
        <w:t> </w:t>
      </w:r>
      <w:r>
        <w:rPr>
          <w:vertAlign w:val="baseline"/>
        </w:rPr>
        <w:t>Test for Motor Coordination Deficit</w:t>
        <w:tab/>
      </w:r>
      <w:r>
        <w:rPr>
          <w:spacing w:val="-4"/>
          <w:vertAlign w:val="baseline"/>
        </w:rPr>
        <w:t>147</w:t>
      </w:r>
    </w:p>
    <w:p>
      <w:pPr>
        <w:pStyle w:val="BodyText"/>
        <w:tabs>
          <w:tab w:pos="8281" w:val="left" w:leader="dot"/>
        </w:tabs>
        <w:spacing w:line="237" w:lineRule="auto" w:before="275"/>
        <w:ind w:left="308" w:right="115"/>
      </w:pPr>
      <w:r>
        <w:rPr/>
        <w:t>APPENDIX</w:t>
      </w:r>
      <w:r>
        <w:rPr>
          <w:spacing w:val="-2"/>
        </w:rPr>
        <w:t> </w:t>
      </w:r>
      <w:r>
        <w:rPr/>
        <w:t>B:</w:t>
      </w:r>
      <w:r>
        <w:rPr>
          <w:spacing w:val="-1"/>
        </w:rPr>
        <w:t> </w:t>
      </w:r>
      <w:r>
        <w:rPr/>
        <w:t>Determination</w:t>
      </w:r>
      <w:r>
        <w:rPr>
          <w:spacing w:val="-6"/>
        </w:rPr>
        <w:t> </w:t>
      </w:r>
      <w:r>
        <w:rPr/>
        <w:t>of</w:t>
      </w:r>
      <w:r>
        <w:rPr>
          <w:spacing w:val="-9"/>
        </w:rPr>
        <w:t> </w:t>
      </w:r>
      <w:r>
        <w:rPr/>
        <w:t>ED</w:t>
      </w:r>
      <w:r>
        <w:rPr>
          <w:vertAlign w:val="subscript"/>
        </w:rPr>
        <w:t>50</w:t>
      </w:r>
      <w:r>
        <w:rPr>
          <w:vertAlign w:val="baseline"/>
        </w:rPr>
        <w:t> for DCP23</w:t>
      </w:r>
      <w:r>
        <w:rPr>
          <w:spacing w:val="-6"/>
          <w:vertAlign w:val="baseline"/>
        </w:rPr>
        <w:t> </w:t>
      </w:r>
      <w:r>
        <w:rPr>
          <w:vertAlign w:val="baseline"/>
        </w:rPr>
        <w:t>Using</w:t>
      </w:r>
      <w:r>
        <w:rPr>
          <w:spacing w:val="-1"/>
          <w:vertAlign w:val="baseline"/>
        </w:rPr>
        <w:t> </w:t>
      </w:r>
      <w:r>
        <w:rPr>
          <w:vertAlign w:val="baseline"/>
        </w:rPr>
        <w:t>Maximal</w:t>
      </w:r>
      <w:r>
        <w:rPr>
          <w:spacing w:val="-10"/>
          <w:vertAlign w:val="baseline"/>
        </w:rPr>
        <w:t> </w:t>
      </w:r>
      <w:r>
        <w:rPr>
          <w:vertAlign w:val="baseline"/>
        </w:rPr>
        <w:t>electroshock-induced Seizure Test</w:t>
        <w:tab/>
      </w:r>
      <w:r>
        <w:rPr>
          <w:spacing w:val="-4"/>
          <w:vertAlign w:val="baseline"/>
        </w:rPr>
        <w:t>148</w:t>
      </w:r>
    </w:p>
    <w:p>
      <w:pPr>
        <w:pStyle w:val="BodyText"/>
        <w:tabs>
          <w:tab w:pos="8300" w:val="left" w:leader="dot"/>
        </w:tabs>
        <w:spacing w:line="242" w:lineRule="auto" w:before="277"/>
        <w:ind w:left="308" w:right="121"/>
      </w:pPr>
      <w:r>
        <w:rPr/>
        <w:t>APPENDIX C: Determination</w:t>
      </w:r>
      <w:r>
        <w:rPr>
          <w:spacing w:val="-1"/>
        </w:rPr>
        <w:t> </w:t>
      </w:r>
      <w:r>
        <w:rPr/>
        <w:t>of</w:t>
      </w:r>
      <w:r>
        <w:rPr>
          <w:spacing w:val="-4"/>
        </w:rPr>
        <w:t> </w:t>
      </w:r>
      <w:r>
        <w:rPr/>
        <w:t>TD</w:t>
      </w:r>
      <w:r>
        <w:rPr>
          <w:vertAlign w:val="subscript"/>
        </w:rPr>
        <w:t>50</w:t>
      </w:r>
      <w:r>
        <w:rPr>
          <w:spacing w:val="-13"/>
          <w:vertAlign w:val="baseline"/>
        </w:rPr>
        <w:t> </w:t>
      </w:r>
      <w:r>
        <w:rPr>
          <w:vertAlign w:val="baseline"/>
        </w:rPr>
        <w:t>for DCP25 Using Beam Walking Test for Motor Coordination Deficit</w:t>
        <w:tab/>
      </w:r>
      <w:r>
        <w:rPr>
          <w:spacing w:val="-4"/>
          <w:vertAlign w:val="baseline"/>
        </w:rPr>
        <w:t>149</w:t>
      </w:r>
    </w:p>
    <w:p>
      <w:pPr>
        <w:pStyle w:val="BodyText"/>
        <w:tabs>
          <w:tab w:pos="8319" w:val="left" w:leader="dot"/>
        </w:tabs>
        <w:spacing w:line="237" w:lineRule="auto" w:before="276"/>
        <w:ind w:left="308" w:right="121"/>
      </w:pPr>
      <w:r>
        <w:rPr/>
        <w:t>APPENDIX</w:t>
      </w:r>
      <w:r>
        <w:rPr>
          <w:spacing w:val="80"/>
        </w:rPr>
        <w:t> </w:t>
      </w:r>
      <w:r>
        <w:rPr/>
        <w:t>D:</w:t>
      </w:r>
      <w:r>
        <w:rPr>
          <w:spacing w:val="80"/>
        </w:rPr>
        <w:t> </w:t>
      </w:r>
      <w:r>
        <w:rPr/>
        <w:t>Determination</w:t>
      </w:r>
      <w:r>
        <w:rPr>
          <w:spacing w:val="75"/>
        </w:rPr>
        <w:t> </w:t>
      </w:r>
      <w:r>
        <w:rPr/>
        <w:t>of</w:t>
      </w:r>
      <w:r>
        <w:rPr>
          <w:spacing w:val="40"/>
        </w:rPr>
        <w:t> </w:t>
      </w:r>
      <w:r>
        <w:rPr/>
        <w:t>ED</w:t>
      </w:r>
      <w:r>
        <w:rPr>
          <w:vertAlign w:val="subscript"/>
        </w:rPr>
        <w:t>50</w:t>
      </w:r>
      <w:r>
        <w:rPr>
          <w:spacing w:val="80"/>
          <w:vertAlign w:val="baseline"/>
        </w:rPr>
        <w:t> </w:t>
      </w:r>
      <w:r>
        <w:rPr>
          <w:vertAlign w:val="baseline"/>
        </w:rPr>
        <w:t>for</w:t>
      </w:r>
      <w:r>
        <w:rPr>
          <w:spacing w:val="80"/>
          <w:vertAlign w:val="baseline"/>
        </w:rPr>
        <w:t> </w:t>
      </w:r>
      <w:r>
        <w:rPr>
          <w:vertAlign w:val="baseline"/>
        </w:rPr>
        <w:t>DCP25</w:t>
      </w:r>
      <w:r>
        <w:rPr>
          <w:spacing w:val="80"/>
          <w:vertAlign w:val="baseline"/>
        </w:rPr>
        <w:t> </w:t>
      </w:r>
      <w:r>
        <w:rPr>
          <w:vertAlign w:val="baseline"/>
        </w:rPr>
        <w:t>Using</w:t>
      </w:r>
      <w:r>
        <w:rPr>
          <w:spacing w:val="80"/>
          <w:vertAlign w:val="baseline"/>
        </w:rPr>
        <w:t> </w:t>
      </w:r>
      <w:r>
        <w:rPr>
          <w:vertAlign w:val="baseline"/>
        </w:rPr>
        <w:t>Maximal</w:t>
      </w:r>
      <w:r>
        <w:rPr>
          <w:spacing w:val="76"/>
          <w:vertAlign w:val="baseline"/>
        </w:rPr>
        <w:t> </w:t>
      </w:r>
      <w:r>
        <w:rPr>
          <w:vertAlign w:val="baseline"/>
        </w:rPr>
        <w:t>electroshock- induced Seizure Test</w:t>
        <w:tab/>
      </w:r>
      <w:r>
        <w:rPr>
          <w:spacing w:val="-4"/>
          <w:vertAlign w:val="baseline"/>
        </w:rPr>
        <w:t>150</w:t>
      </w:r>
    </w:p>
    <w:p>
      <w:pPr>
        <w:pStyle w:val="BodyText"/>
        <w:tabs>
          <w:tab w:pos="8300" w:val="left" w:leader="dot"/>
        </w:tabs>
        <w:spacing w:line="242" w:lineRule="auto" w:before="277"/>
        <w:ind w:left="308" w:right="121"/>
      </w:pPr>
      <w:r>
        <w:rPr/>
        <w:t>APPENDIX E: Determination</w:t>
      </w:r>
      <w:r>
        <w:rPr>
          <w:spacing w:val="-1"/>
        </w:rPr>
        <w:t> </w:t>
      </w:r>
      <w:r>
        <w:rPr/>
        <w:t>of</w:t>
      </w:r>
      <w:r>
        <w:rPr>
          <w:spacing w:val="-4"/>
        </w:rPr>
        <w:t> </w:t>
      </w:r>
      <w:r>
        <w:rPr/>
        <w:t>TD</w:t>
      </w:r>
      <w:r>
        <w:rPr>
          <w:vertAlign w:val="subscript"/>
        </w:rPr>
        <w:t>50</w:t>
      </w:r>
      <w:r>
        <w:rPr>
          <w:spacing w:val="-12"/>
          <w:vertAlign w:val="baseline"/>
        </w:rPr>
        <w:t> </w:t>
      </w:r>
      <w:r>
        <w:rPr>
          <w:vertAlign w:val="baseline"/>
        </w:rPr>
        <w:t>for DCP34 Using Beam Walking Test for Motor Coordination Deficit</w:t>
        <w:tab/>
      </w:r>
      <w:r>
        <w:rPr>
          <w:spacing w:val="-4"/>
          <w:vertAlign w:val="baseline"/>
        </w:rPr>
        <w:t>151</w:t>
      </w:r>
    </w:p>
    <w:p>
      <w:pPr>
        <w:pStyle w:val="BodyText"/>
        <w:tabs>
          <w:tab w:pos="8346" w:val="left" w:leader="dot"/>
        </w:tabs>
        <w:spacing w:line="237" w:lineRule="auto" w:before="276"/>
        <w:ind w:left="308" w:right="121"/>
      </w:pPr>
      <w:r>
        <w:rPr/>
        <w:t>APPENDIX</w:t>
      </w:r>
      <w:r>
        <w:rPr>
          <w:spacing w:val="-2"/>
        </w:rPr>
        <w:t> </w:t>
      </w:r>
      <w:r>
        <w:rPr/>
        <w:t>F: Determination</w:t>
      </w:r>
      <w:r>
        <w:rPr>
          <w:spacing w:val="-6"/>
        </w:rPr>
        <w:t> </w:t>
      </w:r>
      <w:r>
        <w:rPr/>
        <w:t>of</w:t>
      </w:r>
      <w:r>
        <w:rPr>
          <w:spacing w:val="-9"/>
        </w:rPr>
        <w:t> </w:t>
      </w:r>
      <w:r>
        <w:rPr/>
        <w:t>ED</w:t>
      </w:r>
      <w:r>
        <w:rPr>
          <w:vertAlign w:val="subscript"/>
        </w:rPr>
        <w:t>50</w:t>
      </w:r>
      <w:r>
        <w:rPr>
          <w:vertAlign w:val="baseline"/>
        </w:rPr>
        <w:t> for DCP34</w:t>
      </w:r>
      <w:r>
        <w:rPr>
          <w:spacing w:val="-1"/>
          <w:vertAlign w:val="baseline"/>
        </w:rPr>
        <w:t> </w:t>
      </w:r>
      <w:r>
        <w:rPr>
          <w:vertAlign w:val="baseline"/>
        </w:rPr>
        <w:t>Using Maximal</w:t>
      </w:r>
      <w:r>
        <w:rPr>
          <w:spacing w:val="-1"/>
          <w:vertAlign w:val="baseline"/>
        </w:rPr>
        <w:t> </w:t>
      </w:r>
      <w:r>
        <w:rPr>
          <w:vertAlign w:val="baseline"/>
        </w:rPr>
        <w:t>electroshock-induced Seizure Test</w:t>
        <w:tab/>
      </w:r>
      <w:r>
        <w:rPr>
          <w:spacing w:val="-4"/>
          <w:vertAlign w:val="baseline"/>
        </w:rPr>
        <w:t>152</w:t>
      </w:r>
    </w:p>
    <w:p>
      <w:pPr>
        <w:pStyle w:val="BodyText"/>
        <w:tabs>
          <w:tab w:pos="8340" w:val="left" w:leader="dot"/>
        </w:tabs>
        <w:spacing w:before="277"/>
        <w:ind w:left="308"/>
      </w:pPr>
      <w:r>
        <w:rPr/>
        <w:t>APPENDIX</w:t>
      </w:r>
      <w:r>
        <w:rPr>
          <w:spacing w:val="-3"/>
        </w:rPr>
        <w:t> </w:t>
      </w:r>
      <w:r>
        <w:rPr/>
        <w:t>G: Determination</w:t>
      </w:r>
      <w:r>
        <w:rPr>
          <w:spacing w:val="-6"/>
        </w:rPr>
        <w:t> </w:t>
      </w:r>
      <w:r>
        <w:rPr/>
        <w:t>of</w:t>
      </w:r>
      <w:r>
        <w:rPr>
          <w:spacing w:val="-9"/>
        </w:rPr>
        <w:t> </w:t>
      </w:r>
      <w:r>
        <w:rPr/>
        <w:t>ED</w:t>
      </w:r>
      <w:r>
        <w:rPr>
          <w:vertAlign w:val="subscript"/>
        </w:rPr>
        <w:t>50</w:t>
      </w:r>
      <w:r>
        <w:rPr>
          <w:spacing w:val="2"/>
          <w:vertAlign w:val="baseline"/>
        </w:rPr>
        <w:t> </w:t>
      </w:r>
      <w:r>
        <w:rPr>
          <w:vertAlign w:val="baseline"/>
        </w:rPr>
        <w:t>for DCP23</w:t>
      </w:r>
      <w:r>
        <w:rPr>
          <w:spacing w:val="-6"/>
          <w:vertAlign w:val="baseline"/>
        </w:rPr>
        <w:t> </w:t>
      </w:r>
      <w:r>
        <w:rPr>
          <w:vertAlign w:val="baseline"/>
        </w:rPr>
        <w:t>Using</w:t>
      </w:r>
      <w:r>
        <w:rPr>
          <w:spacing w:val="-1"/>
          <w:vertAlign w:val="baseline"/>
        </w:rPr>
        <w:t> </w:t>
      </w:r>
      <w:r>
        <w:rPr>
          <w:vertAlign w:val="baseline"/>
        </w:rPr>
        <w:t>Picrotoxin-induced</w:t>
      </w:r>
      <w:r>
        <w:rPr>
          <w:spacing w:val="-2"/>
          <w:vertAlign w:val="baseline"/>
        </w:rPr>
        <w:t> </w:t>
      </w:r>
      <w:r>
        <w:rPr>
          <w:spacing w:val="-4"/>
          <w:vertAlign w:val="baseline"/>
        </w:rPr>
        <w:t>Test</w:t>
      </w:r>
      <w:r>
        <w:rPr>
          <w:vertAlign w:val="baseline"/>
        </w:rPr>
        <w:tab/>
      </w:r>
      <w:r>
        <w:rPr>
          <w:spacing w:val="-5"/>
          <w:vertAlign w:val="baseline"/>
        </w:rPr>
        <w:t>153</w:t>
      </w:r>
    </w:p>
    <w:p>
      <w:pPr>
        <w:pStyle w:val="BodyText"/>
        <w:tabs>
          <w:tab w:pos="8432" w:val="left" w:leader="dot"/>
        </w:tabs>
        <w:spacing w:line="550" w:lineRule="atLeast" w:before="2"/>
        <w:ind w:left="308" w:right="129"/>
      </w:pPr>
      <w:r>
        <w:rPr/>
        <w:t>APPENDIX H: Determination</w:t>
      </w:r>
      <w:r>
        <w:rPr>
          <w:spacing w:val="-3"/>
        </w:rPr>
        <w:t> </w:t>
      </w:r>
      <w:r>
        <w:rPr/>
        <w:t>of</w:t>
      </w:r>
      <w:r>
        <w:rPr>
          <w:spacing w:val="-6"/>
        </w:rPr>
        <w:t> </w:t>
      </w:r>
      <w:r>
        <w:rPr/>
        <w:t>ED</w:t>
      </w:r>
      <w:r>
        <w:rPr>
          <w:vertAlign w:val="subscript"/>
        </w:rPr>
        <w:t>50</w:t>
      </w:r>
      <w:r>
        <w:rPr>
          <w:vertAlign w:val="baseline"/>
        </w:rPr>
        <w:t> for DCP25</w:t>
      </w:r>
      <w:r>
        <w:rPr>
          <w:spacing w:val="-3"/>
          <w:vertAlign w:val="baseline"/>
        </w:rPr>
        <w:t> </w:t>
      </w:r>
      <w:r>
        <w:rPr>
          <w:vertAlign w:val="baseline"/>
        </w:rPr>
        <w:t>Using Picrotoxin-induced Test…154 APPENDIX</w:t>
      </w:r>
      <w:r>
        <w:rPr>
          <w:spacing w:val="-3"/>
          <w:vertAlign w:val="baseline"/>
        </w:rPr>
        <w:t> </w:t>
      </w:r>
      <w:r>
        <w:rPr>
          <w:vertAlign w:val="baseline"/>
        </w:rPr>
        <w:t>I:</w:t>
      </w:r>
      <w:r>
        <w:rPr>
          <w:spacing w:val="-2"/>
          <w:vertAlign w:val="baseline"/>
        </w:rPr>
        <w:t> </w:t>
      </w:r>
      <w:r>
        <w:rPr>
          <w:vertAlign w:val="baseline"/>
        </w:rPr>
        <w:t>SAMPLE OF</w:t>
      </w:r>
      <w:r>
        <w:rPr>
          <w:spacing w:val="-7"/>
          <w:vertAlign w:val="baseline"/>
        </w:rPr>
        <w:t> </w:t>
      </w:r>
      <w:r>
        <w:rPr>
          <w:vertAlign w:val="baseline"/>
        </w:rPr>
        <w:t>POLYGRAPHS</w:t>
      </w:r>
      <w:r>
        <w:rPr>
          <w:spacing w:val="-2"/>
          <w:vertAlign w:val="baseline"/>
        </w:rPr>
        <w:t> </w:t>
      </w:r>
      <w:r>
        <w:rPr>
          <w:vertAlign w:val="baseline"/>
        </w:rPr>
        <w:t>RECORDINGS</w:t>
      </w:r>
      <w:r>
        <w:rPr>
          <w:spacing w:val="-2"/>
          <w:vertAlign w:val="baseline"/>
        </w:rPr>
        <w:t> </w:t>
      </w:r>
      <w:r>
        <w:rPr>
          <w:vertAlign w:val="baseline"/>
        </w:rPr>
        <w:t>FOR</w:t>
      </w:r>
      <w:r>
        <w:rPr>
          <w:spacing w:val="-4"/>
          <w:vertAlign w:val="baseline"/>
        </w:rPr>
        <w:t> </w:t>
      </w:r>
      <w:r>
        <w:rPr>
          <w:vertAlign w:val="baseline"/>
        </w:rPr>
        <w:t>Nav</w:t>
      </w:r>
      <w:r>
        <w:rPr>
          <w:spacing w:val="-1"/>
          <w:vertAlign w:val="baseline"/>
        </w:rPr>
        <w:t> </w:t>
      </w:r>
      <w:r>
        <w:rPr>
          <w:spacing w:val="-5"/>
          <w:vertAlign w:val="baseline"/>
        </w:rPr>
        <w:t>1.6</w:t>
      </w:r>
      <w:r>
        <w:rPr>
          <w:vertAlign w:val="baseline"/>
        </w:rPr>
        <w:tab/>
      </w:r>
      <w:r>
        <w:rPr>
          <w:spacing w:val="-5"/>
          <w:vertAlign w:val="baseline"/>
        </w:rPr>
        <w:t>155</w:t>
      </w:r>
    </w:p>
    <w:p>
      <w:pPr>
        <w:pStyle w:val="BodyText"/>
        <w:spacing w:before="4"/>
        <w:ind w:left="308"/>
      </w:pPr>
      <w:r>
        <w:rPr>
          <w:spacing w:val="-2"/>
        </w:rPr>
        <w:t>CURRENTS</w:t>
      </w:r>
    </w:p>
    <w:p>
      <w:pPr>
        <w:pStyle w:val="BodyText"/>
        <w:tabs>
          <w:tab w:pos="8401" w:val="left" w:leader="dot"/>
        </w:tabs>
        <w:spacing w:before="276"/>
        <w:ind w:left="308"/>
      </w:pPr>
      <w:r>
        <w:rPr/>
        <w:t>APPENDIX</w:t>
      </w:r>
      <w:r>
        <w:rPr>
          <w:spacing w:val="-5"/>
        </w:rPr>
        <w:t> </w:t>
      </w:r>
      <w:r>
        <w:rPr/>
        <w:t>J:</w:t>
      </w:r>
      <w:r>
        <w:rPr>
          <w:spacing w:val="-3"/>
        </w:rPr>
        <w:t> </w:t>
      </w:r>
      <w:r>
        <w:rPr/>
        <w:t>ANALYTICAL</w:t>
      </w:r>
      <w:r>
        <w:rPr>
          <w:spacing w:val="-5"/>
        </w:rPr>
        <w:t> </w:t>
      </w:r>
      <w:r>
        <w:rPr>
          <w:spacing w:val="-2"/>
        </w:rPr>
        <w:t>SPECTRA</w:t>
      </w:r>
      <w:r>
        <w:rPr/>
        <w:tab/>
      </w:r>
      <w:r>
        <w:rPr>
          <w:spacing w:val="-5"/>
        </w:rPr>
        <w:t>163</w:t>
      </w:r>
    </w:p>
    <w:p>
      <w:pPr>
        <w:spacing w:after="0"/>
        <w:sectPr>
          <w:pgSz w:w="11910" w:h="16840"/>
          <w:pgMar w:header="0" w:footer="777" w:top="1320" w:bottom="960" w:left="1680" w:right="1300"/>
        </w:sectPr>
      </w:pPr>
    </w:p>
    <w:p>
      <w:pPr>
        <w:pStyle w:val="Heading1"/>
        <w:spacing w:before="74"/>
        <w:ind w:left="308"/>
        <w:jc w:val="left"/>
      </w:pPr>
      <w:bookmarkStart w:name="_TOC_250082" w:id="2"/>
      <w:r>
        <w:rPr/>
        <w:t>ABBREVIATIONS,</w:t>
      </w:r>
      <w:r>
        <w:rPr>
          <w:spacing w:val="-5"/>
        </w:rPr>
        <w:t> </w:t>
      </w:r>
      <w:r>
        <w:rPr/>
        <w:t>DEFINITIONS,</w:t>
      </w:r>
      <w:r>
        <w:rPr>
          <w:spacing w:val="-2"/>
        </w:rPr>
        <w:t> </w:t>
      </w:r>
      <w:r>
        <w:rPr/>
        <w:t>GLOSSARY</w:t>
      </w:r>
      <w:r>
        <w:rPr>
          <w:spacing w:val="-5"/>
        </w:rPr>
        <w:t> </w:t>
      </w:r>
      <w:r>
        <w:rPr/>
        <w:t>AND</w:t>
      </w:r>
      <w:r>
        <w:rPr>
          <w:spacing w:val="-4"/>
        </w:rPr>
        <w:t> </w:t>
      </w:r>
      <w:bookmarkEnd w:id="2"/>
      <w:r>
        <w:rPr>
          <w:spacing w:val="-2"/>
        </w:rPr>
        <w:t>SYMBOLS</w:t>
      </w:r>
    </w:p>
    <w:p>
      <w:pPr>
        <w:pStyle w:val="BodyText"/>
        <w:spacing w:before="274"/>
        <w:rPr>
          <w:b/>
        </w:rPr>
      </w:pPr>
    </w:p>
    <w:p>
      <w:pPr>
        <w:pStyle w:val="BodyText"/>
        <w:tabs>
          <w:tab w:pos="2487" w:val="left" w:leader="none"/>
        </w:tabs>
        <w:ind w:left="308"/>
      </w:pPr>
      <w:r>
        <w:rPr>
          <w:spacing w:val="-10"/>
        </w:rPr>
        <w:t>&lt;</w:t>
      </w:r>
      <w:r>
        <w:rPr/>
        <w:tab/>
        <w:t>Less</w:t>
      </w:r>
      <w:r>
        <w:rPr>
          <w:spacing w:val="-7"/>
        </w:rPr>
        <w:t> </w:t>
      </w:r>
      <w:r>
        <w:rPr>
          <w:spacing w:val="-4"/>
        </w:rPr>
        <w:t>than</w:t>
      </w:r>
    </w:p>
    <w:p>
      <w:pPr>
        <w:pStyle w:val="BodyText"/>
        <w:spacing w:before="1"/>
      </w:pPr>
    </w:p>
    <w:p>
      <w:pPr>
        <w:pStyle w:val="BodyText"/>
        <w:tabs>
          <w:tab w:pos="2468" w:val="left" w:leader="none"/>
        </w:tabs>
        <w:ind w:left="308"/>
      </w:pPr>
      <w:r>
        <w:rPr>
          <w:spacing w:val="-5"/>
        </w:rPr>
        <w:t>µg</w:t>
      </w:r>
      <w:r>
        <w:rPr/>
        <w:tab/>
      </w:r>
      <w:r>
        <w:rPr>
          <w:spacing w:val="-2"/>
        </w:rPr>
        <w:t>microgram</w:t>
      </w:r>
    </w:p>
    <w:p>
      <w:pPr>
        <w:pStyle w:val="BodyText"/>
      </w:pPr>
    </w:p>
    <w:p>
      <w:pPr>
        <w:pStyle w:val="BodyText"/>
        <w:tabs>
          <w:tab w:pos="2468" w:val="left" w:leader="none"/>
        </w:tabs>
        <w:ind w:left="308"/>
      </w:pPr>
      <w:r>
        <w:rPr>
          <w:spacing w:val="-5"/>
          <w:vertAlign w:val="superscript"/>
        </w:rPr>
        <w:t>0</w:t>
      </w:r>
      <w:r>
        <w:rPr>
          <w:spacing w:val="-5"/>
          <w:vertAlign w:val="baseline"/>
        </w:rPr>
        <w:t>C</w:t>
      </w:r>
      <w:r>
        <w:rPr>
          <w:vertAlign w:val="baseline"/>
        </w:rPr>
        <w:tab/>
        <w:t>Degree</w:t>
      </w:r>
      <w:r>
        <w:rPr>
          <w:spacing w:val="-1"/>
          <w:vertAlign w:val="baseline"/>
        </w:rPr>
        <w:t> </w:t>
      </w:r>
      <w:r>
        <w:rPr>
          <w:spacing w:val="-2"/>
          <w:vertAlign w:val="baseline"/>
        </w:rPr>
        <w:t>Centigrade</w:t>
      </w:r>
    </w:p>
    <w:p>
      <w:pPr>
        <w:pStyle w:val="BodyText"/>
      </w:pPr>
    </w:p>
    <w:p>
      <w:pPr>
        <w:pStyle w:val="BodyText"/>
        <w:tabs>
          <w:tab w:pos="2468" w:val="left" w:leader="none"/>
        </w:tabs>
        <w:ind w:left="308"/>
      </w:pPr>
      <w:r>
        <w:rPr>
          <w:spacing w:val="-5"/>
        </w:rPr>
        <w:t>5HT</w:t>
      </w:r>
      <w:r>
        <w:rPr/>
        <w:tab/>
        <w:t>5-</w:t>
      </w:r>
      <w:r>
        <w:rPr>
          <w:spacing w:val="-2"/>
        </w:rPr>
        <w:t>hydroxytryptophan</w:t>
      </w:r>
    </w:p>
    <w:p>
      <w:pPr>
        <w:pStyle w:val="BodyText"/>
      </w:pPr>
    </w:p>
    <w:p>
      <w:pPr>
        <w:pStyle w:val="BodyText"/>
        <w:tabs>
          <w:tab w:pos="2468" w:val="left" w:leader="none"/>
        </w:tabs>
        <w:ind w:left="308"/>
      </w:pPr>
      <w:r>
        <w:rPr>
          <w:spacing w:val="-5"/>
        </w:rPr>
        <w:t>AAT</w:t>
      </w:r>
      <w:r>
        <w:rPr/>
        <w:tab/>
        <w:t>Alanine</w:t>
      </w:r>
      <w:r>
        <w:rPr>
          <w:spacing w:val="-6"/>
        </w:rPr>
        <w:t> </w:t>
      </w:r>
      <w:r>
        <w:rPr/>
        <w:t>amino </w:t>
      </w:r>
      <w:r>
        <w:rPr>
          <w:spacing w:val="-2"/>
        </w:rPr>
        <w:t>transferase</w:t>
      </w:r>
    </w:p>
    <w:p>
      <w:pPr>
        <w:pStyle w:val="BodyText"/>
      </w:pPr>
    </w:p>
    <w:p>
      <w:pPr>
        <w:pStyle w:val="BodyText"/>
        <w:tabs>
          <w:tab w:pos="2468" w:val="left" w:leader="none"/>
        </w:tabs>
        <w:ind w:left="308"/>
      </w:pPr>
      <w:r>
        <w:rPr>
          <w:spacing w:val="-5"/>
        </w:rPr>
        <w:t>ABU</w:t>
      </w:r>
      <w:r>
        <w:rPr/>
        <w:tab/>
        <w:t>Ahmadu</w:t>
      </w:r>
      <w:r>
        <w:rPr>
          <w:spacing w:val="-5"/>
        </w:rPr>
        <w:t> </w:t>
      </w:r>
      <w:r>
        <w:rPr/>
        <w:t>Bello</w:t>
      </w:r>
      <w:r>
        <w:rPr>
          <w:spacing w:val="-1"/>
        </w:rPr>
        <w:t> </w:t>
      </w:r>
      <w:r>
        <w:rPr>
          <w:spacing w:val="-2"/>
        </w:rPr>
        <w:t>University</w:t>
      </w:r>
    </w:p>
    <w:p>
      <w:pPr>
        <w:pStyle w:val="BodyText"/>
      </w:pPr>
    </w:p>
    <w:p>
      <w:pPr>
        <w:pStyle w:val="BodyText"/>
        <w:tabs>
          <w:tab w:pos="2468" w:val="left" w:leader="none"/>
        </w:tabs>
        <w:ind w:left="308"/>
      </w:pPr>
      <w:r>
        <w:rPr>
          <w:spacing w:val="-2"/>
        </w:rPr>
        <w:t>ABUTH</w:t>
      </w:r>
      <w:r>
        <w:rPr/>
        <w:tab/>
        <w:t>Ahmadu</w:t>
      </w:r>
      <w:r>
        <w:rPr>
          <w:spacing w:val="-5"/>
        </w:rPr>
        <w:t> </w:t>
      </w:r>
      <w:r>
        <w:rPr/>
        <w:t>Bello</w:t>
      </w:r>
      <w:r>
        <w:rPr>
          <w:spacing w:val="2"/>
        </w:rPr>
        <w:t> </w:t>
      </w:r>
      <w:r>
        <w:rPr/>
        <w:t>University</w:t>
      </w:r>
      <w:r>
        <w:rPr>
          <w:spacing w:val="-12"/>
        </w:rPr>
        <w:t> </w:t>
      </w:r>
      <w:r>
        <w:rPr/>
        <w:t>Teaching</w:t>
      </w:r>
      <w:r>
        <w:rPr>
          <w:spacing w:val="-2"/>
        </w:rPr>
        <w:t> Hospital</w:t>
      </w:r>
    </w:p>
    <w:p>
      <w:pPr>
        <w:pStyle w:val="BodyText"/>
        <w:spacing w:before="1"/>
      </w:pPr>
    </w:p>
    <w:p>
      <w:pPr>
        <w:pStyle w:val="BodyText"/>
        <w:tabs>
          <w:tab w:pos="2468" w:val="left" w:leader="none"/>
        </w:tabs>
        <w:ind w:left="308"/>
      </w:pPr>
      <w:r>
        <w:rPr>
          <w:spacing w:val="-4"/>
        </w:rPr>
        <w:t>AEDs</w:t>
      </w:r>
      <w:r>
        <w:rPr/>
        <w:tab/>
        <w:t>Antiepileptic</w:t>
      </w:r>
      <w:r>
        <w:rPr>
          <w:spacing w:val="-9"/>
        </w:rPr>
        <w:t> </w:t>
      </w:r>
      <w:r>
        <w:rPr>
          <w:spacing w:val="-2"/>
        </w:rPr>
        <w:t>drugs</w:t>
      </w:r>
    </w:p>
    <w:p>
      <w:pPr>
        <w:pStyle w:val="BodyText"/>
      </w:pPr>
    </w:p>
    <w:p>
      <w:pPr>
        <w:pStyle w:val="BodyText"/>
        <w:tabs>
          <w:tab w:pos="2468" w:val="left" w:leader="none"/>
        </w:tabs>
        <w:spacing w:line="480" w:lineRule="auto"/>
        <w:ind w:left="308" w:right="184"/>
      </w:pPr>
      <w:r>
        <w:rPr>
          <w:spacing w:val="-4"/>
        </w:rPr>
        <w:t>AMPA</w:t>
      </w:r>
      <w:r>
        <w:rPr/>
        <w:tab/>
        <w:t>Alpha</w:t>
      </w:r>
      <w:r>
        <w:rPr>
          <w:spacing w:val="-6"/>
        </w:rPr>
        <w:t> </w:t>
      </w:r>
      <w:r>
        <w:rPr/>
        <w:t>amino-</w:t>
      </w:r>
      <w:r>
        <w:rPr>
          <w:spacing w:val="-3"/>
        </w:rPr>
        <w:t> </w:t>
      </w:r>
      <w:r>
        <w:rPr/>
        <w:t>3-</w:t>
      </w:r>
      <w:r>
        <w:rPr>
          <w:spacing w:val="-3"/>
        </w:rPr>
        <w:t> </w:t>
      </w:r>
      <w:r>
        <w:rPr/>
        <w:t>hydroxyl-</w:t>
      </w:r>
      <w:r>
        <w:rPr>
          <w:spacing w:val="-3"/>
        </w:rPr>
        <w:t> </w:t>
      </w:r>
      <w:r>
        <w:rPr/>
        <w:t>5- methyl</w:t>
      </w:r>
      <w:r>
        <w:rPr>
          <w:spacing w:val="-10"/>
        </w:rPr>
        <w:t> </w:t>
      </w:r>
      <w:r>
        <w:rPr/>
        <w:t>isoxazole-</w:t>
      </w:r>
      <w:r>
        <w:rPr>
          <w:spacing w:val="-3"/>
        </w:rPr>
        <w:t> </w:t>
      </w:r>
      <w:r>
        <w:rPr/>
        <w:t>4-</w:t>
      </w:r>
      <w:r>
        <w:rPr>
          <w:spacing w:val="-3"/>
        </w:rPr>
        <w:t> </w:t>
      </w:r>
      <w:r>
        <w:rPr/>
        <w:t>pripionic</w:t>
      </w:r>
      <w:r>
        <w:rPr>
          <w:spacing w:val="-6"/>
        </w:rPr>
        <w:t> </w:t>
      </w:r>
      <w:r>
        <w:rPr/>
        <w:t>acid </w:t>
      </w:r>
      <w:r>
        <w:rPr>
          <w:spacing w:val="-2"/>
        </w:rPr>
        <w:t>ANOVA</w:t>
      </w:r>
      <w:r>
        <w:rPr/>
        <w:tab/>
        <w:t>Analysis of variance</w:t>
      </w:r>
    </w:p>
    <w:p>
      <w:pPr>
        <w:pStyle w:val="BodyText"/>
        <w:tabs>
          <w:tab w:pos="2468" w:val="left" w:leader="none"/>
        </w:tabs>
        <w:spacing w:before="1"/>
        <w:ind w:left="308"/>
      </w:pPr>
      <w:r>
        <w:rPr>
          <w:spacing w:val="-5"/>
        </w:rPr>
        <w:t>AST</w:t>
      </w:r>
      <w:r>
        <w:rPr/>
        <w:tab/>
        <w:t>Aspartate</w:t>
      </w:r>
      <w:r>
        <w:rPr>
          <w:spacing w:val="2"/>
        </w:rPr>
        <w:t> </w:t>
      </w:r>
      <w:r>
        <w:rPr>
          <w:spacing w:val="-2"/>
        </w:rPr>
        <w:t>aminotrransferase</w:t>
      </w:r>
    </w:p>
    <w:p>
      <w:pPr>
        <w:pStyle w:val="BodyText"/>
        <w:tabs>
          <w:tab w:pos="2468" w:val="left" w:leader="none"/>
        </w:tabs>
        <w:spacing w:before="276"/>
        <w:ind w:left="308"/>
      </w:pPr>
      <w:r>
        <w:rPr>
          <w:spacing w:val="-5"/>
        </w:rPr>
        <w:t>ATP</w:t>
      </w:r>
      <w:r>
        <w:rPr/>
        <w:tab/>
        <w:t>Adenosine</w:t>
      </w:r>
      <w:r>
        <w:rPr>
          <w:spacing w:val="-6"/>
        </w:rPr>
        <w:t> </w:t>
      </w:r>
      <w:r>
        <w:rPr>
          <w:spacing w:val="-2"/>
        </w:rPr>
        <w:t>triphosphate</w:t>
      </w:r>
    </w:p>
    <w:p>
      <w:pPr>
        <w:pStyle w:val="BodyText"/>
        <w:tabs>
          <w:tab w:pos="2468" w:val="left" w:leader="none"/>
        </w:tabs>
        <w:spacing w:before="276"/>
        <w:ind w:left="308"/>
      </w:pPr>
      <w:r>
        <w:rPr>
          <w:spacing w:val="-5"/>
        </w:rPr>
        <w:t>BBB</w:t>
      </w:r>
      <w:r>
        <w:rPr/>
        <w:tab/>
        <w:t>Blood-brain</w:t>
      </w:r>
      <w:r>
        <w:rPr>
          <w:spacing w:val="-7"/>
        </w:rPr>
        <w:t> </w:t>
      </w:r>
      <w:r>
        <w:rPr>
          <w:spacing w:val="-2"/>
        </w:rPr>
        <w:t>barrier</w:t>
      </w:r>
    </w:p>
    <w:p>
      <w:pPr>
        <w:pStyle w:val="BodyText"/>
      </w:pPr>
    </w:p>
    <w:p>
      <w:pPr>
        <w:pStyle w:val="BodyText"/>
        <w:tabs>
          <w:tab w:pos="2468" w:val="left" w:leader="none"/>
        </w:tabs>
        <w:ind w:left="308"/>
      </w:pPr>
      <w:r>
        <w:rPr>
          <w:spacing w:val="-5"/>
        </w:rPr>
        <w:t>BDH</w:t>
      </w:r>
      <w:r>
        <w:rPr/>
        <w:tab/>
        <w:t>British</w:t>
      </w:r>
      <w:r>
        <w:rPr>
          <w:spacing w:val="-6"/>
        </w:rPr>
        <w:t> </w:t>
      </w:r>
      <w:r>
        <w:rPr/>
        <w:t>Drug </w:t>
      </w:r>
      <w:r>
        <w:rPr>
          <w:spacing w:val="-4"/>
        </w:rPr>
        <w:t>House</w:t>
      </w:r>
    </w:p>
    <w:p>
      <w:pPr>
        <w:pStyle w:val="BodyText"/>
      </w:pPr>
    </w:p>
    <w:p>
      <w:pPr>
        <w:pStyle w:val="BodyText"/>
        <w:tabs>
          <w:tab w:pos="2473" w:val="left" w:leader="none"/>
        </w:tabs>
        <w:ind w:left="308"/>
      </w:pPr>
      <w:r>
        <w:rPr>
          <w:spacing w:val="-5"/>
        </w:rPr>
        <w:t>BDZ</w:t>
      </w:r>
      <w:r>
        <w:rPr/>
        <w:tab/>
      </w:r>
      <w:r>
        <w:rPr>
          <w:spacing w:val="-2"/>
        </w:rPr>
        <w:t>Benzodiazepines</w:t>
      </w:r>
    </w:p>
    <w:p>
      <w:pPr>
        <w:pStyle w:val="BodyText"/>
      </w:pPr>
    </w:p>
    <w:p>
      <w:pPr>
        <w:pStyle w:val="BodyText"/>
        <w:tabs>
          <w:tab w:pos="2468" w:val="left" w:leader="none"/>
        </w:tabs>
        <w:ind w:left="308"/>
      </w:pPr>
      <w:r>
        <w:rPr>
          <w:spacing w:val="-5"/>
        </w:rPr>
        <w:t>BDZ</w:t>
      </w:r>
      <w:r>
        <w:rPr/>
        <w:tab/>
      </w:r>
      <w:r>
        <w:rPr>
          <w:spacing w:val="-2"/>
        </w:rPr>
        <w:t>Benzodiazepine</w:t>
      </w:r>
    </w:p>
    <w:p>
      <w:pPr>
        <w:pStyle w:val="BodyText"/>
        <w:spacing w:before="1"/>
      </w:pPr>
    </w:p>
    <w:p>
      <w:pPr>
        <w:pStyle w:val="BodyText"/>
        <w:tabs>
          <w:tab w:pos="2468" w:val="left" w:leader="none"/>
        </w:tabs>
        <w:ind w:left="308"/>
      </w:pPr>
      <w:r>
        <w:rPr>
          <w:spacing w:val="-4"/>
        </w:rPr>
        <w:t>Ca</w:t>
      </w:r>
      <w:r>
        <w:rPr>
          <w:spacing w:val="-4"/>
          <w:vertAlign w:val="superscript"/>
        </w:rPr>
        <w:t>2+</w:t>
      </w:r>
      <w:r>
        <w:rPr>
          <w:vertAlign w:val="baseline"/>
        </w:rPr>
        <w:tab/>
        <w:t>Calcium</w:t>
      </w:r>
      <w:r>
        <w:rPr>
          <w:spacing w:val="-3"/>
          <w:vertAlign w:val="baseline"/>
        </w:rPr>
        <w:t> </w:t>
      </w:r>
      <w:r>
        <w:rPr>
          <w:spacing w:val="-4"/>
          <w:vertAlign w:val="baseline"/>
        </w:rPr>
        <w:t>ions</w:t>
      </w:r>
    </w:p>
    <w:p>
      <w:pPr>
        <w:pStyle w:val="BodyText"/>
      </w:pPr>
    </w:p>
    <w:p>
      <w:pPr>
        <w:pStyle w:val="BodyText"/>
        <w:tabs>
          <w:tab w:pos="2468" w:val="left" w:leader="none"/>
        </w:tabs>
        <w:ind w:left="308"/>
      </w:pPr>
      <w:r>
        <w:rPr>
          <w:spacing w:val="-2"/>
        </w:rPr>
        <w:t>CaCl</w:t>
      </w:r>
      <w:r>
        <w:rPr>
          <w:spacing w:val="-2"/>
          <w:vertAlign w:val="subscript"/>
        </w:rPr>
        <w:t>2</w:t>
      </w:r>
      <w:r>
        <w:rPr>
          <w:vertAlign w:val="baseline"/>
        </w:rPr>
        <w:tab/>
        <w:t>Calcium</w:t>
      </w:r>
      <w:r>
        <w:rPr>
          <w:spacing w:val="-10"/>
          <w:vertAlign w:val="baseline"/>
        </w:rPr>
        <w:t> </w:t>
      </w:r>
      <w:r>
        <w:rPr>
          <w:spacing w:val="-2"/>
          <w:vertAlign w:val="baseline"/>
        </w:rPr>
        <w:t>chloride</w:t>
      </w:r>
    </w:p>
    <w:p>
      <w:pPr>
        <w:pStyle w:val="BodyText"/>
      </w:pPr>
    </w:p>
    <w:p>
      <w:pPr>
        <w:pStyle w:val="BodyText"/>
        <w:tabs>
          <w:tab w:pos="2468" w:val="left" w:leader="none"/>
        </w:tabs>
        <w:ind w:left="308"/>
      </w:pPr>
      <w:r>
        <w:rPr>
          <w:spacing w:val="-5"/>
        </w:rPr>
        <w:t>Cl-</w:t>
      </w:r>
      <w:r>
        <w:rPr/>
        <w:tab/>
        <w:t>Chloride</w:t>
      </w:r>
      <w:r>
        <w:rPr>
          <w:spacing w:val="-1"/>
        </w:rPr>
        <w:t> </w:t>
      </w:r>
      <w:r>
        <w:rPr>
          <w:spacing w:val="-4"/>
        </w:rPr>
        <w:t>ions</w:t>
      </w:r>
    </w:p>
    <w:p>
      <w:pPr>
        <w:pStyle w:val="BodyText"/>
      </w:pPr>
    </w:p>
    <w:p>
      <w:pPr>
        <w:pStyle w:val="BodyText"/>
        <w:tabs>
          <w:tab w:pos="2468" w:val="left" w:leader="none"/>
        </w:tabs>
        <w:ind w:left="308"/>
      </w:pPr>
      <w:r>
        <w:rPr>
          <w:spacing w:val="-5"/>
        </w:rPr>
        <w:t>CNS</w:t>
      </w:r>
      <w:r>
        <w:rPr/>
        <w:tab/>
        <w:t>Central</w:t>
      </w:r>
      <w:r>
        <w:rPr>
          <w:spacing w:val="-6"/>
        </w:rPr>
        <w:t> </w:t>
      </w:r>
      <w:r>
        <w:rPr/>
        <w:t>nervous</w:t>
      </w:r>
      <w:r>
        <w:rPr>
          <w:spacing w:val="-2"/>
        </w:rPr>
        <w:t> system</w:t>
      </w:r>
    </w:p>
    <w:p>
      <w:pPr>
        <w:pStyle w:val="BodyText"/>
      </w:pPr>
    </w:p>
    <w:p>
      <w:pPr>
        <w:pStyle w:val="BodyText"/>
        <w:tabs>
          <w:tab w:pos="2468" w:val="left" w:leader="none"/>
        </w:tabs>
        <w:ind w:left="308"/>
      </w:pPr>
      <w:r>
        <w:rPr>
          <w:spacing w:val="-5"/>
        </w:rPr>
        <w:t>Co</w:t>
      </w:r>
      <w:r>
        <w:rPr/>
        <w:tab/>
      </w:r>
      <w:r>
        <w:rPr>
          <w:spacing w:val="-2"/>
        </w:rPr>
        <w:t>Company</w:t>
      </w:r>
    </w:p>
    <w:p>
      <w:pPr>
        <w:pStyle w:val="BodyText"/>
      </w:pPr>
    </w:p>
    <w:p>
      <w:pPr>
        <w:pStyle w:val="BodyText"/>
        <w:tabs>
          <w:tab w:pos="2468" w:val="left" w:leader="none"/>
        </w:tabs>
        <w:ind w:left="308"/>
      </w:pPr>
      <w:r>
        <w:rPr>
          <w:spacing w:val="-5"/>
        </w:rPr>
        <w:t>CO</w:t>
      </w:r>
      <w:r>
        <w:rPr>
          <w:spacing w:val="-5"/>
          <w:vertAlign w:val="subscript"/>
        </w:rPr>
        <w:t>2</w:t>
      </w:r>
      <w:r>
        <w:rPr>
          <w:vertAlign w:val="baseline"/>
        </w:rPr>
        <w:tab/>
      </w:r>
      <w:r>
        <w:rPr>
          <w:spacing w:val="-2"/>
          <w:vertAlign w:val="baseline"/>
        </w:rPr>
        <w:t>Carbondioxide</w:t>
      </w:r>
    </w:p>
    <w:p>
      <w:pPr>
        <w:pStyle w:val="BodyText"/>
        <w:spacing w:before="1"/>
      </w:pPr>
    </w:p>
    <w:p>
      <w:pPr>
        <w:pStyle w:val="BodyText"/>
        <w:tabs>
          <w:tab w:pos="2468" w:val="left" w:leader="none"/>
        </w:tabs>
        <w:ind w:left="308"/>
      </w:pPr>
      <w:r>
        <w:rPr>
          <w:spacing w:val="-5"/>
        </w:rPr>
        <w:t>CRH</w:t>
      </w:r>
      <w:r>
        <w:rPr/>
        <w:tab/>
        <w:t>Corticotropin-</w:t>
      </w:r>
      <w:r>
        <w:rPr>
          <w:spacing w:val="-8"/>
        </w:rPr>
        <w:t> </w:t>
      </w:r>
      <w:r>
        <w:rPr/>
        <w:t>releasing</w:t>
      </w:r>
      <w:r>
        <w:rPr>
          <w:spacing w:val="-7"/>
        </w:rPr>
        <w:t> </w:t>
      </w:r>
      <w:r>
        <w:rPr>
          <w:spacing w:val="-2"/>
        </w:rPr>
        <w:t>hormone</w:t>
      </w:r>
    </w:p>
    <w:p>
      <w:pPr>
        <w:pStyle w:val="BodyText"/>
      </w:pPr>
    </w:p>
    <w:p>
      <w:pPr>
        <w:pStyle w:val="BodyText"/>
        <w:tabs>
          <w:tab w:pos="2468" w:val="left" w:leader="none"/>
        </w:tabs>
        <w:ind w:left="308"/>
      </w:pPr>
      <w:r>
        <w:rPr>
          <w:spacing w:val="-5"/>
        </w:rPr>
        <w:t>CYP</w:t>
      </w:r>
      <w:r>
        <w:rPr/>
        <w:tab/>
      </w:r>
      <w:r>
        <w:rPr>
          <w:spacing w:val="-2"/>
        </w:rPr>
        <w:t>Cyproheptadine</w:t>
      </w:r>
    </w:p>
    <w:p>
      <w:pPr>
        <w:spacing w:after="0"/>
        <w:sectPr>
          <w:pgSz w:w="11910" w:h="16840"/>
          <w:pgMar w:header="0" w:footer="777" w:top="1320" w:bottom="960" w:left="1680" w:right="1300"/>
        </w:sectPr>
      </w:pPr>
    </w:p>
    <w:p>
      <w:pPr>
        <w:pStyle w:val="BodyText"/>
        <w:tabs>
          <w:tab w:pos="2468" w:val="left" w:leader="none"/>
        </w:tabs>
        <w:spacing w:before="70"/>
        <w:ind w:left="308"/>
      </w:pPr>
      <w:r>
        <w:rPr>
          <w:spacing w:val="-2"/>
        </w:rPr>
        <w:t>DCP23</w:t>
      </w:r>
      <w:r>
        <w:rPr/>
        <w:tab/>
        <w:t>2,3</w:t>
      </w:r>
      <w:r>
        <w:rPr>
          <w:spacing w:val="-9"/>
        </w:rPr>
        <w:t> </w:t>
      </w:r>
      <w:r>
        <w:rPr/>
        <w:t>[(dichlorophenyl)amino]</w:t>
      </w:r>
      <w:r>
        <w:rPr>
          <w:spacing w:val="-5"/>
        </w:rPr>
        <w:t> </w:t>
      </w:r>
      <w:r>
        <w:rPr>
          <w:spacing w:val="-2"/>
        </w:rPr>
        <w:t>propanamide</w:t>
      </w:r>
    </w:p>
    <w:p>
      <w:pPr>
        <w:pStyle w:val="BodyText"/>
        <w:tabs>
          <w:tab w:pos="2468" w:val="left" w:leader="none"/>
        </w:tabs>
        <w:spacing w:before="276"/>
        <w:ind w:left="308"/>
      </w:pPr>
      <w:r>
        <w:rPr>
          <w:spacing w:val="-2"/>
        </w:rPr>
        <w:t>DCP25</w:t>
      </w:r>
      <w:r>
        <w:rPr/>
        <w:tab/>
        <w:t>2,5</w:t>
      </w:r>
      <w:r>
        <w:rPr>
          <w:spacing w:val="-9"/>
        </w:rPr>
        <w:t> </w:t>
      </w:r>
      <w:r>
        <w:rPr/>
        <w:t>[(dichlorophenyl)amino]</w:t>
      </w:r>
      <w:r>
        <w:rPr>
          <w:spacing w:val="-5"/>
        </w:rPr>
        <w:t> </w:t>
      </w:r>
      <w:r>
        <w:rPr>
          <w:spacing w:val="-2"/>
        </w:rPr>
        <w:t>propanamide</w:t>
      </w:r>
    </w:p>
    <w:p>
      <w:pPr>
        <w:pStyle w:val="BodyText"/>
      </w:pPr>
    </w:p>
    <w:p>
      <w:pPr>
        <w:pStyle w:val="BodyText"/>
        <w:tabs>
          <w:tab w:pos="2468" w:val="left" w:leader="none"/>
        </w:tabs>
        <w:ind w:left="308"/>
      </w:pPr>
      <w:r>
        <w:rPr>
          <w:spacing w:val="-2"/>
        </w:rPr>
        <w:t>DCP34</w:t>
      </w:r>
      <w:r>
        <w:rPr/>
        <w:tab/>
        <w:t>3,4</w:t>
      </w:r>
      <w:r>
        <w:rPr>
          <w:spacing w:val="-8"/>
        </w:rPr>
        <w:t> </w:t>
      </w:r>
      <w:r>
        <w:rPr/>
        <w:t>[(dichlorophenyl)amino]</w:t>
      </w:r>
      <w:r>
        <w:rPr>
          <w:spacing w:val="-4"/>
        </w:rPr>
        <w:t> </w:t>
      </w:r>
      <w:r>
        <w:rPr>
          <w:spacing w:val="-2"/>
        </w:rPr>
        <w:t>propanamide</w:t>
      </w:r>
    </w:p>
    <w:p>
      <w:pPr>
        <w:pStyle w:val="BodyText"/>
      </w:pPr>
    </w:p>
    <w:p>
      <w:pPr>
        <w:pStyle w:val="BodyText"/>
        <w:tabs>
          <w:tab w:pos="2468" w:val="left" w:leader="none"/>
        </w:tabs>
        <w:ind w:left="308"/>
      </w:pPr>
      <w:r>
        <w:rPr>
          <w:spacing w:val="-4"/>
        </w:rPr>
        <w:t>DMSO</w:t>
      </w:r>
      <w:r>
        <w:rPr/>
        <w:tab/>
        <w:t>Dimethyl</w:t>
      </w:r>
      <w:r>
        <w:rPr>
          <w:spacing w:val="-5"/>
        </w:rPr>
        <w:t> </w:t>
      </w:r>
      <w:r>
        <w:rPr>
          <w:spacing w:val="-2"/>
        </w:rPr>
        <w:t>sulphoxide</w:t>
      </w:r>
    </w:p>
    <w:p>
      <w:pPr>
        <w:pStyle w:val="BodyText"/>
      </w:pPr>
    </w:p>
    <w:p>
      <w:pPr>
        <w:pStyle w:val="BodyText"/>
        <w:tabs>
          <w:tab w:pos="2492" w:val="left" w:leader="none"/>
        </w:tabs>
        <w:ind w:left="308"/>
      </w:pPr>
      <w:r>
        <w:rPr>
          <w:spacing w:val="-5"/>
        </w:rPr>
        <w:t>DZ</w:t>
      </w:r>
      <w:r>
        <w:rPr/>
        <w:tab/>
      </w:r>
      <w:r>
        <w:rPr>
          <w:spacing w:val="-2"/>
        </w:rPr>
        <w:t>Diazepam</w:t>
      </w:r>
    </w:p>
    <w:p>
      <w:pPr>
        <w:pStyle w:val="BodyText"/>
        <w:spacing w:before="1"/>
      </w:pPr>
    </w:p>
    <w:p>
      <w:pPr>
        <w:pStyle w:val="BodyText"/>
        <w:tabs>
          <w:tab w:pos="2468" w:val="left" w:leader="none"/>
        </w:tabs>
        <w:ind w:left="308"/>
      </w:pPr>
      <w:r>
        <w:rPr>
          <w:spacing w:val="-4"/>
        </w:rPr>
        <w:t>ED</w:t>
      </w:r>
      <w:r>
        <w:rPr>
          <w:spacing w:val="-4"/>
          <w:vertAlign w:val="subscript"/>
        </w:rPr>
        <w:t>50</w:t>
      </w:r>
      <w:r>
        <w:rPr>
          <w:vertAlign w:val="baseline"/>
        </w:rPr>
        <w:tab/>
        <w:t>Mean</w:t>
      </w:r>
      <w:r>
        <w:rPr>
          <w:spacing w:val="-8"/>
          <w:vertAlign w:val="baseline"/>
        </w:rPr>
        <w:t> </w:t>
      </w:r>
      <w:r>
        <w:rPr>
          <w:vertAlign w:val="baseline"/>
        </w:rPr>
        <w:t>Effective</w:t>
      </w:r>
      <w:r>
        <w:rPr>
          <w:spacing w:val="-4"/>
          <w:vertAlign w:val="baseline"/>
        </w:rPr>
        <w:t> Dose</w:t>
      </w:r>
    </w:p>
    <w:p>
      <w:pPr>
        <w:pStyle w:val="BodyText"/>
      </w:pPr>
    </w:p>
    <w:p>
      <w:pPr>
        <w:pStyle w:val="BodyText"/>
        <w:tabs>
          <w:tab w:pos="2458" w:val="left" w:leader="none"/>
        </w:tabs>
        <w:ind w:left="308"/>
      </w:pPr>
      <w:r>
        <w:rPr>
          <w:spacing w:val="-5"/>
        </w:rPr>
        <w:t>EEG</w:t>
      </w:r>
      <w:r>
        <w:rPr/>
        <w:tab/>
      </w:r>
      <w:r>
        <w:rPr>
          <w:spacing w:val="-2"/>
        </w:rPr>
        <w:t>Electroencephalograph</w:t>
      </w:r>
    </w:p>
    <w:p>
      <w:pPr>
        <w:pStyle w:val="BodyText"/>
      </w:pPr>
    </w:p>
    <w:p>
      <w:pPr>
        <w:pStyle w:val="BodyText"/>
        <w:tabs>
          <w:tab w:pos="2492" w:val="left" w:leader="none"/>
        </w:tabs>
        <w:ind w:left="308"/>
      </w:pPr>
      <w:r>
        <w:rPr>
          <w:spacing w:val="-5"/>
        </w:rPr>
        <w:t>Etc</w:t>
      </w:r>
      <w:r>
        <w:rPr/>
        <w:tab/>
      </w:r>
      <w:r>
        <w:rPr>
          <w:spacing w:val="-2"/>
        </w:rPr>
        <w:t>Ecetra</w:t>
      </w:r>
    </w:p>
    <w:p>
      <w:pPr>
        <w:pStyle w:val="BodyText"/>
      </w:pPr>
    </w:p>
    <w:p>
      <w:pPr>
        <w:pStyle w:val="BodyText"/>
        <w:tabs>
          <w:tab w:pos="2468" w:val="left" w:leader="none"/>
        </w:tabs>
        <w:spacing w:before="1"/>
        <w:ind w:left="308"/>
      </w:pPr>
      <w:r>
        <w:rPr>
          <w:spacing w:val="-5"/>
        </w:rPr>
        <w:t>FBS</w:t>
      </w:r>
      <w:r>
        <w:rPr/>
        <w:tab/>
        <w:t>Fetal</w:t>
      </w:r>
      <w:r>
        <w:rPr>
          <w:spacing w:val="-7"/>
        </w:rPr>
        <w:t> </w:t>
      </w:r>
      <w:r>
        <w:rPr/>
        <w:t>Bovine</w:t>
      </w:r>
      <w:r>
        <w:rPr>
          <w:spacing w:val="1"/>
        </w:rPr>
        <w:t> </w:t>
      </w:r>
      <w:r>
        <w:rPr>
          <w:spacing w:val="-4"/>
        </w:rPr>
        <w:t>Serum</w:t>
      </w:r>
    </w:p>
    <w:p>
      <w:pPr>
        <w:pStyle w:val="ListParagraph"/>
        <w:numPr>
          <w:ilvl w:val="0"/>
          <w:numId w:val="7"/>
        </w:numPr>
        <w:tabs>
          <w:tab w:pos="2468" w:val="left" w:leader="none"/>
        </w:tabs>
        <w:spacing w:line="240" w:lineRule="auto" w:before="276" w:after="0"/>
        <w:ind w:left="2468" w:right="0" w:hanging="2160"/>
        <w:jc w:val="left"/>
        <w:rPr>
          <w:sz w:val="24"/>
        </w:rPr>
      </w:pPr>
      <w:r>
        <w:rPr>
          <w:spacing w:val="-2"/>
          <w:sz w:val="24"/>
        </w:rPr>
        <w:t>grams</w:t>
      </w:r>
    </w:p>
    <w:p>
      <w:pPr>
        <w:pStyle w:val="BodyText"/>
        <w:tabs>
          <w:tab w:pos="2492" w:val="left" w:leader="none"/>
        </w:tabs>
        <w:spacing w:before="276"/>
        <w:ind w:left="308"/>
      </w:pPr>
      <w:r>
        <w:rPr>
          <w:spacing w:val="-4"/>
        </w:rPr>
        <w:t>GABA</w:t>
      </w:r>
      <w:r>
        <w:rPr/>
        <w:tab/>
        <w:t>Gamma</w:t>
      </w:r>
      <w:r>
        <w:rPr>
          <w:spacing w:val="-7"/>
        </w:rPr>
        <w:t> </w:t>
      </w:r>
      <w:r>
        <w:rPr/>
        <w:t>amino</w:t>
      </w:r>
      <w:r>
        <w:rPr>
          <w:spacing w:val="-2"/>
        </w:rPr>
        <w:t> </w:t>
      </w:r>
      <w:r>
        <w:rPr/>
        <w:t>butyric</w:t>
      </w:r>
      <w:r>
        <w:rPr>
          <w:spacing w:val="-6"/>
        </w:rPr>
        <w:t> </w:t>
      </w:r>
      <w:r>
        <w:rPr>
          <w:spacing w:val="-4"/>
        </w:rPr>
        <w:t>acid</w:t>
      </w:r>
    </w:p>
    <w:p>
      <w:pPr>
        <w:pStyle w:val="BodyText"/>
      </w:pPr>
    </w:p>
    <w:p>
      <w:pPr>
        <w:pStyle w:val="BodyText"/>
        <w:tabs>
          <w:tab w:pos="2468" w:val="left" w:leader="none"/>
        </w:tabs>
        <w:ind w:left="308"/>
      </w:pPr>
      <w:r>
        <w:rPr>
          <w:spacing w:val="-5"/>
        </w:rPr>
        <w:t>GAD</w:t>
      </w:r>
      <w:r>
        <w:rPr/>
        <w:tab/>
        <w:t>Glutamic</w:t>
      </w:r>
      <w:r>
        <w:rPr>
          <w:spacing w:val="-5"/>
        </w:rPr>
        <w:t> </w:t>
      </w:r>
      <w:r>
        <w:rPr/>
        <w:t>acid</w:t>
      </w:r>
      <w:r>
        <w:rPr>
          <w:spacing w:val="-3"/>
        </w:rPr>
        <w:t> </w:t>
      </w:r>
      <w:r>
        <w:rPr>
          <w:spacing w:val="-2"/>
        </w:rPr>
        <w:t>decarbixylase</w:t>
      </w:r>
    </w:p>
    <w:p>
      <w:pPr>
        <w:pStyle w:val="BodyText"/>
      </w:pPr>
    </w:p>
    <w:p>
      <w:pPr>
        <w:pStyle w:val="ListParagraph"/>
        <w:numPr>
          <w:ilvl w:val="0"/>
          <w:numId w:val="7"/>
        </w:numPr>
        <w:tabs>
          <w:tab w:pos="2468" w:val="left" w:leader="none"/>
        </w:tabs>
        <w:spacing w:line="240" w:lineRule="auto" w:before="0" w:after="0"/>
        <w:ind w:left="2468" w:right="0" w:hanging="2160"/>
        <w:jc w:val="left"/>
        <w:rPr>
          <w:sz w:val="24"/>
        </w:rPr>
      </w:pPr>
      <w:r>
        <w:rPr>
          <w:spacing w:val="-4"/>
          <w:sz w:val="24"/>
        </w:rPr>
        <w:t>hour</w:t>
      </w:r>
    </w:p>
    <w:p>
      <w:pPr>
        <w:pStyle w:val="BodyText"/>
      </w:pPr>
    </w:p>
    <w:p>
      <w:pPr>
        <w:pStyle w:val="BodyText"/>
        <w:tabs>
          <w:tab w:pos="2468" w:val="left" w:leader="none"/>
        </w:tabs>
        <w:ind w:left="308"/>
      </w:pPr>
      <w:r>
        <w:rPr>
          <w:spacing w:val="-5"/>
        </w:rPr>
        <w:t>H</w:t>
      </w:r>
      <w:r>
        <w:rPr>
          <w:spacing w:val="-5"/>
          <w:vertAlign w:val="subscript"/>
        </w:rPr>
        <w:t>1</w:t>
      </w:r>
      <w:r>
        <w:rPr>
          <w:vertAlign w:val="baseline"/>
        </w:rPr>
        <w:tab/>
        <w:t>Histamine</w:t>
      </w:r>
      <w:r>
        <w:rPr>
          <w:spacing w:val="-6"/>
          <w:vertAlign w:val="baseline"/>
        </w:rPr>
        <w:t> </w:t>
      </w:r>
      <w:r>
        <w:rPr>
          <w:vertAlign w:val="baseline"/>
        </w:rPr>
        <w:t>receptor</w:t>
      </w:r>
      <w:r>
        <w:rPr>
          <w:spacing w:val="-5"/>
          <w:vertAlign w:val="baseline"/>
        </w:rPr>
        <w:t> </w:t>
      </w:r>
      <w:r>
        <w:rPr>
          <w:vertAlign w:val="baseline"/>
        </w:rPr>
        <w:t>subtype</w:t>
      </w:r>
      <w:r>
        <w:rPr>
          <w:spacing w:val="-3"/>
          <w:vertAlign w:val="baseline"/>
        </w:rPr>
        <w:t> </w:t>
      </w:r>
      <w:r>
        <w:rPr>
          <w:spacing w:val="-10"/>
          <w:vertAlign w:val="baseline"/>
        </w:rPr>
        <w:t>1</w:t>
      </w:r>
    </w:p>
    <w:p>
      <w:pPr>
        <w:pStyle w:val="BodyText"/>
      </w:pPr>
    </w:p>
    <w:p>
      <w:pPr>
        <w:pStyle w:val="BodyText"/>
        <w:tabs>
          <w:tab w:pos="2468" w:val="left" w:leader="none"/>
        </w:tabs>
        <w:spacing w:before="1"/>
        <w:ind w:left="308"/>
      </w:pPr>
      <w:r>
        <w:rPr>
          <w:spacing w:val="-5"/>
        </w:rPr>
        <w:t>HDL</w:t>
      </w:r>
      <w:r>
        <w:rPr/>
        <w:tab/>
        <w:t>High</w:t>
      </w:r>
      <w:r>
        <w:rPr>
          <w:spacing w:val="-5"/>
        </w:rPr>
        <w:t> </w:t>
      </w:r>
      <w:r>
        <w:rPr/>
        <w:t>Density</w:t>
      </w:r>
      <w:r>
        <w:rPr>
          <w:spacing w:val="-4"/>
        </w:rPr>
        <w:t> Lipid</w:t>
      </w:r>
    </w:p>
    <w:p>
      <w:pPr>
        <w:pStyle w:val="BodyText"/>
        <w:tabs>
          <w:tab w:pos="2468" w:val="left" w:leader="none"/>
        </w:tabs>
        <w:spacing w:before="276"/>
        <w:ind w:left="308"/>
      </w:pPr>
      <w:r>
        <w:rPr>
          <w:spacing w:val="-5"/>
        </w:rPr>
        <w:t>HEK</w:t>
      </w:r>
      <w:r>
        <w:rPr/>
        <w:tab/>
        <w:t>Human</w:t>
      </w:r>
      <w:r>
        <w:rPr>
          <w:spacing w:val="-7"/>
        </w:rPr>
        <w:t> </w:t>
      </w:r>
      <w:r>
        <w:rPr/>
        <w:t>Embryonic</w:t>
      </w:r>
      <w:r>
        <w:rPr>
          <w:spacing w:val="-2"/>
        </w:rPr>
        <w:t> Kidney</w:t>
      </w:r>
    </w:p>
    <w:p>
      <w:pPr>
        <w:pStyle w:val="BodyText"/>
        <w:tabs>
          <w:tab w:pos="2468" w:val="left" w:leader="none"/>
        </w:tabs>
        <w:spacing w:before="276"/>
        <w:ind w:left="308"/>
      </w:pPr>
      <w:r>
        <w:rPr>
          <w:spacing w:val="-2"/>
        </w:rPr>
        <w:t>HEPES</w:t>
      </w:r>
      <w:r>
        <w:rPr/>
        <w:tab/>
        <w:t>Hydroxyethyl</w:t>
      </w:r>
      <w:r>
        <w:rPr>
          <w:spacing w:val="-9"/>
        </w:rPr>
        <w:t> </w:t>
      </w:r>
      <w:r>
        <w:rPr/>
        <w:t>piperazine</w:t>
      </w:r>
      <w:r>
        <w:rPr>
          <w:spacing w:val="-1"/>
        </w:rPr>
        <w:t> </w:t>
      </w:r>
      <w:r>
        <w:rPr/>
        <w:t>ethane</w:t>
      </w:r>
      <w:r>
        <w:rPr>
          <w:spacing w:val="-1"/>
        </w:rPr>
        <w:t> </w:t>
      </w:r>
      <w:r>
        <w:rPr/>
        <w:t>sulfonic </w:t>
      </w:r>
      <w:r>
        <w:rPr>
          <w:spacing w:val="-4"/>
        </w:rPr>
        <w:t>acid</w:t>
      </w:r>
    </w:p>
    <w:p>
      <w:pPr>
        <w:pStyle w:val="BodyText"/>
      </w:pPr>
    </w:p>
    <w:p>
      <w:pPr>
        <w:pStyle w:val="BodyText"/>
        <w:tabs>
          <w:tab w:pos="2468" w:val="left" w:leader="none"/>
        </w:tabs>
        <w:ind w:left="308"/>
      </w:pPr>
      <w:r>
        <w:rPr>
          <w:spacing w:val="-4"/>
        </w:rPr>
        <w:t>HLTE</w:t>
      </w:r>
      <w:r>
        <w:rPr/>
        <w:tab/>
        <w:t>Hind limb</w:t>
      </w:r>
      <w:r>
        <w:rPr>
          <w:spacing w:val="-3"/>
        </w:rPr>
        <w:t> </w:t>
      </w:r>
      <w:r>
        <w:rPr/>
        <w:t>tonic</w:t>
      </w:r>
      <w:r>
        <w:rPr>
          <w:spacing w:val="-4"/>
        </w:rPr>
        <w:t> </w:t>
      </w:r>
      <w:r>
        <w:rPr>
          <w:spacing w:val="-2"/>
        </w:rPr>
        <w:t>extension</w:t>
      </w:r>
    </w:p>
    <w:p>
      <w:pPr>
        <w:pStyle w:val="BodyText"/>
      </w:pPr>
    </w:p>
    <w:p>
      <w:pPr>
        <w:pStyle w:val="BodyText"/>
        <w:tabs>
          <w:tab w:pos="2468" w:val="left" w:leader="none"/>
        </w:tabs>
        <w:ind w:left="308"/>
      </w:pPr>
      <w:r>
        <w:rPr>
          <w:spacing w:val="-5"/>
        </w:rPr>
        <w:t>HVA</w:t>
      </w:r>
      <w:r>
        <w:rPr/>
        <w:tab/>
        <w:t>High</w:t>
      </w:r>
      <w:r>
        <w:rPr>
          <w:spacing w:val="-5"/>
        </w:rPr>
        <w:t> </w:t>
      </w:r>
      <w:r>
        <w:rPr/>
        <w:t>voltage</w:t>
      </w:r>
      <w:r>
        <w:rPr>
          <w:spacing w:val="-1"/>
        </w:rPr>
        <w:t> </w:t>
      </w:r>
      <w:r>
        <w:rPr>
          <w:spacing w:val="-2"/>
        </w:rPr>
        <w:t>activated</w:t>
      </w:r>
    </w:p>
    <w:p>
      <w:pPr>
        <w:pStyle w:val="BodyText"/>
      </w:pPr>
    </w:p>
    <w:p>
      <w:pPr>
        <w:pStyle w:val="BodyText"/>
        <w:tabs>
          <w:tab w:pos="2468" w:val="left" w:leader="none"/>
        </w:tabs>
        <w:ind w:left="308"/>
      </w:pPr>
      <w:r>
        <w:rPr>
          <w:spacing w:val="-5"/>
        </w:rPr>
        <w:t>Hz</w:t>
      </w:r>
      <w:r>
        <w:rPr/>
        <w:tab/>
      </w:r>
      <w:r>
        <w:rPr>
          <w:spacing w:val="-4"/>
        </w:rPr>
        <w:t>Herzt</w:t>
      </w:r>
    </w:p>
    <w:p>
      <w:pPr>
        <w:pStyle w:val="BodyText"/>
        <w:spacing w:before="1"/>
      </w:pPr>
    </w:p>
    <w:p>
      <w:pPr>
        <w:pStyle w:val="BodyText"/>
        <w:tabs>
          <w:tab w:pos="2468" w:val="left" w:leader="none"/>
        </w:tabs>
        <w:ind w:left="308"/>
      </w:pPr>
      <w:r>
        <w:rPr>
          <w:spacing w:val="-4"/>
        </w:rPr>
        <w:t>i.p.</w:t>
      </w:r>
      <w:r>
        <w:rPr/>
        <w:tab/>
      </w:r>
      <w:r>
        <w:rPr>
          <w:spacing w:val="-2"/>
        </w:rPr>
        <w:t>Intraperitoneal</w:t>
      </w:r>
    </w:p>
    <w:p>
      <w:pPr>
        <w:pStyle w:val="BodyText"/>
      </w:pPr>
    </w:p>
    <w:p>
      <w:pPr>
        <w:pStyle w:val="BodyText"/>
        <w:tabs>
          <w:tab w:pos="2468" w:val="left" w:leader="none"/>
        </w:tabs>
        <w:ind w:left="308"/>
      </w:pPr>
      <w:r>
        <w:rPr>
          <w:spacing w:val="-4"/>
        </w:rPr>
        <w:t>IC</w:t>
      </w:r>
      <w:r>
        <w:rPr>
          <w:spacing w:val="-4"/>
          <w:vertAlign w:val="subscript"/>
        </w:rPr>
        <w:t>50</w:t>
      </w:r>
      <w:r>
        <w:rPr>
          <w:vertAlign w:val="baseline"/>
        </w:rPr>
        <w:tab/>
        <w:t>Mean</w:t>
      </w:r>
      <w:r>
        <w:rPr>
          <w:spacing w:val="-4"/>
          <w:vertAlign w:val="baseline"/>
        </w:rPr>
        <w:t> </w:t>
      </w:r>
      <w:r>
        <w:rPr>
          <w:vertAlign w:val="baseline"/>
        </w:rPr>
        <w:t>Inhibitory</w:t>
      </w:r>
      <w:r>
        <w:rPr>
          <w:spacing w:val="-8"/>
          <w:vertAlign w:val="baseline"/>
        </w:rPr>
        <w:t> </w:t>
      </w:r>
      <w:r>
        <w:rPr>
          <w:spacing w:val="-2"/>
          <w:vertAlign w:val="baseline"/>
        </w:rPr>
        <w:t>Concentration</w:t>
      </w:r>
    </w:p>
    <w:p>
      <w:pPr>
        <w:pStyle w:val="BodyText"/>
      </w:pPr>
    </w:p>
    <w:p>
      <w:pPr>
        <w:pStyle w:val="BodyText"/>
        <w:tabs>
          <w:tab w:pos="2468" w:val="left" w:leader="none"/>
        </w:tabs>
        <w:ind w:left="308"/>
      </w:pPr>
      <w:r>
        <w:rPr>
          <w:spacing w:val="-5"/>
        </w:rPr>
        <w:t>K</w:t>
      </w:r>
      <w:r>
        <w:rPr>
          <w:spacing w:val="-5"/>
          <w:vertAlign w:val="superscript"/>
        </w:rPr>
        <w:t>+</w:t>
      </w:r>
      <w:r>
        <w:rPr>
          <w:vertAlign w:val="baseline"/>
        </w:rPr>
        <w:tab/>
      </w:r>
      <w:r>
        <w:rPr>
          <w:spacing w:val="-2"/>
          <w:vertAlign w:val="baseline"/>
        </w:rPr>
        <w:t>Potassium</w:t>
      </w:r>
    </w:p>
    <w:p>
      <w:pPr>
        <w:pStyle w:val="BodyText"/>
      </w:pPr>
    </w:p>
    <w:p>
      <w:pPr>
        <w:pStyle w:val="BodyText"/>
        <w:tabs>
          <w:tab w:pos="2468" w:val="left" w:leader="none"/>
        </w:tabs>
        <w:spacing w:before="1"/>
        <w:ind w:left="308"/>
      </w:pPr>
      <w:r>
        <w:rPr>
          <w:spacing w:val="-5"/>
        </w:rPr>
        <w:t>KA</w:t>
      </w:r>
      <w:r>
        <w:rPr/>
        <w:tab/>
      </w:r>
      <w:r>
        <w:rPr>
          <w:spacing w:val="-2"/>
        </w:rPr>
        <w:t>Kainite</w:t>
      </w:r>
    </w:p>
    <w:p>
      <w:pPr>
        <w:pStyle w:val="BodyText"/>
        <w:tabs>
          <w:tab w:pos="2468" w:val="left" w:leader="none"/>
        </w:tabs>
        <w:spacing w:before="276"/>
        <w:ind w:left="308"/>
      </w:pPr>
      <w:r>
        <w:rPr>
          <w:spacing w:val="-2"/>
        </w:rPr>
        <w:t>KCNQ2</w:t>
      </w:r>
      <w:r>
        <w:rPr/>
        <w:tab/>
        <w:t>Gene</w:t>
      </w:r>
      <w:r>
        <w:rPr>
          <w:spacing w:val="-7"/>
        </w:rPr>
        <w:t> </w:t>
      </w:r>
      <w:r>
        <w:rPr/>
        <w:t>encoding</w:t>
      </w:r>
      <w:r>
        <w:rPr>
          <w:spacing w:val="-1"/>
        </w:rPr>
        <w:t> </w:t>
      </w:r>
      <w:r>
        <w:rPr/>
        <w:t>for</w:t>
      </w:r>
      <w:r>
        <w:rPr>
          <w:spacing w:val="-3"/>
        </w:rPr>
        <w:t> </w:t>
      </w:r>
      <w:r>
        <w:rPr/>
        <w:t>potassium</w:t>
      </w:r>
      <w:r>
        <w:rPr>
          <w:spacing w:val="-8"/>
        </w:rPr>
        <w:t> </w:t>
      </w:r>
      <w:r>
        <w:rPr>
          <w:spacing w:val="-2"/>
        </w:rPr>
        <w:t>channels</w:t>
      </w:r>
    </w:p>
    <w:p>
      <w:pPr>
        <w:spacing w:after="0"/>
        <w:sectPr>
          <w:pgSz w:w="11910" w:h="16840"/>
          <w:pgMar w:header="0" w:footer="777" w:top="1320" w:bottom="960" w:left="1680" w:right="1300"/>
        </w:sectPr>
      </w:pPr>
    </w:p>
    <w:p>
      <w:pPr>
        <w:pStyle w:val="BodyText"/>
        <w:tabs>
          <w:tab w:pos="2468" w:val="left" w:leader="none"/>
        </w:tabs>
        <w:spacing w:before="70"/>
        <w:ind w:left="308"/>
      </w:pPr>
      <w:r>
        <w:rPr>
          <w:spacing w:val="-5"/>
        </w:rPr>
        <w:t>Kg</w:t>
      </w:r>
      <w:r>
        <w:rPr/>
        <w:tab/>
      </w:r>
      <w:r>
        <w:rPr>
          <w:spacing w:val="-2"/>
        </w:rPr>
        <w:t>Killogram</w:t>
      </w:r>
    </w:p>
    <w:p>
      <w:pPr>
        <w:pStyle w:val="BodyText"/>
        <w:tabs>
          <w:tab w:pos="2468" w:val="left" w:leader="none"/>
        </w:tabs>
        <w:spacing w:before="276"/>
        <w:ind w:left="308"/>
      </w:pPr>
      <w:r>
        <w:rPr>
          <w:spacing w:val="-4"/>
        </w:rPr>
        <w:t>LD</w:t>
      </w:r>
      <w:r>
        <w:rPr>
          <w:spacing w:val="-4"/>
          <w:vertAlign w:val="subscript"/>
        </w:rPr>
        <w:t>50</w:t>
      </w:r>
      <w:r>
        <w:rPr>
          <w:vertAlign w:val="baseline"/>
        </w:rPr>
        <w:tab/>
        <w:t>Mean</w:t>
      </w:r>
      <w:r>
        <w:rPr>
          <w:spacing w:val="-4"/>
          <w:vertAlign w:val="baseline"/>
        </w:rPr>
        <w:t> </w:t>
      </w:r>
      <w:r>
        <w:rPr>
          <w:vertAlign w:val="baseline"/>
        </w:rPr>
        <w:t>Lethal</w:t>
      </w:r>
      <w:r>
        <w:rPr>
          <w:spacing w:val="-4"/>
          <w:vertAlign w:val="baseline"/>
        </w:rPr>
        <w:t> Dose</w:t>
      </w:r>
    </w:p>
    <w:p>
      <w:pPr>
        <w:pStyle w:val="BodyText"/>
      </w:pPr>
    </w:p>
    <w:p>
      <w:pPr>
        <w:pStyle w:val="BodyText"/>
        <w:tabs>
          <w:tab w:pos="2468" w:val="left" w:leader="none"/>
        </w:tabs>
        <w:ind w:left="308"/>
      </w:pPr>
      <w:r>
        <w:rPr>
          <w:spacing w:val="-5"/>
        </w:rPr>
        <w:t>LDL</w:t>
      </w:r>
      <w:r>
        <w:rPr/>
        <w:tab/>
        <w:t>Low</w:t>
      </w:r>
      <w:r>
        <w:rPr>
          <w:spacing w:val="-2"/>
        </w:rPr>
        <w:t> </w:t>
      </w:r>
      <w:r>
        <w:rPr/>
        <w:t>Density</w:t>
      </w:r>
      <w:r>
        <w:rPr>
          <w:spacing w:val="-5"/>
        </w:rPr>
        <w:t> </w:t>
      </w:r>
      <w:r>
        <w:rPr>
          <w:spacing w:val="-4"/>
        </w:rPr>
        <w:t>Lipid</w:t>
      </w:r>
    </w:p>
    <w:p>
      <w:pPr>
        <w:pStyle w:val="BodyText"/>
      </w:pPr>
    </w:p>
    <w:p>
      <w:pPr>
        <w:pStyle w:val="BodyText"/>
        <w:tabs>
          <w:tab w:pos="2506" w:val="left" w:leader="none"/>
        </w:tabs>
        <w:ind w:left="308"/>
      </w:pPr>
      <w:r>
        <w:rPr>
          <w:spacing w:val="-5"/>
        </w:rPr>
        <w:t>Ltd</w:t>
      </w:r>
      <w:r>
        <w:rPr/>
        <w:tab/>
      </w:r>
      <w:r>
        <w:rPr>
          <w:spacing w:val="-2"/>
        </w:rPr>
        <w:t>Limited</w:t>
      </w:r>
    </w:p>
    <w:p>
      <w:pPr>
        <w:pStyle w:val="BodyText"/>
      </w:pPr>
    </w:p>
    <w:p>
      <w:pPr>
        <w:pStyle w:val="BodyText"/>
        <w:tabs>
          <w:tab w:pos="2468" w:val="left" w:leader="none"/>
        </w:tabs>
        <w:ind w:left="308"/>
      </w:pPr>
      <w:r>
        <w:rPr>
          <w:spacing w:val="-5"/>
        </w:rPr>
        <w:t>LVA</w:t>
      </w:r>
      <w:r>
        <w:rPr/>
        <w:tab/>
        <w:t>Low</w:t>
      </w:r>
      <w:r>
        <w:rPr>
          <w:spacing w:val="-3"/>
        </w:rPr>
        <w:t> </w:t>
      </w:r>
      <w:r>
        <w:rPr/>
        <w:t>Voltage</w:t>
      </w:r>
      <w:r>
        <w:rPr>
          <w:spacing w:val="-2"/>
        </w:rPr>
        <w:t> Activated</w:t>
      </w:r>
    </w:p>
    <w:p>
      <w:pPr>
        <w:pStyle w:val="BodyText"/>
        <w:spacing w:before="1"/>
      </w:pPr>
    </w:p>
    <w:p>
      <w:pPr>
        <w:pStyle w:val="BodyText"/>
        <w:tabs>
          <w:tab w:pos="2473" w:val="left" w:leader="none"/>
        </w:tabs>
        <w:ind w:left="308"/>
      </w:pPr>
      <w:r>
        <w:rPr>
          <w:spacing w:val="-5"/>
        </w:rPr>
        <w:t>mA</w:t>
      </w:r>
      <w:r>
        <w:rPr/>
        <w:tab/>
        <w:t>Milli</w:t>
      </w:r>
      <w:r>
        <w:rPr>
          <w:spacing w:val="-11"/>
        </w:rPr>
        <w:t> </w:t>
      </w:r>
      <w:r>
        <w:rPr>
          <w:spacing w:val="-2"/>
        </w:rPr>
        <w:t>ampere</w:t>
      </w:r>
    </w:p>
    <w:p>
      <w:pPr>
        <w:pStyle w:val="BodyText"/>
      </w:pPr>
    </w:p>
    <w:p>
      <w:pPr>
        <w:pStyle w:val="BodyText"/>
        <w:tabs>
          <w:tab w:pos="2468" w:val="left" w:leader="none"/>
        </w:tabs>
        <w:ind w:left="308"/>
      </w:pPr>
      <w:r>
        <w:rPr>
          <w:spacing w:val="-5"/>
        </w:rPr>
        <w:t>MES</w:t>
      </w:r>
      <w:r>
        <w:rPr/>
        <w:tab/>
        <w:t>Maximal</w:t>
      </w:r>
      <w:r>
        <w:rPr>
          <w:spacing w:val="-10"/>
        </w:rPr>
        <w:t> </w:t>
      </w:r>
      <w:r>
        <w:rPr>
          <w:spacing w:val="-2"/>
        </w:rPr>
        <w:t>electroshock</w:t>
      </w:r>
    </w:p>
    <w:p>
      <w:pPr>
        <w:pStyle w:val="BodyText"/>
      </w:pPr>
    </w:p>
    <w:p>
      <w:pPr>
        <w:pStyle w:val="BodyText"/>
        <w:tabs>
          <w:tab w:pos="2511" w:val="left" w:leader="none"/>
        </w:tabs>
        <w:ind w:left="308"/>
      </w:pPr>
      <w:r>
        <w:rPr>
          <w:spacing w:val="-4"/>
        </w:rPr>
        <w:t>MEST</w:t>
      </w:r>
      <w:r>
        <w:rPr/>
        <w:tab/>
        <w:t>Maximal</w:t>
      </w:r>
      <w:r>
        <w:rPr>
          <w:spacing w:val="-10"/>
        </w:rPr>
        <w:t> </w:t>
      </w:r>
      <w:r>
        <w:rPr/>
        <w:t>electroshock</w:t>
      </w:r>
      <w:r>
        <w:rPr>
          <w:spacing w:val="-5"/>
        </w:rPr>
        <w:t> </w:t>
      </w:r>
      <w:r>
        <w:rPr>
          <w:spacing w:val="-4"/>
        </w:rPr>
        <w:t>test</w:t>
      </w:r>
    </w:p>
    <w:p>
      <w:pPr>
        <w:pStyle w:val="BodyText"/>
      </w:pPr>
    </w:p>
    <w:p>
      <w:pPr>
        <w:pStyle w:val="BodyText"/>
        <w:tabs>
          <w:tab w:pos="2478" w:val="left" w:leader="none"/>
        </w:tabs>
        <w:spacing w:before="1"/>
        <w:ind w:left="308"/>
      </w:pPr>
      <w:r>
        <w:rPr>
          <w:spacing w:val="-5"/>
        </w:rPr>
        <w:t>mg</w:t>
      </w:r>
      <w:r>
        <w:rPr/>
        <w:tab/>
      </w:r>
      <w:r>
        <w:rPr>
          <w:spacing w:val="-2"/>
        </w:rPr>
        <w:t>Milligram</w:t>
      </w:r>
    </w:p>
    <w:p>
      <w:pPr>
        <w:pStyle w:val="BodyText"/>
        <w:tabs>
          <w:tab w:pos="2468" w:val="left" w:leader="none"/>
        </w:tabs>
        <w:spacing w:before="276"/>
        <w:ind w:left="308"/>
      </w:pPr>
      <w:r>
        <w:rPr>
          <w:spacing w:val="-2"/>
        </w:rPr>
        <w:t>MgCl</w:t>
      </w:r>
      <w:r>
        <w:rPr>
          <w:spacing w:val="-2"/>
          <w:vertAlign w:val="subscript"/>
        </w:rPr>
        <w:t>2</w:t>
      </w:r>
      <w:r>
        <w:rPr>
          <w:vertAlign w:val="baseline"/>
        </w:rPr>
        <w:tab/>
        <w:t>Magnesium</w:t>
      </w:r>
      <w:r>
        <w:rPr>
          <w:spacing w:val="-8"/>
          <w:vertAlign w:val="baseline"/>
        </w:rPr>
        <w:t> </w:t>
      </w:r>
      <w:r>
        <w:rPr>
          <w:spacing w:val="-2"/>
          <w:vertAlign w:val="baseline"/>
        </w:rPr>
        <w:t>chloride</w:t>
      </w:r>
    </w:p>
    <w:p>
      <w:pPr>
        <w:pStyle w:val="BodyText"/>
        <w:tabs>
          <w:tab w:pos="2545" w:val="left" w:leader="none"/>
        </w:tabs>
        <w:spacing w:before="276"/>
        <w:ind w:left="308"/>
      </w:pPr>
      <w:r>
        <w:rPr>
          <w:spacing w:val="-2"/>
        </w:rPr>
        <w:t>MGluR</w:t>
      </w:r>
      <w:r>
        <w:rPr/>
        <w:tab/>
        <w:t>Metabotropic</w:t>
      </w:r>
      <w:r>
        <w:rPr>
          <w:spacing w:val="-8"/>
        </w:rPr>
        <w:t> </w:t>
      </w:r>
      <w:r>
        <w:rPr>
          <w:spacing w:val="-2"/>
        </w:rPr>
        <w:t>receptors</w:t>
      </w:r>
    </w:p>
    <w:p>
      <w:pPr>
        <w:pStyle w:val="BodyText"/>
      </w:pPr>
    </w:p>
    <w:p>
      <w:pPr>
        <w:pStyle w:val="BodyText"/>
        <w:tabs>
          <w:tab w:pos="2545" w:val="left" w:leader="none"/>
        </w:tabs>
        <w:ind w:left="308"/>
      </w:pPr>
      <w:r>
        <w:rPr>
          <w:spacing w:val="-5"/>
        </w:rPr>
        <w:t>ml</w:t>
      </w:r>
      <w:r>
        <w:rPr/>
        <w:tab/>
        <w:t>Milli</w:t>
      </w:r>
      <w:r>
        <w:rPr>
          <w:spacing w:val="-5"/>
        </w:rPr>
        <w:t> </w:t>
      </w:r>
      <w:r>
        <w:rPr>
          <w:spacing w:val="-4"/>
        </w:rPr>
        <w:t>litre</w:t>
      </w:r>
    </w:p>
    <w:p>
      <w:pPr>
        <w:pStyle w:val="BodyText"/>
      </w:pPr>
    </w:p>
    <w:p>
      <w:pPr>
        <w:pStyle w:val="BodyText"/>
        <w:tabs>
          <w:tab w:pos="2530" w:val="left" w:leader="none"/>
        </w:tabs>
        <w:ind w:left="308"/>
      </w:pPr>
      <w:r>
        <w:rPr>
          <w:spacing w:val="-5"/>
        </w:rPr>
        <w:t>ms</w:t>
      </w:r>
      <w:r>
        <w:rPr/>
        <w:tab/>
      </w:r>
      <w:r>
        <w:rPr>
          <w:spacing w:val="-2"/>
        </w:rPr>
        <w:t>Millisecond</w:t>
      </w:r>
    </w:p>
    <w:p>
      <w:pPr>
        <w:pStyle w:val="BodyText"/>
      </w:pPr>
    </w:p>
    <w:p>
      <w:pPr>
        <w:pStyle w:val="BodyText"/>
        <w:tabs>
          <w:tab w:pos="2526" w:val="left" w:leader="none"/>
        </w:tabs>
        <w:ind w:left="308"/>
      </w:pPr>
      <w:r>
        <w:rPr>
          <w:spacing w:val="-4"/>
        </w:rPr>
        <w:t>MTLE</w:t>
      </w:r>
      <w:r>
        <w:rPr/>
        <w:tab/>
        <w:t>Mesial</w:t>
      </w:r>
      <w:r>
        <w:rPr>
          <w:spacing w:val="-8"/>
        </w:rPr>
        <w:t> </w:t>
      </w:r>
      <w:r>
        <w:rPr/>
        <w:t>temporal</w:t>
      </w:r>
      <w:r>
        <w:rPr>
          <w:spacing w:val="-7"/>
        </w:rPr>
        <w:t> </w:t>
      </w:r>
      <w:r>
        <w:rPr/>
        <w:t>lobe</w:t>
      </w:r>
      <w:r>
        <w:rPr>
          <w:spacing w:val="-3"/>
        </w:rPr>
        <w:t> </w:t>
      </w:r>
      <w:r>
        <w:rPr>
          <w:spacing w:val="-2"/>
        </w:rPr>
        <w:t>epilepsy</w:t>
      </w:r>
    </w:p>
    <w:p>
      <w:pPr>
        <w:pStyle w:val="BodyText"/>
      </w:pPr>
    </w:p>
    <w:p>
      <w:pPr>
        <w:pStyle w:val="BodyText"/>
        <w:tabs>
          <w:tab w:pos="2468" w:val="left" w:leader="none"/>
        </w:tabs>
        <w:spacing w:before="1"/>
        <w:ind w:left="308"/>
      </w:pPr>
      <w:r>
        <w:rPr>
          <w:spacing w:val="-5"/>
        </w:rPr>
        <w:t>mV</w:t>
      </w:r>
      <w:r>
        <w:rPr/>
        <w:tab/>
      </w:r>
      <w:r>
        <w:rPr>
          <w:spacing w:val="-2"/>
        </w:rPr>
        <w:t>Millivolt</w:t>
      </w:r>
    </w:p>
    <w:p>
      <w:pPr>
        <w:pStyle w:val="BodyText"/>
        <w:tabs>
          <w:tab w:pos="2473" w:val="left" w:leader="none"/>
        </w:tabs>
        <w:spacing w:before="276"/>
        <w:ind w:left="308"/>
      </w:pPr>
      <w:r>
        <w:rPr>
          <w:spacing w:val="-10"/>
        </w:rPr>
        <w:t>n</w:t>
      </w:r>
      <w:r>
        <w:rPr/>
        <w:tab/>
        <w:t>Number</w:t>
      </w:r>
      <w:r>
        <w:rPr>
          <w:spacing w:val="-1"/>
        </w:rPr>
        <w:t> </w:t>
      </w:r>
      <w:r>
        <w:rPr/>
        <w:t>of</w:t>
      </w:r>
      <w:r>
        <w:rPr>
          <w:spacing w:val="-9"/>
        </w:rPr>
        <w:t> </w:t>
      </w:r>
      <w:r>
        <w:rPr>
          <w:spacing w:val="-2"/>
        </w:rPr>
        <w:t>animal</w:t>
      </w:r>
    </w:p>
    <w:p>
      <w:pPr>
        <w:pStyle w:val="BodyText"/>
        <w:tabs>
          <w:tab w:pos="2482" w:val="left" w:leader="none"/>
        </w:tabs>
        <w:spacing w:before="276"/>
        <w:ind w:left="308"/>
      </w:pPr>
      <w:r>
        <w:rPr>
          <w:spacing w:val="-5"/>
        </w:rPr>
        <w:t>Na</w:t>
      </w:r>
      <w:r>
        <w:rPr>
          <w:spacing w:val="-5"/>
          <w:vertAlign w:val="superscript"/>
        </w:rPr>
        <w:t>+</w:t>
      </w:r>
      <w:r>
        <w:rPr>
          <w:vertAlign w:val="baseline"/>
        </w:rPr>
        <w:tab/>
        <w:t>Sodium</w:t>
      </w:r>
      <w:r>
        <w:rPr>
          <w:spacing w:val="-9"/>
          <w:vertAlign w:val="baseline"/>
        </w:rPr>
        <w:t> </w:t>
      </w:r>
      <w:r>
        <w:rPr>
          <w:spacing w:val="-4"/>
          <w:vertAlign w:val="baseline"/>
        </w:rPr>
        <w:t>ions</w:t>
      </w:r>
    </w:p>
    <w:p>
      <w:pPr>
        <w:pStyle w:val="BodyText"/>
      </w:pPr>
    </w:p>
    <w:p>
      <w:pPr>
        <w:pStyle w:val="BodyText"/>
        <w:tabs>
          <w:tab w:pos="2468" w:val="left" w:leader="none"/>
        </w:tabs>
        <w:ind w:left="308"/>
      </w:pPr>
      <w:r>
        <w:rPr>
          <w:spacing w:val="-4"/>
        </w:rPr>
        <w:t>NaCl</w:t>
      </w:r>
      <w:r>
        <w:rPr/>
        <w:tab/>
        <w:t>Sodium</w:t>
      </w:r>
      <w:r>
        <w:rPr>
          <w:spacing w:val="-9"/>
        </w:rPr>
        <w:t> </w:t>
      </w:r>
      <w:r>
        <w:rPr>
          <w:spacing w:val="-2"/>
        </w:rPr>
        <w:t>chloride</w:t>
      </w:r>
    </w:p>
    <w:p>
      <w:pPr>
        <w:pStyle w:val="BodyText"/>
      </w:pPr>
    </w:p>
    <w:p>
      <w:pPr>
        <w:pStyle w:val="BodyText"/>
        <w:tabs>
          <w:tab w:pos="2506" w:val="left" w:leader="none"/>
        </w:tabs>
        <w:ind w:left="308"/>
      </w:pPr>
      <w:r>
        <w:rPr>
          <w:spacing w:val="-5"/>
        </w:rPr>
        <w:t>Na</w:t>
      </w:r>
      <w:r>
        <w:rPr>
          <w:spacing w:val="-5"/>
          <w:vertAlign w:val="subscript"/>
        </w:rPr>
        <w:t>V</w:t>
      </w:r>
      <w:r>
        <w:rPr>
          <w:vertAlign w:val="baseline"/>
        </w:rPr>
        <w:tab/>
        <w:t>Voltage-gated</w:t>
      </w:r>
      <w:r>
        <w:rPr>
          <w:spacing w:val="-5"/>
          <w:vertAlign w:val="baseline"/>
        </w:rPr>
        <w:t> </w:t>
      </w:r>
      <w:r>
        <w:rPr>
          <w:vertAlign w:val="baseline"/>
        </w:rPr>
        <w:t>sodium</w:t>
      </w:r>
      <w:r>
        <w:rPr>
          <w:spacing w:val="-9"/>
          <w:vertAlign w:val="baseline"/>
        </w:rPr>
        <w:t> </w:t>
      </w:r>
      <w:r>
        <w:rPr>
          <w:spacing w:val="-2"/>
          <w:vertAlign w:val="baseline"/>
        </w:rPr>
        <w:t>channel</w:t>
      </w:r>
    </w:p>
    <w:p>
      <w:pPr>
        <w:pStyle w:val="BodyText"/>
      </w:pPr>
    </w:p>
    <w:p>
      <w:pPr>
        <w:pStyle w:val="BodyText"/>
        <w:tabs>
          <w:tab w:pos="2468" w:val="left" w:leader="none"/>
        </w:tabs>
        <w:ind w:left="308"/>
      </w:pPr>
      <w:r>
        <w:rPr>
          <w:spacing w:val="-4"/>
        </w:rPr>
        <w:t>Ni</w:t>
      </w:r>
      <w:r>
        <w:rPr>
          <w:spacing w:val="-4"/>
          <w:vertAlign w:val="superscript"/>
        </w:rPr>
        <w:t>+1</w:t>
      </w:r>
      <w:r>
        <w:rPr>
          <w:vertAlign w:val="baseline"/>
        </w:rPr>
        <w:tab/>
      </w:r>
      <w:r>
        <w:rPr>
          <w:spacing w:val="-2"/>
          <w:vertAlign w:val="baseline"/>
        </w:rPr>
        <w:t>Nickel</w:t>
      </w:r>
    </w:p>
    <w:p>
      <w:pPr>
        <w:pStyle w:val="BodyText"/>
        <w:spacing w:before="1"/>
      </w:pPr>
    </w:p>
    <w:p>
      <w:pPr>
        <w:pStyle w:val="BodyText"/>
        <w:tabs>
          <w:tab w:pos="2487" w:val="left" w:leader="none"/>
        </w:tabs>
        <w:ind w:left="308"/>
      </w:pPr>
      <w:r>
        <w:rPr>
          <w:spacing w:val="-4"/>
        </w:rPr>
        <w:t>NMDA</w:t>
      </w:r>
      <w:r>
        <w:rPr/>
        <w:tab/>
        <w:t>N-</w:t>
      </w:r>
      <w:r>
        <w:rPr>
          <w:spacing w:val="-4"/>
        </w:rPr>
        <w:t> </w:t>
      </w:r>
      <w:r>
        <w:rPr/>
        <w:t>methyl-</w:t>
      </w:r>
      <w:r>
        <w:rPr>
          <w:spacing w:val="-3"/>
        </w:rPr>
        <w:t> </w:t>
      </w:r>
      <w:r>
        <w:rPr/>
        <w:t>D-</w:t>
      </w:r>
      <w:r>
        <w:rPr>
          <w:spacing w:val="-3"/>
        </w:rPr>
        <w:t> </w:t>
      </w:r>
      <w:r>
        <w:rPr>
          <w:spacing w:val="-2"/>
        </w:rPr>
        <w:t>aspartate</w:t>
      </w:r>
    </w:p>
    <w:p>
      <w:pPr>
        <w:pStyle w:val="BodyText"/>
      </w:pPr>
    </w:p>
    <w:p>
      <w:pPr>
        <w:pStyle w:val="BodyText"/>
        <w:tabs>
          <w:tab w:pos="2468" w:val="left" w:leader="none"/>
        </w:tabs>
        <w:ind w:left="308"/>
      </w:pPr>
      <w:r>
        <w:rPr>
          <w:spacing w:val="-5"/>
        </w:rPr>
        <w:t>NPY</w:t>
      </w:r>
      <w:r>
        <w:rPr/>
        <w:tab/>
        <w:t>Neuropeptide</w:t>
      </w:r>
      <w:r>
        <w:rPr>
          <w:spacing w:val="-7"/>
        </w:rPr>
        <w:t> </w:t>
      </w:r>
      <w:r>
        <w:rPr>
          <w:spacing w:val="-10"/>
        </w:rPr>
        <w:t>Y</w:t>
      </w:r>
    </w:p>
    <w:p>
      <w:pPr>
        <w:pStyle w:val="BodyText"/>
      </w:pPr>
    </w:p>
    <w:p>
      <w:pPr>
        <w:pStyle w:val="BodyText"/>
        <w:tabs>
          <w:tab w:pos="2468" w:val="left" w:leader="none"/>
        </w:tabs>
        <w:ind w:left="308"/>
      </w:pPr>
      <w:r>
        <w:rPr>
          <w:spacing w:val="-4"/>
        </w:rPr>
        <w:t>OECD</w:t>
      </w:r>
      <w:r>
        <w:rPr/>
        <w:tab/>
        <w:t>Organisation</w:t>
      </w:r>
      <w:r>
        <w:rPr>
          <w:spacing w:val="-8"/>
        </w:rPr>
        <w:t> </w:t>
      </w:r>
      <w:r>
        <w:rPr/>
        <w:t>of</w:t>
      </w:r>
      <w:r>
        <w:rPr>
          <w:spacing w:val="-9"/>
        </w:rPr>
        <w:t> </w:t>
      </w:r>
      <w:r>
        <w:rPr/>
        <w:t>Economic</w:t>
      </w:r>
      <w:r>
        <w:rPr>
          <w:spacing w:val="-2"/>
        </w:rPr>
        <w:t> </w:t>
      </w:r>
      <w:r>
        <w:rPr/>
        <w:t>Countries</w:t>
      </w:r>
      <w:r>
        <w:rPr>
          <w:spacing w:val="-3"/>
        </w:rPr>
        <w:t> </w:t>
      </w:r>
      <w:r>
        <w:rPr/>
        <w:t>and</w:t>
      </w:r>
      <w:r>
        <w:rPr>
          <w:spacing w:val="-1"/>
        </w:rPr>
        <w:t> </w:t>
      </w:r>
      <w:r>
        <w:rPr>
          <w:spacing w:val="-2"/>
        </w:rPr>
        <w:t>Development</w:t>
      </w:r>
    </w:p>
    <w:p>
      <w:pPr>
        <w:pStyle w:val="BodyText"/>
      </w:pPr>
    </w:p>
    <w:p>
      <w:pPr>
        <w:pStyle w:val="BodyText"/>
        <w:tabs>
          <w:tab w:pos="2468" w:val="left" w:leader="none"/>
        </w:tabs>
        <w:spacing w:before="1"/>
        <w:ind w:left="308"/>
      </w:pPr>
      <w:r>
        <w:rPr>
          <w:spacing w:val="-4"/>
        </w:rPr>
        <w:t>p.o.</w:t>
      </w:r>
      <w:r>
        <w:rPr/>
        <w:tab/>
        <w:t>Per</w:t>
      </w:r>
      <w:r>
        <w:rPr>
          <w:spacing w:val="-2"/>
        </w:rPr>
        <w:t> </w:t>
      </w:r>
      <w:r>
        <w:rPr>
          <w:spacing w:val="-4"/>
        </w:rPr>
        <w:t>oral</w:t>
      </w:r>
    </w:p>
    <w:p>
      <w:pPr>
        <w:pStyle w:val="BodyText"/>
        <w:tabs>
          <w:tab w:pos="2530" w:val="left" w:leader="none"/>
        </w:tabs>
        <w:spacing w:before="276"/>
        <w:ind w:left="308"/>
      </w:pPr>
      <w:r>
        <w:rPr>
          <w:spacing w:val="-5"/>
        </w:rPr>
        <w:t>pA</w:t>
      </w:r>
      <w:r>
        <w:rPr/>
        <w:tab/>
        <w:t>Pico</w:t>
      </w:r>
      <w:r>
        <w:rPr>
          <w:spacing w:val="-5"/>
        </w:rPr>
        <w:t> </w:t>
      </w:r>
      <w:r>
        <w:rPr>
          <w:spacing w:val="-2"/>
        </w:rPr>
        <w:t>ampere</w:t>
      </w:r>
    </w:p>
    <w:p>
      <w:pPr>
        <w:spacing w:after="0"/>
        <w:sectPr>
          <w:pgSz w:w="11910" w:h="16840"/>
          <w:pgMar w:header="0" w:footer="777" w:top="1320" w:bottom="960" w:left="1680" w:right="1300"/>
        </w:sect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5"/>
        <w:gridCol w:w="4445"/>
      </w:tblGrid>
      <w:tr>
        <w:trPr>
          <w:trHeight w:val="408" w:hRule="atLeast"/>
        </w:trPr>
        <w:tc>
          <w:tcPr>
            <w:tcW w:w="1595" w:type="dxa"/>
          </w:tcPr>
          <w:p>
            <w:pPr>
              <w:pStyle w:val="TableParagraph"/>
              <w:spacing w:line="266" w:lineRule="exact"/>
              <w:ind w:left="50"/>
              <w:rPr>
                <w:sz w:val="24"/>
              </w:rPr>
            </w:pPr>
            <w:r>
              <w:rPr>
                <w:spacing w:val="-5"/>
                <w:sz w:val="24"/>
              </w:rPr>
              <w:t>PBS</w:t>
            </w:r>
          </w:p>
        </w:tc>
        <w:tc>
          <w:tcPr>
            <w:tcW w:w="4445" w:type="dxa"/>
          </w:tcPr>
          <w:p>
            <w:pPr>
              <w:pStyle w:val="TableParagraph"/>
              <w:spacing w:line="266" w:lineRule="exact"/>
              <w:ind w:left="677"/>
              <w:rPr>
                <w:sz w:val="24"/>
              </w:rPr>
            </w:pPr>
            <w:r>
              <w:rPr>
                <w:sz w:val="24"/>
              </w:rPr>
              <w:t>Phosphate</w:t>
            </w:r>
            <w:r>
              <w:rPr>
                <w:spacing w:val="-9"/>
                <w:sz w:val="24"/>
              </w:rPr>
              <w:t> </w:t>
            </w:r>
            <w:r>
              <w:rPr>
                <w:sz w:val="24"/>
              </w:rPr>
              <w:t>Buffered</w:t>
            </w:r>
            <w:r>
              <w:rPr>
                <w:spacing w:val="-6"/>
                <w:sz w:val="24"/>
              </w:rPr>
              <w:t> </w:t>
            </w:r>
            <w:r>
              <w:rPr>
                <w:spacing w:val="-2"/>
                <w:sz w:val="24"/>
              </w:rPr>
              <w:t>Saline</w:t>
            </w:r>
          </w:p>
        </w:tc>
      </w:tr>
      <w:tr>
        <w:trPr>
          <w:trHeight w:val="552" w:hRule="atLeast"/>
        </w:trPr>
        <w:tc>
          <w:tcPr>
            <w:tcW w:w="1595" w:type="dxa"/>
          </w:tcPr>
          <w:p>
            <w:pPr>
              <w:pStyle w:val="TableParagraph"/>
              <w:spacing w:before="133"/>
              <w:ind w:left="50"/>
              <w:rPr>
                <w:sz w:val="24"/>
              </w:rPr>
            </w:pPr>
            <w:r>
              <w:rPr>
                <w:spacing w:val="-5"/>
                <w:sz w:val="24"/>
              </w:rPr>
              <w:t>PCV</w:t>
            </w:r>
          </w:p>
        </w:tc>
        <w:tc>
          <w:tcPr>
            <w:tcW w:w="4445" w:type="dxa"/>
          </w:tcPr>
          <w:p>
            <w:pPr>
              <w:pStyle w:val="TableParagraph"/>
              <w:spacing w:before="133"/>
              <w:ind w:left="677"/>
              <w:rPr>
                <w:sz w:val="24"/>
              </w:rPr>
            </w:pPr>
            <w:r>
              <w:rPr>
                <w:sz w:val="24"/>
              </w:rPr>
              <w:t>Packed</w:t>
            </w:r>
            <w:r>
              <w:rPr>
                <w:spacing w:val="-2"/>
                <w:sz w:val="24"/>
              </w:rPr>
              <w:t> </w:t>
            </w:r>
            <w:r>
              <w:rPr>
                <w:sz w:val="24"/>
              </w:rPr>
              <w:t>Cell</w:t>
            </w:r>
            <w:r>
              <w:rPr>
                <w:spacing w:val="-10"/>
                <w:sz w:val="24"/>
              </w:rPr>
              <w:t> </w:t>
            </w:r>
            <w:r>
              <w:rPr>
                <w:spacing w:val="-2"/>
                <w:sz w:val="24"/>
              </w:rPr>
              <w:t>Volume</w:t>
            </w:r>
          </w:p>
        </w:tc>
      </w:tr>
      <w:tr>
        <w:trPr>
          <w:trHeight w:val="552" w:hRule="atLeast"/>
        </w:trPr>
        <w:tc>
          <w:tcPr>
            <w:tcW w:w="1595" w:type="dxa"/>
          </w:tcPr>
          <w:p>
            <w:pPr>
              <w:pStyle w:val="TableParagraph"/>
              <w:spacing w:before="133"/>
              <w:ind w:left="50"/>
              <w:rPr>
                <w:sz w:val="24"/>
              </w:rPr>
            </w:pPr>
            <w:r>
              <w:rPr>
                <w:spacing w:val="-5"/>
                <w:sz w:val="24"/>
              </w:rPr>
              <w:t>PHB</w:t>
            </w:r>
          </w:p>
        </w:tc>
        <w:tc>
          <w:tcPr>
            <w:tcW w:w="4445" w:type="dxa"/>
          </w:tcPr>
          <w:p>
            <w:pPr>
              <w:pStyle w:val="TableParagraph"/>
              <w:spacing w:before="133"/>
              <w:ind w:left="677"/>
              <w:rPr>
                <w:sz w:val="24"/>
              </w:rPr>
            </w:pPr>
            <w:r>
              <w:rPr>
                <w:spacing w:val="-2"/>
                <w:sz w:val="24"/>
              </w:rPr>
              <w:t>Phenobarbitone</w:t>
            </w:r>
          </w:p>
        </w:tc>
      </w:tr>
      <w:tr>
        <w:trPr>
          <w:trHeight w:val="551" w:hRule="atLeast"/>
        </w:trPr>
        <w:tc>
          <w:tcPr>
            <w:tcW w:w="1595" w:type="dxa"/>
          </w:tcPr>
          <w:p>
            <w:pPr>
              <w:pStyle w:val="TableParagraph"/>
              <w:spacing w:before="133"/>
              <w:ind w:left="50"/>
              <w:rPr>
                <w:sz w:val="24"/>
              </w:rPr>
            </w:pPr>
            <w:r>
              <w:rPr>
                <w:spacing w:val="-5"/>
                <w:sz w:val="24"/>
              </w:rPr>
              <w:t>PHT</w:t>
            </w:r>
          </w:p>
        </w:tc>
        <w:tc>
          <w:tcPr>
            <w:tcW w:w="4445" w:type="dxa"/>
          </w:tcPr>
          <w:p>
            <w:pPr>
              <w:pStyle w:val="TableParagraph"/>
              <w:spacing w:before="133"/>
              <w:ind w:left="677"/>
              <w:rPr>
                <w:sz w:val="24"/>
              </w:rPr>
            </w:pPr>
            <w:r>
              <w:rPr>
                <w:spacing w:val="-2"/>
                <w:sz w:val="24"/>
              </w:rPr>
              <w:t>Phenytoin</w:t>
            </w:r>
          </w:p>
        </w:tc>
      </w:tr>
      <w:tr>
        <w:trPr>
          <w:trHeight w:val="552" w:hRule="atLeast"/>
        </w:trPr>
        <w:tc>
          <w:tcPr>
            <w:tcW w:w="1595" w:type="dxa"/>
          </w:tcPr>
          <w:p>
            <w:pPr>
              <w:pStyle w:val="TableParagraph"/>
              <w:spacing w:before="133"/>
              <w:ind w:left="50"/>
              <w:rPr>
                <w:sz w:val="24"/>
              </w:rPr>
            </w:pPr>
            <w:r>
              <w:rPr>
                <w:spacing w:val="-5"/>
                <w:sz w:val="24"/>
              </w:rPr>
              <w:t>PI</w:t>
            </w:r>
          </w:p>
        </w:tc>
        <w:tc>
          <w:tcPr>
            <w:tcW w:w="4445" w:type="dxa"/>
          </w:tcPr>
          <w:p>
            <w:pPr>
              <w:pStyle w:val="TableParagraph"/>
              <w:spacing w:before="133"/>
              <w:ind w:left="677"/>
              <w:rPr>
                <w:sz w:val="24"/>
              </w:rPr>
            </w:pPr>
            <w:r>
              <w:rPr>
                <w:sz w:val="24"/>
              </w:rPr>
              <w:t>Protective</w:t>
            </w:r>
            <w:r>
              <w:rPr>
                <w:spacing w:val="-7"/>
                <w:sz w:val="24"/>
              </w:rPr>
              <w:t> </w:t>
            </w:r>
            <w:r>
              <w:rPr>
                <w:spacing w:val="-4"/>
                <w:sz w:val="24"/>
              </w:rPr>
              <w:t>index</w:t>
            </w:r>
          </w:p>
        </w:tc>
      </w:tr>
      <w:tr>
        <w:trPr>
          <w:trHeight w:val="552" w:hRule="atLeast"/>
        </w:trPr>
        <w:tc>
          <w:tcPr>
            <w:tcW w:w="1595" w:type="dxa"/>
          </w:tcPr>
          <w:p>
            <w:pPr>
              <w:pStyle w:val="TableParagraph"/>
              <w:spacing w:before="133"/>
              <w:ind w:left="50"/>
              <w:rPr>
                <w:sz w:val="24"/>
              </w:rPr>
            </w:pPr>
            <w:r>
              <w:rPr>
                <w:spacing w:val="-5"/>
                <w:sz w:val="24"/>
              </w:rPr>
              <w:t>PTZ</w:t>
            </w:r>
          </w:p>
        </w:tc>
        <w:tc>
          <w:tcPr>
            <w:tcW w:w="4445" w:type="dxa"/>
          </w:tcPr>
          <w:p>
            <w:pPr>
              <w:pStyle w:val="TableParagraph"/>
              <w:spacing w:before="133"/>
              <w:ind w:left="687"/>
              <w:rPr>
                <w:sz w:val="24"/>
              </w:rPr>
            </w:pPr>
            <w:r>
              <w:rPr>
                <w:spacing w:val="-2"/>
                <w:sz w:val="24"/>
              </w:rPr>
              <w:t>Pentylenetetrazole</w:t>
            </w:r>
          </w:p>
        </w:tc>
      </w:tr>
      <w:tr>
        <w:trPr>
          <w:trHeight w:val="552" w:hRule="atLeast"/>
        </w:trPr>
        <w:tc>
          <w:tcPr>
            <w:tcW w:w="1595" w:type="dxa"/>
          </w:tcPr>
          <w:p>
            <w:pPr>
              <w:pStyle w:val="TableParagraph"/>
              <w:spacing w:before="133"/>
              <w:ind w:left="50"/>
              <w:rPr>
                <w:sz w:val="24"/>
              </w:rPr>
            </w:pPr>
            <w:r>
              <w:rPr>
                <w:spacing w:val="-5"/>
                <w:sz w:val="24"/>
              </w:rPr>
              <w:t>RBC</w:t>
            </w:r>
          </w:p>
        </w:tc>
        <w:tc>
          <w:tcPr>
            <w:tcW w:w="4445" w:type="dxa"/>
          </w:tcPr>
          <w:p>
            <w:pPr>
              <w:pStyle w:val="TableParagraph"/>
              <w:spacing w:before="133"/>
              <w:ind w:left="677"/>
              <w:rPr>
                <w:sz w:val="24"/>
              </w:rPr>
            </w:pPr>
            <w:r>
              <w:rPr>
                <w:sz w:val="24"/>
              </w:rPr>
              <w:t>Red Blood</w:t>
            </w:r>
            <w:r>
              <w:rPr>
                <w:spacing w:val="-4"/>
                <w:sz w:val="24"/>
              </w:rPr>
              <w:t> Cell</w:t>
            </w:r>
          </w:p>
        </w:tc>
      </w:tr>
      <w:tr>
        <w:trPr>
          <w:trHeight w:val="557" w:hRule="atLeast"/>
        </w:trPr>
        <w:tc>
          <w:tcPr>
            <w:tcW w:w="1595" w:type="dxa"/>
          </w:tcPr>
          <w:p>
            <w:pPr>
              <w:pStyle w:val="TableParagraph"/>
              <w:spacing w:before="133"/>
              <w:ind w:left="50"/>
              <w:rPr>
                <w:sz w:val="24"/>
              </w:rPr>
            </w:pPr>
            <w:r>
              <w:rPr>
                <w:spacing w:val="-5"/>
                <w:sz w:val="24"/>
              </w:rPr>
              <w:t>R</w:t>
            </w:r>
            <w:r>
              <w:rPr>
                <w:spacing w:val="-5"/>
                <w:sz w:val="24"/>
                <w:vertAlign w:val="subscript"/>
              </w:rPr>
              <w:t>f</w:t>
            </w:r>
          </w:p>
        </w:tc>
        <w:tc>
          <w:tcPr>
            <w:tcW w:w="4445" w:type="dxa"/>
          </w:tcPr>
          <w:p>
            <w:pPr>
              <w:pStyle w:val="TableParagraph"/>
              <w:spacing w:before="133"/>
              <w:ind w:left="615"/>
              <w:rPr>
                <w:sz w:val="24"/>
              </w:rPr>
            </w:pPr>
            <w:r>
              <w:rPr>
                <w:sz w:val="24"/>
              </w:rPr>
              <w:t>Retardation</w:t>
            </w:r>
            <w:r>
              <w:rPr>
                <w:spacing w:val="-3"/>
                <w:sz w:val="24"/>
              </w:rPr>
              <w:t> </w:t>
            </w:r>
            <w:r>
              <w:rPr>
                <w:spacing w:val="-2"/>
                <w:sz w:val="24"/>
              </w:rPr>
              <w:t>factor</w:t>
            </w:r>
          </w:p>
        </w:tc>
      </w:tr>
      <w:tr>
        <w:trPr>
          <w:trHeight w:val="546" w:hRule="atLeast"/>
        </w:trPr>
        <w:tc>
          <w:tcPr>
            <w:tcW w:w="1595" w:type="dxa"/>
          </w:tcPr>
          <w:p>
            <w:pPr>
              <w:pStyle w:val="TableParagraph"/>
              <w:spacing w:before="127"/>
              <w:ind w:left="50"/>
              <w:rPr>
                <w:sz w:val="24"/>
              </w:rPr>
            </w:pPr>
            <w:r>
              <w:rPr>
                <w:spacing w:val="-4"/>
                <w:sz w:val="24"/>
              </w:rPr>
              <w:t>s.c.</w:t>
            </w:r>
          </w:p>
        </w:tc>
        <w:tc>
          <w:tcPr>
            <w:tcW w:w="4445" w:type="dxa"/>
          </w:tcPr>
          <w:p>
            <w:pPr>
              <w:pStyle w:val="TableParagraph"/>
              <w:spacing w:before="127"/>
              <w:ind w:left="697"/>
              <w:rPr>
                <w:sz w:val="24"/>
              </w:rPr>
            </w:pPr>
            <w:r>
              <w:rPr>
                <w:spacing w:val="-2"/>
                <w:sz w:val="24"/>
              </w:rPr>
              <w:t>Subcutaneous</w:t>
            </w:r>
          </w:p>
        </w:tc>
      </w:tr>
      <w:tr>
        <w:trPr>
          <w:trHeight w:val="551" w:hRule="atLeast"/>
        </w:trPr>
        <w:tc>
          <w:tcPr>
            <w:tcW w:w="1595" w:type="dxa"/>
          </w:tcPr>
          <w:p>
            <w:pPr>
              <w:pStyle w:val="TableParagraph"/>
              <w:spacing w:before="133"/>
              <w:ind w:left="50"/>
              <w:rPr>
                <w:sz w:val="24"/>
              </w:rPr>
            </w:pPr>
            <w:r>
              <w:rPr>
                <w:spacing w:val="-5"/>
                <w:sz w:val="24"/>
              </w:rPr>
              <w:t>SEM</w:t>
            </w:r>
          </w:p>
        </w:tc>
        <w:tc>
          <w:tcPr>
            <w:tcW w:w="4445" w:type="dxa"/>
          </w:tcPr>
          <w:p>
            <w:pPr>
              <w:pStyle w:val="TableParagraph"/>
              <w:spacing w:before="133"/>
              <w:ind w:left="677"/>
              <w:rPr>
                <w:sz w:val="24"/>
              </w:rPr>
            </w:pPr>
            <w:r>
              <w:rPr>
                <w:sz w:val="24"/>
              </w:rPr>
              <w:t>Standard</w:t>
            </w:r>
            <w:r>
              <w:rPr>
                <w:spacing w:val="-2"/>
                <w:sz w:val="24"/>
              </w:rPr>
              <w:t> </w:t>
            </w:r>
            <w:r>
              <w:rPr>
                <w:sz w:val="24"/>
              </w:rPr>
              <w:t>Error</w:t>
            </w:r>
            <w:r>
              <w:rPr>
                <w:spacing w:val="-2"/>
                <w:sz w:val="24"/>
              </w:rPr>
              <w:t> </w:t>
            </w:r>
            <w:r>
              <w:rPr>
                <w:sz w:val="24"/>
              </w:rPr>
              <w:t>of</w:t>
            </w:r>
            <w:r>
              <w:rPr>
                <w:spacing w:val="-6"/>
                <w:sz w:val="24"/>
              </w:rPr>
              <w:t> </w:t>
            </w:r>
            <w:r>
              <w:rPr>
                <w:spacing w:val="-4"/>
                <w:sz w:val="24"/>
              </w:rPr>
              <w:t>Mean</w:t>
            </w:r>
          </w:p>
        </w:tc>
      </w:tr>
      <w:tr>
        <w:trPr>
          <w:trHeight w:val="552" w:hRule="atLeast"/>
        </w:trPr>
        <w:tc>
          <w:tcPr>
            <w:tcW w:w="1595" w:type="dxa"/>
          </w:tcPr>
          <w:p>
            <w:pPr>
              <w:pStyle w:val="TableParagraph"/>
              <w:spacing w:before="133"/>
              <w:ind w:left="50"/>
              <w:rPr>
                <w:sz w:val="24"/>
              </w:rPr>
            </w:pPr>
            <w:r>
              <w:rPr>
                <w:spacing w:val="-4"/>
                <w:sz w:val="24"/>
              </w:rPr>
              <w:t>SSRI</w:t>
            </w:r>
          </w:p>
        </w:tc>
        <w:tc>
          <w:tcPr>
            <w:tcW w:w="4445" w:type="dxa"/>
          </w:tcPr>
          <w:p>
            <w:pPr>
              <w:pStyle w:val="TableParagraph"/>
              <w:spacing w:before="133"/>
              <w:ind w:left="706"/>
              <w:rPr>
                <w:sz w:val="24"/>
              </w:rPr>
            </w:pPr>
            <w:r>
              <w:rPr>
                <w:sz w:val="24"/>
              </w:rPr>
              <w:t>Selective</w:t>
            </w:r>
            <w:r>
              <w:rPr>
                <w:spacing w:val="-4"/>
                <w:sz w:val="24"/>
              </w:rPr>
              <w:t> </w:t>
            </w:r>
            <w:r>
              <w:rPr>
                <w:sz w:val="24"/>
              </w:rPr>
              <w:t>serotonin</w:t>
            </w:r>
            <w:r>
              <w:rPr>
                <w:spacing w:val="-7"/>
                <w:sz w:val="24"/>
              </w:rPr>
              <w:t> </w:t>
            </w:r>
            <w:r>
              <w:rPr>
                <w:sz w:val="24"/>
              </w:rPr>
              <w:t>reuptake</w:t>
            </w:r>
            <w:r>
              <w:rPr>
                <w:spacing w:val="1"/>
                <w:sz w:val="24"/>
              </w:rPr>
              <w:t> </w:t>
            </w:r>
            <w:r>
              <w:rPr>
                <w:spacing w:val="-2"/>
                <w:sz w:val="24"/>
              </w:rPr>
              <w:t>inhibitors</w:t>
            </w:r>
          </w:p>
        </w:tc>
      </w:tr>
      <w:tr>
        <w:trPr>
          <w:trHeight w:val="557" w:hRule="atLeast"/>
        </w:trPr>
        <w:tc>
          <w:tcPr>
            <w:tcW w:w="1595" w:type="dxa"/>
          </w:tcPr>
          <w:p>
            <w:pPr>
              <w:pStyle w:val="TableParagraph"/>
              <w:spacing w:before="133"/>
              <w:ind w:left="50"/>
              <w:rPr>
                <w:sz w:val="24"/>
              </w:rPr>
            </w:pPr>
            <w:r>
              <w:rPr>
                <w:spacing w:val="-4"/>
                <w:sz w:val="24"/>
              </w:rPr>
              <w:t>TD</w:t>
            </w:r>
            <w:r>
              <w:rPr>
                <w:spacing w:val="-4"/>
                <w:sz w:val="24"/>
                <w:vertAlign w:val="subscript"/>
              </w:rPr>
              <w:t>50</w:t>
            </w:r>
          </w:p>
        </w:tc>
        <w:tc>
          <w:tcPr>
            <w:tcW w:w="4445" w:type="dxa"/>
          </w:tcPr>
          <w:p>
            <w:pPr>
              <w:pStyle w:val="TableParagraph"/>
              <w:spacing w:before="133"/>
              <w:ind w:left="677"/>
              <w:rPr>
                <w:sz w:val="24"/>
              </w:rPr>
            </w:pPr>
            <w:r>
              <w:rPr>
                <w:sz w:val="24"/>
              </w:rPr>
              <w:t>Mean</w:t>
            </w:r>
            <w:r>
              <w:rPr>
                <w:spacing w:val="-8"/>
                <w:sz w:val="24"/>
              </w:rPr>
              <w:t> </w:t>
            </w:r>
            <w:r>
              <w:rPr>
                <w:sz w:val="24"/>
              </w:rPr>
              <w:t>Toxic</w:t>
            </w:r>
            <w:r>
              <w:rPr>
                <w:spacing w:val="-4"/>
                <w:sz w:val="24"/>
              </w:rPr>
              <w:t> Dose</w:t>
            </w:r>
          </w:p>
        </w:tc>
      </w:tr>
      <w:tr>
        <w:trPr>
          <w:trHeight w:val="546" w:hRule="atLeast"/>
        </w:trPr>
        <w:tc>
          <w:tcPr>
            <w:tcW w:w="1595" w:type="dxa"/>
          </w:tcPr>
          <w:p>
            <w:pPr>
              <w:pStyle w:val="TableParagraph"/>
              <w:spacing w:before="127"/>
              <w:ind w:left="50"/>
              <w:rPr>
                <w:sz w:val="24"/>
              </w:rPr>
            </w:pPr>
            <w:r>
              <w:rPr>
                <w:spacing w:val="-2"/>
                <w:sz w:val="24"/>
              </w:rPr>
              <w:t>TETFund</w:t>
            </w:r>
          </w:p>
        </w:tc>
        <w:tc>
          <w:tcPr>
            <w:tcW w:w="4445" w:type="dxa"/>
          </w:tcPr>
          <w:p>
            <w:pPr>
              <w:pStyle w:val="TableParagraph"/>
              <w:spacing w:before="127"/>
              <w:ind w:left="615"/>
              <w:rPr>
                <w:sz w:val="24"/>
              </w:rPr>
            </w:pPr>
            <w:r>
              <w:rPr>
                <w:sz w:val="24"/>
              </w:rPr>
              <w:t>Tertiary</w:t>
            </w:r>
            <w:r>
              <w:rPr>
                <w:spacing w:val="-9"/>
                <w:sz w:val="24"/>
              </w:rPr>
              <w:t> </w:t>
            </w:r>
            <w:r>
              <w:rPr>
                <w:sz w:val="24"/>
              </w:rPr>
              <w:t>Education</w:t>
            </w:r>
            <w:r>
              <w:rPr>
                <w:spacing w:val="-4"/>
                <w:sz w:val="24"/>
              </w:rPr>
              <w:t> </w:t>
            </w:r>
            <w:r>
              <w:rPr>
                <w:sz w:val="24"/>
              </w:rPr>
              <w:t>Trust</w:t>
            </w:r>
            <w:r>
              <w:rPr>
                <w:spacing w:val="6"/>
                <w:sz w:val="24"/>
              </w:rPr>
              <w:t> </w:t>
            </w:r>
            <w:r>
              <w:rPr>
                <w:spacing w:val="-4"/>
                <w:sz w:val="24"/>
              </w:rPr>
              <w:t>Fund</w:t>
            </w:r>
          </w:p>
        </w:tc>
      </w:tr>
      <w:tr>
        <w:trPr>
          <w:trHeight w:val="552" w:hRule="atLeast"/>
        </w:trPr>
        <w:tc>
          <w:tcPr>
            <w:tcW w:w="1595" w:type="dxa"/>
          </w:tcPr>
          <w:p>
            <w:pPr>
              <w:pStyle w:val="TableParagraph"/>
              <w:spacing w:before="133"/>
              <w:ind w:left="50"/>
              <w:rPr>
                <w:sz w:val="24"/>
              </w:rPr>
            </w:pPr>
            <w:r>
              <w:rPr>
                <w:spacing w:val="-5"/>
                <w:sz w:val="24"/>
              </w:rPr>
              <w:t>TLC</w:t>
            </w:r>
          </w:p>
        </w:tc>
        <w:tc>
          <w:tcPr>
            <w:tcW w:w="4445" w:type="dxa"/>
          </w:tcPr>
          <w:p>
            <w:pPr>
              <w:pStyle w:val="TableParagraph"/>
              <w:spacing w:before="133"/>
              <w:ind w:left="615"/>
              <w:rPr>
                <w:sz w:val="24"/>
              </w:rPr>
            </w:pPr>
            <w:r>
              <w:rPr>
                <w:sz w:val="24"/>
              </w:rPr>
              <w:t>Thin</w:t>
            </w:r>
            <w:r>
              <w:rPr>
                <w:spacing w:val="-6"/>
                <w:sz w:val="24"/>
              </w:rPr>
              <w:t> </w:t>
            </w:r>
            <w:r>
              <w:rPr>
                <w:sz w:val="24"/>
              </w:rPr>
              <w:t>Layer </w:t>
            </w:r>
            <w:r>
              <w:rPr>
                <w:spacing w:val="-2"/>
                <w:sz w:val="24"/>
              </w:rPr>
              <w:t>Chromatography</w:t>
            </w:r>
          </w:p>
        </w:tc>
      </w:tr>
      <w:tr>
        <w:trPr>
          <w:trHeight w:val="552" w:hRule="atLeast"/>
        </w:trPr>
        <w:tc>
          <w:tcPr>
            <w:tcW w:w="1595" w:type="dxa"/>
          </w:tcPr>
          <w:p>
            <w:pPr>
              <w:pStyle w:val="TableParagraph"/>
              <w:spacing w:before="133"/>
              <w:ind w:left="50"/>
              <w:rPr>
                <w:sz w:val="24"/>
              </w:rPr>
            </w:pPr>
            <w:r>
              <w:rPr>
                <w:spacing w:val="-5"/>
                <w:sz w:val="24"/>
              </w:rPr>
              <w:t>TLE</w:t>
            </w:r>
          </w:p>
        </w:tc>
        <w:tc>
          <w:tcPr>
            <w:tcW w:w="4445" w:type="dxa"/>
          </w:tcPr>
          <w:p>
            <w:pPr>
              <w:pStyle w:val="TableParagraph"/>
              <w:spacing w:before="133"/>
              <w:ind w:left="615"/>
              <w:rPr>
                <w:sz w:val="24"/>
              </w:rPr>
            </w:pPr>
            <w:r>
              <w:rPr>
                <w:sz w:val="24"/>
              </w:rPr>
              <w:t>Temporal</w:t>
            </w:r>
            <w:r>
              <w:rPr>
                <w:spacing w:val="-8"/>
                <w:sz w:val="24"/>
              </w:rPr>
              <w:t> </w:t>
            </w:r>
            <w:r>
              <w:rPr>
                <w:sz w:val="24"/>
              </w:rPr>
              <w:t>Lobe</w:t>
            </w:r>
            <w:r>
              <w:rPr>
                <w:spacing w:val="1"/>
                <w:sz w:val="24"/>
              </w:rPr>
              <w:t> </w:t>
            </w:r>
            <w:r>
              <w:rPr>
                <w:spacing w:val="-2"/>
                <w:sz w:val="24"/>
              </w:rPr>
              <w:t>Epilepsy</w:t>
            </w:r>
          </w:p>
        </w:tc>
      </w:tr>
      <w:tr>
        <w:trPr>
          <w:trHeight w:val="552" w:hRule="atLeast"/>
        </w:trPr>
        <w:tc>
          <w:tcPr>
            <w:tcW w:w="1595" w:type="dxa"/>
          </w:tcPr>
          <w:p>
            <w:pPr>
              <w:pStyle w:val="TableParagraph"/>
              <w:spacing w:before="133"/>
              <w:ind w:left="50"/>
              <w:rPr>
                <w:sz w:val="24"/>
              </w:rPr>
            </w:pPr>
            <w:r>
              <w:rPr>
                <w:spacing w:val="-2"/>
                <w:sz w:val="24"/>
              </w:rPr>
              <w:t>T-</w:t>
            </w:r>
            <w:r>
              <w:rPr>
                <w:spacing w:val="-4"/>
                <w:sz w:val="24"/>
              </w:rPr>
              <w:t>type</w:t>
            </w:r>
          </w:p>
        </w:tc>
        <w:tc>
          <w:tcPr>
            <w:tcW w:w="4445" w:type="dxa"/>
          </w:tcPr>
          <w:p>
            <w:pPr>
              <w:pStyle w:val="TableParagraph"/>
              <w:spacing w:before="133"/>
              <w:ind w:left="615"/>
              <w:rPr>
                <w:sz w:val="24"/>
              </w:rPr>
            </w:pPr>
            <w:r>
              <w:rPr>
                <w:sz w:val="24"/>
              </w:rPr>
              <w:t>Subtype</w:t>
            </w:r>
            <w:r>
              <w:rPr>
                <w:spacing w:val="-1"/>
                <w:sz w:val="24"/>
              </w:rPr>
              <w:t> </w:t>
            </w:r>
            <w:r>
              <w:rPr>
                <w:sz w:val="24"/>
              </w:rPr>
              <w:t>of</w:t>
            </w:r>
            <w:r>
              <w:rPr>
                <w:spacing w:val="-7"/>
                <w:sz w:val="24"/>
              </w:rPr>
              <w:t> </w:t>
            </w:r>
            <w:r>
              <w:rPr>
                <w:sz w:val="24"/>
              </w:rPr>
              <w:t>calcium</w:t>
            </w:r>
            <w:r>
              <w:rPr>
                <w:spacing w:val="-7"/>
                <w:sz w:val="24"/>
              </w:rPr>
              <w:t> </w:t>
            </w:r>
            <w:r>
              <w:rPr>
                <w:spacing w:val="-2"/>
                <w:sz w:val="24"/>
              </w:rPr>
              <w:t>current</w:t>
            </w:r>
          </w:p>
        </w:tc>
      </w:tr>
      <w:tr>
        <w:trPr>
          <w:trHeight w:val="552" w:hRule="atLeast"/>
        </w:trPr>
        <w:tc>
          <w:tcPr>
            <w:tcW w:w="1595" w:type="dxa"/>
          </w:tcPr>
          <w:p>
            <w:pPr>
              <w:pStyle w:val="TableParagraph"/>
              <w:spacing w:before="133"/>
              <w:ind w:left="50"/>
              <w:rPr>
                <w:sz w:val="24"/>
              </w:rPr>
            </w:pPr>
            <w:r>
              <w:rPr>
                <w:spacing w:val="-5"/>
                <w:sz w:val="24"/>
              </w:rPr>
              <w:t>USA</w:t>
            </w:r>
          </w:p>
        </w:tc>
        <w:tc>
          <w:tcPr>
            <w:tcW w:w="4445" w:type="dxa"/>
          </w:tcPr>
          <w:p>
            <w:pPr>
              <w:pStyle w:val="TableParagraph"/>
              <w:spacing w:before="133"/>
              <w:ind w:left="620"/>
              <w:rPr>
                <w:sz w:val="24"/>
              </w:rPr>
            </w:pPr>
            <w:r>
              <w:rPr>
                <w:sz w:val="24"/>
              </w:rPr>
              <w:t>United States</w:t>
            </w:r>
            <w:r>
              <w:rPr>
                <w:spacing w:val="-5"/>
                <w:sz w:val="24"/>
              </w:rPr>
              <w:t> </w:t>
            </w:r>
            <w:r>
              <w:rPr>
                <w:sz w:val="24"/>
              </w:rPr>
              <w:t>of</w:t>
            </w:r>
            <w:r>
              <w:rPr>
                <w:spacing w:val="-2"/>
                <w:sz w:val="24"/>
              </w:rPr>
              <w:t> America</w:t>
            </w:r>
          </w:p>
        </w:tc>
      </w:tr>
      <w:tr>
        <w:trPr>
          <w:trHeight w:val="552" w:hRule="atLeast"/>
        </w:trPr>
        <w:tc>
          <w:tcPr>
            <w:tcW w:w="1595" w:type="dxa"/>
          </w:tcPr>
          <w:p>
            <w:pPr>
              <w:pStyle w:val="TableParagraph"/>
              <w:spacing w:before="133"/>
              <w:ind w:left="50"/>
              <w:rPr>
                <w:sz w:val="24"/>
              </w:rPr>
            </w:pPr>
            <w:r>
              <w:rPr>
                <w:spacing w:val="-5"/>
                <w:sz w:val="24"/>
              </w:rPr>
              <w:t>VA</w:t>
            </w:r>
          </w:p>
        </w:tc>
        <w:tc>
          <w:tcPr>
            <w:tcW w:w="4445" w:type="dxa"/>
          </w:tcPr>
          <w:p>
            <w:pPr>
              <w:pStyle w:val="TableParagraph"/>
              <w:spacing w:before="133"/>
              <w:ind w:left="615"/>
              <w:rPr>
                <w:sz w:val="24"/>
              </w:rPr>
            </w:pPr>
            <w:r>
              <w:rPr>
                <w:sz w:val="24"/>
              </w:rPr>
              <w:t>Sodium</w:t>
            </w:r>
            <w:r>
              <w:rPr>
                <w:spacing w:val="-5"/>
                <w:sz w:val="24"/>
              </w:rPr>
              <w:t> </w:t>
            </w:r>
            <w:r>
              <w:rPr>
                <w:spacing w:val="-2"/>
                <w:sz w:val="24"/>
              </w:rPr>
              <w:t>valproate</w:t>
            </w:r>
          </w:p>
        </w:tc>
      </w:tr>
      <w:tr>
        <w:trPr>
          <w:trHeight w:val="551" w:hRule="atLeast"/>
        </w:trPr>
        <w:tc>
          <w:tcPr>
            <w:tcW w:w="1595" w:type="dxa"/>
          </w:tcPr>
          <w:p>
            <w:pPr>
              <w:pStyle w:val="TableParagraph"/>
              <w:spacing w:before="133"/>
              <w:ind w:left="50"/>
              <w:rPr>
                <w:sz w:val="24"/>
              </w:rPr>
            </w:pPr>
            <w:r>
              <w:rPr>
                <w:spacing w:val="-2"/>
                <w:sz w:val="24"/>
              </w:rPr>
              <w:t>VGCCs</w:t>
            </w:r>
          </w:p>
        </w:tc>
        <w:tc>
          <w:tcPr>
            <w:tcW w:w="4445" w:type="dxa"/>
          </w:tcPr>
          <w:p>
            <w:pPr>
              <w:pStyle w:val="TableParagraph"/>
              <w:spacing w:before="133"/>
              <w:ind w:left="658"/>
              <w:rPr>
                <w:sz w:val="24"/>
              </w:rPr>
            </w:pPr>
            <w:r>
              <w:rPr>
                <w:sz w:val="24"/>
              </w:rPr>
              <w:t>Voltage-gated</w:t>
            </w:r>
            <w:r>
              <w:rPr>
                <w:spacing w:val="-6"/>
                <w:sz w:val="24"/>
              </w:rPr>
              <w:t> </w:t>
            </w:r>
            <w:r>
              <w:rPr>
                <w:sz w:val="24"/>
              </w:rPr>
              <w:t>calcium</w:t>
            </w:r>
            <w:r>
              <w:rPr>
                <w:spacing w:val="-9"/>
                <w:sz w:val="24"/>
              </w:rPr>
              <w:t> </w:t>
            </w:r>
            <w:r>
              <w:rPr>
                <w:spacing w:val="-2"/>
                <w:sz w:val="24"/>
              </w:rPr>
              <w:t>channels</w:t>
            </w:r>
          </w:p>
        </w:tc>
      </w:tr>
      <w:tr>
        <w:trPr>
          <w:trHeight w:val="552" w:hRule="atLeast"/>
        </w:trPr>
        <w:tc>
          <w:tcPr>
            <w:tcW w:w="1595" w:type="dxa"/>
          </w:tcPr>
          <w:p>
            <w:pPr>
              <w:pStyle w:val="TableParagraph"/>
              <w:spacing w:before="133"/>
              <w:ind w:left="50"/>
              <w:rPr>
                <w:sz w:val="24"/>
              </w:rPr>
            </w:pPr>
            <w:r>
              <w:rPr>
                <w:spacing w:val="-2"/>
                <w:sz w:val="24"/>
              </w:rPr>
              <w:t>VGKCs</w:t>
            </w:r>
          </w:p>
        </w:tc>
        <w:tc>
          <w:tcPr>
            <w:tcW w:w="4445" w:type="dxa"/>
          </w:tcPr>
          <w:p>
            <w:pPr>
              <w:pStyle w:val="TableParagraph"/>
              <w:spacing w:before="133"/>
              <w:ind w:left="673"/>
              <w:rPr>
                <w:sz w:val="24"/>
              </w:rPr>
            </w:pPr>
            <w:r>
              <w:rPr>
                <w:sz w:val="24"/>
              </w:rPr>
              <w:t>Voltage-gated</w:t>
            </w:r>
            <w:r>
              <w:rPr>
                <w:spacing w:val="-5"/>
                <w:sz w:val="24"/>
              </w:rPr>
              <w:t> </w:t>
            </w:r>
            <w:r>
              <w:rPr>
                <w:sz w:val="24"/>
              </w:rPr>
              <w:t>potassium</w:t>
            </w:r>
            <w:r>
              <w:rPr>
                <w:spacing w:val="-12"/>
                <w:sz w:val="24"/>
              </w:rPr>
              <w:t> </w:t>
            </w:r>
            <w:r>
              <w:rPr>
                <w:spacing w:val="-2"/>
                <w:sz w:val="24"/>
              </w:rPr>
              <w:t>channels</w:t>
            </w:r>
          </w:p>
        </w:tc>
      </w:tr>
      <w:tr>
        <w:trPr>
          <w:trHeight w:val="552" w:hRule="atLeast"/>
        </w:trPr>
        <w:tc>
          <w:tcPr>
            <w:tcW w:w="1595" w:type="dxa"/>
          </w:tcPr>
          <w:p>
            <w:pPr>
              <w:pStyle w:val="TableParagraph"/>
              <w:spacing w:before="133"/>
              <w:ind w:left="50"/>
              <w:rPr>
                <w:sz w:val="24"/>
              </w:rPr>
            </w:pPr>
            <w:r>
              <w:rPr>
                <w:spacing w:val="-2"/>
                <w:sz w:val="24"/>
              </w:rPr>
              <w:t>VGSCs</w:t>
            </w:r>
          </w:p>
        </w:tc>
        <w:tc>
          <w:tcPr>
            <w:tcW w:w="4445" w:type="dxa"/>
          </w:tcPr>
          <w:p>
            <w:pPr>
              <w:pStyle w:val="TableParagraph"/>
              <w:spacing w:before="133"/>
              <w:ind w:left="692"/>
              <w:rPr>
                <w:sz w:val="24"/>
              </w:rPr>
            </w:pPr>
            <w:r>
              <w:rPr>
                <w:sz w:val="24"/>
              </w:rPr>
              <w:t>Voltage-gated</w:t>
            </w:r>
            <w:r>
              <w:rPr>
                <w:spacing w:val="-5"/>
                <w:sz w:val="24"/>
              </w:rPr>
              <w:t> </w:t>
            </w:r>
            <w:r>
              <w:rPr>
                <w:sz w:val="24"/>
              </w:rPr>
              <w:t>sodium</w:t>
            </w:r>
            <w:r>
              <w:rPr>
                <w:spacing w:val="-9"/>
                <w:sz w:val="24"/>
              </w:rPr>
              <w:t> </w:t>
            </w:r>
            <w:r>
              <w:rPr>
                <w:spacing w:val="-2"/>
                <w:sz w:val="24"/>
              </w:rPr>
              <w:t>channels</w:t>
            </w:r>
          </w:p>
        </w:tc>
      </w:tr>
      <w:tr>
        <w:trPr>
          <w:trHeight w:val="551" w:hRule="atLeast"/>
        </w:trPr>
        <w:tc>
          <w:tcPr>
            <w:tcW w:w="1595" w:type="dxa"/>
          </w:tcPr>
          <w:p>
            <w:pPr>
              <w:pStyle w:val="TableParagraph"/>
              <w:spacing w:before="133"/>
              <w:ind w:left="50"/>
              <w:rPr>
                <w:sz w:val="24"/>
              </w:rPr>
            </w:pPr>
            <w:r>
              <w:rPr>
                <w:spacing w:val="-5"/>
                <w:sz w:val="24"/>
              </w:rPr>
              <w:t>WBC</w:t>
            </w:r>
          </w:p>
        </w:tc>
        <w:tc>
          <w:tcPr>
            <w:tcW w:w="4445" w:type="dxa"/>
          </w:tcPr>
          <w:p>
            <w:pPr>
              <w:pStyle w:val="TableParagraph"/>
              <w:spacing w:before="133"/>
              <w:ind w:left="677"/>
              <w:rPr>
                <w:sz w:val="24"/>
              </w:rPr>
            </w:pPr>
            <w:r>
              <w:rPr>
                <w:sz w:val="24"/>
              </w:rPr>
              <w:t>White</w:t>
            </w:r>
            <w:r>
              <w:rPr>
                <w:spacing w:val="-4"/>
                <w:sz w:val="24"/>
              </w:rPr>
              <w:t> </w:t>
            </w:r>
            <w:r>
              <w:rPr>
                <w:sz w:val="24"/>
              </w:rPr>
              <w:t>Blood</w:t>
            </w:r>
            <w:r>
              <w:rPr>
                <w:spacing w:val="-1"/>
                <w:sz w:val="24"/>
              </w:rPr>
              <w:t> </w:t>
            </w:r>
            <w:r>
              <w:rPr>
                <w:spacing w:val="-4"/>
                <w:sz w:val="24"/>
              </w:rPr>
              <w:t>Cell</w:t>
            </w:r>
          </w:p>
        </w:tc>
      </w:tr>
      <w:tr>
        <w:trPr>
          <w:trHeight w:val="408" w:hRule="atLeast"/>
        </w:trPr>
        <w:tc>
          <w:tcPr>
            <w:tcW w:w="1595" w:type="dxa"/>
          </w:tcPr>
          <w:p>
            <w:pPr>
              <w:pStyle w:val="TableParagraph"/>
              <w:spacing w:line="256" w:lineRule="exact" w:before="133"/>
              <w:ind w:left="50"/>
              <w:rPr>
                <w:sz w:val="24"/>
              </w:rPr>
            </w:pPr>
            <w:r>
              <w:rPr>
                <w:spacing w:val="-5"/>
                <w:sz w:val="24"/>
              </w:rPr>
              <w:t>WHO</w:t>
            </w:r>
          </w:p>
        </w:tc>
        <w:tc>
          <w:tcPr>
            <w:tcW w:w="4445" w:type="dxa"/>
          </w:tcPr>
          <w:p>
            <w:pPr>
              <w:pStyle w:val="TableParagraph"/>
              <w:spacing w:line="256" w:lineRule="exact" w:before="133"/>
              <w:ind w:left="711"/>
              <w:rPr>
                <w:sz w:val="24"/>
              </w:rPr>
            </w:pPr>
            <w:r>
              <w:rPr>
                <w:sz w:val="24"/>
              </w:rPr>
              <w:t>World</w:t>
            </w:r>
            <w:r>
              <w:rPr>
                <w:spacing w:val="-4"/>
                <w:sz w:val="24"/>
              </w:rPr>
              <w:t> </w:t>
            </w:r>
            <w:r>
              <w:rPr>
                <w:sz w:val="24"/>
              </w:rPr>
              <w:t>Health</w:t>
            </w:r>
            <w:r>
              <w:rPr>
                <w:spacing w:val="-8"/>
                <w:sz w:val="24"/>
              </w:rPr>
              <w:t> </w:t>
            </w:r>
            <w:r>
              <w:rPr>
                <w:spacing w:val="-2"/>
                <w:sz w:val="24"/>
              </w:rPr>
              <w:t>Organisation</w:t>
            </w:r>
          </w:p>
        </w:tc>
      </w:tr>
    </w:tbl>
    <w:p>
      <w:pPr>
        <w:spacing w:after="0" w:line="256" w:lineRule="exact"/>
        <w:rPr>
          <w:sz w:val="24"/>
        </w:rPr>
        <w:sectPr>
          <w:pgSz w:w="11910" w:h="16840"/>
          <w:pgMar w:header="0" w:footer="777" w:top="1380" w:bottom="960" w:left="1680" w:right="1300"/>
        </w:sectPr>
      </w:pPr>
    </w:p>
    <w:p>
      <w:pPr>
        <w:pStyle w:val="Heading1"/>
        <w:spacing w:before="77"/>
        <w:ind w:left="395"/>
      </w:pPr>
      <w:r>
        <w:rPr/>
        <w:t>CHAPTER</w:t>
      </w:r>
      <w:r>
        <w:rPr>
          <w:spacing w:val="-9"/>
        </w:rPr>
        <w:t> </w:t>
      </w:r>
      <w:r>
        <w:rPr>
          <w:spacing w:val="-5"/>
        </w:rPr>
        <w:t>ONE</w:t>
      </w:r>
    </w:p>
    <w:p>
      <w:pPr>
        <w:pStyle w:val="BodyText"/>
        <w:rPr>
          <w:b/>
        </w:rPr>
      </w:pPr>
    </w:p>
    <w:p>
      <w:pPr>
        <w:pStyle w:val="Heading1"/>
        <w:numPr>
          <w:ilvl w:val="1"/>
          <w:numId w:val="8"/>
        </w:numPr>
        <w:tabs>
          <w:tab w:pos="4218" w:val="left" w:leader="none"/>
        </w:tabs>
        <w:spacing w:line="240" w:lineRule="auto" w:before="0" w:after="0"/>
        <w:ind w:left="4218" w:right="0" w:hanging="359"/>
        <w:jc w:val="left"/>
      </w:pPr>
      <w:bookmarkStart w:name="_TOC_250081" w:id="3"/>
      <w:bookmarkEnd w:id="3"/>
      <w:r>
        <w:rPr>
          <w:spacing w:val="-2"/>
        </w:rPr>
        <w:t>INTRODUCTION</w:t>
      </w:r>
    </w:p>
    <w:p>
      <w:pPr>
        <w:pStyle w:val="BodyText"/>
        <w:spacing w:line="480" w:lineRule="auto" w:before="272"/>
        <w:ind w:left="681" w:right="270"/>
        <w:jc w:val="both"/>
      </w:pPr>
      <w:r>
        <w:rPr/>
        <w:t>Epilepsy is defined as a condition characterized by recurrent (two or more) epileptic seizures, unprovoked by any immediate identified cause (Banerjee </w:t>
      </w:r>
      <w:r>
        <w:rPr>
          <w:i/>
        </w:rPr>
        <w:t>et al</w:t>
      </w:r>
      <w:r>
        <w:rPr/>
        <w:t>., 2009). It refers to a</w:t>
      </w:r>
      <w:r>
        <w:rPr>
          <w:spacing w:val="-2"/>
        </w:rPr>
        <w:t> </w:t>
      </w:r>
      <w:r>
        <w:rPr/>
        <w:t>disorder of</w:t>
      </w:r>
      <w:r>
        <w:rPr>
          <w:spacing w:val="-4"/>
        </w:rPr>
        <w:t> </w:t>
      </w:r>
      <w:r>
        <w:rPr/>
        <w:t>brain function</w:t>
      </w:r>
      <w:r>
        <w:rPr>
          <w:spacing w:val="-1"/>
        </w:rPr>
        <w:t> </w:t>
      </w:r>
      <w:r>
        <w:rPr/>
        <w:t>characterized by the periodic and</w:t>
      </w:r>
      <w:r>
        <w:rPr>
          <w:spacing w:val="-1"/>
        </w:rPr>
        <w:t> </w:t>
      </w:r>
      <w:r>
        <w:rPr/>
        <w:t>unpredictable</w:t>
      </w:r>
      <w:r>
        <w:rPr>
          <w:spacing w:val="-2"/>
        </w:rPr>
        <w:t> </w:t>
      </w:r>
      <w:r>
        <w:rPr/>
        <w:t>occurrence of</w:t>
      </w:r>
      <w:r>
        <w:rPr>
          <w:spacing w:val="-3"/>
        </w:rPr>
        <w:t> </w:t>
      </w:r>
      <w:r>
        <w:rPr/>
        <w:t>seizures. Epilepsy is currently</w:t>
      </w:r>
      <w:r>
        <w:rPr>
          <w:spacing w:val="-5"/>
        </w:rPr>
        <w:t> </w:t>
      </w:r>
      <w:r>
        <w:rPr/>
        <w:t>defined as the occurrence of</w:t>
      </w:r>
      <w:r>
        <w:rPr>
          <w:spacing w:val="-3"/>
        </w:rPr>
        <w:t> </w:t>
      </w:r>
      <w:r>
        <w:rPr/>
        <w:t>at least one seizure with an enduring</w:t>
      </w:r>
      <w:r>
        <w:rPr>
          <w:spacing w:val="-1"/>
        </w:rPr>
        <w:t> </w:t>
      </w:r>
      <w:r>
        <w:rPr/>
        <w:t>alteration</w:t>
      </w:r>
      <w:r>
        <w:rPr>
          <w:spacing w:val="-1"/>
        </w:rPr>
        <w:t> </w:t>
      </w:r>
      <w:r>
        <w:rPr/>
        <w:t>in</w:t>
      </w:r>
      <w:r>
        <w:rPr>
          <w:spacing w:val="-6"/>
        </w:rPr>
        <w:t> </w:t>
      </w:r>
      <w:r>
        <w:rPr/>
        <w:t>the brain</w:t>
      </w:r>
      <w:r>
        <w:rPr>
          <w:spacing w:val="-1"/>
        </w:rPr>
        <w:t> </w:t>
      </w:r>
      <w:r>
        <w:rPr/>
        <w:t>structure</w:t>
      </w:r>
      <w:r>
        <w:rPr>
          <w:spacing w:val="-7"/>
        </w:rPr>
        <w:t> </w:t>
      </w:r>
      <w:r>
        <w:rPr/>
        <w:t>or</w:t>
      </w:r>
      <w:r>
        <w:rPr>
          <w:spacing w:val="-4"/>
        </w:rPr>
        <w:t> </w:t>
      </w:r>
      <w:r>
        <w:rPr/>
        <w:t>function</w:t>
      </w:r>
      <w:r>
        <w:rPr>
          <w:spacing w:val="-6"/>
        </w:rPr>
        <w:t> </w:t>
      </w:r>
      <w:r>
        <w:rPr/>
        <w:t>that increases</w:t>
      </w:r>
      <w:r>
        <w:rPr>
          <w:spacing w:val="-3"/>
        </w:rPr>
        <w:t> </w:t>
      </w:r>
      <w:r>
        <w:rPr/>
        <w:t>the likelihood</w:t>
      </w:r>
      <w:r>
        <w:rPr>
          <w:spacing w:val="-6"/>
        </w:rPr>
        <w:t> </w:t>
      </w:r>
      <w:r>
        <w:rPr/>
        <w:t>of</w:t>
      </w:r>
      <w:r>
        <w:rPr>
          <w:spacing w:val="-4"/>
        </w:rPr>
        <w:t> </w:t>
      </w:r>
      <w:r>
        <w:rPr/>
        <w:t>future seizures (Gerlach and Krajewski, 2010). Seizures are transient alteration of behavior due to the disordered, synchronous and rhythmic firing of populations of brain neurons (McNamara, 2001). Multiple seizures occurring in 24 h period or an episode of status eilepticus</w:t>
      </w:r>
      <w:r>
        <w:rPr>
          <w:spacing w:val="-3"/>
        </w:rPr>
        <w:t> </w:t>
      </w:r>
      <w:r>
        <w:rPr/>
        <w:t>are</w:t>
      </w:r>
      <w:r>
        <w:rPr>
          <w:spacing w:val="-2"/>
        </w:rPr>
        <w:t> </w:t>
      </w:r>
      <w:r>
        <w:rPr/>
        <w:t>considered</w:t>
      </w:r>
      <w:r>
        <w:rPr>
          <w:spacing w:val="-1"/>
        </w:rPr>
        <w:t> </w:t>
      </w:r>
      <w:r>
        <w:rPr/>
        <w:t>a single</w:t>
      </w:r>
      <w:r>
        <w:rPr>
          <w:spacing w:val="-2"/>
        </w:rPr>
        <w:t> </w:t>
      </w:r>
      <w:r>
        <w:rPr/>
        <w:t>event. Individuals</w:t>
      </w:r>
      <w:r>
        <w:rPr>
          <w:spacing w:val="-3"/>
        </w:rPr>
        <w:t> </w:t>
      </w:r>
      <w:r>
        <w:rPr/>
        <w:t>who have had</w:t>
      </w:r>
      <w:r>
        <w:rPr>
          <w:spacing w:val="-1"/>
        </w:rPr>
        <w:t> </w:t>
      </w:r>
      <w:r>
        <w:rPr/>
        <w:t>only</w:t>
      </w:r>
      <w:r>
        <w:rPr>
          <w:spacing w:val="-1"/>
        </w:rPr>
        <w:t> </w:t>
      </w:r>
      <w:r>
        <w:rPr/>
        <w:t>febrile seizures</w:t>
      </w:r>
      <w:r>
        <w:rPr>
          <w:spacing w:val="-3"/>
        </w:rPr>
        <w:t> </w:t>
      </w:r>
      <w:r>
        <w:rPr/>
        <w:t>or only neonatal seizures (seizures in the first 30 days of life), and people with acute symptomatic seizures (seizures associated with acute systemic illness, intoxication, substance abuse or withdrawal, or acute neurological insults), and individuals with a single unprovoked seizure, are excluded from this category (Banerjee </w:t>
      </w:r>
      <w:r>
        <w:rPr>
          <w:i/>
        </w:rPr>
        <w:t>et al</w:t>
      </w:r>
      <w:r>
        <w:rPr/>
        <w:t>., 2009). Seizures are broadly classified as either generalized or partial depending on whether they involve</w:t>
      </w:r>
      <w:r>
        <w:rPr>
          <w:spacing w:val="-2"/>
        </w:rPr>
        <w:t> </w:t>
      </w:r>
      <w:r>
        <w:rPr/>
        <w:t>widespread bilateral</w:t>
      </w:r>
      <w:r>
        <w:rPr>
          <w:spacing w:val="-9"/>
        </w:rPr>
        <w:t> </w:t>
      </w:r>
      <w:r>
        <w:rPr/>
        <w:t>cortical</w:t>
      </w:r>
      <w:r>
        <w:rPr>
          <w:spacing w:val="-6"/>
        </w:rPr>
        <w:t> </w:t>
      </w:r>
      <w:r>
        <w:rPr/>
        <w:t>regions</w:t>
      </w:r>
      <w:r>
        <w:rPr>
          <w:spacing w:val="-3"/>
        </w:rPr>
        <w:t> </w:t>
      </w:r>
      <w:r>
        <w:rPr/>
        <w:t>at</w:t>
      </w:r>
      <w:r>
        <w:rPr>
          <w:spacing w:val="-1"/>
        </w:rPr>
        <w:t> </w:t>
      </w:r>
      <w:r>
        <w:rPr/>
        <w:t>the onset</w:t>
      </w:r>
      <w:r>
        <w:rPr>
          <w:spacing w:val="-1"/>
        </w:rPr>
        <w:t> </w:t>
      </w:r>
      <w:r>
        <w:rPr/>
        <w:t>or</w:t>
      </w:r>
      <w:r>
        <w:rPr>
          <w:spacing w:val="-4"/>
        </w:rPr>
        <w:t> </w:t>
      </w:r>
      <w:r>
        <w:rPr/>
        <w:t>originate</w:t>
      </w:r>
      <w:r>
        <w:rPr>
          <w:spacing w:val="-2"/>
        </w:rPr>
        <w:t> </w:t>
      </w:r>
      <w:r>
        <w:rPr/>
        <w:t>from</w:t>
      </w:r>
      <w:r>
        <w:rPr>
          <w:spacing w:val="-9"/>
        </w:rPr>
        <w:t> </w:t>
      </w:r>
      <w:r>
        <w:rPr/>
        <w:t>a</w:t>
      </w:r>
      <w:r>
        <w:rPr>
          <w:spacing w:val="-2"/>
        </w:rPr>
        <w:t> </w:t>
      </w:r>
      <w:r>
        <w:rPr/>
        <w:t>discrete focal area. This designation is based on both outward symptoms and electroencephalograph (EEG) patterns (Gerlach and Krajewski, 2010). Generalized seizures may be convulsive (tonic myoclonic, tonic clonic, depending on the characteristics of the muscle</w:t>
      </w:r>
      <w:r>
        <w:rPr>
          <w:spacing w:val="40"/>
        </w:rPr>
        <w:t> </w:t>
      </w:r>
      <w:r>
        <w:rPr/>
        <w:t>contraction) or non-convulsive, as in the case of petit mal where the paroxysmal</w:t>
      </w:r>
      <w:r>
        <w:rPr>
          <w:spacing w:val="40"/>
        </w:rPr>
        <w:t> </w:t>
      </w:r>
      <w:r>
        <w:rPr/>
        <w:t>discharge can be accompanied only by suspension of consciousness without motor phenomena</w:t>
      </w:r>
      <w:r>
        <w:rPr>
          <w:spacing w:val="50"/>
        </w:rPr>
        <w:t> </w:t>
      </w:r>
      <w:r>
        <w:rPr/>
        <w:t>(Pevarello</w:t>
      </w:r>
      <w:r>
        <w:rPr>
          <w:spacing w:val="59"/>
        </w:rPr>
        <w:t> </w:t>
      </w:r>
      <w:r>
        <w:rPr>
          <w:i/>
        </w:rPr>
        <w:t>et</w:t>
      </w:r>
      <w:r>
        <w:rPr>
          <w:i/>
          <w:spacing w:val="52"/>
        </w:rPr>
        <w:t> </w:t>
      </w:r>
      <w:r>
        <w:rPr>
          <w:i/>
        </w:rPr>
        <w:t>al</w:t>
      </w:r>
      <w:r>
        <w:rPr/>
        <w:t>.,</w:t>
      </w:r>
      <w:r>
        <w:rPr>
          <w:spacing w:val="54"/>
        </w:rPr>
        <w:t> </w:t>
      </w:r>
      <w:r>
        <w:rPr/>
        <w:t>1998).</w:t>
      </w:r>
      <w:r>
        <w:rPr>
          <w:spacing w:val="50"/>
        </w:rPr>
        <w:t> </w:t>
      </w:r>
      <w:r>
        <w:rPr/>
        <w:t>This</w:t>
      </w:r>
      <w:r>
        <w:rPr>
          <w:spacing w:val="48"/>
        </w:rPr>
        <w:t> </w:t>
      </w:r>
      <w:r>
        <w:rPr/>
        <w:t>group</w:t>
      </w:r>
      <w:r>
        <w:rPr>
          <w:spacing w:val="51"/>
        </w:rPr>
        <w:t> </w:t>
      </w:r>
      <w:r>
        <w:rPr/>
        <w:t>of</w:t>
      </w:r>
      <w:r>
        <w:rPr>
          <w:spacing w:val="44"/>
        </w:rPr>
        <w:t> </w:t>
      </w:r>
      <w:r>
        <w:rPr/>
        <w:t>disorders</w:t>
      </w:r>
      <w:r>
        <w:rPr>
          <w:spacing w:val="49"/>
        </w:rPr>
        <w:t> </w:t>
      </w:r>
      <w:r>
        <w:rPr/>
        <w:t>is</w:t>
      </w:r>
      <w:r>
        <w:rPr>
          <w:spacing w:val="52"/>
        </w:rPr>
        <w:t> </w:t>
      </w:r>
      <w:r>
        <w:rPr/>
        <w:t>diverse,</w:t>
      </w:r>
      <w:r>
        <w:rPr>
          <w:spacing w:val="54"/>
        </w:rPr>
        <w:t> </w:t>
      </w:r>
      <w:r>
        <w:rPr/>
        <w:t>and</w:t>
      </w:r>
      <w:r>
        <w:rPr>
          <w:spacing w:val="51"/>
        </w:rPr>
        <w:t> </w:t>
      </w:r>
      <w:r>
        <w:rPr/>
        <w:t>they</w:t>
      </w:r>
      <w:r>
        <w:rPr>
          <w:spacing w:val="42"/>
        </w:rPr>
        <w:t> </w:t>
      </w:r>
      <w:r>
        <w:rPr>
          <w:spacing w:val="-5"/>
        </w:rPr>
        <w:t>all</w:t>
      </w:r>
    </w:p>
    <w:p>
      <w:pPr>
        <w:spacing w:after="0" w:line="480" w:lineRule="auto"/>
        <w:jc w:val="both"/>
        <w:sectPr>
          <w:footerReference w:type="default" r:id="rId6"/>
          <w:pgSz w:w="12240" w:h="15840"/>
          <w:pgMar w:header="0" w:footer="1066" w:top="1360" w:bottom="1260" w:left="1480" w:right="1160"/>
          <w:pgNumType w:start="1"/>
        </w:sectPr>
      </w:pPr>
    </w:p>
    <w:p>
      <w:pPr>
        <w:pStyle w:val="BodyText"/>
        <w:spacing w:line="480" w:lineRule="auto" w:before="72"/>
        <w:ind w:left="681" w:right="279"/>
        <w:jc w:val="both"/>
      </w:pPr>
      <w:r>
        <w:rPr/>
        <w:t>appear to have in common, the feature of aberrant synchronized discharge of neurons leading to alteration in electroencephalograph (EEG) activity and behavior (Nicholas </w:t>
      </w:r>
      <w:r>
        <w:rPr>
          <w:i/>
        </w:rPr>
        <w:t>et al</w:t>
      </w:r>
      <w:r>
        <w:rPr/>
        <w:t>., 2002). The causes of seizures are many and include the full range of neurological diseases, from infection to neoplasm and head injury. In some sub-groups of epilepsy, hereditory is known to be a major contributing factor. These may explain why monotherapy in epilepsy is difficult (Roger and Brians, 2004).</w:t>
      </w:r>
    </w:p>
    <w:p>
      <w:pPr>
        <w:pStyle w:val="Heading2"/>
        <w:numPr>
          <w:ilvl w:val="1"/>
          <w:numId w:val="8"/>
        </w:numPr>
        <w:tabs>
          <w:tab w:pos="1045" w:val="left" w:leader="none"/>
        </w:tabs>
        <w:spacing w:line="240" w:lineRule="auto" w:before="246" w:after="0"/>
        <w:ind w:left="1045" w:right="0" w:hanging="364"/>
        <w:jc w:val="both"/>
      </w:pPr>
      <w:bookmarkStart w:name="_TOC_250080" w:id="4"/>
      <w:r>
        <w:rPr/>
        <w:t>Statement</w:t>
      </w:r>
      <w:r>
        <w:rPr>
          <w:spacing w:val="-3"/>
        </w:rPr>
        <w:t> </w:t>
      </w:r>
      <w:r>
        <w:rPr/>
        <w:t>of</w:t>
      </w:r>
      <w:r>
        <w:rPr>
          <w:spacing w:val="-6"/>
        </w:rPr>
        <w:t> </w:t>
      </w:r>
      <w:r>
        <w:rPr/>
        <w:t>Research</w:t>
      </w:r>
      <w:r>
        <w:rPr>
          <w:spacing w:val="-3"/>
        </w:rPr>
        <w:t> </w:t>
      </w:r>
      <w:bookmarkEnd w:id="4"/>
      <w:r>
        <w:rPr>
          <w:spacing w:val="-2"/>
        </w:rPr>
        <w:t>Problems</w:t>
      </w:r>
    </w:p>
    <w:p>
      <w:pPr>
        <w:pStyle w:val="BodyText"/>
        <w:spacing w:line="480" w:lineRule="auto" w:before="271"/>
        <w:ind w:left="681" w:right="271"/>
        <w:jc w:val="both"/>
      </w:pPr>
      <w:r>
        <w:rPr/>
        <w:t>Drugs in the Central nervous system (CNS) can be broadly classified according to whether they have a general stimulatory or depressant action, with further sub-division regarding specific actions such as anticonvulsant and psychopharmacological activities (Evans, 1996).</w:t>
      </w:r>
      <w:r>
        <w:rPr>
          <w:spacing w:val="40"/>
        </w:rPr>
        <w:t> </w:t>
      </w:r>
      <w:r>
        <w:rPr/>
        <w:t>Several</w:t>
      </w:r>
      <w:r>
        <w:rPr>
          <w:spacing w:val="-8"/>
        </w:rPr>
        <w:t> </w:t>
      </w:r>
      <w:r>
        <w:rPr/>
        <w:t>types</w:t>
      </w:r>
      <w:r>
        <w:rPr>
          <w:spacing w:val="-1"/>
        </w:rPr>
        <w:t> </w:t>
      </w:r>
      <w:r>
        <w:rPr/>
        <w:t>of</w:t>
      </w:r>
      <w:r>
        <w:rPr>
          <w:spacing w:val="-2"/>
        </w:rPr>
        <w:t> </w:t>
      </w:r>
      <w:r>
        <w:rPr/>
        <w:t>insults such</w:t>
      </w:r>
      <w:r>
        <w:rPr>
          <w:spacing w:val="-4"/>
        </w:rPr>
        <w:t> </w:t>
      </w:r>
      <w:r>
        <w:rPr/>
        <w:t>as</w:t>
      </w:r>
      <w:r>
        <w:rPr>
          <w:spacing w:val="-1"/>
        </w:rPr>
        <w:t> </w:t>
      </w:r>
      <w:r>
        <w:rPr/>
        <w:t>status</w:t>
      </w:r>
      <w:r>
        <w:rPr>
          <w:spacing w:val="-1"/>
        </w:rPr>
        <w:t> </w:t>
      </w:r>
      <w:r>
        <w:rPr/>
        <w:t>epilepticus, hypoxia and trauma are known to alter the normal function of the central nervous system (CNS). Modalities that protect the brain against such insults have been very difficult and challenging. It is important to know</w:t>
      </w:r>
      <w:r>
        <w:rPr>
          <w:spacing w:val="-1"/>
        </w:rPr>
        <w:t> </w:t>
      </w:r>
      <w:r>
        <w:rPr/>
        <w:t>that, epilepsy, as one of</w:t>
      </w:r>
      <w:r>
        <w:rPr>
          <w:spacing w:val="-3"/>
        </w:rPr>
        <w:t> </w:t>
      </w:r>
      <w:r>
        <w:rPr/>
        <w:t>such CNS disorders, alter the normal function of brain; and its treatment is all about neuroprotection, either to reduce the duration of seizures or to suppress the occurrence of seizures (Arzimanoglous </w:t>
      </w:r>
      <w:r>
        <w:rPr>
          <w:i/>
        </w:rPr>
        <w:t>et al</w:t>
      </w:r>
      <w:r>
        <w:rPr/>
        <w:t>., 2002).</w:t>
      </w:r>
    </w:p>
    <w:p>
      <w:pPr>
        <w:pStyle w:val="BodyText"/>
      </w:pPr>
    </w:p>
    <w:p>
      <w:pPr>
        <w:pStyle w:val="BodyText"/>
        <w:spacing w:before="3"/>
      </w:pPr>
    </w:p>
    <w:p>
      <w:pPr>
        <w:pStyle w:val="BodyText"/>
        <w:spacing w:line="480" w:lineRule="auto"/>
        <w:ind w:left="681" w:right="276"/>
        <w:jc w:val="both"/>
      </w:pPr>
      <w:r>
        <w:rPr/>
        <w:t>The scientific understanding of seizure pathogenesis and propagation is far from</w:t>
      </w:r>
      <w:r>
        <w:rPr>
          <w:spacing w:val="40"/>
        </w:rPr>
        <w:t> </w:t>
      </w:r>
      <w:r>
        <w:rPr/>
        <w:t>complete and the mechanism of action of most available antiepileptic drugs (AEDs) is either unknown or involves multiple interactions (Gerlach and Krajewski, 2010).</w:t>
      </w:r>
      <w:r>
        <w:rPr>
          <w:spacing w:val="40"/>
        </w:rPr>
        <w:t> </w:t>
      </w:r>
      <w:r>
        <w:rPr/>
        <w:t>Epilepsy is one of the most common and widespread neurological disorders. Recent estimates suggest that it accounts for 1% of</w:t>
      </w:r>
      <w:r>
        <w:rPr>
          <w:spacing w:val="-2"/>
        </w:rPr>
        <w:t> </w:t>
      </w:r>
      <w:r>
        <w:rPr/>
        <w:t>the global burden of</w:t>
      </w:r>
      <w:r>
        <w:rPr>
          <w:spacing w:val="-2"/>
        </w:rPr>
        <w:t> </w:t>
      </w:r>
      <w:r>
        <w:rPr/>
        <w:t>disease and affects over 65 million people; more than 500 million people are indirectly affected by the disease.</w:t>
      </w:r>
    </w:p>
    <w:p>
      <w:pPr>
        <w:spacing w:after="0" w:line="480" w:lineRule="auto"/>
        <w:jc w:val="both"/>
        <w:sectPr>
          <w:pgSz w:w="12240" w:h="15840"/>
          <w:pgMar w:header="0" w:footer="1066" w:top="1360" w:bottom="1260" w:left="1480" w:right="1160"/>
        </w:sectPr>
      </w:pPr>
    </w:p>
    <w:p>
      <w:pPr>
        <w:pStyle w:val="BodyText"/>
        <w:spacing w:line="480" w:lineRule="auto" w:before="72"/>
        <w:ind w:left="681" w:right="274"/>
        <w:jc w:val="both"/>
      </w:pPr>
      <w:r>
        <w:rPr/>
        <w:t>Thus, epilepsy imposes a large economic burden on global health care systems and is a major public health problem in low and middle-income countries (Mbuba and Newton, 2009). About 2 million people in the United States have epilepsy and 3% of persons in</w:t>
      </w:r>
      <w:r>
        <w:rPr>
          <w:spacing w:val="40"/>
        </w:rPr>
        <w:t> </w:t>
      </w:r>
      <w:r>
        <w:rPr/>
        <w:t>the general population will have epilepsy at some point in their lives (Bernard </w:t>
      </w:r>
      <w:r>
        <w:rPr>
          <w:i/>
        </w:rPr>
        <w:t>et al</w:t>
      </w:r>
      <w:r>
        <w:rPr/>
        <w:t>., 2003). It has been established that the highest incidence of epilepsy is found in children and elderly (Pevarello </w:t>
      </w:r>
      <w:r>
        <w:rPr>
          <w:i/>
        </w:rPr>
        <w:t>et al</w:t>
      </w:r>
      <w:r>
        <w:rPr/>
        <w:t>., 1998).</w:t>
      </w:r>
    </w:p>
    <w:p>
      <w:pPr>
        <w:pStyle w:val="BodyText"/>
      </w:pPr>
    </w:p>
    <w:p>
      <w:pPr>
        <w:pStyle w:val="BodyText"/>
        <w:spacing w:before="1"/>
      </w:pPr>
    </w:p>
    <w:p>
      <w:pPr>
        <w:pStyle w:val="BodyText"/>
        <w:spacing w:line="480" w:lineRule="auto"/>
        <w:ind w:left="681" w:right="275"/>
        <w:jc w:val="both"/>
      </w:pPr>
      <w:r>
        <w:rPr/>
        <w:t>Typical therapeutic strategy is to optimize the use of a single antiepileptic drug, given</w:t>
      </w:r>
      <w:r>
        <w:rPr>
          <w:spacing w:val="40"/>
        </w:rPr>
        <w:t> </w:t>
      </w:r>
      <w:r>
        <w:rPr/>
        <w:t>that about</w:t>
      </w:r>
      <w:r>
        <w:rPr>
          <w:spacing w:val="-3"/>
        </w:rPr>
        <w:t> </w:t>
      </w:r>
      <w:r>
        <w:rPr/>
        <w:t>60%</w:t>
      </w:r>
      <w:r>
        <w:rPr>
          <w:spacing w:val="-6"/>
        </w:rPr>
        <w:t> </w:t>
      </w:r>
      <w:r>
        <w:rPr/>
        <w:t>of</w:t>
      </w:r>
      <w:r>
        <w:rPr>
          <w:spacing w:val="-10"/>
        </w:rPr>
        <w:t> </w:t>
      </w:r>
      <w:r>
        <w:rPr/>
        <w:t>patients</w:t>
      </w:r>
      <w:r>
        <w:rPr>
          <w:spacing w:val="-5"/>
        </w:rPr>
        <w:t> </w:t>
      </w:r>
      <w:r>
        <w:rPr/>
        <w:t>have become</w:t>
      </w:r>
      <w:r>
        <w:rPr>
          <w:spacing w:val="-4"/>
        </w:rPr>
        <w:t> </w:t>
      </w:r>
      <w:r>
        <w:rPr/>
        <w:t>seizure free.</w:t>
      </w:r>
      <w:r>
        <w:rPr>
          <w:spacing w:val="-1"/>
        </w:rPr>
        <w:t> </w:t>
      </w:r>
      <w:r>
        <w:rPr/>
        <w:t>As</w:t>
      </w:r>
      <w:r>
        <w:rPr>
          <w:spacing w:val="-5"/>
        </w:rPr>
        <w:t> </w:t>
      </w:r>
      <w:r>
        <w:rPr/>
        <w:t>second line</w:t>
      </w:r>
      <w:r>
        <w:rPr>
          <w:spacing w:val="-4"/>
        </w:rPr>
        <w:t> </w:t>
      </w:r>
      <w:r>
        <w:rPr/>
        <w:t>approach,</w:t>
      </w:r>
      <w:r>
        <w:rPr>
          <w:spacing w:val="-1"/>
        </w:rPr>
        <w:t> </w:t>
      </w:r>
      <w:r>
        <w:rPr/>
        <w:t>concurrent treatment with more than</w:t>
      </w:r>
      <w:r>
        <w:rPr>
          <w:spacing w:val="-1"/>
        </w:rPr>
        <w:t> </w:t>
      </w:r>
      <w:r>
        <w:rPr/>
        <w:t>one AED is employed. Unfortunately, only</w:t>
      </w:r>
      <w:r>
        <w:rPr>
          <w:spacing w:val="-1"/>
        </w:rPr>
        <w:t> </w:t>
      </w:r>
      <w:r>
        <w:rPr/>
        <w:t>5% of patients who fail to respond adequately to monotherapy experience long term freedom from seizures using polytherapy</w:t>
      </w:r>
      <w:r>
        <w:rPr>
          <w:spacing w:val="-10"/>
        </w:rPr>
        <w:t> </w:t>
      </w:r>
      <w:r>
        <w:rPr/>
        <w:t>(Gerlach</w:t>
      </w:r>
      <w:r>
        <w:rPr>
          <w:spacing w:val="-5"/>
        </w:rPr>
        <w:t> </w:t>
      </w:r>
      <w:r>
        <w:rPr/>
        <w:t>and Krajewski, 2010).</w:t>
      </w:r>
      <w:r>
        <w:rPr>
          <w:spacing w:val="-3"/>
        </w:rPr>
        <w:t> </w:t>
      </w:r>
      <w:r>
        <w:rPr/>
        <w:t>Nearly</w:t>
      </w:r>
      <w:r>
        <w:rPr>
          <w:spacing w:val="-5"/>
        </w:rPr>
        <w:t> </w:t>
      </w:r>
      <w:r>
        <w:rPr/>
        <w:t>95% of</w:t>
      </w:r>
      <w:r>
        <w:rPr>
          <w:spacing w:val="-8"/>
        </w:rPr>
        <w:t> </w:t>
      </w:r>
      <w:r>
        <w:rPr/>
        <w:t>prescriptions</w:t>
      </w:r>
      <w:r>
        <w:rPr>
          <w:spacing w:val="-2"/>
        </w:rPr>
        <w:t> </w:t>
      </w:r>
      <w:r>
        <w:rPr/>
        <w:t>written</w:t>
      </w:r>
      <w:r>
        <w:rPr>
          <w:spacing w:val="-5"/>
        </w:rPr>
        <w:t> </w:t>
      </w:r>
      <w:r>
        <w:rPr/>
        <w:t>by physicians worldwide for the treatment of epilepsy are from the old AEDS developed prior to 1975. Several new drugs have been approved e.g felbamate, lamotrigine, gabapentine, topiramate, vigabatrin and tiagabine. These drugs have been shown to be effective in</w:t>
      </w:r>
      <w:r>
        <w:rPr>
          <w:spacing w:val="-1"/>
        </w:rPr>
        <w:t> </w:t>
      </w:r>
      <w:r>
        <w:rPr/>
        <w:t>reducing seizures in</w:t>
      </w:r>
      <w:r>
        <w:rPr>
          <w:spacing w:val="-1"/>
        </w:rPr>
        <w:t> </w:t>
      </w:r>
      <w:r>
        <w:rPr/>
        <w:t>a number of</w:t>
      </w:r>
      <w:r>
        <w:rPr>
          <w:spacing w:val="-8"/>
        </w:rPr>
        <w:t> </w:t>
      </w:r>
      <w:r>
        <w:rPr/>
        <w:t>patients, their efficacy</w:t>
      </w:r>
      <w:r>
        <w:rPr>
          <w:spacing w:val="-5"/>
        </w:rPr>
        <w:t> </w:t>
      </w:r>
      <w:r>
        <w:rPr/>
        <w:t>does not appear to be superior to that of the drugs developed earlier (Unverferth </w:t>
      </w:r>
      <w:r>
        <w:rPr>
          <w:i/>
        </w:rPr>
        <w:t>et al</w:t>
      </w:r>
      <w:r>
        <w:rPr/>
        <w:t>., 1998).</w:t>
      </w:r>
    </w:p>
    <w:p>
      <w:pPr>
        <w:pStyle w:val="BodyText"/>
      </w:pPr>
    </w:p>
    <w:p>
      <w:pPr>
        <w:pStyle w:val="BodyText"/>
        <w:spacing w:before="3"/>
      </w:pPr>
    </w:p>
    <w:p>
      <w:pPr>
        <w:pStyle w:val="BodyText"/>
        <w:spacing w:line="480" w:lineRule="auto"/>
        <w:ind w:left="681" w:right="270"/>
        <w:jc w:val="both"/>
      </w:pPr>
      <w:r>
        <w:rPr/>
        <w:t>Epilepsy is the most common non-infectious neurologic disease in developing African countries, including Nigeria and it remains a major medical</w:t>
      </w:r>
      <w:r>
        <w:rPr>
          <w:spacing w:val="-3"/>
        </w:rPr>
        <w:t> </w:t>
      </w:r>
      <w:r>
        <w:rPr/>
        <w:t>and social problem. In many African countries, people with epilepsy are out-cast as Africans believe that the disease results from visitation of the evil, effect of witch-craft, the revenge of an aggrieved ancestral</w:t>
      </w:r>
      <w:r>
        <w:rPr>
          <w:spacing w:val="40"/>
        </w:rPr>
        <w:t> </w:t>
      </w:r>
      <w:r>
        <w:rPr/>
        <w:t>spirit</w:t>
      </w:r>
      <w:r>
        <w:rPr>
          <w:spacing w:val="40"/>
        </w:rPr>
        <w:t> </w:t>
      </w:r>
      <w:r>
        <w:rPr/>
        <w:t>or</w:t>
      </w:r>
      <w:r>
        <w:rPr>
          <w:spacing w:val="40"/>
        </w:rPr>
        <w:t> </w:t>
      </w:r>
      <w:r>
        <w:rPr/>
        <w:t>consumption</w:t>
      </w:r>
      <w:r>
        <w:rPr>
          <w:spacing w:val="40"/>
        </w:rPr>
        <w:t> </w:t>
      </w:r>
      <w:r>
        <w:rPr/>
        <w:t>of</w:t>
      </w:r>
      <w:r>
        <w:rPr>
          <w:spacing w:val="40"/>
        </w:rPr>
        <w:t> </w:t>
      </w:r>
      <w:r>
        <w:rPr/>
        <w:t>something</w:t>
      </w:r>
      <w:r>
        <w:rPr>
          <w:spacing w:val="40"/>
        </w:rPr>
        <w:t> </w:t>
      </w:r>
      <w:r>
        <w:rPr/>
        <w:t>harmful</w:t>
      </w:r>
      <w:r>
        <w:rPr>
          <w:spacing w:val="40"/>
        </w:rPr>
        <w:t> </w:t>
      </w:r>
      <w:r>
        <w:rPr>
          <w:i/>
        </w:rPr>
        <w:t>in</w:t>
      </w:r>
      <w:r>
        <w:rPr>
          <w:i/>
          <w:spacing w:val="40"/>
        </w:rPr>
        <w:t> </w:t>
      </w:r>
      <w:r>
        <w:rPr>
          <w:i/>
        </w:rPr>
        <w:t>utero</w:t>
      </w:r>
      <w:r>
        <w:rPr/>
        <w:t>.</w:t>
      </w:r>
      <w:r>
        <w:rPr>
          <w:spacing w:val="40"/>
        </w:rPr>
        <w:t> </w:t>
      </w:r>
      <w:r>
        <w:rPr/>
        <w:t>Suicide</w:t>
      </w:r>
      <w:r>
        <w:rPr>
          <w:spacing w:val="40"/>
        </w:rPr>
        <w:t> </w:t>
      </w:r>
      <w:r>
        <w:rPr/>
        <w:t>or</w:t>
      </w:r>
      <w:r>
        <w:rPr>
          <w:spacing w:val="40"/>
        </w:rPr>
        <w:t> </w:t>
      </w:r>
      <w:r>
        <w:rPr/>
        <w:t>attempted</w:t>
      </w:r>
    </w:p>
    <w:p>
      <w:pPr>
        <w:spacing w:after="0" w:line="480" w:lineRule="auto"/>
        <w:jc w:val="both"/>
        <w:sectPr>
          <w:pgSz w:w="12240" w:h="15840"/>
          <w:pgMar w:header="0" w:footer="1066" w:top="1360" w:bottom="1260" w:left="1480" w:right="1160"/>
        </w:sectPr>
      </w:pPr>
    </w:p>
    <w:p>
      <w:pPr>
        <w:pStyle w:val="BodyText"/>
        <w:spacing w:line="480" w:lineRule="auto" w:before="72"/>
        <w:ind w:left="681" w:right="287"/>
        <w:jc w:val="both"/>
      </w:pPr>
      <w:r>
        <w:rPr/>
        <w:t>suicide is not uncommon among Nigerians who suffer from epilepsy. The patient with epilepsy is likely</w:t>
      </w:r>
      <w:r>
        <w:rPr>
          <w:spacing w:val="-3"/>
        </w:rPr>
        <w:t> </w:t>
      </w:r>
      <w:r>
        <w:rPr/>
        <w:t>to drop out of</w:t>
      </w:r>
      <w:r>
        <w:rPr>
          <w:spacing w:val="-2"/>
        </w:rPr>
        <w:t> </w:t>
      </w:r>
      <w:r>
        <w:rPr/>
        <w:t>school, looses his job, finds it impossible to marry, loses his wife or husband, and be tormented to the extent of becoming a vagrant vagabond (Ogunrin, 2006). Untreated epilepsy can lead to impaired intellectual function or death and is typically</w:t>
      </w:r>
      <w:r>
        <w:rPr>
          <w:spacing w:val="-2"/>
        </w:rPr>
        <w:t> </w:t>
      </w:r>
      <w:r>
        <w:rPr/>
        <w:t>accompanied with</w:t>
      </w:r>
      <w:r>
        <w:rPr>
          <w:spacing w:val="-2"/>
        </w:rPr>
        <w:t> </w:t>
      </w:r>
      <w:r>
        <w:rPr/>
        <w:t>psychosocial</w:t>
      </w:r>
      <w:r>
        <w:rPr>
          <w:spacing w:val="-2"/>
        </w:rPr>
        <w:t> </w:t>
      </w:r>
      <w:r>
        <w:rPr/>
        <w:t>prejudices and other psycho pathological consequences such as loss of self-esteem and poor quality of life (Idris </w:t>
      </w:r>
      <w:r>
        <w:rPr>
          <w:i/>
        </w:rPr>
        <w:t>et al</w:t>
      </w:r>
      <w:r>
        <w:rPr/>
        <w:t>., 2008c).</w:t>
      </w:r>
    </w:p>
    <w:p>
      <w:pPr>
        <w:pStyle w:val="BodyText"/>
      </w:pPr>
    </w:p>
    <w:p>
      <w:pPr>
        <w:pStyle w:val="BodyText"/>
        <w:spacing w:before="6"/>
      </w:pPr>
    </w:p>
    <w:p>
      <w:pPr>
        <w:pStyle w:val="Heading2"/>
        <w:numPr>
          <w:ilvl w:val="1"/>
          <w:numId w:val="8"/>
        </w:numPr>
        <w:tabs>
          <w:tab w:pos="1164" w:val="left" w:leader="none"/>
        </w:tabs>
        <w:spacing w:line="240" w:lineRule="auto" w:before="0" w:after="0"/>
        <w:ind w:left="1164" w:right="0" w:hanging="483"/>
        <w:jc w:val="both"/>
      </w:pPr>
      <w:bookmarkStart w:name="_TOC_250079" w:id="5"/>
      <w:bookmarkEnd w:id="5"/>
      <w:r>
        <w:rPr>
          <w:spacing w:val="-2"/>
        </w:rPr>
        <w:t>Justification</w:t>
      </w:r>
    </w:p>
    <w:p>
      <w:pPr>
        <w:pStyle w:val="BodyText"/>
        <w:spacing w:line="480" w:lineRule="auto" w:before="272"/>
        <w:ind w:left="681" w:right="280"/>
        <w:jc w:val="both"/>
      </w:pPr>
      <w:r>
        <w:rPr/>
        <w:t>The need to develop phenytoin-like compounds or compounds with pharmacophore responsible for Na</w:t>
      </w:r>
      <w:r>
        <w:rPr>
          <w:vertAlign w:val="superscript"/>
        </w:rPr>
        <w:t>+</w:t>
      </w:r>
      <w:r>
        <w:rPr>
          <w:vertAlign w:val="baseline"/>
        </w:rPr>
        <w:t> channels blockade affinity relies on the need for alternative new</w:t>
      </w:r>
      <w:r>
        <w:rPr>
          <w:spacing w:val="40"/>
          <w:vertAlign w:val="baseline"/>
        </w:rPr>
        <w:t> </w:t>
      </w:r>
      <w:r>
        <w:rPr>
          <w:vertAlign w:val="baseline"/>
        </w:rPr>
        <w:t>drugs because of well established side effects of phenytoin; which include neurologic signs (ataxia, nystagmus, sedation or irritability, orofacial dyskinesia); heamatologic (leucopenia); immunologic (reduction of IgA, lupus syndrome); endocrinologic (hirsutism); and cell growth (gingival hypertrophy) dysfunctions (Vameq </w:t>
      </w:r>
      <w:r>
        <w:rPr>
          <w:i/>
          <w:vertAlign w:val="baseline"/>
        </w:rPr>
        <w:t>et al., </w:t>
      </w:r>
      <w:r>
        <w:rPr>
          <w:vertAlign w:val="baseline"/>
        </w:rPr>
        <w:t>2000).</w:t>
      </w:r>
    </w:p>
    <w:p>
      <w:pPr>
        <w:pStyle w:val="BodyText"/>
      </w:pPr>
    </w:p>
    <w:p>
      <w:pPr>
        <w:pStyle w:val="BodyText"/>
        <w:spacing w:before="1"/>
      </w:pPr>
    </w:p>
    <w:p>
      <w:pPr>
        <w:pStyle w:val="BodyText"/>
        <w:spacing w:line="480" w:lineRule="auto"/>
        <w:ind w:left="681" w:right="284"/>
        <w:jc w:val="both"/>
      </w:pPr>
      <w:r>
        <w:rPr/>
        <w:t>Most of the current antiepileptic drugs are synthetic and they are still the promising agents employed in controlling seizures among epileptic patients. Therefore, the trend should be continued to source for more promising agents. Synthetic agents are target specific, as molecular structure can be designed based on possible prediction of its pharmacophore. Also, the production of synthetic compounds can be modified to give higher yield as required. Similarly, the side effects of synthetic compounds can be avoided or reduced by optimizing their structural moieties responsible for a particular untoward effect.</w:t>
      </w:r>
    </w:p>
    <w:p>
      <w:pPr>
        <w:spacing w:after="0" w:line="480" w:lineRule="auto"/>
        <w:jc w:val="both"/>
        <w:sectPr>
          <w:pgSz w:w="12240" w:h="15840"/>
          <w:pgMar w:header="0" w:footer="1066" w:top="1360" w:bottom="1260" w:left="1480" w:right="1160"/>
        </w:sectPr>
      </w:pPr>
    </w:p>
    <w:p>
      <w:pPr>
        <w:pStyle w:val="Heading2"/>
        <w:numPr>
          <w:ilvl w:val="1"/>
          <w:numId w:val="8"/>
        </w:numPr>
        <w:tabs>
          <w:tab w:pos="1045" w:val="left" w:leader="none"/>
        </w:tabs>
        <w:spacing w:line="240" w:lineRule="auto" w:before="77" w:after="0"/>
        <w:ind w:left="1045" w:right="0" w:hanging="364"/>
        <w:jc w:val="both"/>
      </w:pPr>
      <w:bookmarkStart w:name="_TOC_250078" w:id="6"/>
      <w:r>
        <w:rPr/>
        <w:t>Theoretical</w:t>
      </w:r>
      <w:r>
        <w:rPr>
          <w:spacing w:val="-12"/>
        </w:rPr>
        <w:t> </w:t>
      </w:r>
      <w:r>
        <w:rPr/>
        <w:t>Frame</w:t>
      </w:r>
      <w:r>
        <w:rPr>
          <w:spacing w:val="-5"/>
        </w:rPr>
        <w:t> </w:t>
      </w:r>
      <w:bookmarkEnd w:id="6"/>
      <w:r>
        <w:rPr>
          <w:spacing w:val="-4"/>
        </w:rPr>
        <w:t>Work</w:t>
      </w:r>
    </w:p>
    <w:p>
      <w:pPr>
        <w:pStyle w:val="BodyText"/>
        <w:spacing w:line="480" w:lineRule="auto" w:before="271"/>
        <w:ind w:left="681" w:right="275"/>
        <w:jc w:val="both"/>
      </w:pPr>
      <w:r>
        <w:rPr/>
        <w:t>The field of antiepileptic drug development has become dynamic, affording many promising research opportunities (Siddiqui </w:t>
      </w:r>
      <w:r>
        <w:rPr>
          <w:i/>
        </w:rPr>
        <w:t>et al</w:t>
      </w:r>
      <w:r>
        <w:rPr/>
        <w:t>., 2009). Continued efforts are being</w:t>
      </w:r>
      <w:r>
        <w:rPr>
          <w:spacing w:val="40"/>
        </w:rPr>
        <w:t> </w:t>
      </w:r>
      <w:r>
        <w:rPr/>
        <w:t>made in</w:t>
      </w:r>
      <w:r>
        <w:rPr>
          <w:spacing w:val="-2"/>
        </w:rPr>
        <w:t> </w:t>
      </w:r>
      <w:r>
        <w:rPr/>
        <w:t>the</w:t>
      </w:r>
      <w:r>
        <w:rPr>
          <w:spacing w:val="-3"/>
        </w:rPr>
        <w:t> </w:t>
      </w:r>
      <w:r>
        <w:rPr/>
        <w:t>development of</w:t>
      </w:r>
      <w:r>
        <w:rPr>
          <w:spacing w:val="-9"/>
        </w:rPr>
        <w:t> </w:t>
      </w:r>
      <w:r>
        <w:rPr/>
        <w:t>antiepileptic</w:t>
      </w:r>
      <w:r>
        <w:rPr>
          <w:spacing w:val="-3"/>
        </w:rPr>
        <w:t> </w:t>
      </w:r>
      <w:r>
        <w:rPr/>
        <w:t>drugs</w:t>
      </w:r>
      <w:r>
        <w:rPr>
          <w:spacing w:val="-3"/>
        </w:rPr>
        <w:t> </w:t>
      </w:r>
      <w:r>
        <w:rPr/>
        <w:t>employing</w:t>
      </w:r>
      <w:r>
        <w:rPr>
          <w:spacing w:val="-2"/>
        </w:rPr>
        <w:t> </w:t>
      </w:r>
      <w:r>
        <w:rPr/>
        <w:t>a</w:t>
      </w:r>
      <w:r>
        <w:rPr>
          <w:spacing w:val="-3"/>
        </w:rPr>
        <w:t> </w:t>
      </w:r>
      <w:r>
        <w:rPr/>
        <w:t>range</w:t>
      </w:r>
      <w:r>
        <w:rPr>
          <w:spacing w:val="-3"/>
        </w:rPr>
        <w:t> </w:t>
      </w:r>
      <w:r>
        <w:rPr/>
        <w:t>of</w:t>
      </w:r>
      <w:r>
        <w:rPr>
          <w:spacing w:val="-4"/>
        </w:rPr>
        <w:t> </w:t>
      </w:r>
      <w:r>
        <w:rPr/>
        <w:t>strategies, including modification of the structure of existing drugs, targeting novel molecular substrates and non-mechanism-based drug screening of compounds in traditional and newer animal models (Gitto </w:t>
      </w:r>
      <w:r>
        <w:rPr>
          <w:i/>
        </w:rPr>
        <w:t>et al</w:t>
      </w:r>
      <w:r>
        <w:rPr/>
        <w:t>., 2009). The present AEDs predominantly target voltage gated channels (e.g. alpha-subunits of voltage-gated Na</w:t>
      </w:r>
      <w:r>
        <w:rPr>
          <w:vertAlign w:val="superscript"/>
        </w:rPr>
        <w:t>+</w:t>
      </w:r>
      <w:r>
        <w:rPr>
          <w:vertAlign w:val="baseline"/>
        </w:rPr>
        <w:t> channels, T-type voltage-gated Ca</w:t>
      </w:r>
      <w:r>
        <w:rPr>
          <w:vertAlign w:val="superscript"/>
        </w:rPr>
        <w:t>2+</w:t>
      </w:r>
      <w:r>
        <w:rPr>
          <w:vertAlign w:val="baseline"/>
        </w:rPr>
        <w:t>) or influence GABA-mediated inhibition. Recently identified, new, and potentially interesting molecular targets include KCNQ-type K</w:t>
      </w:r>
      <w:r>
        <w:rPr>
          <w:vertAlign w:val="superscript"/>
        </w:rPr>
        <w:t>+</w:t>
      </w:r>
      <w:r>
        <w:rPr>
          <w:vertAlign w:val="baseline"/>
        </w:rPr>
        <w:t> channels, SV2A synaptic vesicle protein, ionotropic and metabotropic glutamate receptors, and gap junctions (Pasquale</w:t>
      </w:r>
      <w:r>
        <w:rPr>
          <w:spacing w:val="40"/>
          <w:vertAlign w:val="baseline"/>
        </w:rPr>
        <w:t> </w:t>
      </w:r>
      <w:r>
        <w:rPr>
          <w:vertAlign w:val="baseline"/>
        </w:rPr>
        <w:t>and Salvatore, 2009).</w:t>
      </w:r>
    </w:p>
    <w:p>
      <w:pPr>
        <w:pStyle w:val="BodyText"/>
      </w:pPr>
    </w:p>
    <w:p>
      <w:pPr>
        <w:pStyle w:val="BodyText"/>
        <w:spacing w:before="7"/>
      </w:pPr>
    </w:p>
    <w:p>
      <w:pPr>
        <w:pStyle w:val="Heading2"/>
        <w:numPr>
          <w:ilvl w:val="2"/>
          <w:numId w:val="8"/>
        </w:numPr>
        <w:tabs>
          <w:tab w:pos="1223" w:val="left" w:leader="none"/>
        </w:tabs>
        <w:spacing w:line="240" w:lineRule="auto" w:before="0" w:after="0"/>
        <w:ind w:left="1223" w:right="0" w:hanging="542"/>
        <w:jc w:val="both"/>
      </w:pPr>
      <w:r>
        <w:rPr/>
        <w:t>Pharmacophore</w:t>
      </w:r>
      <w:r>
        <w:rPr>
          <w:spacing w:val="-4"/>
        </w:rPr>
        <w:t> </w:t>
      </w:r>
      <w:r>
        <w:rPr/>
        <w:t>model</w:t>
      </w:r>
      <w:r>
        <w:rPr>
          <w:spacing w:val="-6"/>
        </w:rPr>
        <w:t> </w:t>
      </w:r>
      <w:r>
        <w:rPr/>
        <w:t>for</w:t>
      </w:r>
      <w:r>
        <w:rPr>
          <w:spacing w:val="-6"/>
        </w:rPr>
        <w:t> </w:t>
      </w:r>
      <w:r>
        <w:rPr/>
        <w:t>blockers</w:t>
      </w:r>
      <w:r>
        <w:rPr>
          <w:spacing w:val="-2"/>
        </w:rPr>
        <w:t> </w:t>
      </w:r>
      <w:r>
        <w:rPr/>
        <w:t>of</w:t>
      </w:r>
      <w:r>
        <w:rPr>
          <w:spacing w:val="-4"/>
        </w:rPr>
        <w:t> </w:t>
      </w:r>
      <w:r>
        <w:rPr/>
        <w:t>sodium</w:t>
      </w:r>
      <w:r>
        <w:rPr>
          <w:spacing w:val="-3"/>
        </w:rPr>
        <w:t> </w:t>
      </w:r>
      <w:r>
        <w:rPr>
          <w:spacing w:val="-2"/>
        </w:rPr>
        <w:t>channels</w:t>
      </w:r>
    </w:p>
    <w:p>
      <w:pPr>
        <w:pStyle w:val="BodyText"/>
        <w:spacing w:line="480" w:lineRule="auto" w:before="272"/>
        <w:ind w:left="681" w:right="272"/>
        <w:jc w:val="both"/>
      </w:pPr>
      <w:r>
        <w:rPr/>
        <w:t>Several attempts were made to postulate a general pharmacophore for the different anticonvulsant classes. The various postulated pharmacophore models show no uniform picture. Nevertheless, the presence of at least one aryl unit, one or two electron donor atoms, and/or an NH group in a special spatial arrangement seems to be recommended. Jones and Woodbury defined a model with two electron donors in some proximity to a bulky hydrophobic moiety. Coddling postulated a pharmacophore consisting of a linear arrangement of a rotated phenyl ring, an electron donor atom, and a hydrogen donor site which partially agrees with the model of Jones and Woodbury (Unverferth </w:t>
      </w:r>
      <w:r>
        <w:rPr>
          <w:i/>
        </w:rPr>
        <w:t>et al</w:t>
      </w:r>
      <w:r>
        <w:rPr/>
        <w:t>., 1998).</w:t>
      </w:r>
    </w:p>
    <w:p>
      <w:pPr>
        <w:spacing w:after="0" w:line="480" w:lineRule="auto"/>
        <w:jc w:val="both"/>
        <w:sectPr>
          <w:pgSz w:w="12240" w:h="15840"/>
          <w:pgMar w:header="0" w:footer="1066" w:top="1360" w:bottom="1260" w:left="1480" w:right="1160"/>
        </w:sectPr>
      </w:pPr>
    </w:p>
    <w:p>
      <w:pPr>
        <w:pStyle w:val="BodyText"/>
        <w:spacing w:line="480" w:lineRule="auto" w:before="72"/>
        <w:ind w:left="681" w:right="271"/>
        <w:jc w:val="both"/>
      </w:pPr>
      <w:r>
        <w:rPr/>
        <w:t>On the basis of molecular dynamics distance estimations, the suggested pharmacophore model for compounds acting as blockers of the voltage-dependent sodium channel is given as: electron donor D in relatively limited distance ranges of 3.2-5.1 A</w:t>
      </w:r>
      <w:r>
        <w:rPr>
          <w:vertAlign w:val="superscript"/>
        </w:rPr>
        <w:t>0</w:t>
      </w:r>
      <w:r>
        <w:rPr>
          <w:vertAlign w:val="baseline"/>
        </w:rPr>
        <w:t> to an aryl ring or other hydrophobic units R and of 3.9-5.5 A</w:t>
      </w:r>
      <w:r>
        <w:rPr>
          <w:vertAlign w:val="superscript"/>
        </w:rPr>
        <w:t>0</w:t>
      </w:r>
      <w:r>
        <w:rPr>
          <w:vertAlign w:val="baseline"/>
        </w:rPr>
        <w:t> to a hydrogen bond acceptor/donor (HAD) unit. The distance between R and HAD spans a wider range of 4.2-8.5 A</w:t>
      </w:r>
      <w:r>
        <w:rPr>
          <w:vertAlign w:val="superscript"/>
        </w:rPr>
        <w:t>0</w:t>
      </w:r>
      <w:r>
        <w:rPr>
          <w:vertAlign w:val="baseline"/>
        </w:rPr>
        <w:t>. The hydrophobic unit R is not oriented in the same plane like the</w:t>
      </w:r>
      <w:r>
        <w:rPr>
          <w:spacing w:val="35"/>
          <w:vertAlign w:val="baseline"/>
        </w:rPr>
        <w:t> </w:t>
      </w:r>
      <w:r>
        <w:rPr>
          <w:vertAlign w:val="baseline"/>
        </w:rPr>
        <w:t>other essential elements.</w:t>
      </w:r>
      <w:r>
        <w:rPr>
          <w:spacing w:val="40"/>
          <w:vertAlign w:val="baseline"/>
        </w:rPr>
        <w:t> </w:t>
      </w:r>
      <w:r>
        <w:rPr>
          <w:vertAlign w:val="baseline"/>
        </w:rPr>
        <w:t>The rings are rotated in relation to the R-D-HAD plane by 10-400 (Unverferth </w:t>
      </w:r>
      <w:r>
        <w:rPr>
          <w:i/>
          <w:vertAlign w:val="baseline"/>
        </w:rPr>
        <w:t>et al</w:t>
      </w:r>
      <w:r>
        <w:rPr>
          <w:vertAlign w:val="baseline"/>
        </w:rPr>
        <w:t>., </w:t>
      </w:r>
      <w:r>
        <w:rPr>
          <w:spacing w:val="-2"/>
          <w:vertAlign w:val="baseline"/>
        </w:rPr>
        <w:t>1998).</w:t>
      </w:r>
    </w:p>
    <w:p>
      <w:pPr>
        <w:pStyle w:val="BodyText"/>
        <w:rPr>
          <w:sz w:val="20"/>
        </w:rPr>
      </w:pPr>
    </w:p>
    <w:p>
      <w:pPr>
        <w:pStyle w:val="BodyText"/>
        <w:spacing w:before="76"/>
        <w:rPr>
          <w:sz w:val="20"/>
        </w:rPr>
      </w:pPr>
      <w:r>
        <w:rPr/>
        <w:drawing>
          <wp:anchor distT="0" distB="0" distL="0" distR="0" allowOverlap="1" layoutInCell="1" locked="0" behindDoc="1" simplePos="0" relativeHeight="487594496">
            <wp:simplePos x="0" y="0"/>
            <wp:positionH relativeFrom="page">
              <wp:posOffset>1371600</wp:posOffset>
            </wp:positionH>
            <wp:positionV relativeFrom="paragraph">
              <wp:posOffset>209800</wp:posOffset>
            </wp:positionV>
            <wp:extent cx="4142874" cy="3456432"/>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7" cstate="print"/>
                    <a:stretch>
                      <a:fillRect/>
                    </a:stretch>
                  </pic:blipFill>
                  <pic:spPr>
                    <a:xfrm>
                      <a:off x="0" y="0"/>
                      <a:ext cx="4142874" cy="3456432"/>
                    </a:xfrm>
                    <a:prstGeom prst="rect">
                      <a:avLst/>
                    </a:prstGeom>
                  </pic:spPr>
                </pic:pic>
              </a:graphicData>
            </a:graphic>
          </wp:anchor>
        </w:drawing>
      </w:r>
    </w:p>
    <w:p>
      <w:pPr>
        <w:pStyle w:val="BodyText"/>
        <w:spacing w:before="50"/>
      </w:pPr>
    </w:p>
    <w:p>
      <w:pPr>
        <w:pStyle w:val="BodyText"/>
        <w:ind w:left="681"/>
      </w:pPr>
      <w:r>
        <w:rPr/>
        <w:t>Figure</w:t>
      </w:r>
      <w:r>
        <w:rPr>
          <w:spacing w:val="-2"/>
        </w:rPr>
        <w:t> </w:t>
      </w:r>
      <w:r>
        <w:rPr/>
        <w:t>1:</w:t>
      </w:r>
      <w:r>
        <w:rPr>
          <w:spacing w:val="1"/>
        </w:rPr>
        <w:t> </w:t>
      </w:r>
      <w:r>
        <w:rPr/>
        <w:t>Pharmacophore</w:t>
      </w:r>
      <w:r>
        <w:rPr>
          <w:spacing w:val="4"/>
        </w:rPr>
        <w:t> </w:t>
      </w:r>
      <w:r>
        <w:rPr/>
        <w:t>model</w:t>
      </w:r>
      <w:r>
        <w:rPr>
          <w:spacing w:val="-9"/>
        </w:rPr>
        <w:t> </w:t>
      </w:r>
      <w:r>
        <w:rPr/>
        <w:t>proposed by</w:t>
      </w:r>
      <w:r>
        <w:rPr>
          <w:spacing w:val="-10"/>
        </w:rPr>
        <w:t> </w:t>
      </w:r>
      <w:r>
        <w:rPr/>
        <w:t>Unverferth</w:t>
      </w:r>
      <w:r>
        <w:rPr>
          <w:spacing w:val="1"/>
        </w:rPr>
        <w:t> </w:t>
      </w:r>
      <w:r>
        <w:rPr>
          <w:i/>
        </w:rPr>
        <w:t>et al</w:t>
      </w:r>
      <w:r>
        <w:rPr/>
        <w:t>.,</w:t>
      </w:r>
      <w:r>
        <w:rPr>
          <w:spacing w:val="2"/>
        </w:rPr>
        <w:t> </w:t>
      </w:r>
      <w:r>
        <w:rPr>
          <w:spacing w:val="-4"/>
        </w:rPr>
        <w:t>1998</w:t>
      </w:r>
    </w:p>
    <w:p>
      <w:pPr>
        <w:spacing w:after="0"/>
        <w:sectPr>
          <w:pgSz w:w="12240" w:h="15840"/>
          <w:pgMar w:header="0" w:footer="1066" w:top="1360" w:bottom="1260" w:left="1480" w:right="1160"/>
        </w:sectPr>
      </w:pPr>
    </w:p>
    <w:p>
      <w:pPr>
        <w:pStyle w:val="Heading2"/>
        <w:numPr>
          <w:ilvl w:val="1"/>
          <w:numId w:val="8"/>
        </w:numPr>
        <w:tabs>
          <w:tab w:pos="1165" w:val="left" w:leader="none"/>
        </w:tabs>
        <w:spacing w:line="240" w:lineRule="auto" w:before="77" w:after="0"/>
        <w:ind w:left="1165" w:right="0" w:hanging="484"/>
        <w:jc w:val="left"/>
      </w:pPr>
      <w:r>
        <w:rPr/>
        <w:t>Aims</w:t>
      </w:r>
      <w:r>
        <w:rPr>
          <w:spacing w:val="-2"/>
        </w:rPr>
        <w:t> </w:t>
      </w:r>
      <w:r>
        <w:rPr/>
        <w:t>and</w:t>
      </w:r>
      <w:r>
        <w:rPr>
          <w:spacing w:val="2"/>
        </w:rPr>
        <w:t> </w:t>
      </w:r>
      <w:r>
        <w:rPr/>
        <w:t>Objectives</w:t>
      </w:r>
      <w:r>
        <w:rPr>
          <w:spacing w:val="-2"/>
        </w:rPr>
        <w:t> </w:t>
      </w:r>
      <w:r>
        <w:rPr/>
        <w:t>of</w:t>
      </w:r>
      <w:r>
        <w:rPr>
          <w:spacing w:val="-3"/>
        </w:rPr>
        <w:t> </w:t>
      </w:r>
      <w:r>
        <w:rPr/>
        <w:t>the</w:t>
      </w:r>
      <w:r>
        <w:rPr>
          <w:spacing w:val="-5"/>
        </w:rPr>
        <w:t> </w:t>
      </w:r>
      <w:r>
        <w:rPr>
          <w:spacing w:val="-4"/>
        </w:rPr>
        <w:t>Study</w:t>
      </w:r>
    </w:p>
    <w:p>
      <w:pPr>
        <w:pStyle w:val="BodyText"/>
        <w:spacing w:line="360" w:lineRule="auto" w:before="271"/>
        <w:ind w:left="681" w:right="280"/>
        <w:jc w:val="both"/>
      </w:pPr>
      <w:r>
        <w:rPr/>
        <w:t>This</w:t>
      </w:r>
      <w:r>
        <w:rPr>
          <w:spacing w:val="-2"/>
        </w:rPr>
        <w:t> </w:t>
      </w:r>
      <w:r>
        <w:rPr/>
        <w:t>research is</w:t>
      </w:r>
      <w:r>
        <w:rPr>
          <w:spacing w:val="-2"/>
        </w:rPr>
        <w:t> </w:t>
      </w:r>
      <w:r>
        <w:rPr/>
        <w:t>aimed at conducting anticonvulsant studies</w:t>
      </w:r>
      <w:r>
        <w:rPr>
          <w:spacing w:val="-2"/>
        </w:rPr>
        <w:t> </w:t>
      </w:r>
      <w:r>
        <w:rPr/>
        <w:t>on</w:t>
      </w:r>
      <w:r>
        <w:rPr>
          <w:spacing w:val="-3"/>
        </w:rPr>
        <w:t> </w:t>
      </w:r>
      <w:r>
        <w:rPr/>
        <w:t>three synthesized dichloro substituted phenyl propanamides.</w:t>
      </w:r>
    </w:p>
    <w:p>
      <w:pPr>
        <w:pStyle w:val="BodyText"/>
        <w:spacing w:before="140"/>
      </w:pPr>
    </w:p>
    <w:p>
      <w:pPr>
        <w:pStyle w:val="BodyText"/>
        <w:ind w:left="681"/>
        <w:jc w:val="both"/>
      </w:pPr>
      <w:r>
        <w:rPr/>
        <w:t>The</w:t>
      </w:r>
      <w:r>
        <w:rPr>
          <w:spacing w:val="-3"/>
        </w:rPr>
        <w:t> </w:t>
      </w:r>
      <w:r>
        <w:rPr/>
        <w:t>Specific</w:t>
      </w:r>
      <w:r>
        <w:rPr>
          <w:spacing w:val="-2"/>
        </w:rPr>
        <w:t> </w:t>
      </w:r>
      <w:r>
        <w:rPr/>
        <w:t>objectives</w:t>
      </w:r>
      <w:r>
        <w:rPr>
          <w:spacing w:val="-2"/>
        </w:rPr>
        <w:t> </w:t>
      </w:r>
      <w:r>
        <w:rPr/>
        <w:t>are</w:t>
      </w:r>
      <w:r>
        <w:rPr>
          <w:spacing w:val="-2"/>
        </w:rPr>
        <w:t> </w:t>
      </w:r>
      <w:r>
        <w:rPr/>
        <w:t>as</w:t>
      </w:r>
      <w:r>
        <w:rPr>
          <w:spacing w:val="1"/>
        </w:rPr>
        <w:t> </w:t>
      </w:r>
      <w:r>
        <w:rPr>
          <w:spacing w:val="-2"/>
        </w:rPr>
        <w:t>follows:</w:t>
      </w:r>
    </w:p>
    <w:p>
      <w:pPr>
        <w:pStyle w:val="ListParagraph"/>
        <w:numPr>
          <w:ilvl w:val="0"/>
          <w:numId w:val="9"/>
        </w:numPr>
        <w:tabs>
          <w:tab w:pos="1427" w:val="left" w:leader="none"/>
          <w:tab w:pos="1429" w:val="left" w:leader="none"/>
        </w:tabs>
        <w:spacing w:line="360" w:lineRule="auto" w:before="137" w:after="0"/>
        <w:ind w:left="1429" w:right="286" w:hanging="389"/>
        <w:jc w:val="both"/>
        <w:rPr>
          <w:sz w:val="24"/>
        </w:rPr>
      </w:pPr>
      <w:r>
        <w:rPr>
          <w:sz w:val="24"/>
        </w:rPr>
        <w:t>To synthesize, identify and characterize the compounds using standard analytical procedures (IR and NMR Spectroscopy)</w:t>
      </w:r>
    </w:p>
    <w:p>
      <w:pPr>
        <w:pStyle w:val="ListParagraph"/>
        <w:numPr>
          <w:ilvl w:val="0"/>
          <w:numId w:val="9"/>
        </w:numPr>
        <w:tabs>
          <w:tab w:pos="1401" w:val="left" w:leader="none"/>
        </w:tabs>
        <w:spacing w:line="360" w:lineRule="auto" w:before="0" w:after="0"/>
        <w:ind w:left="1401" w:right="275" w:hanging="360"/>
        <w:jc w:val="both"/>
        <w:rPr>
          <w:sz w:val="24"/>
        </w:rPr>
      </w:pPr>
      <w:r>
        <w:rPr>
          <w:sz w:val="24"/>
        </w:rPr>
        <w:t>To determine median lethal dose (LD</w:t>
      </w:r>
      <w:r>
        <w:rPr>
          <w:sz w:val="24"/>
          <w:vertAlign w:val="subscript"/>
        </w:rPr>
        <w:t>50</w:t>
      </w:r>
      <w:r>
        <w:rPr>
          <w:sz w:val="24"/>
          <w:vertAlign w:val="baseline"/>
        </w:rPr>
        <w:t>), median effective dose (ED</w:t>
      </w:r>
      <w:r>
        <w:rPr>
          <w:sz w:val="24"/>
          <w:vertAlign w:val="subscript"/>
        </w:rPr>
        <w:t>50</w:t>
      </w:r>
      <w:r>
        <w:rPr>
          <w:sz w:val="24"/>
          <w:vertAlign w:val="baseline"/>
        </w:rPr>
        <w:t>), median toxic dose (TD</w:t>
      </w:r>
      <w:r>
        <w:rPr>
          <w:sz w:val="24"/>
          <w:vertAlign w:val="subscript"/>
        </w:rPr>
        <w:t>50</w:t>
      </w:r>
      <w:r>
        <w:rPr>
          <w:sz w:val="24"/>
          <w:vertAlign w:val="baseline"/>
        </w:rPr>
        <w:t>) and protective index (PI) of the compounds to ascertain their safety profiles</w:t>
      </w:r>
    </w:p>
    <w:p>
      <w:pPr>
        <w:pStyle w:val="ListParagraph"/>
        <w:numPr>
          <w:ilvl w:val="0"/>
          <w:numId w:val="9"/>
        </w:numPr>
        <w:tabs>
          <w:tab w:pos="1399" w:val="left" w:leader="none"/>
          <w:tab w:pos="1401" w:val="left" w:leader="none"/>
        </w:tabs>
        <w:spacing w:line="360" w:lineRule="auto" w:before="0" w:after="0"/>
        <w:ind w:left="1401" w:right="279" w:hanging="360"/>
        <w:jc w:val="both"/>
        <w:rPr>
          <w:sz w:val="24"/>
        </w:rPr>
      </w:pPr>
      <w:r>
        <w:rPr>
          <w:sz w:val="24"/>
        </w:rPr>
        <w:t>To establish anticonvulsant activity of the synthesized compounds in mice and</w:t>
      </w:r>
      <w:r>
        <w:rPr>
          <w:spacing w:val="40"/>
          <w:sz w:val="24"/>
        </w:rPr>
        <w:t> </w:t>
      </w:r>
      <w:r>
        <w:rPr>
          <w:sz w:val="24"/>
        </w:rPr>
        <w:t>rats using both acute and chronic models of convulsion</w:t>
      </w:r>
    </w:p>
    <w:p>
      <w:pPr>
        <w:pStyle w:val="ListParagraph"/>
        <w:numPr>
          <w:ilvl w:val="0"/>
          <w:numId w:val="9"/>
        </w:numPr>
        <w:tabs>
          <w:tab w:pos="1399" w:val="left" w:leader="none"/>
          <w:tab w:pos="1401" w:val="left" w:leader="none"/>
        </w:tabs>
        <w:spacing w:line="360" w:lineRule="auto" w:before="2" w:after="0"/>
        <w:ind w:left="1401" w:right="292" w:hanging="360"/>
        <w:jc w:val="both"/>
        <w:rPr>
          <w:sz w:val="24"/>
        </w:rPr>
      </w:pPr>
      <w:r>
        <w:rPr>
          <w:sz w:val="24"/>
        </w:rPr>
        <w:t>To conduct subchronic toxicity studies on one representative isomer; aimed at evaluating its effect on</w:t>
      </w:r>
      <w:r>
        <w:rPr>
          <w:spacing w:val="-3"/>
          <w:sz w:val="24"/>
        </w:rPr>
        <w:t> </w:t>
      </w:r>
      <w:r>
        <w:rPr>
          <w:sz w:val="24"/>
        </w:rPr>
        <w:t>renal, hepatic and hematologic indices</w:t>
      </w:r>
      <w:r>
        <w:rPr>
          <w:spacing w:val="-1"/>
          <w:sz w:val="24"/>
        </w:rPr>
        <w:t> </w:t>
      </w:r>
      <w:r>
        <w:rPr>
          <w:sz w:val="24"/>
        </w:rPr>
        <w:t>as well</w:t>
      </w:r>
      <w:r>
        <w:rPr>
          <w:spacing w:val="-2"/>
          <w:sz w:val="24"/>
        </w:rPr>
        <w:t> </w:t>
      </w:r>
      <w:r>
        <w:rPr>
          <w:sz w:val="24"/>
        </w:rPr>
        <w:t>as its effect on lipid profile</w:t>
      </w:r>
    </w:p>
    <w:p>
      <w:pPr>
        <w:pStyle w:val="ListParagraph"/>
        <w:numPr>
          <w:ilvl w:val="0"/>
          <w:numId w:val="9"/>
        </w:numPr>
        <w:tabs>
          <w:tab w:pos="1401" w:val="left" w:leader="none"/>
        </w:tabs>
        <w:spacing w:line="362" w:lineRule="auto" w:before="0" w:after="0"/>
        <w:ind w:left="1401" w:right="271" w:hanging="360"/>
        <w:jc w:val="both"/>
        <w:rPr>
          <w:sz w:val="24"/>
        </w:rPr>
      </w:pPr>
      <w:r>
        <w:rPr>
          <w:sz w:val="24"/>
        </w:rPr>
        <w:t>To determine the action of the synthesized compounds on voltage-gated sodium channels (Na</w:t>
      </w:r>
      <w:r>
        <w:rPr>
          <w:sz w:val="24"/>
          <w:vertAlign w:val="subscript"/>
        </w:rPr>
        <w:t>v</w:t>
      </w:r>
      <w:r>
        <w:rPr>
          <w:sz w:val="24"/>
          <w:vertAlign w:val="baseline"/>
        </w:rPr>
        <w:t>1.6)</w:t>
      </w:r>
    </w:p>
    <w:p>
      <w:pPr>
        <w:pStyle w:val="BodyText"/>
        <w:spacing w:before="136"/>
      </w:pPr>
    </w:p>
    <w:p>
      <w:pPr>
        <w:pStyle w:val="Heading2"/>
        <w:numPr>
          <w:ilvl w:val="1"/>
          <w:numId w:val="8"/>
        </w:numPr>
        <w:tabs>
          <w:tab w:pos="1164" w:val="left" w:leader="none"/>
        </w:tabs>
        <w:spacing w:line="240" w:lineRule="auto" w:before="0" w:after="0"/>
        <w:ind w:left="1164" w:right="0" w:hanging="483"/>
        <w:jc w:val="left"/>
      </w:pPr>
      <w:r>
        <w:rPr>
          <w:spacing w:val="-2"/>
        </w:rPr>
        <w:t>Hypothesis</w:t>
      </w:r>
    </w:p>
    <w:p>
      <w:pPr>
        <w:pStyle w:val="BodyText"/>
        <w:spacing w:line="480" w:lineRule="auto" w:before="271"/>
        <w:ind w:left="681" w:right="285"/>
        <w:jc w:val="both"/>
      </w:pPr>
      <w:r>
        <w:rPr/>
        <w:t>Dichloro substituted phenyl propanamide isomers exert their anticonvulsant activity via voltage-gated sodium channels blockade.</w:t>
      </w:r>
    </w:p>
    <w:p>
      <w:pPr>
        <w:spacing w:after="0" w:line="480" w:lineRule="auto"/>
        <w:jc w:val="both"/>
        <w:sectPr>
          <w:pgSz w:w="12240" w:h="15840"/>
          <w:pgMar w:header="0" w:footer="1066" w:top="1360" w:bottom="1260" w:left="1480" w:right="1160"/>
        </w:sectPr>
      </w:pPr>
    </w:p>
    <w:p>
      <w:pPr>
        <w:pStyle w:val="Heading1"/>
        <w:spacing w:before="77"/>
        <w:ind w:left="394"/>
      </w:pPr>
      <w:r>
        <w:rPr/>
        <w:t>CHAPTER</w:t>
      </w:r>
      <w:r>
        <w:rPr>
          <w:spacing w:val="-9"/>
        </w:rPr>
        <w:t> </w:t>
      </w:r>
      <w:r>
        <w:rPr>
          <w:spacing w:val="-5"/>
        </w:rPr>
        <w:t>TWO</w:t>
      </w:r>
    </w:p>
    <w:p>
      <w:pPr>
        <w:pStyle w:val="BodyText"/>
        <w:rPr>
          <w:b/>
        </w:rPr>
      </w:pPr>
    </w:p>
    <w:p>
      <w:pPr>
        <w:pStyle w:val="Heading1"/>
        <w:numPr>
          <w:ilvl w:val="1"/>
          <w:numId w:val="10"/>
        </w:numPr>
        <w:tabs>
          <w:tab w:pos="3863" w:val="left" w:leader="none"/>
        </w:tabs>
        <w:spacing w:line="240" w:lineRule="auto" w:before="0" w:after="0"/>
        <w:ind w:left="3863" w:right="0" w:hanging="364"/>
        <w:jc w:val="left"/>
      </w:pPr>
      <w:bookmarkStart w:name="_TOC_250077" w:id="7"/>
      <w:r>
        <w:rPr/>
        <w:t>LITERATURE</w:t>
      </w:r>
      <w:r>
        <w:rPr>
          <w:spacing w:val="-9"/>
        </w:rPr>
        <w:t> </w:t>
      </w:r>
      <w:bookmarkEnd w:id="7"/>
      <w:r>
        <w:rPr>
          <w:spacing w:val="-2"/>
        </w:rPr>
        <w:t>REVIEW</w:t>
      </w:r>
    </w:p>
    <w:p>
      <w:pPr>
        <w:pStyle w:val="BodyText"/>
        <w:rPr>
          <w:b/>
        </w:rPr>
      </w:pPr>
    </w:p>
    <w:p>
      <w:pPr>
        <w:pStyle w:val="Heading2"/>
        <w:numPr>
          <w:ilvl w:val="1"/>
          <w:numId w:val="10"/>
        </w:numPr>
        <w:tabs>
          <w:tab w:pos="1045" w:val="left" w:leader="none"/>
        </w:tabs>
        <w:spacing w:line="240" w:lineRule="auto" w:before="1" w:after="0"/>
        <w:ind w:left="1045" w:right="0" w:hanging="364"/>
        <w:jc w:val="both"/>
      </w:pPr>
      <w:bookmarkStart w:name="_TOC_250076" w:id="8"/>
      <w:bookmarkEnd w:id="8"/>
      <w:r>
        <w:rPr>
          <w:spacing w:val="-2"/>
        </w:rPr>
        <w:t>Epilepsy</w:t>
      </w:r>
    </w:p>
    <w:p>
      <w:pPr>
        <w:pStyle w:val="Heading2"/>
        <w:numPr>
          <w:ilvl w:val="2"/>
          <w:numId w:val="10"/>
        </w:numPr>
        <w:tabs>
          <w:tab w:pos="1222" w:val="left" w:leader="none"/>
        </w:tabs>
        <w:spacing w:line="240" w:lineRule="auto" w:before="276" w:after="0"/>
        <w:ind w:left="1222" w:right="0" w:hanging="541"/>
        <w:jc w:val="both"/>
      </w:pPr>
      <w:bookmarkStart w:name="_TOC_250075" w:id="9"/>
      <w:r>
        <w:rPr/>
        <w:t>Neural</w:t>
      </w:r>
      <w:r>
        <w:rPr>
          <w:spacing w:val="-6"/>
        </w:rPr>
        <w:t> </w:t>
      </w:r>
      <w:r>
        <w:rPr/>
        <w:t>network</w:t>
      </w:r>
      <w:r>
        <w:rPr>
          <w:spacing w:val="-5"/>
        </w:rPr>
        <w:t> </w:t>
      </w:r>
      <w:bookmarkEnd w:id="9"/>
      <w:r>
        <w:rPr>
          <w:spacing w:val="-2"/>
        </w:rPr>
        <w:t>oscillations</w:t>
      </w:r>
    </w:p>
    <w:p>
      <w:pPr>
        <w:pStyle w:val="BodyText"/>
        <w:spacing w:line="480" w:lineRule="auto" w:before="271"/>
        <w:ind w:left="681" w:right="269"/>
        <w:jc w:val="both"/>
      </w:pPr>
      <w:r>
        <w:rPr/>
        <w:t>The cortex is intimately connected with the thalamus, and the cortico-thalamo-cortical excitatory loop mediates network oscillations underlying epilepsies in man and in animal models (Paz, </w:t>
      </w:r>
      <w:r>
        <w:rPr>
          <w:i/>
        </w:rPr>
        <w:t>et al</w:t>
      </w:r>
      <w:r>
        <w:rPr/>
        <w:t>., 2011). Also, cortico-thalamo-cortical circuits mediate sensation, perception and consciousness, and generate neural network oscillations associated with physiological sleep-spindle activity and focal or generalized epileptic activities such as absence seizures. Communication between cerebral cortex and thalamic relay nuclei is mediated by reciprocally connected corticothalamic (CT) and thalamocortical (TC) glutamatergic excitatory</w:t>
      </w:r>
      <w:r>
        <w:rPr>
          <w:spacing w:val="-6"/>
        </w:rPr>
        <w:t> </w:t>
      </w:r>
      <w:r>
        <w:rPr/>
        <w:t>pathways. Cortical</w:t>
      </w:r>
      <w:r>
        <w:rPr>
          <w:spacing w:val="-1"/>
        </w:rPr>
        <w:t> </w:t>
      </w:r>
      <w:r>
        <w:rPr/>
        <w:t>input is thought to influence primary</w:t>
      </w:r>
      <w:r>
        <w:rPr>
          <w:spacing w:val="-1"/>
        </w:rPr>
        <w:t> </w:t>
      </w:r>
      <w:r>
        <w:rPr/>
        <w:t>sensory thalamus by a feed-forward synaptic inhibition of TC relay neurons by GABAergic reticular thalamic nucleus (nRT) neurons. CT neurons excite nRT neurons, which subsequently inhibit TC relay neurons. Cortico-thalamo-cortical oscillations are initiated if this inhibition is followed by post-inhibitory rebound bursts of action potentials in TC neurons that in turn re-excite nRT neurons. As this sequence iterates, a network oscillation is sustained. These events in the thalamus, which is an important element in the generation</w:t>
      </w:r>
      <w:r>
        <w:rPr>
          <w:spacing w:val="-4"/>
        </w:rPr>
        <w:t> </w:t>
      </w:r>
      <w:r>
        <w:rPr/>
        <w:t>of</w:t>
      </w:r>
      <w:r>
        <w:rPr>
          <w:spacing w:val="-7"/>
        </w:rPr>
        <w:t> </w:t>
      </w:r>
      <w:r>
        <w:rPr/>
        <w:t>neural</w:t>
      </w:r>
      <w:r>
        <w:rPr>
          <w:spacing w:val="-8"/>
        </w:rPr>
        <w:t> </w:t>
      </w:r>
      <w:r>
        <w:rPr/>
        <w:t>oscillations in</w:t>
      </w:r>
      <w:r>
        <w:rPr>
          <w:spacing w:val="-4"/>
        </w:rPr>
        <w:t> </w:t>
      </w:r>
      <w:r>
        <w:rPr/>
        <w:t>cortico-thalamo-cortical</w:t>
      </w:r>
      <w:r>
        <w:rPr>
          <w:spacing w:val="-8"/>
        </w:rPr>
        <w:t> </w:t>
      </w:r>
      <w:r>
        <w:rPr/>
        <w:t>circuits, rely</w:t>
      </w:r>
      <w:r>
        <w:rPr>
          <w:spacing w:val="-4"/>
        </w:rPr>
        <w:t> </w:t>
      </w:r>
      <w:r>
        <w:rPr/>
        <w:t>on</w:t>
      </w:r>
      <w:r>
        <w:rPr>
          <w:spacing w:val="-4"/>
        </w:rPr>
        <w:t> </w:t>
      </w:r>
      <w:r>
        <w:rPr/>
        <w:t>a stronger synaptic excitation in the CT-nRT than in the CT-TC pathway, allowing the inhibition of TC cells to overcome direct CT-TC excitation (Paz </w:t>
      </w:r>
      <w:r>
        <w:rPr>
          <w:i/>
        </w:rPr>
        <w:t>et al., </w:t>
      </w:r>
      <w:r>
        <w:rPr/>
        <w:t>2012).</w:t>
      </w:r>
    </w:p>
    <w:p>
      <w:pPr>
        <w:spacing w:after="0" w:line="480" w:lineRule="auto"/>
        <w:jc w:val="both"/>
        <w:sectPr>
          <w:pgSz w:w="12240" w:h="15840"/>
          <w:pgMar w:header="0" w:footer="1066" w:top="1360" w:bottom="1260" w:left="1480" w:right="1160"/>
        </w:sectPr>
      </w:pPr>
    </w:p>
    <w:p>
      <w:pPr>
        <w:pStyle w:val="Heading2"/>
        <w:numPr>
          <w:ilvl w:val="2"/>
          <w:numId w:val="10"/>
        </w:numPr>
        <w:tabs>
          <w:tab w:pos="1222" w:val="left" w:leader="none"/>
        </w:tabs>
        <w:spacing w:line="240" w:lineRule="auto" w:before="77" w:after="0"/>
        <w:ind w:left="1222" w:right="0" w:hanging="541"/>
        <w:jc w:val="both"/>
      </w:pPr>
      <w:bookmarkStart w:name="_TOC_250074" w:id="10"/>
      <w:r>
        <w:rPr/>
        <w:t>Epileptogenesis</w:t>
      </w:r>
      <w:r>
        <w:rPr>
          <w:spacing w:val="-6"/>
        </w:rPr>
        <w:t> </w:t>
      </w:r>
      <w:r>
        <w:rPr/>
        <w:t>and</w:t>
      </w:r>
      <w:r>
        <w:rPr>
          <w:spacing w:val="-3"/>
        </w:rPr>
        <w:t> </w:t>
      </w:r>
      <w:bookmarkEnd w:id="10"/>
      <w:r>
        <w:rPr>
          <w:spacing w:val="-2"/>
        </w:rPr>
        <w:t>Ictogenesis</w:t>
      </w:r>
    </w:p>
    <w:p>
      <w:pPr>
        <w:pStyle w:val="BodyText"/>
        <w:spacing w:line="480" w:lineRule="auto" w:before="271"/>
        <w:ind w:left="681" w:right="281"/>
        <w:jc w:val="both"/>
      </w:pPr>
      <w:r>
        <w:rPr/>
        <w:t>Epileptogenesis refers to the multiphase process in which a normal brain undergoes alterations to support the generation of spontaneous seizures. It may be initiated by brain damage produced by events such as head trauma, stroke, infection, or status epilepticus. Following</w:t>
      </w:r>
      <w:r>
        <w:rPr>
          <w:spacing w:val="-2"/>
        </w:rPr>
        <w:t> </w:t>
      </w:r>
      <w:r>
        <w:rPr/>
        <w:t>such</w:t>
      </w:r>
      <w:r>
        <w:rPr>
          <w:spacing w:val="-2"/>
        </w:rPr>
        <w:t> </w:t>
      </w:r>
      <w:r>
        <w:rPr/>
        <w:t>an</w:t>
      </w:r>
      <w:r>
        <w:rPr>
          <w:spacing w:val="-2"/>
        </w:rPr>
        <w:t> </w:t>
      </w:r>
      <w:r>
        <w:rPr/>
        <w:t>initial</w:t>
      </w:r>
      <w:r>
        <w:rPr>
          <w:spacing w:val="-2"/>
        </w:rPr>
        <w:t> </w:t>
      </w:r>
      <w:r>
        <w:rPr/>
        <w:t>insult, a latency</w:t>
      </w:r>
      <w:r>
        <w:rPr>
          <w:spacing w:val="-2"/>
        </w:rPr>
        <w:t> </w:t>
      </w:r>
      <w:r>
        <w:rPr/>
        <w:t>phase without seizures follows and may</w:t>
      </w:r>
      <w:r>
        <w:rPr>
          <w:spacing w:val="-2"/>
        </w:rPr>
        <w:t> </w:t>
      </w:r>
      <w:r>
        <w:rPr/>
        <w:t>last for weeks to years. During these initial</w:t>
      </w:r>
      <w:r>
        <w:rPr>
          <w:spacing w:val="-2"/>
        </w:rPr>
        <w:t> </w:t>
      </w:r>
      <w:r>
        <w:rPr/>
        <w:t>stages, progressive brain alterations result in lowered seizure thresholds which</w:t>
      </w:r>
      <w:r>
        <w:rPr>
          <w:spacing w:val="-1"/>
        </w:rPr>
        <w:t> </w:t>
      </w:r>
      <w:r>
        <w:rPr/>
        <w:t>eventually</w:t>
      </w:r>
      <w:r>
        <w:rPr>
          <w:spacing w:val="-1"/>
        </w:rPr>
        <w:t> </w:t>
      </w:r>
      <w:r>
        <w:rPr/>
        <w:t>cause spontaneous seizures. Once seizures occur, the epileptic disease state probably continues to progress, with each seizure having the potential to induce additional neuronal alterations that may further lower seizure thresholds (Klitgaard and Pitkanen, 2003).</w:t>
      </w:r>
    </w:p>
    <w:p>
      <w:pPr>
        <w:pStyle w:val="BodyText"/>
      </w:pPr>
    </w:p>
    <w:p>
      <w:pPr>
        <w:pStyle w:val="BodyText"/>
        <w:spacing w:before="2"/>
      </w:pPr>
    </w:p>
    <w:p>
      <w:pPr>
        <w:pStyle w:val="BodyText"/>
        <w:spacing w:line="480" w:lineRule="auto" w:before="1"/>
        <w:ind w:left="681" w:right="273"/>
        <w:jc w:val="both"/>
      </w:pPr>
      <w:r>
        <w:rPr/>
        <w:t>Drugs with antiepileptogenic properties, would act by blocking the initial epileptogenic process or by</w:t>
      </w:r>
      <w:r>
        <w:rPr>
          <w:spacing w:val="-4"/>
        </w:rPr>
        <w:t> </w:t>
      </w:r>
      <w:r>
        <w:rPr/>
        <w:t>altering the epileptic disease state after the seizure onset. This would be by the ability of such drugs to reduce alterations in molecular, cellular, and network properties that occur during the epileptogenic process (Klitgaard and Pitkanen, 2003).</w:t>
      </w:r>
    </w:p>
    <w:p>
      <w:pPr>
        <w:pStyle w:val="BodyText"/>
      </w:pPr>
    </w:p>
    <w:p>
      <w:pPr>
        <w:pStyle w:val="BodyText"/>
      </w:pPr>
    </w:p>
    <w:p>
      <w:pPr>
        <w:pStyle w:val="BodyText"/>
        <w:spacing w:line="480" w:lineRule="auto"/>
        <w:ind w:left="681" w:right="277"/>
        <w:jc w:val="both"/>
      </w:pPr>
      <w:r>
        <w:rPr/>
        <w:t>Experimentally induced status epilepticus can also be used as a model for</w:t>
      </w:r>
      <w:r>
        <w:rPr>
          <w:spacing w:val="40"/>
        </w:rPr>
        <w:t> </w:t>
      </w:r>
      <w:r>
        <w:rPr/>
        <w:t>epileptogenesis. Status epilepticus induces cell loss in specific neuronal populations in multiple brain regions, including the hippocampus, amygdala, and entorhinal</w:t>
      </w:r>
      <w:r>
        <w:rPr>
          <w:spacing w:val="-1"/>
        </w:rPr>
        <w:t> </w:t>
      </w:r>
      <w:r>
        <w:rPr/>
        <w:t>cortex. The damage induced by kainic acid-induced status epilepticus is produced by the evoked seizure activity and not by direct activation of glutamate receptors by kainic acid. There are two phases of cell death following status epilepticus. Acute necrotic cell loss occurs during</w:t>
      </w:r>
      <w:r>
        <w:rPr>
          <w:spacing w:val="4"/>
        </w:rPr>
        <w:t> </w:t>
      </w:r>
      <w:r>
        <w:rPr/>
        <w:t>the</w:t>
      </w:r>
      <w:r>
        <w:rPr>
          <w:spacing w:val="5"/>
        </w:rPr>
        <w:t> </w:t>
      </w:r>
      <w:r>
        <w:rPr/>
        <w:t>prolonged</w:t>
      </w:r>
      <w:r>
        <w:rPr>
          <w:spacing w:val="10"/>
        </w:rPr>
        <w:t> </w:t>
      </w:r>
      <w:r>
        <w:rPr/>
        <w:t>seizure</w:t>
      </w:r>
      <w:r>
        <w:rPr>
          <w:spacing w:val="4"/>
        </w:rPr>
        <w:t> </w:t>
      </w:r>
      <w:r>
        <w:rPr/>
        <w:t>event,</w:t>
      </w:r>
      <w:r>
        <w:rPr>
          <w:spacing w:val="8"/>
        </w:rPr>
        <w:t> </w:t>
      </w:r>
      <w:r>
        <w:rPr/>
        <w:t>while</w:t>
      </w:r>
      <w:r>
        <w:rPr>
          <w:spacing w:val="5"/>
        </w:rPr>
        <w:t> </w:t>
      </w:r>
      <w:r>
        <w:rPr/>
        <w:t>other</w:t>
      </w:r>
      <w:r>
        <w:rPr>
          <w:spacing w:val="6"/>
        </w:rPr>
        <w:t> </w:t>
      </w:r>
      <w:r>
        <w:rPr/>
        <w:t>cells</w:t>
      </w:r>
      <w:r>
        <w:rPr>
          <w:spacing w:val="3"/>
        </w:rPr>
        <w:t> </w:t>
      </w:r>
      <w:r>
        <w:rPr/>
        <w:t>undergo</w:t>
      </w:r>
      <w:r>
        <w:rPr>
          <w:spacing w:val="10"/>
        </w:rPr>
        <w:t> </w:t>
      </w:r>
      <w:r>
        <w:rPr/>
        <w:t>delayed</w:t>
      </w:r>
      <w:r>
        <w:rPr>
          <w:spacing w:val="4"/>
        </w:rPr>
        <w:t> </w:t>
      </w:r>
      <w:r>
        <w:rPr/>
        <w:t>cell</w:t>
      </w:r>
      <w:r>
        <w:rPr>
          <w:spacing w:val="6"/>
        </w:rPr>
        <w:t> </w:t>
      </w:r>
      <w:r>
        <w:rPr/>
        <w:t>death</w:t>
      </w:r>
      <w:r>
        <w:rPr>
          <w:spacing w:val="5"/>
        </w:rPr>
        <w:t> </w:t>
      </w:r>
      <w:r>
        <w:rPr/>
        <w:t>hours</w:t>
      </w:r>
      <w:r>
        <w:rPr>
          <w:spacing w:val="3"/>
        </w:rPr>
        <w:t> </w:t>
      </w:r>
      <w:r>
        <w:rPr>
          <w:spacing w:val="-5"/>
        </w:rPr>
        <w:t>or</w:t>
      </w:r>
    </w:p>
    <w:p>
      <w:pPr>
        <w:spacing w:after="0" w:line="480" w:lineRule="auto"/>
        <w:jc w:val="both"/>
        <w:sectPr>
          <w:pgSz w:w="12240" w:h="15840"/>
          <w:pgMar w:header="0" w:footer="1066" w:top="1360" w:bottom="1260" w:left="1480" w:right="1160"/>
        </w:sectPr>
      </w:pPr>
    </w:p>
    <w:p>
      <w:pPr>
        <w:pStyle w:val="BodyText"/>
        <w:spacing w:line="480" w:lineRule="auto" w:before="72"/>
        <w:ind w:left="681" w:right="275"/>
        <w:jc w:val="both"/>
      </w:pPr>
      <w:r>
        <w:rPr/>
        <w:t>days following seizure termination. Surviving brain cells undergo morphological alterations including axonal sprouting and altered density</w:t>
      </w:r>
      <w:r>
        <w:rPr>
          <w:spacing w:val="-5"/>
        </w:rPr>
        <w:t> </w:t>
      </w:r>
      <w:r>
        <w:rPr/>
        <w:t>of</w:t>
      </w:r>
      <w:r>
        <w:rPr>
          <w:spacing w:val="-3"/>
        </w:rPr>
        <w:t> </w:t>
      </w:r>
      <w:r>
        <w:rPr/>
        <w:t>dendritic spines. In addition, status</w:t>
      </w:r>
      <w:r>
        <w:rPr>
          <w:spacing w:val="-1"/>
        </w:rPr>
        <w:t> </w:t>
      </w:r>
      <w:r>
        <w:rPr/>
        <w:t>epilepticus</w:t>
      </w:r>
      <w:r>
        <w:rPr>
          <w:spacing w:val="-1"/>
        </w:rPr>
        <w:t> </w:t>
      </w:r>
      <w:r>
        <w:rPr/>
        <w:t>causes</w:t>
      </w:r>
      <w:r>
        <w:rPr>
          <w:spacing w:val="-1"/>
        </w:rPr>
        <w:t> </w:t>
      </w:r>
      <w:r>
        <w:rPr/>
        <w:t>widespread changes in</w:t>
      </w:r>
      <w:r>
        <w:rPr>
          <w:spacing w:val="-2"/>
        </w:rPr>
        <w:t> </w:t>
      </w:r>
      <w:r>
        <w:rPr/>
        <w:t>gene expression, the extracellular matrix, and neurogenesis. Also, it causes alteration in non-neuronal brain cells, such as changes</w:t>
      </w:r>
      <w:r>
        <w:rPr>
          <w:spacing w:val="40"/>
        </w:rPr>
        <w:t> </w:t>
      </w:r>
      <w:r>
        <w:rPr/>
        <w:t>in number and morphology of astrocytes and microglia. Functionally, status produces long-lasting deficits in</w:t>
      </w:r>
      <w:r>
        <w:rPr>
          <w:spacing w:val="-1"/>
        </w:rPr>
        <w:t> </w:t>
      </w:r>
      <w:r>
        <w:rPr/>
        <w:t>cognition, behavior, and memory. Critical</w:t>
      </w:r>
      <w:r>
        <w:rPr>
          <w:spacing w:val="-1"/>
        </w:rPr>
        <w:t> </w:t>
      </w:r>
      <w:r>
        <w:rPr/>
        <w:t>to</w:t>
      </w:r>
      <w:r>
        <w:rPr>
          <w:spacing w:val="-1"/>
        </w:rPr>
        <w:t> </w:t>
      </w:r>
      <w:r>
        <w:rPr/>
        <w:t>the use of</w:t>
      </w:r>
      <w:r>
        <w:rPr>
          <w:spacing w:val="-4"/>
        </w:rPr>
        <w:t> </w:t>
      </w:r>
      <w:r>
        <w:rPr/>
        <w:t>this model of epileptogenesis is that spontaneous seizures develop after a latency following status epilepticus (Klitgaard and Pitkanen, 2003).</w:t>
      </w:r>
    </w:p>
    <w:p>
      <w:pPr>
        <w:pStyle w:val="BodyText"/>
      </w:pPr>
    </w:p>
    <w:p>
      <w:pPr>
        <w:pStyle w:val="BodyText"/>
        <w:spacing w:before="2"/>
      </w:pPr>
    </w:p>
    <w:p>
      <w:pPr>
        <w:pStyle w:val="BodyText"/>
        <w:spacing w:line="480" w:lineRule="auto"/>
        <w:ind w:left="681" w:right="280"/>
        <w:jc w:val="both"/>
      </w:pPr>
      <w:r>
        <w:rPr/>
        <w:t>Similarly, kindling, in which repeated seizures cause a reduction in seizure thresholds over</w:t>
      </w:r>
      <w:r>
        <w:rPr>
          <w:spacing w:val="-1"/>
        </w:rPr>
        <w:t> </w:t>
      </w:r>
      <w:r>
        <w:rPr/>
        <w:t>time, may</w:t>
      </w:r>
      <w:r>
        <w:rPr>
          <w:spacing w:val="-7"/>
        </w:rPr>
        <w:t> </w:t>
      </w:r>
      <w:r>
        <w:rPr/>
        <w:t>share features</w:t>
      </w:r>
      <w:r>
        <w:rPr>
          <w:spacing w:val="-4"/>
        </w:rPr>
        <w:t> </w:t>
      </w:r>
      <w:r>
        <w:rPr/>
        <w:t>with</w:t>
      </w:r>
      <w:r>
        <w:rPr>
          <w:spacing w:val="-7"/>
        </w:rPr>
        <w:t> </w:t>
      </w:r>
      <w:r>
        <w:rPr/>
        <w:t>the epileptogenic</w:t>
      </w:r>
      <w:r>
        <w:rPr>
          <w:spacing w:val="-3"/>
        </w:rPr>
        <w:t> </w:t>
      </w:r>
      <w:r>
        <w:rPr/>
        <w:t>process in humans. It is</w:t>
      </w:r>
      <w:r>
        <w:rPr>
          <w:spacing w:val="-4"/>
        </w:rPr>
        <w:t> </w:t>
      </w:r>
      <w:r>
        <w:rPr/>
        <w:t>possible</w:t>
      </w:r>
      <w:r>
        <w:rPr>
          <w:spacing w:val="-3"/>
        </w:rPr>
        <w:t> </w:t>
      </w:r>
      <w:r>
        <w:rPr/>
        <w:t>that the long delay between trauma and seizure expression in posttraumatic epilepsy may reflect a slow kindling process. The main drawback with kindling as a model of epileptogenesis is</w:t>
      </w:r>
      <w:r>
        <w:rPr>
          <w:spacing w:val="-4"/>
        </w:rPr>
        <w:t> </w:t>
      </w:r>
      <w:r>
        <w:rPr/>
        <w:t>that kindled seizures must be induced</w:t>
      </w:r>
      <w:r>
        <w:rPr>
          <w:spacing w:val="-2"/>
        </w:rPr>
        <w:t> </w:t>
      </w:r>
      <w:r>
        <w:rPr/>
        <w:t>as</w:t>
      </w:r>
      <w:r>
        <w:rPr>
          <w:spacing w:val="-1"/>
        </w:rPr>
        <w:t> </w:t>
      </w:r>
      <w:r>
        <w:rPr/>
        <w:t>the emergence</w:t>
      </w:r>
      <w:r>
        <w:rPr>
          <w:spacing w:val="-3"/>
        </w:rPr>
        <w:t> </w:t>
      </w:r>
      <w:r>
        <w:rPr/>
        <w:t>of</w:t>
      </w:r>
      <w:r>
        <w:rPr>
          <w:spacing w:val="-5"/>
        </w:rPr>
        <w:t> </w:t>
      </w:r>
      <w:r>
        <w:rPr/>
        <w:t>spontaneous seizue is rare. It is possible that the neuronal alterations produced by kindling, including cell loss and aberrant axonal sprouting, are relatively mild and may not be sufficient to mediate epileptogenesis. Again, it could be that the neuronal damage in the kindling model is as a result of seizures rather than it cause. Levetiracetam is known to delay the development of kindling, thus, has the potential to interfere with circuitry modifications underlying the progressive development of lowered seizure threshold (Klitgaard and Pitkanen, 2003).</w:t>
      </w:r>
    </w:p>
    <w:p>
      <w:pPr>
        <w:spacing w:after="0" w:line="480" w:lineRule="auto"/>
        <w:jc w:val="both"/>
        <w:sectPr>
          <w:pgSz w:w="12240" w:h="15840"/>
          <w:pgMar w:header="0" w:footer="1066" w:top="1360" w:bottom="1260" w:left="1480" w:right="1160"/>
        </w:sectPr>
      </w:pPr>
    </w:p>
    <w:p>
      <w:pPr>
        <w:pStyle w:val="BodyText"/>
        <w:spacing w:line="480" w:lineRule="auto" w:before="72"/>
        <w:ind w:left="681" w:right="285"/>
        <w:jc w:val="both"/>
      </w:pPr>
      <w:r>
        <w:rPr/>
        <w:t>Current drug treatment options for epilepsy predominantly combat ictogenesis, or the initiation of paroxysmal activity. Traditional AEDs have their effects by reducing the expression of epileptic seizures; nevertheless, their function invariably elicits some impairment of the normal neuronal excitability underlying cognitive function. The fact that ictogenesis and cognition are both mediated by neuronal excitability, it may not be possible to discover optimal non-impairing AEDs using traditional screens. This may be improved by performing drug screens in animal models of chronic epilepsy. Thus, by applying genetically modified or kindled animals it may be possible to discover new AEDs that inhibit the neuronal hypersynchronization leading to an ictal event, without interfering with normal neuronal excitability (Klitgaard and Pitkanen, 2003).</w:t>
      </w:r>
    </w:p>
    <w:p>
      <w:pPr>
        <w:pStyle w:val="BodyText"/>
      </w:pPr>
    </w:p>
    <w:p>
      <w:pPr>
        <w:pStyle w:val="BodyText"/>
        <w:spacing w:before="7"/>
      </w:pPr>
    </w:p>
    <w:p>
      <w:pPr>
        <w:pStyle w:val="Heading2"/>
        <w:numPr>
          <w:ilvl w:val="1"/>
          <w:numId w:val="10"/>
        </w:numPr>
        <w:tabs>
          <w:tab w:pos="1045" w:val="left" w:leader="none"/>
        </w:tabs>
        <w:spacing w:line="240" w:lineRule="auto" w:before="0" w:after="0"/>
        <w:ind w:left="1045" w:right="0" w:hanging="364"/>
        <w:jc w:val="both"/>
      </w:pPr>
      <w:bookmarkStart w:name="_TOC_250073" w:id="11"/>
      <w:r>
        <w:rPr/>
        <w:t>Ion</w:t>
      </w:r>
      <w:r>
        <w:rPr>
          <w:spacing w:val="-1"/>
        </w:rPr>
        <w:t> </w:t>
      </w:r>
      <w:bookmarkEnd w:id="11"/>
      <w:r>
        <w:rPr>
          <w:spacing w:val="-2"/>
        </w:rPr>
        <w:t>Channels</w:t>
      </w:r>
    </w:p>
    <w:p>
      <w:pPr>
        <w:pStyle w:val="BodyText"/>
        <w:spacing w:line="480" w:lineRule="auto" w:before="272"/>
        <w:ind w:left="681" w:right="270"/>
        <w:jc w:val="both"/>
      </w:pPr>
      <w:r>
        <w:rPr/>
        <w:t>It is known that every heartbeat, every nerve impulse, every movement and thought is critically dependent on the tightly controlled and precisely timed flow of ions across cell membranes (Nestler, </w:t>
      </w:r>
      <w:r>
        <w:rPr>
          <w:i/>
        </w:rPr>
        <w:t>et al., </w:t>
      </w:r>
      <w:r>
        <w:rPr/>
        <w:t>2009). Ion channels are important in cellular functions and</w:t>
      </w:r>
      <w:r>
        <w:rPr>
          <w:spacing w:val="80"/>
        </w:rPr>
        <w:t> </w:t>
      </w:r>
      <w:r>
        <w:rPr/>
        <w:t>are altered in many pathological conditions either directly or indirectly, as in the channelopathies (Camerino, </w:t>
      </w:r>
      <w:r>
        <w:rPr>
          <w:i/>
        </w:rPr>
        <w:t>et al., </w:t>
      </w:r>
      <w:r>
        <w:rPr/>
        <w:t>2007). Their role was most obvious in the membrane of electrically excitable cells, such as the neuron, the cardiac myocyte, and the skeletal muscle fiber. Consequently, a number of drugs able to modulate cell excitability by</w:t>
      </w:r>
      <w:r>
        <w:rPr>
          <w:spacing w:val="40"/>
        </w:rPr>
        <w:t> </w:t>
      </w:r>
      <w:r>
        <w:rPr/>
        <w:t>acting on voltage-gated or neurotransmitter-gated ion channels in these tissues have gained therapeutic relevance. Ion channel function is modulated by many natural agents that contribute to the dangerous effects of poisons or the beneficial effects of medicinal herbs.</w:t>
      </w:r>
      <w:r>
        <w:rPr>
          <w:spacing w:val="11"/>
        </w:rPr>
        <w:t> </w:t>
      </w:r>
      <w:r>
        <w:rPr/>
        <w:t>Once</w:t>
      </w:r>
      <w:r>
        <w:rPr>
          <w:spacing w:val="14"/>
        </w:rPr>
        <w:t> </w:t>
      </w:r>
      <w:r>
        <w:rPr/>
        <w:t>isolated,</w:t>
      </w:r>
      <w:r>
        <w:rPr>
          <w:spacing w:val="9"/>
        </w:rPr>
        <w:t> </w:t>
      </w:r>
      <w:r>
        <w:rPr/>
        <w:t>these</w:t>
      </w:r>
      <w:r>
        <w:rPr>
          <w:spacing w:val="15"/>
        </w:rPr>
        <w:t> </w:t>
      </w:r>
      <w:r>
        <w:rPr/>
        <w:t>lead</w:t>
      </w:r>
      <w:r>
        <w:rPr>
          <w:spacing w:val="11"/>
        </w:rPr>
        <w:t> </w:t>
      </w:r>
      <w:r>
        <w:rPr/>
        <w:t>compounds</w:t>
      </w:r>
      <w:r>
        <w:rPr>
          <w:spacing w:val="14"/>
        </w:rPr>
        <w:t> </w:t>
      </w:r>
      <w:r>
        <w:rPr/>
        <w:t>have</w:t>
      </w:r>
      <w:r>
        <w:rPr>
          <w:spacing w:val="15"/>
        </w:rPr>
        <w:t> </w:t>
      </w:r>
      <w:r>
        <w:rPr/>
        <w:t>served</w:t>
      </w:r>
      <w:r>
        <w:rPr>
          <w:spacing w:val="11"/>
        </w:rPr>
        <w:t> </w:t>
      </w:r>
      <w:r>
        <w:rPr/>
        <w:t>as</w:t>
      </w:r>
      <w:r>
        <w:rPr>
          <w:spacing w:val="9"/>
        </w:rPr>
        <w:t> </w:t>
      </w:r>
      <w:r>
        <w:rPr/>
        <w:t>the</w:t>
      </w:r>
      <w:r>
        <w:rPr>
          <w:spacing w:val="10"/>
        </w:rPr>
        <w:t> </w:t>
      </w:r>
      <w:r>
        <w:rPr/>
        <w:t>basis</w:t>
      </w:r>
      <w:r>
        <w:rPr>
          <w:spacing w:val="14"/>
        </w:rPr>
        <w:t> </w:t>
      </w:r>
      <w:r>
        <w:rPr/>
        <w:t>for</w:t>
      </w:r>
      <w:r>
        <w:rPr>
          <w:spacing w:val="13"/>
        </w:rPr>
        <w:t> </w:t>
      </w:r>
      <w:r>
        <w:rPr/>
        <w:t>the</w:t>
      </w:r>
      <w:r>
        <w:rPr>
          <w:spacing w:val="10"/>
        </w:rPr>
        <w:t> </w:t>
      </w:r>
      <w:r>
        <w:rPr/>
        <w:t>synthesis</w:t>
      </w:r>
      <w:r>
        <w:rPr>
          <w:spacing w:val="10"/>
        </w:rPr>
        <w:t> </w:t>
      </w:r>
      <w:r>
        <w:rPr>
          <w:spacing w:val="-5"/>
        </w:rPr>
        <w:t>of</w:t>
      </w:r>
    </w:p>
    <w:p>
      <w:pPr>
        <w:spacing w:after="0" w:line="480" w:lineRule="auto"/>
        <w:jc w:val="both"/>
        <w:sectPr>
          <w:pgSz w:w="12240" w:h="15840"/>
          <w:pgMar w:header="0" w:footer="1066" w:top="1360" w:bottom="1260" w:left="1480" w:right="1160"/>
        </w:sectPr>
      </w:pPr>
    </w:p>
    <w:p>
      <w:pPr>
        <w:pStyle w:val="BodyText"/>
        <w:spacing w:line="480" w:lineRule="auto" w:before="72"/>
        <w:ind w:left="681" w:right="281"/>
        <w:jc w:val="both"/>
      </w:pPr>
      <w:r>
        <w:rPr/>
        <w:t>more specific ligands with fewer side effects. For instance, cocaine was therapeutically known to have analgesic properties, but the occurrence of CNS and cardiovascular toxicity led medicinal chemists to synthesize new derivatives, thus giving rise to the pharmaceutical class of local anesthetics, which are selective blockers of sodium</w:t>
      </w:r>
      <w:r>
        <w:rPr>
          <w:spacing w:val="40"/>
        </w:rPr>
        <w:t> </w:t>
      </w:r>
      <w:r>
        <w:rPr/>
        <w:t>channels (Camerino, </w:t>
      </w:r>
      <w:r>
        <w:rPr>
          <w:i/>
        </w:rPr>
        <w:t>et al., </w:t>
      </w:r>
      <w:r>
        <w:rPr/>
        <w:t>2007). Also, lidocaine and procaine are known to block voltage-gated sodium channels and prevent the conduction of nerve impulses that signal the occurrence of tissue damage and therefore pain. Other drugs like phenytoin and carbamazepine, potent antiepileptic agents, act by altering Na</w:t>
      </w:r>
      <w:r>
        <w:rPr>
          <w:vertAlign w:val="superscript"/>
        </w:rPr>
        <w:t>+</w:t>
      </w:r>
      <w:r>
        <w:rPr>
          <w:vertAlign w:val="baseline"/>
        </w:rPr>
        <w:t> channel kinetics (Nestler, </w:t>
      </w:r>
      <w:r>
        <w:rPr>
          <w:i/>
          <w:vertAlign w:val="baseline"/>
        </w:rPr>
        <w:t>et al., </w:t>
      </w:r>
      <w:r>
        <w:rPr>
          <w:vertAlign w:val="baseline"/>
        </w:rPr>
        <w:t>2009).</w:t>
      </w:r>
    </w:p>
    <w:p>
      <w:pPr>
        <w:pStyle w:val="BodyText"/>
      </w:pPr>
    </w:p>
    <w:p>
      <w:pPr>
        <w:pStyle w:val="BodyText"/>
        <w:spacing w:before="7"/>
      </w:pPr>
    </w:p>
    <w:p>
      <w:pPr>
        <w:pStyle w:val="Heading2"/>
        <w:numPr>
          <w:ilvl w:val="1"/>
          <w:numId w:val="10"/>
        </w:numPr>
        <w:tabs>
          <w:tab w:pos="1045" w:val="left" w:leader="none"/>
        </w:tabs>
        <w:spacing w:line="240" w:lineRule="auto" w:before="0" w:after="0"/>
        <w:ind w:left="1045" w:right="0" w:hanging="364"/>
        <w:jc w:val="both"/>
      </w:pPr>
      <w:bookmarkStart w:name="_TOC_250072" w:id="12"/>
      <w:r>
        <w:rPr/>
        <w:t>Action</w:t>
      </w:r>
      <w:r>
        <w:rPr>
          <w:spacing w:val="-3"/>
        </w:rPr>
        <w:t> </w:t>
      </w:r>
      <w:bookmarkEnd w:id="12"/>
      <w:r>
        <w:rPr>
          <w:spacing w:val="-2"/>
        </w:rPr>
        <w:t>Potential</w:t>
      </w:r>
    </w:p>
    <w:p>
      <w:pPr>
        <w:pStyle w:val="BodyText"/>
        <w:spacing w:line="480" w:lineRule="auto" w:before="272"/>
        <w:ind w:left="681" w:right="276"/>
        <w:jc w:val="both"/>
      </w:pPr>
      <w:r>
        <w:rPr/>
        <w:t>An action potential is a rapidly propagating depolarization of the axonal membrane that can lead to the release of neurotransmitter from axon terminals (Nestler, </w:t>
      </w:r>
      <w:r>
        <w:rPr>
          <w:i/>
        </w:rPr>
        <w:t>et al., </w:t>
      </w:r>
      <w:r>
        <w:rPr/>
        <w:t>2009). Neurons, cardiac, smooth muscle, skeletal muscle, and many endocrine cells have an excitable character, and thus, capable to generate and propagate electrical action potentials (Dekker, </w:t>
      </w:r>
      <w:r>
        <w:rPr>
          <w:i/>
        </w:rPr>
        <w:t>et al., </w:t>
      </w:r>
      <w:r>
        <w:rPr/>
        <w:t>2008).</w:t>
      </w:r>
    </w:p>
    <w:p>
      <w:pPr>
        <w:pStyle w:val="BodyText"/>
      </w:pPr>
    </w:p>
    <w:p>
      <w:pPr>
        <w:pStyle w:val="BodyText"/>
        <w:spacing w:before="1"/>
      </w:pPr>
    </w:p>
    <w:p>
      <w:pPr>
        <w:pStyle w:val="BodyText"/>
        <w:spacing w:line="480" w:lineRule="auto"/>
        <w:ind w:left="681" w:right="274"/>
        <w:jc w:val="both"/>
      </w:pPr>
      <w:r>
        <w:rPr/>
        <w:t>It is this signal that is responsible for the transfer of information from</w:t>
      </w:r>
      <w:r>
        <w:rPr>
          <w:spacing w:val="-4"/>
        </w:rPr>
        <w:t> </w:t>
      </w:r>
      <w:r>
        <w:rPr/>
        <w:t>one part of neuron to another. The threshold is important to ensure that small, random</w:t>
      </w:r>
      <w:r>
        <w:rPr>
          <w:spacing w:val="-6"/>
        </w:rPr>
        <w:t> </w:t>
      </w:r>
      <w:r>
        <w:rPr/>
        <w:t>depolarizations of</w:t>
      </w:r>
      <w:r>
        <w:rPr>
          <w:spacing w:val="-4"/>
        </w:rPr>
        <w:t> </w:t>
      </w:r>
      <w:r>
        <w:rPr/>
        <w:t>the membrane do not generate action potentials. Only stimuli of sufficient importance result in information</w:t>
      </w:r>
      <w:r>
        <w:rPr>
          <w:spacing w:val="-5"/>
        </w:rPr>
        <w:t> </w:t>
      </w:r>
      <w:r>
        <w:rPr/>
        <w:t>transfer via</w:t>
      </w:r>
      <w:r>
        <w:rPr>
          <w:spacing w:val="-2"/>
        </w:rPr>
        <w:t> </w:t>
      </w:r>
      <w:r>
        <w:rPr/>
        <w:t>action</w:t>
      </w:r>
      <w:r>
        <w:rPr>
          <w:spacing w:val="-5"/>
        </w:rPr>
        <w:t> </w:t>
      </w:r>
      <w:r>
        <w:rPr/>
        <w:t>potential</w:t>
      </w:r>
      <w:r>
        <w:rPr>
          <w:spacing w:val="-5"/>
        </w:rPr>
        <w:t> </w:t>
      </w:r>
      <w:r>
        <w:rPr/>
        <w:t>in</w:t>
      </w:r>
      <w:r>
        <w:rPr>
          <w:spacing w:val="-1"/>
        </w:rPr>
        <w:t> </w:t>
      </w:r>
      <w:r>
        <w:rPr/>
        <w:t>the</w:t>
      </w:r>
      <w:r>
        <w:rPr>
          <w:spacing w:val="-2"/>
        </w:rPr>
        <w:t> </w:t>
      </w:r>
      <w:r>
        <w:rPr/>
        <w:t>axon. Another essential</w:t>
      </w:r>
      <w:r>
        <w:rPr>
          <w:spacing w:val="-1"/>
        </w:rPr>
        <w:t> </w:t>
      </w:r>
      <w:r>
        <w:rPr/>
        <w:t>feature</w:t>
      </w:r>
      <w:r>
        <w:rPr>
          <w:spacing w:val="-6"/>
        </w:rPr>
        <w:t> </w:t>
      </w:r>
      <w:r>
        <w:rPr/>
        <w:t>of</w:t>
      </w:r>
      <w:r>
        <w:rPr>
          <w:spacing w:val="-8"/>
        </w:rPr>
        <w:t> </w:t>
      </w:r>
      <w:r>
        <w:rPr/>
        <w:t>action potentials is that they are all-or-none events. The all-or-none law demonstrates that any stimulus</w:t>
      </w:r>
      <w:r>
        <w:rPr>
          <w:spacing w:val="59"/>
        </w:rPr>
        <w:t> </w:t>
      </w:r>
      <w:r>
        <w:rPr/>
        <w:t>large</w:t>
      </w:r>
      <w:r>
        <w:rPr>
          <w:spacing w:val="40"/>
        </w:rPr>
        <w:t> </w:t>
      </w:r>
      <w:r>
        <w:rPr/>
        <w:t>enough</w:t>
      </w:r>
      <w:r>
        <w:rPr>
          <w:spacing w:val="40"/>
        </w:rPr>
        <w:t> </w:t>
      </w:r>
      <w:r>
        <w:rPr/>
        <w:t>to</w:t>
      </w:r>
      <w:r>
        <w:rPr>
          <w:spacing w:val="61"/>
        </w:rPr>
        <w:t> </w:t>
      </w:r>
      <w:r>
        <w:rPr/>
        <w:t>produce</w:t>
      </w:r>
      <w:r>
        <w:rPr>
          <w:spacing w:val="40"/>
        </w:rPr>
        <w:t> </w:t>
      </w:r>
      <w:r>
        <w:rPr/>
        <w:t>an</w:t>
      </w:r>
      <w:r>
        <w:rPr>
          <w:spacing w:val="40"/>
        </w:rPr>
        <w:t> </w:t>
      </w:r>
      <w:r>
        <w:rPr/>
        <w:t>action</w:t>
      </w:r>
      <w:r>
        <w:rPr>
          <w:spacing w:val="40"/>
        </w:rPr>
        <w:t> </w:t>
      </w:r>
      <w:r>
        <w:rPr/>
        <w:t>potential</w:t>
      </w:r>
      <w:r>
        <w:rPr>
          <w:spacing w:val="40"/>
        </w:rPr>
        <w:t> </w:t>
      </w:r>
      <w:r>
        <w:rPr/>
        <w:t>produces</w:t>
      </w:r>
      <w:r>
        <w:rPr>
          <w:spacing w:val="40"/>
        </w:rPr>
        <w:t> </w:t>
      </w:r>
      <w:r>
        <w:rPr/>
        <w:t>the</w:t>
      </w:r>
      <w:r>
        <w:rPr>
          <w:spacing w:val="40"/>
        </w:rPr>
        <w:t> </w:t>
      </w:r>
      <w:r>
        <w:rPr/>
        <w:t>same</w:t>
      </w:r>
      <w:r>
        <w:rPr>
          <w:spacing w:val="40"/>
        </w:rPr>
        <w:t> </w:t>
      </w:r>
      <w:r>
        <w:rPr/>
        <w:t>size</w:t>
      </w:r>
      <w:r>
        <w:rPr>
          <w:spacing w:val="40"/>
        </w:rPr>
        <w:t> </w:t>
      </w:r>
      <w:r>
        <w:rPr/>
        <w:t>action</w:t>
      </w:r>
    </w:p>
    <w:p>
      <w:pPr>
        <w:spacing w:after="0" w:line="480" w:lineRule="auto"/>
        <w:jc w:val="both"/>
        <w:sectPr>
          <w:pgSz w:w="12240" w:h="15840"/>
          <w:pgMar w:header="0" w:footer="1066" w:top="1360" w:bottom="1260" w:left="1480" w:right="1160"/>
        </w:sectPr>
      </w:pPr>
    </w:p>
    <w:p>
      <w:pPr>
        <w:pStyle w:val="BodyText"/>
        <w:spacing w:line="480" w:lineRule="auto" w:before="72"/>
        <w:ind w:left="681" w:right="278"/>
        <w:jc w:val="both"/>
      </w:pPr>
      <w:r>
        <w:rPr/>
        <w:t>potential, regardless of stimulus strength. In other words, once the stimulus is above threshold, the amplitude of the response no longer reflects the amplitude of the stimulus. However, the latency, the time delay from the onset of the stimulus to the peak of action potential, is</w:t>
      </w:r>
      <w:r>
        <w:rPr>
          <w:spacing w:val="-4"/>
        </w:rPr>
        <w:t> </w:t>
      </w:r>
      <w:r>
        <w:rPr/>
        <w:t>a function</w:t>
      </w:r>
      <w:r>
        <w:rPr>
          <w:spacing w:val="-7"/>
        </w:rPr>
        <w:t> </w:t>
      </w:r>
      <w:r>
        <w:rPr/>
        <w:t>of</w:t>
      </w:r>
      <w:r>
        <w:rPr>
          <w:spacing w:val="-10"/>
        </w:rPr>
        <w:t> </w:t>
      </w:r>
      <w:r>
        <w:rPr/>
        <w:t>stimulus</w:t>
      </w:r>
      <w:r>
        <w:rPr>
          <w:spacing w:val="-4"/>
        </w:rPr>
        <w:t> </w:t>
      </w:r>
      <w:r>
        <w:rPr/>
        <w:t>strength</w:t>
      </w:r>
      <w:r>
        <w:rPr>
          <w:spacing w:val="-7"/>
        </w:rPr>
        <w:t> </w:t>
      </w:r>
      <w:r>
        <w:rPr/>
        <w:t>(Levitan</w:t>
      </w:r>
      <w:r>
        <w:rPr>
          <w:spacing w:val="-7"/>
        </w:rPr>
        <w:t> </w:t>
      </w:r>
      <w:r>
        <w:rPr/>
        <w:t>and Kaczmarek, 2002). Dendrites</w:t>
      </w:r>
      <w:r>
        <w:rPr>
          <w:spacing w:val="-4"/>
        </w:rPr>
        <w:t> </w:t>
      </w:r>
      <w:r>
        <w:rPr/>
        <w:t>are the recipients of incoming synaptic activity and are said to be electrically active. They contain voltage-dependent Na</w:t>
      </w:r>
      <w:r>
        <w:rPr>
          <w:vertAlign w:val="superscript"/>
        </w:rPr>
        <w:t>+</w:t>
      </w:r>
      <w:r>
        <w:rPr>
          <w:vertAlign w:val="baseline"/>
        </w:rPr>
        <w:t> Ca</w:t>
      </w:r>
      <w:r>
        <w:rPr>
          <w:vertAlign w:val="superscript"/>
        </w:rPr>
        <w:t>+</w:t>
      </w:r>
      <w:r>
        <w:rPr>
          <w:vertAlign w:val="baseline"/>
        </w:rPr>
        <w:t> and K</w:t>
      </w:r>
      <w:r>
        <w:rPr>
          <w:vertAlign w:val="superscript"/>
        </w:rPr>
        <w:t>+</w:t>
      </w:r>
      <w:r>
        <w:rPr>
          <w:vertAlign w:val="baseline"/>
        </w:rPr>
        <w:t> channels and are capable of</w:t>
      </w:r>
      <w:r>
        <w:rPr>
          <w:spacing w:val="-5"/>
          <w:vertAlign w:val="baseline"/>
        </w:rPr>
        <w:t> </w:t>
      </w:r>
      <w:r>
        <w:rPr>
          <w:vertAlign w:val="baseline"/>
        </w:rPr>
        <w:t>generating action potential</w:t>
      </w:r>
      <w:r>
        <w:rPr>
          <w:spacing w:val="-6"/>
          <w:vertAlign w:val="baseline"/>
        </w:rPr>
        <w:t> </w:t>
      </w:r>
      <w:r>
        <w:rPr>
          <w:vertAlign w:val="baseline"/>
        </w:rPr>
        <w:t>and</w:t>
      </w:r>
      <w:r>
        <w:rPr>
          <w:spacing w:val="-1"/>
          <w:vertAlign w:val="baseline"/>
        </w:rPr>
        <w:t> </w:t>
      </w:r>
      <w:r>
        <w:rPr>
          <w:vertAlign w:val="baseline"/>
        </w:rPr>
        <w:t>thus</w:t>
      </w:r>
      <w:r>
        <w:rPr>
          <w:spacing w:val="-3"/>
          <w:vertAlign w:val="baseline"/>
        </w:rPr>
        <w:t> </w:t>
      </w:r>
      <w:r>
        <w:rPr>
          <w:vertAlign w:val="baseline"/>
        </w:rPr>
        <w:t>amplify</w:t>
      </w:r>
      <w:r>
        <w:rPr>
          <w:spacing w:val="-6"/>
          <w:vertAlign w:val="baseline"/>
        </w:rPr>
        <w:t> </w:t>
      </w:r>
      <w:r>
        <w:rPr>
          <w:vertAlign w:val="baseline"/>
        </w:rPr>
        <w:t>incoming</w:t>
      </w:r>
      <w:r>
        <w:rPr>
          <w:spacing w:val="-1"/>
          <w:vertAlign w:val="baseline"/>
        </w:rPr>
        <w:t> </w:t>
      </w:r>
      <w:r>
        <w:rPr>
          <w:vertAlign w:val="baseline"/>
        </w:rPr>
        <w:t>synaptic</w:t>
      </w:r>
      <w:r>
        <w:rPr>
          <w:spacing w:val="-2"/>
          <w:vertAlign w:val="baseline"/>
        </w:rPr>
        <w:t> </w:t>
      </w:r>
      <w:r>
        <w:rPr>
          <w:vertAlign w:val="baseline"/>
        </w:rPr>
        <w:t>signals</w:t>
      </w:r>
      <w:r>
        <w:rPr>
          <w:spacing w:val="-3"/>
          <w:vertAlign w:val="baseline"/>
        </w:rPr>
        <w:t> </w:t>
      </w:r>
      <w:r>
        <w:rPr>
          <w:vertAlign w:val="baseline"/>
        </w:rPr>
        <w:t>so that</w:t>
      </w:r>
      <w:r>
        <w:rPr>
          <w:spacing w:val="-5"/>
          <w:vertAlign w:val="baseline"/>
        </w:rPr>
        <w:t> </w:t>
      </w:r>
      <w:r>
        <w:rPr>
          <w:vertAlign w:val="baseline"/>
        </w:rPr>
        <w:t>they</w:t>
      </w:r>
      <w:r>
        <w:rPr>
          <w:spacing w:val="-11"/>
          <w:vertAlign w:val="baseline"/>
        </w:rPr>
        <w:t> </w:t>
      </w:r>
      <w:r>
        <w:rPr>
          <w:vertAlign w:val="baseline"/>
        </w:rPr>
        <w:t>can</w:t>
      </w:r>
      <w:r>
        <w:rPr>
          <w:spacing w:val="-1"/>
          <w:vertAlign w:val="baseline"/>
        </w:rPr>
        <w:t> </w:t>
      </w:r>
      <w:r>
        <w:rPr>
          <w:vertAlign w:val="baseline"/>
        </w:rPr>
        <w:t>be</w:t>
      </w:r>
      <w:r>
        <w:rPr>
          <w:spacing w:val="-2"/>
          <w:vertAlign w:val="baseline"/>
        </w:rPr>
        <w:t> </w:t>
      </w:r>
      <w:r>
        <w:rPr>
          <w:vertAlign w:val="baseline"/>
        </w:rPr>
        <w:t>propagated</w:t>
      </w:r>
      <w:r>
        <w:rPr>
          <w:spacing w:val="-6"/>
          <w:vertAlign w:val="baseline"/>
        </w:rPr>
        <w:t> </w:t>
      </w:r>
      <w:r>
        <w:rPr>
          <w:vertAlign w:val="baseline"/>
        </w:rPr>
        <w:t>to</w:t>
      </w:r>
      <w:r>
        <w:rPr>
          <w:spacing w:val="-1"/>
          <w:vertAlign w:val="baseline"/>
        </w:rPr>
        <w:t> </w:t>
      </w:r>
      <w:r>
        <w:rPr>
          <w:vertAlign w:val="baseline"/>
        </w:rPr>
        <w:t>the soma. Due to the presence of Na</w:t>
      </w:r>
      <w:r>
        <w:rPr>
          <w:vertAlign w:val="superscript"/>
        </w:rPr>
        <w:t>+</w:t>
      </w:r>
      <w:r>
        <w:rPr>
          <w:vertAlign w:val="baseline"/>
        </w:rPr>
        <w:t> channels along the length of axon, the action potential propagates down the axon and invades the presynaptic nerve terminals, where it triggers the influx</w:t>
      </w:r>
      <w:r>
        <w:rPr>
          <w:spacing w:val="-3"/>
          <w:vertAlign w:val="baseline"/>
        </w:rPr>
        <w:t> </w:t>
      </w:r>
      <w:r>
        <w:rPr>
          <w:vertAlign w:val="baseline"/>
        </w:rPr>
        <w:t>of</w:t>
      </w:r>
      <w:r>
        <w:rPr>
          <w:spacing w:val="-6"/>
          <w:vertAlign w:val="baseline"/>
        </w:rPr>
        <w:t> </w:t>
      </w:r>
      <w:r>
        <w:rPr>
          <w:vertAlign w:val="baseline"/>
        </w:rPr>
        <w:t>Ca</w:t>
      </w:r>
      <w:r>
        <w:rPr>
          <w:vertAlign w:val="superscript"/>
        </w:rPr>
        <w:t>+</w:t>
      </w:r>
      <w:r>
        <w:rPr>
          <w:vertAlign w:val="baseline"/>
        </w:rPr>
        <w:t> by</w:t>
      </w:r>
      <w:r>
        <w:rPr>
          <w:spacing w:val="-3"/>
          <w:vertAlign w:val="baseline"/>
        </w:rPr>
        <w:t> </w:t>
      </w:r>
      <w:r>
        <w:rPr>
          <w:vertAlign w:val="baseline"/>
        </w:rPr>
        <w:t>activating voltage-dependent Ca</w:t>
      </w:r>
      <w:r>
        <w:rPr>
          <w:vertAlign w:val="superscript"/>
        </w:rPr>
        <w:t>+</w:t>
      </w:r>
      <w:r>
        <w:rPr>
          <w:vertAlign w:val="baseline"/>
        </w:rPr>
        <w:t> channels and subsequently leads</w:t>
      </w:r>
      <w:r>
        <w:rPr>
          <w:spacing w:val="-1"/>
          <w:vertAlign w:val="baseline"/>
        </w:rPr>
        <w:t> </w:t>
      </w:r>
      <w:r>
        <w:rPr>
          <w:vertAlign w:val="baseline"/>
        </w:rPr>
        <w:t>to the Ca</w:t>
      </w:r>
      <w:r>
        <w:rPr>
          <w:vertAlign w:val="superscript"/>
        </w:rPr>
        <w:t>+</w:t>
      </w:r>
      <w:r>
        <w:rPr>
          <w:vertAlign w:val="baseline"/>
        </w:rPr>
        <w:t>-dependent release of neurotransmitter(Nestler, </w:t>
      </w:r>
      <w:r>
        <w:rPr>
          <w:i/>
          <w:vertAlign w:val="baseline"/>
        </w:rPr>
        <w:t>et al., </w:t>
      </w:r>
      <w:r>
        <w:rPr>
          <w:vertAlign w:val="baseline"/>
        </w:rPr>
        <w:t>2009).</w:t>
      </w:r>
    </w:p>
    <w:p>
      <w:pPr>
        <w:pStyle w:val="BodyText"/>
      </w:pPr>
    </w:p>
    <w:p>
      <w:pPr>
        <w:pStyle w:val="BodyText"/>
        <w:spacing w:before="2"/>
      </w:pPr>
    </w:p>
    <w:p>
      <w:pPr>
        <w:pStyle w:val="BodyText"/>
        <w:spacing w:line="480" w:lineRule="auto" w:before="1"/>
        <w:ind w:left="681" w:right="280"/>
        <w:jc w:val="both"/>
      </w:pPr>
      <w:r>
        <w:rPr/>
        <w:t>Voltage-gated (delayed rectifier) K</w:t>
      </w:r>
      <w:r>
        <w:rPr>
          <w:vertAlign w:val="superscript"/>
        </w:rPr>
        <w:t>+</w:t>
      </w:r>
      <w:r>
        <w:rPr>
          <w:vertAlign w:val="baseline"/>
        </w:rPr>
        <w:t> channels contribute to the rapid repolarisation phase of the action potential. Although membrane depolarization opens these channels, they open and close more slowly than do Na</w:t>
      </w:r>
      <w:r>
        <w:rPr>
          <w:vertAlign w:val="superscript"/>
        </w:rPr>
        <w:t>+</w:t>
      </w:r>
      <w:r>
        <w:rPr>
          <w:vertAlign w:val="baseline"/>
        </w:rPr>
        <w:t> channels in response to depolarization. Therefore, inward Na</w:t>
      </w:r>
      <w:r>
        <w:rPr>
          <w:vertAlign w:val="superscript"/>
        </w:rPr>
        <w:t>+</w:t>
      </w:r>
      <w:r>
        <w:rPr>
          <w:vertAlign w:val="baseline"/>
        </w:rPr>
        <w:t> current dominates the early (depolarization) phase of action potential, and outward K</w:t>
      </w:r>
      <w:r>
        <w:rPr>
          <w:vertAlign w:val="superscript"/>
        </w:rPr>
        <w:t>+</w:t>
      </w:r>
      <w:r>
        <w:rPr>
          <w:vertAlign w:val="baseline"/>
        </w:rPr>
        <w:t> current dominates</w:t>
      </w:r>
      <w:r>
        <w:rPr>
          <w:spacing w:val="-1"/>
          <w:vertAlign w:val="baseline"/>
        </w:rPr>
        <w:t> </w:t>
      </w:r>
      <w:r>
        <w:rPr>
          <w:vertAlign w:val="baseline"/>
        </w:rPr>
        <w:t>the later</w:t>
      </w:r>
      <w:r>
        <w:rPr>
          <w:spacing w:val="-2"/>
          <w:vertAlign w:val="baseline"/>
        </w:rPr>
        <w:t> </w:t>
      </w:r>
      <w:r>
        <w:rPr>
          <w:vertAlign w:val="baseline"/>
        </w:rPr>
        <w:t>(repolarisation) phase. Thus, action potential is characterized by an initial depolarization as a result of fast inward Na</w:t>
      </w:r>
      <w:r>
        <w:rPr>
          <w:vertAlign w:val="superscript"/>
        </w:rPr>
        <w:t>+</w:t>
      </w:r>
      <w:r>
        <w:rPr>
          <w:vertAlign w:val="baseline"/>
        </w:rPr>
        <w:t> current, followed by a prolonged repolarization caused by slower and more sustained outward K</w:t>
      </w:r>
      <w:r>
        <w:rPr>
          <w:vertAlign w:val="superscript"/>
        </w:rPr>
        <w:t>+</w:t>
      </w:r>
      <w:r>
        <w:rPr>
          <w:vertAlign w:val="baseline"/>
        </w:rPr>
        <w:t> current (Dekker, </w:t>
      </w:r>
      <w:r>
        <w:rPr>
          <w:i/>
          <w:vertAlign w:val="baseline"/>
        </w:rPr>
        <w:t>et al., </w:t>
      </w:r>
      <w:r>
        <w:rPr>
          <w:vertAlign w:val="baseline"/>
        </w:rPr>
        <w:t>2008).</w:t>
      </w:r>
    </w:p>
    <w:p>
      <w:pPr>
        <w:spacing w:after="0" w:line="480" w:lineRule="auto"/>
        <w:jc w:val="both"/>
        <w:sectPr>
          <w:pgSz w:w="12240" w:h="15840"/>
          <w:pgMar w:header="0" w:footer="1066" w:top="1360" w:bottom="1260" w:left="1480" w:right="1160"/>
        </w:sectPr>
      </w:pPr>
    </w:p>
    <w:p>
      <w:pPr>
        <w:pStyle w:val="Heading2"/>
        <w:numPr>
          <w:ilvl w:val="1"/>
          <w:numId w:val="10"/>
        </w:numPr>
        <w:tabs>
          <w:tab w:pos="1045" w:val="left" w:leader="none"/>
        </w:tabs>
        <w:spacing w:line="240" w:lineRule="auto" w:before="77" w:after="0"/>
        <w:ind w:left="1045" w:right="0" w:hanging="364"/>
        <w:jc w:val="both"/>
      </w:pPr>
      <w:bookmarkStart w:name="_TOC_250071" w:id="13"/>
      <w:r>
        <w:rPr/>
        <w:t>Current-Voltage</w:t>
      </w:r>
      <w:r>
        <w:rPr>
          <w:spacing w:val="-9"/>
        </w:rPr>
        <w:t> </w:t>
      </w:r>
      <w:bookmarkEnd w:id="13"/>
      <w:r>
        <w:rPr>
          <w:spacing w:val="-2"/>
        </w:rPr>
        <w:t>Relationship</w:t>
      </w:r>
    </w:p>
    <w:p>
      <w:pPr>
        <w:pStyle w:val="BodyText"/>
        <w:spacing w:line="480" w:lineRule="auto" w:before="271"/>
        <w:ind w:left="681" w:right="281"/>
        <w:jc w:val="both"/>
      </w:pPr>
      <w:r>
        <w:rPr/>
        <w:t>The magnitude of current flowing between two points is determined by the potential difference between those two points and the resistance to current flow. Voltage is described as the potential energy or as the propensity for charge to flow from one area to another, while resistance is the obstacle to this flow. Deceased resistance allows greater ion flow and therefore increased current. Thus, current increases as voltage increases because a higher voltage results in a greater potential energy difference between the inside and outside of</w:t>
      </w:r>
      <w:r>
        <w:rPr>
          <w:spacing w:val="-3"/>
        </w:rPr>
        <w:t> </w:t>
      </w:r>
      <w:r>
        <w:rPr/>
        <w:t>the cell, which in turn favors an increased rate of</w:t>
      </w:r>
      <w:r>
        <w:rPr>
          <w:spacing w:val="-3"/>
        </w:rPr>
        <w:t> </w:t>
      </w:r>
      <w:r>
        <w:rPr/>
        <w:t>charge movement across the membrane (Dekker, </w:t>
      </w:r>
      <w:r>
        <w:rPr>
          <w:i/>
        </w:rPr>
        <w:t>et al., </w:t>
      </w:r>
      <w:r>
        <w:rPr/>
        <w:t>2008).</w:t>
      </w:r>
    </w:p>
    <w:p>
      <w:pPr>
        <w:pStyle w:val="BodyText"/>
        <w:spacing w:before="4"/>
      </w:pPr>
    </w:p>
    <w:p>
      <w:pPr>
        <w:pStyle w:val="Heading2"/>
        <w:numPr>
          <w:ilvl w:val="1"/>
          <w:numId w:val="10"/>
        </w:numPr>
        <w:tabs>
          <w:tab w:pos="1045" w:val="left" w:leader="none"/>
        </w:tabs>
        <w:spacing w:line="240" w:lineRule="auto" w:before="0" w:after="0"/>
        <w:ind w:left="1045" w:right="0" w:hanging="364"/>
        <w:jc w:val="both"/>
      </w:pPr>
      <w:r>
        <w:rPr/>
        <w:t>Voltage-Gated</w:t>
      </w:r>
      <w:r>
        <w:rPr>
          <w:spacing w:val="-6"/>
        </w:rPr>
        <w:t> </w:t>
      </w:r>
      <w:r>
        <w:rPr/>
        <w:t>Sodium</w:t>
      </w:r>
      <w:r>
        <w:rPr>
          <w:spacing w:val="-5"/>
        </w:rPr>
        <w:t> </w:t>
      </w:r>
      <w:r>
        <w:rPr/>
        <w:t>Channels</w:t>
      </w:r>
      <w:r>
        <w:rPr>
          <w:spacing w:val="-4"/>
        </w:rPr>
        <w:t> (Na</w:t>
      </w:r>
      <w:r>
        <w:rPr>
          <w:spacing w:val="-4"/>
          <w:vertAlign w:val="subscript"/>
        </w:rPr>
        <w:t>V</w:t>
      </w:r>
      <w:r>
        <w:rPr>
          <w:spacing w:val="-4"/>
          <w:vertAlign w:val="baseline"/>
        </w:rPr>
        <w:t>)</w:t>
      </w:r>
    </w:p>
    <w:p>
      <w:pPr>
        <w:pStyle w:val="BodyText"/>
        <w:spacing w:line="480" w:lineRule="auto" w:before="272"/>
        <w:ind w:left="681" w:right="274"/>
        <w:jc w:val="both"/>
      </w:pPr>
      <w:r>
        <w:rPr/>
        <w:t>The primary function of voltage-gated sodium channels is to allow the propagation of action potentials. In mammals, there are nine different genes encoding voltage-gated sodium channels, many</w:t>
      </w:r>
      <w:r>
        <w:rPr>
          <w:spacing w:val="-4"/>
        </w:rPr>
        <w:t> </w:t>
      </w:r>
      <w:r>
        <w:rPr/>
        <w:t>of</w:t>
      </w:r>
      <w:r>
        <w:rPr>
          <w:spacing w:val="-7"/>
        </w:rPr>
        <w:t> </w:t>
      </w:r>
      <w:r>
        <w:rPr/>
        <w:t>which are more than 90% identical by</w:t>
      </w:r>
      <w:r>
        <w:rPr>
          <w:spacing w:val="-4"/>
        </w:rPr>
        <w:t> </w:t>
      </w:r>
      <w:r>
        <w:rPr/>
        <w:t>sequence. On one hand, the sequence similarity of the channels presumably corresponds to similarity of their functional properties. On the other hand, the multiplicity of genes encoding sodium channels is responsible for many different mechanisms for generating an action potential (Elaine and Michael, 2007).</w:t>
      </w:r>
    </w:p>
    <w:p>
      <w:pPr>
        <w:pStyle w:val="BodyText"/>
        <w:spacing w:before="186"/>
      </w:pPr>
    </w:p>
    <w:p>
      <w:pPr>
        <w:pStyle w:val="BodyText"/>
        <w:spacing w:line="480" w:lineRule="auto"/>
        <w:ind w:left="681" w:right="284"/>
        <w:jc w:val="both"/>
      </w:pPr>
      <w:r>
        <w:rPr/>
        <w:t>Voltage-gated</w:t>
      </w:r>
      <w:r>
        <w:rPr>
          <w:spacing w:val="-1"/>
        </w:rPr>
        <w:t> </w:t>
      </w:r>
      <w:r>
        <w:rPr/>
        <w:t>sodium</w:t>
      </w:r>
      <w:r>
        <w:rPr>
          <w:spacing w:val="-6"/>
        </w:rPr>
        <w:t> </w:t>
      </w:r>
      <w:r>
        <w:rPr/>
        <w:t>channels</w:t>
      </w:r>
      <w:r>
        <w:rPr>
          <w:spacing w:val="-3"/>
        </w:rPr>
        <w:t> </w:t>
      </w:r>
      <w:r>
        <w:rPr/>
        <w:t>(Na</w:t>
      </w:r>
      <w:r>
        <w:rPr>
          <w:vertAlign w:val="subscript"/>
        </w:rPr>
        <w:t>V</w:t>
      </w:r>
      <w:r>
        <w:rPr>
          <w:vertAlign w:val="baseline"/>
        </w:rPr>
        <w:t>) play</w:t>
      </w:r>
      <w:r>
        <w:rPr>
          <w:spacing w:val="-6"/>
          <w:vertAlign w:val="baseline"/>
        </w:rPr>
        <w:t> </w:t>
      </w:r>
      <w:r>
        <w:rPr>
          <w:vertAlign w:val="baseline"/>
        </w:rPr>
        <w:t>key</w:t>
      </w:r>
      <w:r>
        <w:rPr>
          <w:spacing w:val="-6"/>
          <w:vertAlign w:val="baseline"/>
        </w:rPr>
        <w:t> </w:t>
      </w:r>
      <w:r>
        <w:rPr>
          <w:vertAlign w:val="baseline"/>
        </w:rPr>
        <w:t>roles in</w:t>
      </w:r>
      <w:r>
        <w:rPr>
          <w:spacing w:val="-1"/>
          <w:vertAlign w:val="baseline"/>
        </w:rPr>
        <w:t> </w:t>
      </w:r>
      <w:r>
        <w:rPr>
          <w:vertAlign w:val="baseline"/>
        </w:rPr>
        <w:t>determining neuronal</w:t>
      </w:r>
      <w:r>
        <w:rPr>
          <w:spacing w:val="-6"/>
          <w:vertAlign w:val="baseline"/>
        </w:rPr>
        <w:t> </w:t>
      </w:r>
      <w:r>
        <w:rPr>
          <w:vertAlign w:val="baseline"/>
        </w:rPr>
        <w:t>excitability. They are involved in the generation of the neuronal action potential, as they mediate the initial inward current during depolarization. Similarly, they are responsible for this same process in cardiac tissue and other excitable cells. They represent the molecular site of action</w:t>
      </w:r>
      <w:r>
        <w:rPr>
          <w:spacing w:val="48"/>
          <w:vertAlign w:val="baseline"/>
        </w:rPr>
        <w:t> </w:t>
      </w:r>
      <w:r>
        <w:rPr>
          <w:vertAlign w:val="baseline"/>
        </w:rPr>
        <w:t>of</w:t>
      </w:r>
      <w:r>
        <w:rPr>
          <w:spacing w:val="52"/>
          <w:vertAlign w:val="baseline"/>
        </w:rPr>
        <w:t> </w:t>
      </w:r>
      <w:r>
        <w:rPr>
          <w:vertAlign w:val="baseline"/>
        </w:rPr>
        <w:t>various</w:t>
      </w:r>
      <w:r>
        <w:rPr>
          <w:spacing w:val="61"/>
          <w:vertAlign w:val="baseline"/>
        </w:rPr>
        <w:t> </w:t>
      </w:r>
      <w:r>
        <w:rPr>
          <w:vertAlign w:val="baseline"/>
        </w:rPr>
        <w:t>neurotoxins,</w:t>
      </w:r>
      <w:r>
        <w:rPr>
          <w:spacing w:val="62"/>
          <w:vertAlign w:val="baseline"/>
        </w:rPr>
        <w:t> </w:t>
      </w:r>
      <w:r>
        <w:rPr>
          <w:vertAlign w:val="baseline"/>
        </w:rPr>
        <w:t>local</w:t>
      </w:r>
      <w:r>
        <w:rPr>
          <w:spacing w:val="51"/>
          <w:vertAlign w:val="baseline"/>
        </w:rPr>
        <w:t> </w:t>
      </w:r>
      <w:r>
        <w:rPr>
          <w:vertAlign w:val="baseline"/>
        </w:rPr>
        <w:t>anesthetics,</w:t>
      </w:r>
      <w:r>
        <w:rPr>
          <w:spacing w:val="62"/>
          <w:vertAlign w:val="baseline"/>
        </w:rPr>
        <w:t> </w:t>
      </w:r>
      <w:r>
        <w:rPr>
          <w:vertAlign w:val="baseline"/>
        </w:rPr>
        <w:t>anticonvulsants,</w:t>
      </w:r>
      <w:r>
        <w:rPr>
          <w:spacing w:val="57"/>
          <w:vertAlign w:val="baseline"/>
        </w:rPr>
        <w:t> </w:t>
      </w:r>
      <w:r>
        <w:rPr>
          <w:vertAlign w:val="baseline"/>
        </w:rPr>
        <w:t>and</w:t>
      </w:r>
      <w:r>
        <w:rPr>
          <w:spacing w:val="60"/>
          <w:vertAlign w:val="baseline"/>
        </w:rPr>
        <w:t> </w:t>
      </w:r>
      <w:r>
        <w:rPr>
          <w:spacing w:val="-2"/>
          <w:vertAlign w:val="baseline"/>
        </w:rPr>
        <w:t>antiarrhythmics</w:t>
      </w:r>
    </w:p>
    <w:p>
      <w:pPr>
        <w:spacing w:after="0" w:line="480" w:lineRule="auto"/>
        <w:jc w:val="both"/>
        <w:sectPr>
          <w:pgSz w:w="12240" w:h="15840"/>
          <w:pgMar w:header="0" w:footer="1066" w:top="1360" w:bottom="1260" w:left="1480" w:right="1160"/>
        </w:sectPr>
      </w:pPr>
    </w:p>
    <w:p>
      <w:pPr>
        <w:pStyle w:val="BodyText"/>
        <w:spacing w:line="480" w:lineRule="auto" w:before="72"/>
        <w:ind w:left="681" w:right="277"/>
        <w:jc w:val="both"/>
      </w:pPr>
      <w:r>
        <w:rPr/>
        <w:t>(Benjamin, </w:t>
      </w:r>
      <w:r>
        <w:rPr>
          <w:i/>
        </w:rPr>
        <w:t>et al., </w:t>
      </w:r>
      <w:r>
        <w:rPr/>
        <w:t>2006). Compounds such as these are very effective in treating clinical hyperexcitability states driven through the aberrant activity of sodium channels, in conditions such as epilepsy and neuropathic pain, or to produce complete nerve block in the case of the local anesthetics (Steve and Marcel, 2009).</w:t>
      </w:r>
    </w:p>
    <w:p>
      <w:pPr>
        <w:pStyle w:val="BodyText"/>
      </w:pPr>
    </w:p>
    <w:p>
      <w:pPr>
        <w:pStyle w:val="BodyText"/>
        <w:spacing w:before="6"/>
      </w:pPr>
    </w:p>
    <w:p>
      <w:pPr>
        <w:pStyle w:val="Heading2"/>
        <w:numPr>
          <w:ilvl w:val="2"/>
          <w:numId w:val="10"/>
        </w:numPr>
        <w:tabs>
          <w:tab w:pos="1222" w:val="left" w:leader="none"/>
        </w:tabs>
        <w:spacing w:line="240" w:lineRule="auto" w:before="0" w:after="0"/>
        <w:ind w:left="1222" w:right="0" w:hanging="541"/>
        <w:jc w:val="both"/>
      </w:pPr>
      <w:bookmarkStart w:name="_TOC_250070" w:id="14"/>
      <w:r>
        <w:rPr/>
        <w:t>Nomenclature</w:t>
      </w:r>
      <w:r>
        <w:rPr>
          <w:spacing w:val="-2"/>
        </w:rPr>
        <w:t> </w:t>
      </w:r>
      <w:r>
        <w:rPr/>
        <w:t>of</w:t>
      </w:r>
      <w:r>
        <w:rPr>
          <w:spacing w:val="-3"/>
        </w:rPr>
        <w:t> </w:t>
      </w:r>
      <w:r>
        <w:rPr/>
        <w:t>voltage-gated</w:t>
      </w:r>
      <w:r>
        <w:rPr>
          <w:spacing w:val="-1"/>
        </w:rPr>
        <w:t> </w:t>
      </w:r>
      <w:r>
        <w:rPr/>
        <w:t>sodium</w:t>
      </w:r>
      <w:r>
        <w:rPr>
          <w:spacing w:val="-3"/>
        </w:rPr>
        <w:t> </w:t>
      </w:r>
      <w:bookmarkEnd w:id="14"/>
      <w:r>
        <w:rPr>
          <w:spacing w:val="-2"/>
        </w:rPr>
        <w:t>channels</w:t>
      </w:r>
    </w:p>
    <w:p>
      <w:pPr>
        <w:pStyle w:val="BodyText"/>
        <w:spacing w:line="480" w:lineRule="auto" w:before="271"/>
        <w:ind w:left="681" w:right="271"/>
        <w:jc w:val="both"/>
      </w:pPr>
      <w:r>
        <w:rPr/>
        <w:t>According to Ertel </w:t>
      </w:r>
      <w:r>
        <w:rPr>
          <w:i/>
        </w:rPr>
        <w:t>et al., </w:t>
      </w:r>
      <w:r>
        <w:rPr/>
        <w:t>(2000) and Catterall, </w:t>
      </w:r>
      <w:r>
        <w:rPr>
          <w:i/>
        </w:rPr>
        <w:t>et al</w:t>
      </w:r>
      <w:r>
        <w:rPr/>
        <w:t>., (2005), a systematic nomenclature has also been adopted for voltage-gated sodium</w:t>
      </w:r>
      <w:r>
        <w:rPr>
          <w:spacing w:val="-5"/>
        </w:rPr>
        <w:t> </w:t>
      </w:r>
      <w:r>
        <w:rPr/>
        <w:t>channels.</w:t>
      </w:r>
      <w:r>
        <w:rPr>
          <w:spacing w:val="40"/>
        </w:rPr>
        <w:t> </w:t>
      </w:r>
      <w:r>
        <w:rPr/>
        <w:t>In this numenclature</w:t>
      </w:r>
      <w:r>
        <w:rPr>
          <w:spacing w:val="-1"/>
        </w:rPr>
        <w:t> </w:t>
      </w:r>
      <w:r>
        <w:rPr/>
        <w:t>the name of an individual channel consists of the chemical symbol of the principal permeating ion (Na) with the principal physiological regulator (voltage) indicated as a subscript (Na</w:t>
      </w:r>
      <w:r>
        <w:rPr>
          <w:vertAlign w:val="subscript"/>
        </w:rPr>
        <w:t>V</w:t>
      </w:r>
      <w:r>
        <w:rPr>
          <w:vertAlign w:val="baseline"/>
        </w:rPr>
        <w:t>). The number following the subscript indicates the gene subfamily (currently only Na</w:t>
      </w:r>
      <w:r>
        <w:rPr>
          <w:vertAlign w:val="subscript"/>
        </w:rPr>
        <w:t>V</w:t>
      </w:r>
      <w:r>
        <w:rPr>
          <w:vertAlign w:val="baseline"/>
        </w:rPr>
        <w:t>1), and the number following the full point identifies the specific channel isoform (e.g., Na</w:t>
      </w:r>
      <w:r>
        <w:rPr>
          <w:vertAlign w:val="subscript"/>
        </w:rPr>
        <w:t>V</w:t>
      </w:r>
      <w:r>
        <w:rPr>
          <w:vertAlign w:val="baseline"/>
        </w:rPr>
        <w:t>1.1). This last number has been</w:t>
      </w:r>
      <w:r>
        <w:rPr>
          <w:spacing w:val="-6"/>
          <w:vertAlign w:val="baseline"/>
        </w:rPr>
        <w:t> </w:t>
      </w:r>
      <w:r>
        <w:rPr>
          <w:vertAlign w:val="baseline"/>
        </w:rPr>
        <w:t>assigned</w:t>
      </w:r>
      <w:r>
        <w:rPr>
          <w:spacing w:val="-1"/>
          <w:vertAlign w:val="baseline"/>
        </w:rPr>
        <w:t> </w:t>
      </w:r>
      <w:r>
        <w:rPr>
          <w:vertAlign w:val="baseline"/>
        </w:rPr>
        <w:t>according</w:t>
      </w:r>
      <w:r>
        <w:rPr>
          <w:spacing w:val="-1"/>
          <w:vertAlign w:val="baseline"/>
        </w:rPr>
        <w:t> </w:t>
      </w:r>
      <w:r>
        <w:rPr>
          <w:vertAlign w:val="baseline"/>
        </w:rPr>
        <w:t>to</w:t>
      </w:r>
      <w:r>
        <w:rPr>
          <w:spacing w:val="-1"/>
          <w:vertAlign w:val="baseline"/>
        </w:rPr>
        <w:t> </w:t>
      </w:r>
      <w:r>
        <w:rPr>
          <w:vertAlign w:val="baseline"/>
        </w:rPr>
        <w:t>the</w:t>
      </w:r>
      <w:r>
        <w:rPr>
          <w:spacing w:val="-2"/>
          <w:vertAlign w:val="baseline"/>
        </w:rPr>
        <w:t> </w:t>
      </w:r>
      <w:r>
        <w:rPr>
          <w:vertAlign w:val="baseline"/>
        </w:rPr>
        <w:t>approximate</w:t>
      </w:r>
      <w:r>
        <w:rPr>
          <w:spacing w:val="-2"/>
          <w:vertAlign w:val="baseline"/>
        </w:rPr>
        <w:t> </w:t>
      </w:r>
      <w:r>
        <w:rPr>
          <w:vertAlign w:val="baseline"/>
        </w:rPr>
        <w:t>order in</w:t>
      </w:r>
      <w:r>
        <w:rPr>
          <w:spacing w:val="-6"/>
          <w:vertAlign w:val="baseline"/>
        </w:rPr>
        <w:t> </w:t>
      </w:r>
      <w:r>
        <w:rPr>
          <w:vertAlign w:val="baseline"/>
        </w:rPr>
        <w:t>which each gene was identified. Splice variants of each family member are identified by lowercase letters following the numbers (e.g., Na</w:t>
      </w:r>
      <w:r>
        <w:rPr>
          <w:vertAlign w:val="subscript"/>
        </w:rPr>
        <w:t>V</w:t>
      </w:r>
      <w:r>
        <w:rPr>
          <w:vertAlign w:val="baseline"/>
        </w:rPr>
        <w:t>1.1a).</w:t>
      </w:r>
    </w:p>
    <w:p>
      <w:pPr>
        <w:pStyle w:val="BodyText"/>
      </w:pPr>
    </w:p>
    <w:p>
      <w:pPr>
        <w:pStyle w:val="BodyText"/>
        <w:spacing w:before="7"/>
      </w:pPr>
    </w:p>
    <w:p>
      <w:pPr>
        <w:pStyle w:val="Heading2"/>
        <w:numPr>
          <w:ilvl w:val="2"/>
          <w:numId w:val="10"/>
        </w:numPr>
        <w:tabs>
          <w:tab w:pos="1222" w:val="left" w:leader="none"/>
        </w:tabs>
        <w:spacing w:line="240" w:lineRule="auto" w:before="0" w:after="0"/>
        <w:ind w:left="1222" w:right="0" w:hanging="541"/>
        <w:jc w:val="both"/>
      </w:pPr>
      <w:bookmarkStart w:name="_TOC_250069" w:id="15"/>
      <w:r>
        <w:rPr/>
        <w:t>Anatomical</w:t>
      </w:r>
      <w:r>
        <w:rPr>
          <w:spacing w:val="-7"/>
        </w:rPr>
        <w:t> </w:t>
      </w:r>
      <w:r>
        <w:rPr/>
        <w:t>location</w:t>
      </w:r>
      <w:r>
        <w:rPr>
          <w:spacing w:val="1"/>
        </w:rPr>
        <w:t> </w:t>
      </w:r>
      <w:r>
        <w:rPr/>
        <w:t>of</w:t>
      </w:r>
      <w:r>
        <w:rPr>
          <w:spacing w:val="-3"/>
        </w:rPr>
        <w:t> </w:t>
      </w:r>
      <w:r>
        <w:rPr/>
        <w:t>voltage-gated</w:t>
      </w:r>
      <w:r>
        <w:rPr>
          <w:spacing w:val="-1"/>
        </w:rPr>
        <w:t> </w:t>
      </w:r>
      <w:r>
        <w:rPr/>
        <w:t>sodium</w:t>
      </w:r>
      <w:bookmarkEnd w:id="15"/>
      <w:r>
        <w:rPr>
          <w:spacing w:val="-2"/>
        </w:rPr>
        <w:t> channels</w:t>
      </w:r>
    </w:p>
    <w:p>
      <w:pPr>
        <w:pStyle w:val="BodyText"/>
        <w:spacing w:line="480" w:lineRule="auto" w:before="272"/>
        <w:ind w:left="681" w:right="276"/>
        <w:jc w:val="both"/>
      </w:pPr>
      <w:r>
        <w:rPr/>
        <w:t>Sodium</w:t>
      </w:r>
      <w:r>
        <w:rPr>
          <w:spacing w:val="-2"/>
        </w:rPr>
        <w:t> </w:t>
      </w:r>
      <w:r>
        <w:rPr/>
        <w:t>channels are predominantly found in specific anatomical</w:t>
      </w:r>
      <w:r>
        <w:rPr>
          <w:spacing w:val="-2"/>
        </w:rPr>
        <w:t> </w:t>
      </w:r>
      <w:r>
        <w:rPr/>
        <w:t>regions, suggesting that they might be tuned for specific functions. For example, the channels Na</w:t>
      </w:r>
      <w:r>
        <w:rPr>
          <w:vertAlign w:val="subscript"/>
        </w:rPr>
        <w:t>v</w:t>
      </w:r>
      <w:r>
        <w:rPr>
          <w:vertAlign w:val="baseline"/>
        </w:rPr>
        <w:t>1.1, Na</w:t>
      </w:r>
      <w:r>
        <w:rPr>
          <w:vertAlign w:val="subscript"/>
        </w:rPr>
        <w:t>v</w:t>
      </w:r>
      <w:r>
        <w:rPr>
          <w:vertAlign w:val="baseline"/>
        </w:rPr>
        <w:t>1.2, Na</w:t>
      </w:r>
      <w:r>
        <w:rPr>
          <w:vertAlign w:val="subscript"/>
        </w:rPr>
        <w:t>v</w:t>
      </w:r>
      <w:r>
        <w:rPr>
          <w:vertAlign w:val="baseline"/>
        </w:rPr>
        <w:t>1.3, Na</w:t>
      </w:r>
      <w:r>
        <w:rPr>
          <w:vertAlign w:val="subscript"/>
        </w:rPr>
        <w:t>v</w:t>
      </w:r>
      <w:r>
        <w:rPr>
          <w:vertAlign w:val="baseline"/>
        </w:rPr>
        <w:t>1.6, and Na</w:t>
      </w:r>
      <w:r>
        <w:rPr>
          <w:vertAlign w:val="subscript"/>
        </w:rPr>
        <w:t>v</w:t>
      </w:r>
      <w:r>
        <w:rPr>
          <w:vertAlign w:val="baseline"/>
        </w:rPr>
        <w:t>1.7 are predominantly localized in the central and peripheral nervous systems; Na</w:t>
      </w:r>
      <w:r>
        <w:rPr>
          <w:vertAlign w:val="subscript"/>
        </w:rPr>
        <w:t>v</w:t>
      </w:r>
      <w:r>
        <w:rPr>
          <w:vertAlign w:val="baseline"/>
        </w:rPr>
        <w:t>1.8 and Na</w:t>
      </w:r>
      <w:r>
        <w:rPr>
          <w:vertAlign w:val="subscript"/>
        </w:rPr>
        <w:t>v</w:t>
      </w:r>
      <w:r>
        <w:rPr>
          <w:vertAlign w:val="baseline"/>
        </w:rPr>
        <w:t>1.9 primarily in the dorsal root ganglion; Na</w:t>
      </w:r>
      <w:r>
        <w:rPr>
          <w:vertAlign w:val="subscript"/>
        </w:rPr>
        <w:t>v</w:t>
      </w:r>
      <w:r>
        <w:rPr>
          <w:vertAlign w:val="baseline"/>
        </w:rPr>
        <w:t>1.4 primarily at skeletal muscular junctions; Na</w:t>
      </w:r>
      <w:r>
        <w:rPr>
          <w:vertAlign w:val="subscript"/>
        </w:rPr>
        <w:t>v</w:t>
      </w:r>
      <w:r>
        <w:rPr>
          <w:vertAlign w:val="baseline"/>
        </w:rPr>
        <w:t>1.5 primarily in cardiac tissue (Elaine and Michael, 2007).</w:t>
      </w:r>
    </w:p>
    <w:p>
      <w:pPr>
        <w:spacing w:after="0" w:line="480" w:lineRule="auto"/>
        <w:jc w:val="both"/>
        <w:sectPr>
          <w:pgSz w:w="12240" w:h="15840"/>
          <w:pgMar w:header="0" w:footer="1066" w:top="1360" w:bottom="1260" w:left="1480" w:right="1160"/>
        </w:sectPr>
      </w:pPr>
    </w:p>
    <w:p>
      <w:pPr>
        <w:pStyle w:val="Heading2"/>
        <w:numPr>
          <w:ilvl w:val="2"/>
          <w:numId w:val="10"/>
        </w:numPr>
        <w:tabs>
          <w:tab w:pos="1222" w:val="left" w:leader="none"/>
        </w:tabs>
        <w:spacing w:line="240" w:lineRule="auto" w:before="77" w:after="0"/>
        <w:ind w:left="1222" w:right="0" w:hanging="541"/>
        <w:jc w:val="both"/>
      </w:pPr>
      <w:r>
        <w:rPr/>
        <w:t>Structural</w:t>
      </w:r>
      <w:r>
        <w:rPr>
          <w:spacing w:val="-7"/>
        </w:rPr>
        <w:t> </w:t>
      </w:r>
      <w:r>
        <w:rPr/>
        <w:t>function</w:t>
      </w:r>
      <w:r>
        <w:rPr>
          <w:spacing w:val="-1"/>
        </w:rPr>
        <w:t> </w:t>
      </w:r>
      <w:r>
        <w:rPr/>
        <w:t>of</w:t>
      </w:r>
      <w:r>
        <w:rPr>
          <w:spacing w:val="-5"/>
        </w:rPr>
        <w:t> </w:t>
      </w:r>
      <w:r>
        <w:rPr/>
        <w:t>voltage-gated</w:t>
      </w:r>
      <w:r>
        <w:rPr>
          <w:spacing w:val="-3"/>
        </w:rPr>
        <w:t> </w:t>
      </w:r>
      <w:r>
        <w:rPr/>
        <w:t>sodium</w:t>
      </w:r>
      <w:r>
        <w:rPr>
          <w:spacing w:val="-4"/>
        </w:rPr>
        <w:t> </w:t>
      </w:r>
      <w:r>
        <w:rPr/>
        <w:t>channels</w:t>
      </w:r>
      <w:r>
        <w:rPr>
          <w:spacing w:val="-4"/>
        </w:rPr>
        <w:t> </w:t>
      </w:r>
      <w:r>
        <w:rPr>
          <w:spacing w:val="-2"/>
        </w:rPr>
        <w:t>(Nav)</w:t>
      </w:r>
    </w:p>
    <w:p>
      <w:pPr>
        <w:pStyle w:val="BodyText"/>
        <w:spacing w:line="480" w:lineRule="auto" w:before="271"/>
        <w:ind w:left="681" w:right="274"/>
        <w:jc w:val="both"/>
      </w:pPr>
      <w:r>
        <w:rPr/>
        <w:t>Voltage-gated sodium channels (Na</w:t>
      </w:r>
      <w:r>
        <w:rPr>
          <w:vertAlign w:val="subscript"/>
        </w:rPr>
        <w:t>v)</w:t>
      </w:r>
      <w:r>
        <w:rPr>
          <w:vertAlign w:val="baseline"/>
        </w:rPr>
        <w:t> are heteromultimers and composed of α pore- forming subunit that can associate with auxiliary β subunits. Nine α subunits, named Na</w:t>
      </w:r>
      <w:r>
        <w:rPr>
          <w:vertAlign w:val="subscript"/>
        </w:rPr>
        <w:t>v</w:t>
      </w:r>
      <w:r>
        <w:rPr>
          <w:vertAlign w:val="baseline"/>
        </w:rPr>
        <w:t>1.1 through Na</w:t>
      </w:r>
      <w:r>
        <w:rPr>
          <w:vertAlign w:val="subscript"/>
        </w:rPr>
        <w:t>v</w:t>
      </w:r>
      <w:r>
        <w:rPr>
          <w:vertAlign w:val="baseline"/>
        </w:rPr>
        <w:t>1.9, have been cloned and expressed (Benjamin, </w:t>
      </w:r>
      <w:r>
        <w:rPr>
          <w:i/>
          <w:vertAlign w:val="baseline"/>
        </w:rPr>
        <w:t>et al., </w:t>
      </w:r>
      <w:r>
        <w:rPr>
          <w:vertAlign w:val="baseline"/>
        </w:rPr>
        <w:t>2006).</w:t>
      </w:r>
      <w:r>
        <w:rPr>
          <w:spacing w:val="40"/>
          <w:vertAlign w:val="baseline"/>
        </w:rPr>
        <w:t> </w:t>
      </w:r>
      <w:r>
        <w:rPr>
          <w:vertAlign w:val="baseline"/>
        </w:rPr>
        <w:t>The auxiliary β subunits, is known to modulate the gating kinetics of the channel (Catterall, 2000) there by modulating biophysical</w:t>
      </w:r>
      <w:r>
        <w:rPr>
          <w:spacing w:val="-5"/>
          <w:vertAlign w:val="baseline"/>
        </w:rPr>
        <w:t> </w:t>
      </w:r>
      <w:r>
        <w:rPr>
          <w:vertAlign w:val="baseline"/>
        </w:rPr>
        <w:t>properties of</w:t>
      </w:r>
      <w:r>
        <w:rPr>
          <w:spacing w:val="-3"/>
          <w:vertAlign w:val="baseline"/>
        </w:rPr>
        <w:t> </w:t>
      </w:r>
      <w:r>
        <w:rPr>
          <w:vertAlign w:val="baseline"/>
        </w:rPr>
        <w:t>the channels and regulate trafficking and anchoring of the channels at the cell membrane (Dib-Hajj, 2009). The major structural component of Na</w:t>
      </w:r>
      <w:r>
        <w:rPr>
          <w:vertAlign w:val="subscript"/>
        </w:rPr>
        <w:t>v</w:t>
      </w:r>
      <w:r>
        <w:rPr>
          <w:vertAlign w:val="baseline"/>
        </w:rPr>
        <w:t> is a large (230–270 kDa) subunit, which is alone sufficient</w:t>
      </w:r>
      <w:r>
        <w:rPr>
          <w:spacing w:val="80"/>
          <w:vertAlign w:val="baseline"/>
        </w:rPr>
        <w:t> </w:t>
      </w:r>
      <w:r>
        <w:rPr>
          <w:vertAlign w:val="baseline"/>
        </w:rPr>
        <w:t>to form a functional Na</w:t>
      </w:r>
      <w:r>
        <w:rPr>
          <w:vertAlign w:val="superscript"/>
        </w:rPr>
        <w:t>+</w:t>
      </w:r>
      <w:r>
        <w:rPr>
          <w:vertAlign w:val="baseline"/>
        </w:rPr>
        <w:t> conducting channel (initiation and propagation of action potentials in excitable cells). This subunit contains four homologous domains (I–IV),</w:t>
      </w:r>
      <w:r>
        <w:rPr>
          <w:spacing w:val="40"/>
          <w:vertAlign w:val="baseline"/>
        </w:rPr>
        <w:t> </w:t>
      </w:r>
      <w:r>
        <w:rPr>
          <w:vertAlign w:val="baseline"/>
        </w:rPr>
        <w:t>each containing six membrane-spanning segments (S1–S6). In response to membrane depolarization, an outward movement of the positively charged S4 segments induces the conformational changes in the pore leading to the conducting activated state. The channels then enter inactivated states within a few milliseconds of channel opening. The nine subunit subtypes (Na</w:t>
      </w:r>
      <w:r>
        <w:rPr>
          <w:vertAlign w:val="subscript"/>
        </w:rPr>
        <w:t>v</w:t>
      </w:r>
      <w:r>
        <w:rPr>
          <w:vertAlign w:val="baseline"/>
        </w:rPr>
        <w:t>1.1 to Na</w:t>
      </w:r>
      <w:r>
        <w:rPr>
          <w:vertAlign w:val="subscript"/>
        </w:rPr>
        <w:t>v</w:t>
      </w:r>
      <w:r>
        <w:rPr>
          <w:vertAlign w:val="baseline"/>
        </w:rPr>
        <w:t>1.9) differ in their primary structure, ionic permeation, tissue distribution, functional properties, and pharmacology (Browne </w:t>
      </w:r>
      <w:r>
        <w:rPr>
          <w:i/>
          <w:vertAlign w:val="baseline"/>
        </w:rPr>
        <w:t>et al., </w:t>
      </w:r>
      <w:r>
        <w:rPr>
          <w:spacing w:val="-2"/>
          <w:vertAlign w:val="baseline"/>
        </w:rPr>
        <w:t>2009).</w:t>
      </w:r>
    </w:p>
    <w:p>
      <w:pPr>
        <w:pStyle w:val="BodyText"/>
      </w:pPr>
    </w:p>
    <w:p>
      <w:pPr>
        <w:pStyle w:val="BodyText"/>
        <w:spacing w:before="8"/>
      </w:pPr>
    </w:p>
    <w:p>
      <w:pPr>
        <w:pStyle w:val="Heading2"/>
        <w:numPr>
          <w:ilvl w:val="2"/>
          <w:numId w:val="10"/>
        </w:numPr>
        <w:tabs>
          <w:tab w:pos="1222" w:val="left" w:leader="none"/>
        </w:tabs>
        <w:spacing w:line="240" w:lineRule="auto" w:before="1" w:after="0"/>
        <w:ind w:left="1222" w:right="0" w:hanging="541"/>
        <w:jc w:val="both"/>
      </w:pPr>
      <w:bookmarkStart w:name="_TOC_250068" w:id="16"/>
      <w:r>
        <w:rPr/>
        <w:t>Sodium</w:t>
      </w:r>
      <w:r>
        <w:rPr>
          <w:spacing w:val="-4"/>
        </w:rPr>
        <w:t> </w:t>
      </w:r>
      <w:r>
        <w:rPr/>
        <w:t>channel</w:t>
      </w:r>
      <w:r>
        <w:rPr>
          <w:spacing w:val="-6"/>
        </w:rPr>
        <w:t> </w:t>
      </w:r>
      <w:r>
        <w:rPr/>
        <w:t>molecular</w:t>
      </w:r>
      <w:r>
        <w:rPr>
          <w:spacing w:val="-6"/>
        </w:rPr>
        <w:t> </w:t>
      </w:r>
      <w:bookmarkEnd w:id="16"/>
      <w:r>
        <w:rPr>
          <w:spacing w:val="-2"/>
        </w:rPr>
        <w:t>pharmacology</w:t>
      </w:r>
    </w:p>
    <w:p>
      <w:pPr>
        <w:pStyle w:val="BodyText"/>
        <w:spacing w:line="480" w:lineRule="auto" w:before="271"/>
        <w:ind w:left="681" w:right="279"/>
        <w:jc w:val="both"/>
      </w:pPr>
      <w:r>
        <w:rPr/>
        <w:t>Voltage-gated</w:t>
      </w:r>
      <w:r>
        <w:rPr>
          <w:spacing w:val="-2"/>
        </w:rPr>
        <w:t> </w:t>
      </w:r>
      <w:r>
        <w:rPr/>
        <w:t>sodium</w:t>
      </w:r>
      <w:r>
        <w:rPr>
          <w:spacing w:val="-7"/>
        </w:rPr>
        <w:t> </w:t>
      </w:r>
      <w:r>
        <w:rPr/>
        <w:t>channels are</w:t>
      </w:r>
      <w:r>
        <w:rPr>
          <w:spacing w:val="-3"/>
        </w:rPr>
        <w:t> </w:t>
      </w:r>
      <w:r>
        <w:rPr/>
        <w:t>the molecular</w:t>
      </w:r>
      <w:r>
        <w:rPr>
          <w:spacing w:val="-1"/>
        </w:rPr>
        <w:t> </w:t>
      </w:r>
      <w:r>
        <w:rPr/>
        <w:t>targets</w:t>
      </w:r>
      <w:r>
        <w:rPr>
          <w:spacing w:val="-4"/>
        </w:rPr>
        <w:t> </w:t>
      </w:r>
      <w:r>
        <w:rPr/>
        <w:t>for</w:t>
      </w:r>
      <w:r>
        <w:rPr>
          <w:spacing w:val="-1"/>
        </w:rPr>
        <w:t> </w:t>
      </w:r>
      <w:r>
        <w:rPr/>
        <w:t>several</w:t>
      </w:r>
      <w:r>
        <w:rPr>
          <w:spacing w:val="-2"/>
        </w:rPr>
        <w:t> </w:t>
      </w:r>
      <w:r>
        <w:rPr/>
        <w:t>important commonly used classes of drugs: local anesthetic and antiarrhythmic drugs, anticonvulsant drugs (antiepileptics), and antidepressants, even</w:t>
      </w:r>
      <w:r>
        <w:rPr>
          <w:spacing w:val="-6"/>
        </w:rPr>
        <w:t> </w:t>
      </w:r>
      <w:r>
        <w:rPr/>
        <w:t>though</w:t>
      </w:r>
      <w:r>
        <w:rPr>
          <w:spacing w:val="-6"/>
        </w:rPr>
        <w:t> </w:t>
      </w:r>
      <w:r>
        <w:rPr/>
        <w:t>the</w:t>
      </w:r>
      <w:r>
        <w:rPr>
          <w:spacing w:val="-3"/>
        </w:rPr>
        <w:t> </w:t>
      </w:r>
      <w:r>
        <w:rPr/>
        <w:t>therapeutic</w:t>
      </w:r>
      <w:r>
        <w:rPr>
          <w:spacing w:val="-3"/>
        </w:rPr>
        <w:t> </w:t>
      </w:r>
      <w:r>
        <w:rPr/>
        <w:t>goals for</w:t>
      </w:r>
      <w:r>
        <w:rPr>
          <w:spacing w:val="-1"/>
        </w:rPr>
        <w:t> </w:t>
      </w:r>
      <w:r>
        <w:rPr/>
        <w:t>these</w:t>
      </w:r>
      <w:r>
        <w:rPr>
          <w:spacing w:val="-3"/>
        </w:rPr>
        <w:t> </w:t>
      </w:r>
      <w:r>
        <w:rPr/>
        <w:t>drugs</w:t>
      </w:r>
      <w:r>
        <w:rPr>
          <w:spacing w:val="-4"/>
        </w:rPr>
        <w:t> </w:t>
      </w:r>
      <w:r>
        <w:rPr/>
        <w:t>are quite</w:t>
      </w:r>
      <w:r>
        <w:rPr>
          <w:spacing w:val="-2"/>
        </w:rPr>
        <w:t> </w:t>
      </w:r>
      <w:r>
        <w:rPr/>
        <w:t>different.</w:t>
      </w:r>
      <w:r>
        <w:rPr>
          <w:spacing w:val="4"/>
        </w:rPr>
        <w:t> </w:t>
      </w:r>
      <w:r>
        <w:rPr/>
        <w:t>All</w:t>
      </w:r>
      <w:r>
        <w:rPr>
          <w:spacing w:val="-2"/>
        </w:rPr>
        <w:t> </w:t>
      </w:r>
      <w:r>
        <w:rPr/>
        <w:t>the</w:t>
      </w:r>
      <w:r>
        <w:rPr>
          <w:spacing w:val="1"/>
        </w:rPr>
        <w:t> </w:t>
      </w:r>
      <w:r>
        <w:rPr/>
        <w:t>three types of</w:t>
      </w:r>
      <w:r>
        <w:rPr>
          <w:spacing w:val="-6"/>
        </w:rPr>
        <w:t> </w:t>
      </w:r>
      <w:r>
        <w:rPr/>
        <w:t>drugs</w:t>
      </w:r>
      <w:r>
        <w:rPr>
          <w:spacing w:val="4"/>
        </w:rPr>
        <w:t> </w:t>
      </w:r>
      <w:r>
        <w:rPr/>
        <w:t>block</w:t>
      </w:r>
      <w:r>
        <w:rPr>
          <w:spacing w:val="5"/>
        </w:rPr>
        <w:t> </w:t>
      </w:r>
      <w:r>
        <w:rPr/>
        <w:t>sodium</w:t>
      </w:r>
      <w:r>
        <w:rPr>
          <w:spacing w:val="-3"/>
        </w:rPr>
        <w:t> </w:t>
      </w:r>
      <w:r>
        <w:rPr/>
        <w:t>currents with</w:t>
      </w:r>
      <w:r>
        <w:rPr>
          <w:spacing w:val="2"/>
        </w:rPr>
        <w:t> </w:t>
      </w:r>
      <w:r>
        <w:rPr/>
        <w:t>noticeable</w:t>
      </w:r>
      <w:r>
        <w:rPr>
          <w:spacing w:val="6"/>
        </w:rPr>
        <w:t> </w:t>
      </w:r>
      <w:r>
        <w:rPr>
          <w:spacing w:val="-2"/>
        </w:rPr>
        <w:t>voltage</w:t>
      </w:r>
    </w:p>
    <w:p>
      <w:pPr>
        <w:spacing w:after="0" w:line="480" w:lineRule="auto"/>
        <w:jc w:val="both"/>
        <w:sectPr>
          <w:pgSz w:w="12240" w:h="15840"/>
          <w:pgMar w:header="0" w:footer="1066" w:top="1360" w:bottom="1260" w:left="1480" w:right="1160"/>
        </w:sectPr>
      </w:pPr>
    </w:p>
    <w:p>
      <w:pPr>
        <w:pStyle w:val="BodyText"/>
        <w:spacing w:line="480" w:lineRule="auto" w:before="72"/>
        <w:ind w:left="681" w:right="274"/>
        <w:jc w:val="both"/>
      </w:pPr>
      <w:r>
        <w:rPr/>
        <w:t>dependence, showing low affinity at resting states and strong block for open-inactivated states (Lipkind and Fozzard, 2010).</w:t>
      </w:r>
    </w:p>
    <w:p>
      <w:pPr>
        <w:pStyle w:val="BodyText"/>
      </w:pPr>
    </w:p>
    <w:p>
      <w:pPr>
        <w:pStyle w:val="BodyText"/>
        <w:spacing w:before="1"/>
      </w:pPr>
    </w:p>
    <w:p>
      <w:pPr>
        <w:pStyle w:val="BodyText"/>
        <w:spacing w:line="480" w:lineRule="auto"/>
        <w:ind w:left="681" w:right="280"/>
        <w:jc w:val="both"/>
      </w:pPr>
      <w:r>
        <w:rPr/>
        <w:t>According to Ceste`le and Catterall, (2000) and Catterall, </w:t>
      </w:r>
      <w:r>
        <w:rPr>
          <w:i/>
        </w:rPr>
        <w:t>et al., </w:t>
      </w:r>
      <w:r>
        <w:rPr/>
        <w:t>(2005), all of the pharmacological agents that act on sodium channels have receptor sites on the subunits. At least six distinct receptor sites for neurotoxins and one receptor site for local anesthetics and related drugs have been identified as follows:</w:t>
      </w:r>
    </w:p>
    <w:p>
      <w:pPr>
        <w:pStyle w:val="BodyText"/>
      </w:pPr>
    </w:p>
    <w:p>
      <w:pPr>
        <w:pStyle w:val="BodyText"/>
        <w:spacing w:before="1"/>
      </w:pPr>
    </w:p>
    <w:p>
      <w:pPr>
        <w:pStyle w:val="BodyText"/>
        <w:spacing w:line="480" w:lineRule="auto"/>
        <w:ind w:left="681" w:right="283"/>
        <w:jc w:val="both"/>
      </w:pPr>
      <w:r>
        <w:rPr/>
        <w:t>Neurotoxin receptor site 1: This binds the non peptide pore blockers (tetrodotoxin and saxitoxin) and the peptide pore blocker (conotoxin). The receptor sites for these toxins</w:t>
      </w:r>
      <w:r>
        <w:rPr>
          <w:spacing w:val="40"/>
        </w:rPr>
        <w:t> </w:t>
      </w:r>
      <w:r>
        <w:rPr/>
        <w:t>are formed by</w:t>
      </w:r>
      <w:r>
        <w:rPr>
          <w:spacing w:val="-2"/>
        </w:rPr>
        <w:t> </w:t>
      </w:r>
      <w:r>
        <w:rPr/>
        <w:t>amino acid residues in</w:t>
      </w:r>
      <w:r>
        <w:rPr>
          <w:spacing w:val="-2"/>
        </w:rPr>
        <w:t> </w:t>
      </w:r>
      <w:r>
        <w:rPr/>
        <w:t>the pore loops and immediately</w:t>
      </w:r>
      <w:r>
        <w:rPr>
          <w:spacing w:val="-2"/>
        </w:rPr>
        <w:t> </w:t>
      </w:r>
      <w:r>
        <w:rPr/>
        <w:t>on</w:t>
      </w:r>
      <w:r>
        <w:rPr>
          <w:spacing w:val="-2"/>
        </w:rPr>
        <w:t> </w:t>
      </w:r>
      <w:r>
        <w:rPr/>
        <w:t>the extracellular side of the pore loops at the outer end of the pore.</w:t>
      </w:r>
    </w:p>
    <w:p>
      <w:pPr>
        <w:pStyle w:val="BodyText"/>
      </w:pPr>
    </w:p>
    <w:p>
      <w:pPr>
        <w:pStyle w:val="BodyText"/>
      </w:pPr>
    </w:p>
    <w:p>
      <w:pPr>
        <w:pStyle w:val="BodyText"/>
        <w:spacing w:line="480" w:lineRule="auto" w:before="1"/>
        <w:ind w:left="681" w:right="282"/>
        <w:jc w:val="both"/>
      </w:pPr>
      <w:r>
        <w:rPr/>
        <w:t>Neurotoxin receptor site 2: Binds a family of lipid-soluble toxins, including batrachotoxin, veratridine, aconitine, and grayanotoxin, which enhance activation of sodium channels. The receptor site for batrachotoxin is at the transmembrane segments IS6 and IVS6.</w:t>
      </w:r>
    </w:p>
    <w:p>
      <w:pPr>
        <w:pStyle w:val="BodyText"/>
      </w:pPr>
    </w:p>
    <w:p>
      <w:pPr>
        <w:pStyle w:val="BodyText"/>
        <w:spacing w:before="1"/>
      </w:pPr>
    </w:p>
    <w:p>
      <w:pPr>
        <w:pStyle w:val="BodyText"/>
        <w:spacing w:line="480" w:lineRule="auto"/>
        <w:ind w:left="681" w:right="278"/>
        <w:jc w:val="both"/>
      </w:pPr>
      <w:r>
        <w:rPr/>
        <w:t>Neurotoxin receptor site 3: This site binds the scorpion toxins and sea anemone toxins, which slow the coupling of sodium channel activation to inactivation. These peptide toxins bind to a complex receptor site that includes the S3-S4 loop at the outer end of</w:t>
      </w:r>
      <w:r>
        <w:rPr>
          <w:spacing w:val="-3"/>
        </w:rPr>
        <w:t> </w:t>
      </w:r>
      <w:r>
        <w:rPr/>
        <w:t>the S4 segment in domain IV.</w:t>
      </w:r>
    </w:p>
    <w:p>
      <w:pPr>
        <w:spacing w:after="0" w:line="480" w:lineRule="auto"/>
        <w:jc w:val="both"/>
        <w:sectPr>
          <w:pgSz w:w="12240" w:h="15840"/>
          <w:pgMar w:header="0" w:footer="1066" w:top="1360" w:bottom="1260" w:left="1480" w:right="1160"/>
        </w:sectPr>
      </w:pPr>
    </w:p>
    <w:p>
      <w:pPr>
        <w:pStyle w:val="BodyText"/>
        <w:spacing w:line="480" w:lineRule="auto" w:before="72"/>
        <w:ind w:left="681" w:right="275"/>
        <w:jc w:val="both"/>
      </w:pPr>
      <w:r>
        <w:rPr/>
        <w:t>Neurotoxin receptor site 4: Binds the scorpion toxins, which enhance activation of the channels. The</w:t>
      </w:r>
      <w:r>
        <w:rPr>
          <w:spacing w:val="-3"/>
        </w:rPr>
        <w:t> </w:t>
      </w:r>
      <w:r>
        <w:rPr/>
        <w:t>receptor</w:t>
      </w:r>
      <w:r>
        <w:rPr>
          <w:spacing w:val="-1"/>
        </w:rPr>
        <w:t> </w:t>
      </w:r>
      <w:r>
        <w:rPr/>
        <w:t>site includes</w:t>
      </w:r>
      <w:r>
        <w:rPr>
          <w:spacing w:val="-4"/>
        </w:rPr>
        <w:t> </w:t>
      </w:r>
      <w:r>
        <w:rPr/>
        <w:t>the</w:t>
      </w:r>
      <w:r>
        <w:rPr>
          <w:spacing w:val="-3"/>
        </w:rPr>
        <w:t> </w:t>
      </w:r>
      <w:r>
        <w:rPr/>
        <w:t>S3-S4 loop</w:t>
      </w:r>
      <w:r>
        <w:rPr>
          <w:spacing w:val="-2"/>
        </w:rPr>
        <w:t> </w:t>
      </w:r>
      <w:r>
        <w:rPr/>
        <w:t>at</w:t>
      </w:r>
      <w:r>
        <w:rPr>
          <w:spacing w:val="-6"/>
        </w:rPr>
        <w:t> </w:t>
      </w:r>
      <w:r>
        <w:rPr/>
        <w:t>the</w:t>
      </w:r>
      <w:r>
        <w:rPr>
          <w:spacing w:val="-3"/>
        </w:rPr>
        <w:t> </w:t>
      </w:r>
      <w:r>
        <w:rPr/>
        <w:t>extracellular</w:t>
      </w:r>
      <w:r>
        <w:rPr>
          <w:spacing w:val="-1"/>
        </w:rPr>
        <w:t> </w:t>
      </w:r>
      <w:r>
        <w:rPr/>
        <w:t>end</w:t>
      </w:r>
      <w:r>
        <w:rPr>
          <w:spacing w:val="-2"/>
        </w:rPr>
        <w:t> </w:t>
      </w:r>
      <w:r>
        <w:rPr/>
        <w:t>of</w:t>
      </w:r>
      <w:r>
        <w:rPr>
          <w:spacing w:val="-10"/>
        </w:rPr>
        <w:t> </w:t>
      </w:r>
      <w:r>
        <w:rPr/>
        <w:t>the</w:t>
      </w:r>
      <w:r>
        <w:rPr>
          <w:spacing w:val="-3"/>
        </w:rPr>
        <w:t> </w:t>
      </w:r>
      <w:r>
        <w:rPr/>
        <w:t>voltage- sensing S4 segments in domain II.</w:t>
      </w:r>
    </w:p>
    <w:p>
      <w:pPr>
        <w:pStyle w:val="BodyText"/>
      </w:pPr>
    </w:p>
    <w:p>
      <w:pPr>
        <w:pStyle w:val="BodyText"/>
        <w:spacing w:before="1"/>
      </w:pPr>
    </w:p>
    <w:p>
      <w:pPr>
        <w:pStyle w:val="BodyText"/>
        <w:spacing w:line="480" w:lineRule="auto"/>
        <w:ind w:left="681" w:right="285"/>
        <w:jc w:val="both"/>
      </w:pPr>
      <w:r>
        <w:rPr/>
        <w:t>Neurotoxin receptor site 5: This site binds the complex polyether toxins brevetoxin and ciguatoxin, which are made by dinoflagellates and cause toxic red tides in warm ocean waters. Transmembrane segments IS6 and IVS5 are implicated in brevetoxin binding from photoaffinity labeling studies.</w:t>
      </w:r>
    </w:p>
    <w:p>
      <w:pPr>
        <w:pStyle w:val="BodyText"/>
      </w:pPr>
    </w:p>
    <w:p>
      <w:pPr>
        <w:pStyle w:val="BodyText"/>
        <w:spacing w:before="1"/>
      </w:pPr>
    </w:p>
    <w:p>
      <w:pPr>
        <w:pStyle w:val="BodyText"/>
        <w:spacing w:line="480" w:lineRule="auto"/>
        <w:ind w:left="681" w:right="291"/>
        <w:jc w:val="both"/>
      </w:pPr>
      <w:r>
        <w:rPr/>
        <w:t>Neurotoxin</w:t>
      </w:r>
      <w:r>
        <w:rPr>
          <w:spacing w:val="-1"/>
        </w:rPr>
        <w:t> </w:t>
      </w:r>
      <w:r>
        <w:rPr/>
        <w:t>receptor site 6: Binds conotoxins, which slow the rate of inactivation like the scorpion toxins. The location of neurotoxin receptor site 6 is unknown.</w:t>
      </w:r>
    </w:p>
    <w:p>
      <w:pPr>
        <w:pStyle w:val="BodyText"/>
      </w:pPr>
    </w:p>
    <w:p>
      <w:pPr>
        <w:pStyle w:val="BodyText"/>
      </w:pPr>
    </w:p>
    <w:p>
      <w:pPr>
        <w:pStyle w:val="BodyText"/>
        <w:spacing w:line="480" w:lineRule="auto" w:before="1"/>
        <w:ind w:left="681" w:right="283" w:firstLine="57"/>
        <w:jc w:val="both"/>
      </w:pPr>
      <w:r>
        <w:rPr/>
        <w:t>Local</w:t>
      </w:r>
      <w:r>
        <w:rPr>
          <w:spacing w:val="-6"/>
        </w:rPr>
        <w:t> </w:t>
      </w:r>
      <w:r>
        <w:rPr/>
        <w:t>anesthetics</w:t>
      </w:r>
      <w:r>
        <w:rPr>
          <w:spacing w:val="-3"/>
        </w:rPr>
        <w:t> </w:t>
      </w:r>
      <w:r>
        <w:rPr/>
        <w:t>and related</w:t>
      </w:r>
      <w:r>
        <w:rPr>
          <w:spacing w:val="-1"/>
        </w:rPr>
        <w:t> </w:t>
      </w:r>
      <w:r>
        <w:rPr/>
        <w:t>antiepileptic</w:t>
      </w:r>
      <w:r>
        <w:rPr>
          <w:spacing w:val="-2"/>
        </w:rPr>
        <w:t> </w:t>
      </w:r>
      <w:r>
        <w:rPr/>
        <w:t>and antiarrhythmic</w:t>
      </w:r>
      <w:r>
        <w:rPr>
          <w:spacing w:val="-2"/>
        </w:rPr>
        <w:t> </w:t>
      </w:r>
      <w:r>
        <w:rPr/>
        <w:t>drugs:</w:t>
      </w:r>
      <w:r>
        <w:rPr>
          <w:spacing w:val="-1"/>
        </w:rPr>
        <w:t> </w:t>
      </w:r>
      <w:r>
        <w:rPr/>
        <w:t>Bind</w:t>
      </w:r>
      <w:r>
        <w:rPr>
          <w:spacing w:val="-1"/>
        </w:rPr>
        <w:t> </w:t>
      </w:r>
      <w:r>
        <w:rPr/>
        <w:t>to</w:t>
      </w:r>
      <w:r>
        <w:rPr>
          <w:spacing w:val="-1"/>
        </w:rPr>
        <w:t> </w:t>
      </w:r>
      <w:r>
        <w:rPr/>
        <w:t>overlapping receptor sites located in the inner cavity of the pore of the sodium channel. Amino acid residues in the S6 (I, III and IV) segments from at least three of the four domains contribute to this complex drug receptor site, with the IVS6 segment playing the dominant role.</w:t>
      </w:r>
    </w:p>
    <w:p>
      <w:pPr>
        <w:pStyle w:val="BodyText"/>
      </w:pPr>
    </w:p>
    <w:p>
      <w:pPr>
        <w:pStyle w:val="BodyText"/>
        <w:spacing w:before="1"/>
      </w:pPr>
    </w:p>
    <w:p>
      <w:pPr>
        <w:pStyle w:val="BodyText"/>
        <w:spacing w:line="480" w:lineRule="auto"/>
        <w:ind w:left="681" w:right="285"/>
        <w:jc w:val="both"/>
      </w:pPr>
      <w:r>
        <w:rPr/>
        <w:t>Anticonvulsants are characterized by their ability to block seizures in patients with epilepsy, mediated by their interaction and inhibition of brain Na channels. They have little effect on normal brain activity, and they block Na channels poorly at slower firing rates from normal</w:t>
      </w:r>
      <w:r>
        <w:rPr>
          <w:spacing w:val="-2"/>
        </w:rPr>
        <w:t> </w:t>
      </w:r>
      <w:r>
        <w:rPr/>
        <w:t>resting potentials. Seizures, however, are characterized by depolarized resting</w:t>
      </w:r>
      <w:r>
        <w:rPr>
          <w:spacing w:val="5"/>
        </w:rPr>
        <w:t> </w:t>
      </w:r>
      <w:r>
        <w:rPr/>
        <w:t>potentials</w:t>
      </w:r>
      <w:r>
        <w:rPr>
          <w:spacing w:val="8"/>
        </w:rPr>
        <w:t> </w:t>
      </w:r>
      <w:r>
        <w:rPr/>
        <w:t>and</w:t>
      </w:r>
      <w:r>
        <w:rPr>
          <w:spacing w:val="14"/>
        </w:rPr>
        <w:t> </w:t>
      </w:r>
      <w:r>
        <w:rPr/>
        <w:t>high</w:t>
      </w:r>
      <w:r>
        <w:rPr>
          <w:spacing w:val="6"/>
        </w:rPr>
        <w:t> </w:t>
      </w:r>
      <w:r>
        <w:rPr/>
        <w:t>frequency</w:t>
      </w:r>
      <w:r>
        <w:rPr>
          <w:spacing w:val="1"/>
        </w:rPr>
        <w:t> </w:t>
      </w:r>
      <w:r>
        <w:rPr/>
        <w:t>trains</w:t>
      </w:r>
      <w:r>
        <w:rPr>
          <w:spacing w:val="3"/>
        </w:rPr>
        <w:t> </w:t>
      </w:r>
      <w:r>
        <w:rPr/>
        <w:t>of</w:t>
      </w:r>
      <w:r>
        <w:rPr>
          <w:spacing w:val="-1"/>
        </w:rPr>
        <w:t> </w:t>
      </w:r>
      <w:r>
        <w:rPr/>
        <w:t>action</w:t>
      </w:r>
      <w:r>
        <w:rPr>
          <w:spacing w:val="1"/>
        </w:rPr>
        <w:t> </w:t>
      </w:r>
      <w:r>
        <w:rPr/>
        <w:t>potentials.</w:t>
      </w:r>
      <w:r>
        <w:rPr>
          <w:spacing w:val="8"/>
        </w:rPr>
        <w:t> </w:t>
      </w:r>
      <w:r>
        <w:rPr/>
        <w:t>The</w:t>
      </w:r>
      <w:r>
        <w:rPr>
          <w:spacing w:val="6"/>
        </w:rPr>
        <w:t> </w:t>
      </w:r>
      <w:r>
        <w:rPr/>
        <w:t>drugs</w:t>
      </w:r>
      <w:r>
        <w:rPr>
          <w:spacing w:val="8"/>
        </w:rPr>
        <w:t> </w:t>
      </w:r>
      <w:r>
        <w:rPr/>
        <w:t>are</w:t>
      </w:r>
      <w:r>
        <w:rPr>
          <w:spacing w:val="5"/>
        </w:rPr>
        <w:t> </w:t>
      </w:r>
      <w:r>
        <w:rPr/>
        <w:t>thought</w:t>
      </w:r>
      <w:r>
        <w:rPr>
          <w:spacing w:val="12"/>
        </w:rPr>
        <w:t> </w:t>
      </w:r>
      <w:r>
        <w:rPr>
          <w:spacing w:val="-5"/>
        </w:rPr>
        <w:t>to</w:t>
      </w:r>
    </w:p>
    <w:p>
      <w:pPr>
        <w:spacing w:after="0" w:line="480" w:lineRule="auto"/>
        <w:jc w:val="both"/>
        <w:sectPr>
          <w:pgSz w:w="12240" w:h="15840"/>
          <w:pgMar w:header="0" w:footer="1066" w:top="1360" w:bottom="1260" w:left="1480" w:right="1160"/>
        </w:sectPr>
      </w:pPr>
    </w:p>
    <w:p>
      <w:pPr>
        <w:pStyle w:val="BodyText"/>
        <w:spacing w:line="480" w:lineRule="auto" w:before="72"/>
        <w:ind w:left="681" w:right="278"/>
        <w:jc w:val="both"/>
      </w:pPr>
      <w:r>
        <w:rPr/>
        <w:t>suppress</w:t>
      </w:r>
      <w:r>
        <w:rPr>
          <w:spacing w:val="-1"/>
        </w:rPr>
        <w:t> </w:t>
      </w:r>
      <w:r>
        <w:rPr/>
        <w:t>seizures</w:t>
      </w:r>
      <w:r>
        <w:rPr>
          <w:spacing w:val="-1"/>
        </w:rPr>
        <w:t> </w:t>
      </w:r>
      <w:r>
        <w:rPr/>
        <w:t>by inhibiting this high frequency repetitive firing, allowing the drugs</w:t>
      </w:r>
      <w:r>
        <w:rPr>
          <w:spacing w:val="-1"/>
        </w:rPr>
        <w:t> </w:t>
      </w:r>
      <w:r>
        <w:rPr/>
        <w:t>to have selective action on hyperactive rather than normal neurons (McNamara, 2006). The functional factors that could underlie this voltage and use dependence are a higher</w:t>
      </w:r>
      <w:r>
        <w:rPr>
          <w:spacing w:val="40"/>
        </w:rPr>
        <w:t> </w:t>
      </w:r>
      <w:r>
        <w:rPr/>
        <w:t>affinity for depolarized cells and an off-rate slower than the repetition frequency of the action potentials (Lipkind and Fozzard, 2010).</w:t>
      </w:r>
    </w:p>
    <w:p>
      <w:pPr>
        <w:pStyle w:val="BodyText"/>
      </w:pPr>
    </w:p>
    <w:p>
      <w:pPr>
        <w:pStyle w:val="BodyText"/>
        <w:spacing w:before="1"/>
      </w:pPr>
    </w:p>
    <w:p>
      <w:pPr>
        <w:pStyle w:val="Heading2"/>
        <w:numPr>
          <w:ilvl w:val="2"/>
          <w:numId w:val="10"/>
        </w:numPr>
        <w:tabs>
          <w:tab w:pos="1222" w:val="left" w:leader="none"/>
        </w:tabs>
        <w:spacing w:line="240" w:lineRule="auto" w:before="0" w:after="0"/>
        <w:ind w:left="1222" w:right="0" w:hanging="541"/>
        <w:jc w:val="left"/>
      </w:pPr>
      <w:r>
        <w:rPr/>
        <w:t>Biophysical</w:t>
      </w:r>
      <w:r>
        <w:rPr>
          <w:spacing w:val="-9"/>
        </w:rPr>
        <w:t> </w:t>
      </w:r>
      <w:r>
        <w:rPr/>
        <w:t>modulation</w:t>
      </w:r>
      <w:r>
        <w:rPr>
          <w:spacing w:val="-1"/>
        </w:rPr>
        <w:t> </w:t>
      </w:r>
      <w:r>
        <w:rPr/>
        <w:t>of</w:t>
      </w:r>
      <w:r>
        <w:rPr>
          <w:spacing w:val="-4"/>
        </w:rPr>
        <w:t> </w:t>
      </w:r>
      <w:r>
        <w:rPr/>
        <w:t>voltage-gated</w:t>
      </w:r>
      <w:r>
        <w:rPr>
          <w:spacing w:val="-2"/>
        </w:rPr>
        <w:t> </w:t>
      </w:r>
      <w:r>
        <w:rPr/>
        <w:t>sodium</w:t>
      </w:r>
      <w:r>
        <w:rPr>
          <w:spacing w:val="-5"/>
        </w:rPr>
        <w:t> </w:t>
      </w:r>
      <w:r>
        <w:rPr/>
        <w:t>channels</w:t>
      </w:r>
      <w:r>
        <w:rPr>
          <w:spacing w:val="-3"/>
        </w:rPr>
        <w:t> </w:t>
      </w:r>
      <w:r>
        <w:rPr>
          <w:spacing w:val="-2"/>
        </w:rPr>
        <w:t>(Na</w:t>
      </w:r>
      <w:r>
        <w:rPr>
          <w:b w:val="0"/>
          <w:spacing w:val="-2"/>
          <w:vertAlign w:val="subscript"/>
        </w:rPr>
        <w:t>v</w:t>
      </w:r>
      <w:r>
        <w:rPr>
          <w:spacing w:val="-2"/>
          <w:vertAlign w:val="baseline"/>
        </w:rPr>
        <w:t>)</w:t>
      </w:r>
    </w:p>
    <w:p>
      <w:pPr>
        <w:pStyle w:val="BodyText"/>
        <w:rPr>
          <w:b/>
        </w:rPr>
      </w:pPr>
    </w:p>
    <w:p>
      <w:pPr>
        <w:pStyle w:val="BodyText"/>
        <w:spacing w:line="480" w:lineRule="auto"/>
        <w:ind w:left="681" w:right="282"/>
        <w:jc w:val="both"/>
      </w:pPr>
      <w:r>
        <w:rPr/>
        <w:t>The strength of block and therefore the potency of a blocking drug can be influenced by membrane voltage. The increase in the strength of block induced by a change in membrane voltage has been termed voltage-dependent block. Strength of block can also be influenced by</w:t>
      </w:r>
      <w:r>
        <w:rPr>
          <w:spacing w:val="-5"/>
        </w:rPr>
        <w:t> </w:t>
      </w:r>
      <w:r>
        <w:rPr/>
        <w:t>the frequency and duration</w:t>
      </w:r>
      <w:r>
        <w:rPr>
          <w:spacing w:val="-5"/>
        </w:rPr>
        <w:t> </w:t>
      </w:r>
      <w:r>
        <w:rPr/>
        <w:t>of</w:t>
      </w:r>
      <w:r>
        <w:rPr>
          <w:spacing w:val="-8"/>
        </w:rPr>
        <w:t> </w:t>
      </w:r>
      <w:r>
        <w:rPr/>
        <w:t>repetitive</w:t>
      </w:r>
      <w:r>
        <w:rPr>
          <w:spacing w:val="-1"/>
        </w:rPr>
        <w:t> </w:t>
      </w:r>
      <w:r>
        <w:rPr/>
        <w:t>depolarizations</w:t>
      </w:r>
      <w:r>
        <w:rPr>
          <w:spacing w:val="-2"/>
        </w:rPr>
        <w:t> </w:t>
      </w:r>
      <w:r>
        <w:rPr/>
        <w:t>during a</w:t>
      </w:r>
      <w:r>
        <w:rPr>
          <w:spacing w:val="-1"/>
        </w:rPr>
        <w:t> </w:t>
      </w:r>
      <w:r>
        <w:rPr/>
        <w:t>train</w:t>
      </w:r>
      <w:r>
        <w:rPr>
          <w:spacing w:val="-5"/>
        </w:rPr>
        <w:t> </w:t>
      </w:r>
      <w:r>
        <w:rPr/>
        <w:t>of action potentials or voltage clamp pulses. The increase in block induced by repetitive firing has been</w:t>
      </w:r>
      <w:r>
        <w:rPr>
          <w:spacing w:val="-4"/>
        </w:rPr>
        <w:t> </w:t>
      </w:r>
      <w:r>
        <w:rPr/>
        <w:t>termed as</w:t>
      </w:r>
      <w:r>
        <w:rPr>
          <w:spacing w:val="-2"/>
        </w:rPr>
        <w:t> </w:t>
      </w:r>
      <w:r>
        <w:rPr/>
        <w:t>use-dependent block. Use-dependent block can</w:t>
      </w:r>
      <w:r>
        <w:rPr>
          <w:spacing w:val="-4"/>
        </w:rPr>
        <w:t> </w:t>
      </w:r>
      <w:r>
        <w:rPr/>
        <w:t>conveniently</w:t>
      </w:r>
      <w:r>
        <w:rPr>
          <w:spacing w:val="-4"/>
        </w:rPr>
        <w:t> </w:t>
      </w:r>
      <w:r>
        <w:rPr/>
        <w:t>be thought of as having a depolarization phase during which block accumulates as drug molecules enter and block more Na channels, and a resting phase during which block dissipates as blocker leaves channels (Yeh and Teneick, 1987).</w:t>
      </w:r>
    </w:p>
    <w:p>
      <w:pPr>
        <w:pStyle w:val="BodyText"/>
      </w:pPr>
    </w:p>
    <w:p>
      <w:pPr>
        <w:pStyle w:val="BodyText"/>
        <w:spacing w:line="480" w:lineRule="auto"/>
        <w:ind w:left="681" w:right="271"/>
        <w:jc w:val="both"/>
      </w:pPr>
      <w:r>
        <w:rPr/>
        <w:t>Small molecule sodium channel modulators frequently possess state- and use- dependency. A compound showing state-dependent pharmacology exhibits a higher binding affinity for one channel state</w:t>
      </w:r>
      <w:r>
        <w:rPr>
          <w:spacing w:val="-5"/>
        </w:rPr>
        <w:t> </w:t>
      </w:r>
      <w:r>
        <w:rPr/>
        <w:t>over another. For the local</w:t>
      </w:r>
      <w:r>
        <w:rPr>
          <w:spacing w:val="-4"/>
        </w:rPr>
        <w:t> </w:t>
      </w:r>
      <w:r>
        <w:rPr/>
        <w:t>anesthetics, affinities</w:t>
      </w:r>
      <w:r>
        <w:rPr>
          <w:spacing w:val="-1"/>
        </w:rPr>
        <w:t> </w:t>
      </w:r>
      <w:r>
        <w:rPr/>
        <w:t>are highest for the open and inactivated states of</w:t>
      </w:r>
      <w:r>
        <w:rPr>
          <w:spacing w:val="-2"/>
        </w:rPr>
        <w:t> </w:t>
      </w:r>
      <w:r>
        <w:rPr/>
        <w:t>the channel and lowest for the resting state; this seems to be true for most of the drug-like molecules described as sodium channel blockers.</w:t>
      </w:r>
      <w:r>
        <w:rPr>
          <w:spacing w:val="41"/>
        </w:rPr>
        <w:t> </w:t>
      </w:r>
      <w:r>
        <w:rPr/>
        <w:t>Again,</w:t>
      </w:r>
      <w:r>
        <w:rPr>
          <w:spacing w:val="39"/>
        </w:rPr>
        <w:t> </w:t>
      </w:r>
      <w:r>
        <w:rPr/>
        <w:t>rapidly</w:t>
      </w:r>
      <w:r>
        <w:rPr>
          <w:spacing w:val="37"/>
        </w:rPr>
        <w:t> </w:t>
      </w:r>
      <w:r>
        <w:rPr/>
        <w:t>firing</w:t>
      </w:r>
      <w:r>
        <w:rPr>
          <w:spacing w:val="42"/>
        </w:rPr>
        <w:t> </w:t>
      </w:r>
      <w:r>
        <w:rPr/>
        <w:t>nerve</w:t>
      </w:r>
      <w:r>
        <w:rPr>
          <w:spacing w:val="41"/>
        </w:rPr>
        <w:t> </w:t>
      </w:r>
      <w:r>
        <w:rPr/>
        <w:t>fibres</w:t>
      </w:r>
      <w:r>
        <w:rPr>
          <w:spacing w:val="35"/>
        </w:rPr>
        <w:t> </w:t>
      </w:r>
      <w:r>
        <w:rPr/>
        <w:t>were</w:t>
      </w:r>
      <w:r>
        <w:rPr>
          <w:spacing w:val="44"/>
        </w:rPr>
        <w:t> </w:t>
      </w:r>
      <w:r>
        <w:rPr/>
        <w:t>more</w:t>
      </w:r>
      <w:r>
        <w:rPr>
          <w:spacing w:val="36"/>
        </w:rPr>
        <w:t> </w:t>
      </w:r>
      <w:r>
        <w:rPr/>
        <w:t>sensitive</w:t>
      </w:r>
      <w:r>
        <w:rPr>
          <w:spacing w:val="36"/>
        </w:rPr>
        <w:t> </w:t>
      </w:r>
      <w:r>
        <w:rPr/>
        <w:t>to</w:t>
      </w:r>
      <w:r>
        <w:rPr>
          <w:spacing w:val="41"/>
        </w:rPr>
        <w:t> </w:t>
      </w:r>
      <w:r>
        <w:rPr/>
        <w:t>block</w:t>
      </w:r>
      <w:r>
        <w:rPr>
          <w:spacing w:val="42"/>
        </w:rPr>
        <w:t> </w:t>
      </w:r>
      <w:r>
        <w:rPr/>
        <w:t>by</w:t>
      </w:r>
      <w:r>
        <w:rPr>
          <w:spacing w:val="27"/>
        </w:rPr>
        <w:t> </w:t>
      </w:r>
      <w:r>
        <w:rPr/>
        <w:t>the</w:t>
      </w:r>
      <w:r>
        <w:rPr>
          <w:spacing w:val="41"/>
        </w:rPr>
        <w:t> </w:t>
      </w:r>
      <w:r>
        <w:rPr>
          <w:spacing w:val="-2"/>
        </w:rPr>
        <w:t>local</w:t>
      </w:r>
    </w:p>
    <w:p>
      <w:pPr>
        <w:spacing w:after="0" w:line="480" w:lineRule="auto"/>
        <w:jc w:val="both"/>
        <w:sectPr>
          <w:pgSz w:w="12240" w:h="15840"/>
          <w:pgMar w:header="0" w:footer="1066" w:top="1360" w:bottom="1260" w:left="1480" w:right="1160"/>
        </w:sectPr>
      </w:pPr>
    </w:p>
    <w:p>
      <w:pPr>
        <w:pStyle w:val="BodyText"/>
        <w:spacing w:line="480" w:lineRule="auto" w:before="72"/>
        <w:ind w:left="681" w:right="288"/>
        <w:jc w:val="both"/>
      </w:pPr>
      <w:r>
        <w:rPr/>
        <w:t>anesthetics procaine than</w:t>
      </w:r>
      <w:r>
        <w:rPr>
          <w:spacing w:val="-1"/>
        </w:rPr>
        <w:t> </w:t>
      </w:r>
      <w:r>
        <w:rPr/>
        <w:t>those firing at a slower rate, and this eventually became known as use-dependent (or phasic) block (Steve and Marcel, 2009).</w:t>
      </w:r>
    </w:p>
    <w:p>
      <w:pPr>
        <w:pStyle w:val="BodyText"/>
      </w:pPr>
    </w:p>
    <w:p>
      <w:pPr>
        <w:pStyle w:val="BodyText"/>
        <w:spacing w:before="1"/>
      </w:pPr>
    </w:p>
    <w:p>
      <w:pPr>
        <w:pStyle w:val="BodyText"/>
        <w:spacing w:line="480" w:lineRule="auto"/>
        <w:ind w:left="681" w:right="280"/>
        <w:jc w:val="both"/>
      </w:pPr>
      <w:r>
        <w:rPr/>
        <w:t>Lamotrigine has a greater affinity for inactivated channels compared with those at rest. The compound binds slowly to fast-inactivated channels and the kinetics of lamotrigine binding to inactivated channels is faster than the development of the slow inactivated</w:t>
      </w:r>
      <w:r>
        <w:rPr>
          <w:spacing w:val="40"/>
        </w:rPr>
        <w:t> </w:t>
      </w:r>
      <w:r>
        <w:rPr/>
        <w:t>state (Kuo and Lu, 1997). These features mean that lamotrigine needs a sustained depolarization in a neurone to produce significant block. Long depolarizations are</w:t>
      </w:r>
      <w:r>
        <w:rPr>
          <w:spacing w:val="40"/>
        </w:rPr>
        <w:t> </w:t>
      </w:r>
      <w:r>
        <w:rPr/>
        <w:t>unusual in normal physiological systems but are characteristic of epileptic discharge (De Curtis and Avanzini, 2001). Therefore, it seems unlikely that a strongly use-dependent</w:t>
      </w:r>
      <w:r>
        <w:rPr>
          <w:spacing w:val="40"/>
        </w:rPr>
        <w:t> </w:t>
      </w:r>
      <w:r>
        <w:rPr/>
        <w:t>but non-selective channel modulator will be able to deliver the next generation of therapies for conditions such as epilepsy or pain (Steve and Marcel, 2009).</w:t>
      </w:r>
    </w:p>
    <w:p>
      <w:pPr>
        <w:pStyle w:val="BodyText"/>
      </w:pPr>
    </w:p>
    <w:p>
      <w:pPr>
        <w:pStyle w:val="BodyText"/>
        <w:spacing w:before="1"/>
      </w:pPr>
    </w:p>
    <w:p>
      <w:pPr>
        <w:pStyle w:val="ListParagraph"/>
        <w:numPr>
          <w:ilvl w:val="3"/>
          <w:numId w:val="10"/>
        </w:numPr>
        <w:tabs>
          <w:tab w:pos="1404" w:val="left" w:leader="none"/>
        </w:tabs>
        <w:spacing w:line="240" w:lineRule="auto" w:before="1" w:after="0"/>
        <w:ind w:left="1404" w:right="0" w:hanging="723"/>
        <w:jc w:val="left"/>
        <w:rPr>
          <w:i/>
          <w:sz w:val="24"/>
        </w:rPr>
      </w:pPr>
      <w:r>
        <w:rPr>
          <w:i/>
          <w:sz w:val="24"/>
        </w:rPr>
        <w:t>State</w:t>
      </w:r>
      <w:r>
        <w:rPr>
          <w:i/>
          <w:spacing w:val="-6"/>
          <w:sz w:val="24"/>
        </w:rPr>
        <w:t> </w:t>
      </w:r>
      <w:r>
        <w:rPr>
          <w:i/>
          <w:sz w:val="24"/>
        </w:rPr>
        <w:t>dependent</w:t>
      </w:r>
      <w:r>
        <w:rPr>
          <w:i/>
          <w:spacing w:val="1"/>
          <w:sz w:val="24"/>
        </w:rPr>
        <w:t> </w:t>
      </w:r>
      <w:r>
        <w:rPr>
          <w:i/>
          <w:spacing w:val="-2"/>
          <w:sz w:val="24"/>
        </w:rPr>
        <w:t>block</w:t>
      </w:r>
    </w:p>
    <w:p>
      <w:pPr>
        <w:pStyle w:val="BodyText"/>
        <w:rPr>
          <w:i/>
        </w:rPr>
      </w:pPr>
    </w:p>
    <w:p>
      <w:pPr>
        <w:pStyle w:val="BodyText"/>
        <w:spacing w:line="480" w:lineRule="auto"/>
        <w:ind w:left="681" w:right="276"/>
        <w:jc w:val="both"/>
      </w:pPr>
      <w:r>
        <w:rPr/>
        <w:t>Clinically used sodium channel blockers are state dependent; that is, they bind with</w:t>
      </w:r>
      <w:r>
        <w:rPr>
          <w:spacing w:val="40"/>
        </w:rPr>
        <w:t> </w:t>
      </w:r>
      <w:r>
        <w:rPr/>
        <w:t>higher affinity to the inactivated state of</w:t>
      </w:r>
      <w:r>
        <w:rPr>
          <w:spacing w:val="-2"/>
        </w:rPr>
        <w:t> </w:t>
      </w:r>
      <w:r>
        <w:rPr/>
        <w:t>the sodium channel than the resting state (Jones, </w:t>
      </w:r>
      <w:r>
        <w:rPr>
          <w:i/>
        </w:rPr>
        <w:t>et al., </w:t>
      </w:r>
      <w:r>
        <w:rPr/>
        <w:t>2007). This state dependence not only is considered important for seizure suppression</w:t>
      </w:r>
      <w:r>
        <w:rPr>
          <w:spacing w:val="-3"/>
        </w:rPr>
        <w:t> </w:t>
      </w:r>
      <w:r>
        <w:rPr/>
        <w:t>but also is</w:t>
      </w:r>
      <w:r>
        <w:rPr>
          <w:spacing w:val="-5"/>
        </w:rPr>
        <w:t> </w:t>
      </w:r>
      <w:r>
        <w:rPr/>
        <w:t>essential</w:t>
      </w:r>
      <w:r>
        <w:rPr>
          <w:spacing w:val="-3"/>
        </w:rPr>
        <w:t> </w:t>
      </w:r>
      <w:r>
        <w:rPr/>
        <w:t>for</w:t>
      </w:r>
      <w:r>
        <w:rPr>
          <w:spacing w:val="-2"/>
        </w:rPr>
        <w:t> </w:t>
      </w:r>
      <w:r>
        <w:rPr/>
        <w:t>a favorable side</w:t>
      </w:r>
      <w:r>
        <w:rPr>
          <w:spacing w:val="-4"/>
        </w:rPr>
        <w:t> </w:t>
      </w:r>
      <w:r>
        <w:rPr/>
        <w:t>effect profile since it allows</w:t>
      </w:r>
      <w:r>
        <w:rPr>
          <w:spacing w:val="-1"/>
        </w:rPr>
        <w:t> </w:t>
      </w:r>
      <w:r>
        <w:rPr/>
        <w:t>AEDs</w:t>
      </w:r>
      <w:r>
        <w:rPr>
          <w:spacing w:val="-6"/>
        </w:rPr>
        <w:t> </w:t>
      </w:r>
      <w:r>
        <w:rPr/>
        <w:t>to inhibit action potential (AP) bursts that occur during seizures without affecting normal neuronal activity (Rogawski and Loscher, 2004).</w:t>
      </w:r>
    </w:p>
    <w:p>
      <w:pPr>
        <w:spacing w:after="0" w:line="480" w:lineRule="auto"/>
        <w:jc w:val="both"/>
        <w:sectPr>
          <w:pgSz w:w="12240" w:h="15840"/>
          <w:pgMar w:header="0" w:footer="1066" w:top="1360" w:bottom="1260" w:left="1480" w:right="1160"/>
        </w:sectPr>
      </w:pPr>
    </w:p>
    <w:p>
      <w:pPr>
        <w:pStyle w:val="ListParagraph"/>
        <w:numPr>
          <w:ilvl w:val="3"/>
          <w:numId w:val="10"/>
        </w:numPr>
        <w:tabs>
          <w:tab w:pos="1404" w:val="left" w:leader="none"/>
        </w:tabs>
        <w:spacing w:line="240" w:lineRule="auto" w:before="72" w:after="0"/>
        <w:ind w:left="1404" w:right="0" w:hanging="723"/>
        <w:jc w:val="left"/>
        <w:rPr>
          <w:i/>
          <w:sz w:val="24"/>
        </w:rPr>
      </w:pPr>
      <w:r>
        <w:rPr>
          <w:i/>
          <w:sz w:val="24"/>
        </w:rPr>
        <w:t>Use</w:t>
      </w:r>
      <w:r>
        <w:rPr>
          <w:i/>
          <w:spacing w:val="-4"/>
          <w:sz w:val="24"/>
        </w:rPr>
        <w:t> </w:t>
      </w:r>
      <w:r>
        <w:rPr>
          <w:i/>
          <w:sz w:val="24"/>
        </w:rPr>
        <w:t>dependent</w:t>
      </w:r>
      <w:r>
        <w:rPr>
          <w:i/>
          <w:spacing w:val="-1"/>
          <w:sz w:val="24"/>
        </w:rPr>
        <w:t> </w:t>
      </w:r>
      <w:r>
        <w:rPr>
          <w:i/>
          <w:spacing w:val="-2"/>
          <w:sz w:val="24"/>
        </w:rPr>
        <w:t>blockade</w:t>
      </w:r>
    </w:p>
    <w:p>
      <w:pPr>
        <w:pStyle w:val="BodyText"/>
        <w:rPr>
          <w:i/>
        </w:rPr>
      </w:pPr>
    </w:p>
    <w:p>
      <w:pPr>
        <w:pStyle w:val="BodyText"/>
        <w:spacing w:line="480" w:lineRule="auto"/>
        <w:ind w:left="681" w:right="279"/>
        <w:jc w:val="both"/>
      </w:pPr>
      <w:r>
        <w:rPr/>
        <w:t>In addition to voltage-dependent block, AEDs often exhibit use-dependent block. This characteristic is considered important since it allows the enhanced block of high- frequency action potential discharges that occur during epileptic seizures (Rogawski and Loscher, 2004). Thus, it occurs when neurones fire frequently and the probability of a channel</w:t>
      </w:r>
      <w:r>
        <w:rPr>
          <w:spacing w:val="-1"/>
        </w:rPr>
        <w:t> </w:t>
      </w:r>
      <w:r>
        <w:rPr/>
        <w:t>being in</w:t>
      </w:r>
      <w:r>
        <w:rPr>
          <w:spacing w:val="-1"/>
        </w:rPr>
        <w:t> </w:t>
      </w:r>
      <w:r>
        <w:rPr/>
        <w:t>an inactivated state (i.e. one for which</w:t>
      </w:r>
      <w:r>
        <w:rPr>
          <w:spacing w:val="-1"/>
        </w:rPr>
        <w:t> </w:t>
      </w:r>
      <w:r>
        <w:rPr/>
        <w:t>the drug has a higher affinity</w:t>
      </w:r>
      <w:r>
        <w:rPr>
          <w:spacing w:val="-1"/>
        </w:rPr>
        <w:t> </w:t>
      </w:r>
      <w:r>
        <w:rPr/>
        <w:t>and that can be pharmacologically modified) is highest. Block can therefore accumulate as Local anesthetics have a slower dissociation rate from inactivated channels, compared with those in the resting state (Chernoff, 1990).</w:t>
      </w:r>
    </w:p>
    <w:p>
      <w:pPr>
        <w:pStyle w:val="BodyText"/>
      </w:pPr>
    </w:p>
    <w:p>
      <w:pPr>
        <w:pStyle w:val="BodyText"/>
        <w:spacing w:before="2"/>
      </w:pPr>
    </w:p>
    <w:p>
      <w:pPr>
        <w:pStyle w:val="ListParagraph"/>
        <w:numPr>
          <w:ilvl w:val="3"/>
          <w:numId w:val="10"/>
        </w:numPr>
        <w:tabs>
          <w:tab w:pos="1404" w:val="left" w:leader="none"/>
        </w:tabs>
        <w:spacing w:line="240" w:lineRule="auto" w:before="0" w:after="0"/>
        <w:ind w:left="1404" w:right="0" w:hanging="723"/>
        <w:jc w:val="left"/>
        <w:rPr>
          <w:i/>
          <w:sz w:val="24"/>
        </w:rPr>
      </w:pPr>
      <w:r>
        <w:rPr>
          <w:i/>
          <w:sz w:val="24"/>
        </w:rPr>
        <w:t>Inactivation</w:t>
      </w:r>
      <w:r>
        <w:rPr>
          <w:i/>
          <w:spacing w:val="-6"/>
          <w:sz w:val="24"/>
        </w:rPr>
        <w:t> </w:t>
      </w:r>
      <w:r>
        <w:rPr>
          <w:i/>
          <w:sz w:val="24"/>
        </w:rPr>
        <w:t>of Na</w:t>
      </w:r>
      <w:r>
        <w:rPr>
          <w:i/>
          <w:sz w:val="24"/>
          <w:vertAlign w:val="superscript"/>
        </w:rPr>
        <w:t>+</w:t>
      </w:r>
      <w:r>
        <w:rPr>
          <w:i/>
          <w:spacing w:val="-2"/>
          <w:sz w:val="24"/>
          <w:vertAlign w:val="baseline"/>
        </w:rPr>
        <w:t> channels</w:t>
      </w:r>
    </w:p>
    <w:p>
      <w:pPr>
        <w:pStyle w:val="BodyText"/>
        <w:rPr>
          <w:i/>
        </w:rPr>
      </w:pPr>
    </w:p>
    <w:p>
      <w:pPr>
        <w:pStyle w:val="BodyText"/>
        <w:spacing w:line="480" w:lineRule="auto" w:before="1"/>
        <w:ind w:left="681" w:right="279"/>
        <w:jc w:val="both"/>
      </w:pPr>
      <w:r>
        <w:rPr/>
        <w:t>Sodium</w:t>
      </w:r>
      <w:r>
        <w:rPr>
          <w:spacing w:val="-2"/>
        </w:rPr>
        <w:t> </w:t>
      </w:r>
      <w:r>
        <w:rPr/>
        <w:t>channels open in response to membrane depolarization, after which the channels enter a closed state in which they are inactivated (i.e. prevented from subsequent opening). This inactivation of Na</w:t>
      </w:r>
      <w:r>
        <w:rPr>
          <w:vertAlign w:val="superscript"/>
        </w:rPr>
        <w:t>+</w:t>
      </w:r>
      <w:r>
        <w:rPr>
          <w:vertAlign w:val="baseline"/>
        </w:rPr>
        <w:t> conductance, combined with the slowly decaying voltage-gated K</w:t>
      </w:r>
      <w:r>
        <w:rPr>
          <w:vertAlign w:val="superscript"/>
        </w:rPr>
        <w:t>+</w:t>
      </w:r>
      <w:r>
        <w:rPr>
          <w:vertAlign w:val="baseline"/>
        </w:rPr>
        <w:t> conductance produces dynamic changes in membrane excitability (Dekker, </w:t>
      </w:r>
      <w:r>
        <w:rPr>
          <w:i/>
          <w:vertAlign w:val="baseline"/>
        </w:rPr>
        <w:t>et al., </w:t>
      </w:r>
      <w:r>
        <w:rPr>
          <w:vertAlign w:val="baseline"/>
        </w:rPr>
        <w:t>2008).</w:t>
      </w:r>
    </w:p>
    <w:p>
      <w:pPr>
        <w:pStyle w:val="BodyText"/>
      </w:pPr>
    </w:p>
    <w:p>
      <w:pPr>
        <w:pStyle w:val="BodyText"/>
        <w:spacing w:before="1"/>
      </w:pPr>
    </w:p>
    <w:p>
      <w:pPr>
        <w:pStyle w:val="ListParagraph"/>
        <w:numPr>
          <w:ilvl w:val="3"/>
          <w:numId w:val="10"/>
        </w:numPr>
        <w:tabs>
          <w:tab w:pos="1404" w:val="left" w:leader="none"/>
        </w:tabs>
        <w:spacing w:line="240" w:lineRule="auto" w:before="0" w:after="0"/>
        <w:ind w:left="1404" w:right="0" w:hanging="723"/>
        <w:jc w:val="left"/>
        <w:rPr>
          <w:i/>
          <w:sz w:val="24"/>
        </w:rPr>
      </w:pPr>
      <w:r>
        <w:rPr>
          <w:i/>
          <w:sz w:val="24"/>
        </w:rPr>
        <w:t>Fast</w:t>
      </w:r>
      <w:r>
        <w:rPr>
          <w:i/>
          <w:spacing w:val="-4"/>
          <w:sz w:val="24"/>
        </w:rPr>
        <w:t> </w:t>
      </w:r>
      <w:r>
        <w:rPr>
          <w:i/>
          <w:spacing w:val="-2"/>
          <w:sz w:val="24"/>
        </w:rPr>
        <w:t>inactivation</w:t>
      </w:r>
    </w:p>
    <w:p>
      <w:pPr>
        <w:pStyle w:val="BodyText"/>
        <w:rPr>
          <w:i/>
        </w:rPr>
      </w:pPr>
    </w:p>
    <w:p>
      <w:pPr>
        <w:pStyle w:val="BodyText"/>
        <w:spacing w:line="480" w:lineRule="auto"/>
        <w:ind w:left="681" w:right="270"/>
        <w:jc w:val="both"/>
      </w:pPr>
      <w:r>
        <w:rPr/>
        <w:t>Sodium channels are closed and inactive at rest but undergo structural changes in response to membrane depolarization, leading to cycling of</w:t>
      </w:r>
      <w:r>
        <w:rPr>
          <w:spacing w:val="-5"/>
        </w:rPr>
        <w:t> </w:t>
      </w:r>
      <w:r>
        <w:rPr/>
        <w:t>the channel</w:t>
      </w:r>
      <w:r>
        <w:rPr>
          <w:spacing w:val="-7"/>
        </w:rPr>
        <w:t> </w:t>
      </w:r>
      <w:r>
        <w:rPr/>
        <w:t>through</w:t>
      </w:r>
      <w:r>
        <w:rPr>
          <w:spacing w:val="-2"/>
        </w:rPr>
        <w:t> </w:t>
      </w:r>
      <w:r>
        <w:rPr/>
        <w:t>activated (open),</w:t>
      </w:r>
      <w:r>
        <w:rPr>
          <w:spacing w:val="-1"/>
        </w:rPr>
        <w:t> </w:t>
      </w:r>
      <w:r>
        <w:rPr/>
        <w:t>inactive,</w:t>
      </w:r>
      <w:r>
        <w:rPr>
          <w:spacing w:val="-1"/>
        </w:rPr>
        <w:t> </w:t>
      </w:r>
      <w:r>
        <w:rPr/>
        <w:t>and</w:t>
      </w:r>
      <w:r>
        <w:rPr>
          <w:spacing w:val="-3"/>
        </w:rPr>
        <w:t> </w:t>
      </w:r>
      <w:r>
        <w:rPr/>
        <w:t>repriming</w:t>
      </w:r>
      <w:r>
        <w:rPr>
          <w:spacing w:val="-3"/>
        </w:rPr>
        <w:t> </w:t>
      </w:r>
      <w:r>
        <w:rPr/>
        <w:t>states.</w:t>
      </w:r>
      <w:r>
        <w:rPr>
          <w:spacing w:val="-1"/>
        </w:rPr>
        <w:t> </w:t>
      </w:r>
      <w:r>
        <w:rPr/>
        <w:t>Transient channel</w:t>
      </w:r>
      <w:r>
        <w:rPr>
          <w:spacing w:val="-7"/>
        </w:rPr>
        <w:t> </w:t>
      </w:r>
      <w:r>
        <w:rPr/>
        <w:t>opening</w:t>
      </w:r>
      <w:r>
        <w:rPr>
          <w:spacing w:val="-3"/>
        </w:rPr>
        <w:t> </w:t>
      </w:r>
      <w:r>
        <w:rPr/>
        <w:t>allows</w:t>
      </w:r>
      <w:r>
        <w:rPr>
          <w:spacing w:val="-5"/>
        </w:rPr>
        <w:t> </w:t>
      </w:r>
      <w:r>
        <w:rPr/>
        <w:t>a flow</w:t>
      </w:r>
      <w:r>
        <w:rPr>
          <w:spacing w:val="-4"/>
        </w:rPr>
        <w:t> </w:t>
      </w:r>
      <w:r>
        <w:rPr>
          <w:spacing w:val="10"/>
        </w:rPr>
        <w:t>of</w:t>
      </w:r>
      <w:r>
        <w:rPr>
          <w:spacing w:val="-10"/>
        </w:rPr>
        <w:t> </w:t>
      </w:r>
      <w:r>
        <w:rPr/>
        <w:t>sodium ions down</w:t>
      </w:r>
      <w:r>
        <w:rPr>
          <w:spacing w:val="-2"/>
        </w:rPr>
        <w:t> </w:t>
      </w:r>
      <w:r>
        <w:rPr/>
        <w:t>their concentration</w:t>
      </w:r>
      <w:r>
        <w:rPr>
          <w:spacing w:val="-1"/>
        </w:rPr>
        <w:t> </w:t>
      </w:r>
      <w:r>
        <w:rPr/>
        <w:t>gradient, thus generating an inward transmembrane current that</w:t>
      </w:r>
      <w:r>
        <w:rPr>
          <w:spacing w:val="68"/>
        </w:rPr>
        <w:t> </w:t>
      </w:r>
      <w:r>
        <w:rPr/>
        <w:t>depolarizes</w:t>
      </w:r>
      <w:r>
        <w:rPr>
          <w:spacing w:val="63"/>
        </w:rPr>
        <w:t> </w:t>
      </w:r>
      <w:r>
        <w:rPr/>
        <w:t>neurons,</w:t>
      </w:r>
      <w:r>
        <w:rPr>
          <w:spacing w:val="68"/>
        </w:rPr>
        <w:t> </w:t>
      </w:r>
      <w:r>
        <w:rPr/>
        <w:t>bringing</w:t>
      </w:r>
      <w:r>
        <w:rPr>
          <w:spacing w:val="65"/>
        </w:rPr>
        <w:t> </w:t>
      </w:r>
      <w:r>
        <w:rPr/>
        <w:t>them</w:t>
      </w:r>
      <w:r>
        <w:rPr>
          <w:spacing w:val="61"/>
        </w:rPr>
        <w:t> </w:t>
      </w:r>
      <w:r>
        <w:rPr/>
        <w:t>closer</w:t>
      </w:r>
      <w:r>
        <w:rPr>
          <w:spacing w:val="72"/>
        </w:rPr>
        <w:t> </w:t>
      </w:r>
      <w:r>
        <w:rPr/>
        <w:t>to</w:t>
      </w:r>
      <w:r>
        <w:rPr>
          <w:spacing w:val="65"/>
        </w:rPr>
        <w:t> </w:t>
      </w:r>
      <w:r>
        <w:rPr/>
        <w:t>the</w:t>
      </w:r>
      <w:r>
        <w:rPr>
          <w:spacing w:val="64"/>
        </w:rPr>
        <w:t> </w:t>
      </w:r>
      <w:r>
        <w:rPr/>
        <w:t>threshold</w:t>
      </w:r>
      <w:r>
        <w:rPr>
          <w:spacing w:val="71"/>
        </w:rPr>
        <w:t> </w:t>
      </w:r>
      <w:r>
        <w:rPr/>
        <w:t>for</w:t>
      </w:r>
      <w:r>
        <w:rPr>
          <w:spacing w:val="66"/>
        </w:rPr>
        <w:t> </w:t>
      </w:r>
      <w:r>
        <w:rPr/>
        <w:t>action</w:t>
      </w:r>
      <w:r>
        <w:rPr>
          <w:spacing w:val="61"/>
        </w:rPr>
        <w:t> </w:t>
      </w:r>
      <w:r>
        <w:rPr>
          <w:spacing w:val="-2"/>
        </w:rPr>
        <w:t>potential</w:t>
      </w:r>
    </w:p>
    <w:p>
      <w:pPr>
        <w:spacing w:after="0" w:line="480" w:lineRule="auto"/>
        <w:jc w:val="both"/>
        <w:sectPr>
          <w:pgSz w:w="12240" w:h="15840"/>
          <w:pgMar w:header="0" w:footer="1066" w:top="1360" w:bottom="1260" w:left="1480" w:right="1160"/>
        </w:sectPr>
      </w:pPr>
    </w:p>
    <w:p>
      <w:pPr>
        <w:pStyle w:val="BodyText"/>
        <w:spacing w:line="480" w:lineRule="auto" w:before="72"/>
        <w:ind w:left="681" w:right="275"/>
        <w:jc w:val="both"/>
      </w:pPr>
      <w:r>
        <w:rPr/>
        <w:t>generation. Most channels rapidly inactivate, within milliseconds of opening, and then undergo conformational changes to recover from inactivation (Dib-Hajj, 2009).</w:t>
      </w:r>
    </w:p>
    <w:p>
      <w:pPr>
        <w:pStyle w:val="BodyText"/>
      </w:pPr>
    </w:p>
    <w:p>
      <w:pPr>
        <w:pStyle w:val="BodyText"/>
        <w:spacing w:before="1"/>
      </w:pPr>
    </w:p>
    <w:p>
      <w:pPr>
        <w:pStyle w:val="BodyText"/>
        <w:spacing w:line="480" w:lineRule="auto"/>
        <w:ind w:left="681" w:right="279" w:firstLine="62"/>
        <w:jc w:val="both"/>
      </w:pPr>
      <w:r>
        <w:rPr/>
        <w:t>According to Catterall, (2012), sodium channels in metazoans open in response to depolarization</w:t>
      </w:r>
      <w:r>
        <w:rPr>
          <w:spacing w:val="-8"/>
        </w:rPr>
        <w:t> </w:t>
      </w:r>
      <w:r>
        <w:rPr/>
        <w:t>and</w:t>
      </w:r>
      <w:r>
        <w:rPr>
          <w:spacing w:val="-3"/>
        </w:rPr>
        <w:t> </w:t>
      </w:r>
      <w:r>
        <w:rPr/>
        <w:t>then</w:t>
      </w:r>
      <w:r>
        <w:rPr>
          <w:spacing w:val="-3"/>
        </w:rPr>
        <w:t> </w:t>
      </w:r>
      <w:r>
        <w:rPr/>
        <w:t>inactivate</w:t>
      </w:r>
      <w:r>
        <w:rPr>
          <w:spacing w:val="-4"/>
        </w:rPr>
        <w:t> </w:t>
      </w:r>
      <w:r>
        <w:rPr/>
        <w:t>within</w:t>
      </w:r>
      <w:r>
        <w:rPr>
          <w:spacing w:val="-8"/>
        </w:rPr>
        <w:t> </w:t>
      </w:r>
      <w:r>
        <w:rPr/>
        <w:t>1–2ms.</w:t>
      </w:r>
      <w:r>
        <w:rPr>
          <w:spacing w:val="-1"/>
        </w:rPr>
        <w:t> </w:t>
      </w:r>
      <w:r>
        <w:rPr/>
        <w:t>This</w:t>
      </w:r>
      <w:r>
        <w:rPr>
          <w:spacing w:val="-1"/>
        </w:rPr>
        <w:t> </w:t>
      </w:r>
      <w:r>
        <w:rPr/>
        <w:t>fast inactivation</w:t>
      </w:r>
      <w:r>
        <w:rPr>
          <w:spacing w:val="-8"/>
        </w:rPr>
        <w:t> </w:t>
      </w:r>
      <w:r>
        <w:rPr/>
        <w:t>process</w:t>
      </w:r>
      <w:r>
        <w:rPr>
          <w:spacing w:val="-1"/>
        </w:rPr>
        <w:t> </w:t>
      </w:r>
      <w:r>
        <w:rPr/>
        <w:t>is required for repetitive firing of</w:t>
      </w:r>
      <w:r>
        <w:rPr>
          <w:spacing w:val="-3"/>
        </w:rPr>
        <w:t> </w:t>
      </w:r>
      <w:r>
        <w:rPr/>
        <w:t>action potentials in neural circuits and for control</w:t>
      </w:r>
      <w:r>
        <w:rPr>
          <w:spacing w:val="-5"/>
        </w:rPr>
        <w:t> </w:t>
      </w:r>
      <w:r>
        <w:rPr/>
        <w:t>of excitability in nerve and muscle cells. Studies with site-directed anti-peptide antibodies showed that the short intracellular loop connecting homologous domains III and IVof</w:t>
      </w:r>
      <w:r>
        <w:rPr>
          <w:spacing w:val="-5"/>
        </w:rPr>
        <w:t> </w:t>
      </w:r>
      <w:r>
        <w:rPr/>
        <w:t>the sodium</w:t>
      </w:r>
      <w:r>
        <w:rPr>
          <w:spacing w:val="-2"/>
        </w:rPr>
        <w:t> </w:t>
      </w:r>
      <w:r>
        <w:rPr/>
        <w:t>channel </w:t>
      </w:r>
      <w:r>
        <w:rPr>
          <w:i/>
        </w:rPr>
        <w:t>α </w:t>
      </w:r>
      <w:r>
        <w:rPr/>
        <w:t>subunit is responsible for fast inactivation. This fast inactivation gate serves as an intracellular blocking particle that folds into the channel structure and blocks the pore during inactivation. The inactivation gate bends at a key pair of glycine residues to fold into the intracellular mouth of the pore, bind and block sodium conductance as a hinged </w:t>
      </w:r>
      <w:r>
        <w:rPr>
          <w:spacing w:val="-4"/>
        </w:rPr>
        <w:t>lid.</w:t>
      </w:r>
    </w:p>
    <w:p>
      <w:pPr>
        <w:pStyle w:val="BodyText"/>
      </w:pPr>
    </w:p>
    <w:p>
      <w:pPr>
        <w:pStyle w:val="BodyText"/>
        <w:spacing w:before="2"/>
      </w:pPr>
    </w:p>
    <w:p>
      <w:pPr>
        <w:pStyle w:val="ListParagraph"/>
        <w:numPr>
          <w:ilvl w:val="3"/>
          <w:numId w:val="10"/>
        </w:numPr>
        <w:tabs>
          <w:tab w:pos="1404" w:val="left" w:leader="none"/>
        </w:tabs>
        <w:spacing w:line="240" w:lineRule="auto" w:before="0" w:after="0"/>
        <w:ind w:left="1404" w:right="0" w:hanging="723"/>
        <w:jc w:val="both"/>
        <w:rPr>
          <w:i/>
          <w:sz w:val="24"/>
        </w:rPr>
      </w:pPr>
      <w:r>
        <w:rPr>
          <w:i/>
          <w:sz w:val="24"/>
        </w:rPr>
        <w:t>Recovery</w:t>
      </w:r>
      <w:r>
        <w:rPr>
          <w:i/>
          <w:spacing w:val="-6"/>
          <w:sz w:val="24"/>
        </w:rPr>
        <w:t> </w:t>
      </w:r>
      <w:r>
        <w:rPr>
          <w:i/>
          <w:sz w:val="24"/>
        </w:rPr>
        <w:t>from</w:t>
      </w:r>
      <w:r>
        <w:rPr>
          <w:i/>
          <w:spacing w:val="-1"/>
          <w:sz w:val="24"/>
        </w:rPr>
        <w:t> </w:t>
      </w:r>
      <w:r>
        <w:rPr>
          <w:i/>
          <w:spacing w:val="-2"/>
          <w:sz w:val="24"/>
        </w:rPr>
        <w:t>inactivation</w:t>
      </w:r>
    </w:p>
    <w:p>
      <w:pPr>
        <w:pStyle w:val="BodyText"/>
        <w:rPr>
          <w:i/>
        </w:rPr>
      </w:pPr>
    </w:p>
    <w:p>
      <w:pPr>
        <w:pStyle w:val="BodyText"/>
        <w:spacing w:line="480" w:lineRule="auto"/>
        <w:ind w:left="681" w:right="279"/>
        <w:jc w:val="both"/>
      </w:pPr>
      <w:r>
        <w:rPr/>
        <w:t>It occurs only when the membrane is repolarized, whereupon the Na</w:t>
      </w:r>
      <w:r>
        <w:rPr>
          <w:vertAlign w:val="superscript"/>
        </w:rPr>
        <w:t>+</w:t>
      </w:r>
      <w:r>
        <w:rPr>
          <w:vertAlign w:val="baseline"/>
        </w:rPr>
        <w:t> channels return to the closed, resting state from which they can open in response to a stimulus (Dekker, </w:t>
      </w:r>
      <w:r>
        <w:rPr>
          <w:i/>
          <w:vertAlign w:val="baseline"/>
        </w:rPr>
        <w:t>et al., </w:t>
      </w:r>
      <w:r>
        <w:rPr>
          <w:vertAlign w:val="baseline"/>
        </w:rPr>
        <w:t>2008).</w:t>
      </w:r>
    </w:p>
    <w:p>
      <w:pPr>
        <w:pStyle w:val="BodyText"/>
        <w:spacing w:before="3"/>
      </w:pPr>
    </w:p>
    <w:p>
      <w:pPr>
        <w:pStyle w:val="Heading2"/>
        <w:numPr>
          <w:ilvl w:val="2"/>
          <w:numId w:val="10"/>
        </w:numPr>
        <w:tabs>
          <w:tab w:pos="1222" w:val="left" w:leader="none"/>
        </w:tabs>
        <w:spacing w:line="240" w:lineRule="auto" w:before="0" w:after="0"/>
        <w:ind w:left="1222" w:right="0" w:hanging="541"/>
        <w:jc w:val="both"/>
      </w:pPr>
      <w:bookmarkStart w:name="_TOC_250067" w:id="17"/>
      <w:r>
        <w:rPr/>
        <w:t>Voltage</w:t>
      </w:r>
      <w:r>
        <w:rPr>
          <w:spacing w:val="-5"/>
        </w:rPr>
        <w:t> </w:t>
      </w:r>
      <w:r>
        <w:rPr/>
        <w:t>sensing</w:t>
      </w:r>
      <w:r>
        <w:rPr>
          <w:spacing w:val="-2"/>
        </w:rPr>
        <w:t> </w:t>
      </w:r>
      <w:r>
        <w:rPr/>
        <w:t>and</w:t>
      </w:r>
      <w:r>
        <w:rPr>
          <w:spacing w:val="-1"/>
        </w:rPr>
        <w:t> </w:t>
      </w:r>
      <w:r>
        <w:rPr/>
        <w:t>voltage-dependent</w:t>
      </w:r>
      <w:r>
        <w:rPr>
          <w:spacing w:val="-4"/>
        </w:rPr>
        <w:t> </w:t>
      </w:r>
      <w:bookmarkEnd w:id="17"/>
      <w:r>
        <w:rPr>
          <w:spacing w:val="-2"/>
        </w:rPr>
        <w:t>activation</w:t>
      </w:r>
    </w:p>
    <w:p>
      <w:pPr>
        <w:pStyle w:val="BodyText"/>
        <w:spacing w:line="480" w:lineRule="auto" w:before="214"/>
        <w:ind w:left="681" w:right="282"/>
        <w:jc w:val="both"/>
      </w:pPr>
      <w:r>
        <w:rPr/>
        <w:t>Voltage</w:t>
      </w:r>
      <w:r>
        <w:rPr>
          <w:spacing w:val="-3"/>
        </w:rPr>
        <w:t> </w:t>
      </w:r>
      <w:r>
        <w:rPr/>
        <w:t>dependence</w:t>
      </w:r>
      <w:r>
        <w:rPr>
          <w:spacing w:val="-3"/>
        </w:rPr>
        <w:t> </w:t>
      </w:r>
      <w:r>
        <w:rPr/>
        <w:t>of</w:t>
      </w:r>
      <w:r>
        <w:rPr>
          <w:spacing w:val="-9"/>
        </w:rPr>
        <w:t> </w:t>
      </w:r>
      <w:r>
        <w:rPr/>
        <w:t>sodium</w:t>
      </w:r>
      <w:r>
        <w:rPr>
          <w:spacing w:val="-6"/>
        </w:rPr>
        <w:t> </w:t>
      </w:r>
      <w:r>
        <w:rPr/>
        <w:t>channel</w:t>
      </w:r>
      <w:r>
        <w:rPr>
          <w:spacing w:val="-1"/>
        </w:rPr>
        <w:t> </w:t>
      </w:r>
      <w:r>
        <w:rPr/>
        <w:t>activation</w:t>
      </w:r>
      <w:r>
        <w:rPr>
          <w:spacing w:val="-2"/>
        </w:rPr>
        <w:t> </w:t>
      </w:r>
      <w:r>
        <w:rPr/>
        <w:t>requires movement of</w:t>
      </w:r>
      <w:r>
        <w:rPr>
          <w:spacing w:val="-9"/>
        </w:rPr>
        <w:t> </w:t>
      </w:r>
      <w:r>
        <w:rPr/>
        <w:t>three</w:t>
      </w:r>
      <w:r>
        <w:rPr>
          <w:spacing w:val="-3"/>
        </w:rPr>
        <w:t> </w:t>
      </w:r>
      <w:r>
        <w:rPr/>
        <w:t>electrically charged particles across the cell membrane through the full extent of the transmembrane electric field (Catterall, 2012). The S4 transmembrane segments of sodium channels, which</w:t>
      </w:r>
      <w:r>
        <w:rPr>
          <w:spacing w:val="21"/>
        </w:rPr>
        <w:t> </w:t>
      </w:r>
      <w:r>
        <w:rPr/>
        <w:t>contain</w:t>
      </w:r>
      <w:r>
        <w:rPr>
          <w:spacing w:val="24"/>
        </w:rPr>
        <w:t> </w:t>
      </w:r>
      <w:r>
        <w:rPr/>
        <w:t>four</w:t>
      </w:r>
      <w:r>
        <w:rPr>
          <w:spacing w:val="25"/>
        </w:rPr>
        <w:t> </w:t>
      </w:r>
      <w:r>
        <w:rPr/>
        <w:t>to</w:t>
      </w:r>
      <w:r>
        <w:rPr>
          <w:spacing w:val="27"/>
        </w:rPr>
        <w:t> </w:t>
      </w:r>
      <w:r>
        <w:rPr/>
        <w:t>eight</w:t>
      </w:r>
      <w:r>
        <w:rPr>
          <w:spacing w:val="29"/>
        </w:rPr>
        <w:t> </w:t>
      </w:r>
      <w:r>
        <w:rPr/>
        <w:t>repeated</w:t>
      </w:r>
      <w:r>
        <w:rPr>
          <w:spacing w:val="34"/>
        </w:rPr>
        <w:t> </w:t>
      </w:r>
      <w:r>
        <w:rPr/>
        <w:t>motifs</w:t>
      </w:r>
      <w:r>
        <w:rPr>
          <w:spacing w:val="22"/>
        </w:rPr>
        <w:t> </w:t>
      </w:r>
      <w:r>
        <w:rPr/>
        <w:t>of</w:t>
      </w:r>
      <w:r>
        <w:rPr>
          <w:spacing w:val="21"/>
        </w:rPr>
        <w:t> </w:t>
      </w:r>
      <w:r>
        <w:rPr/>
        <w:t>a</w:t>
      </w:r>
      <w:r>
        <w:rPr>
          <w:spacing w:val="28"/>
        </w:rPr>
        <w:t> </w:t>
      </w:r>
      <w:r>
        <w:rPr/>
        <w:t>positively</w:t>
      </w:r>
      <w:r>
        <w:rPr>
          <w:spacing w:val="23"/>
        </w:rPr>
        <w:t> </w:t>
      </w:r>
      <w:r>
        <w:rPr/>
        <w:t>charged</w:t>
      </w:r>
      <w:r>
        <w:rPr>
          <w:spacing w:val="24"/>
        </w:rPr>
        <w:t> </w:t>
      </w:r>
      <w:r>
        <w:rPr/>
        <w:t>amino</w:t>
      </w:r>
      <w:r>
        <w:rPr>
          <w:spacing w:val="33"/>
        </w:rPr>
        <w:t> </w:t>
      </w:r>
      <w:r>
        <w:rPr/>
        <w:t>acid</w:t>
      </w:r>
      <w:r>
        <w:rPr>
          <w:spacing w:val="24"/>
        </w:rPr>
        <w:t> </w:t>
      </w:r>
      <w:r>
        <w:rPr>
          <w:spacing w:val="-2"/>
        </w:rPr>
        <w:t>residue</w:t>
      </w:r>
    </w:p>
    <w:p>
      <w:pPr>
        <w:spacing w:after="0" w:line="480" w:lineRule="auto"/>
        <w:jc w:val="both"/>
        <w:sectPr>
          <w:pgSz w:w="12240" w:h="15840"/>
          <w:pgMar w:header="0" w:footer="1066" w:top="1360" w:bottom="1260" w:left="1480" w:right="1160"/>
        </w:sectPr>
      </w:pPr>
    </w:p>
    <w:p>
      <w:pPr>
        <w:pStyle w:val="BodyText"/>
        <w:spacing w:line="480" w:lineRule="auto" w:before="72"/>
        <w:ind w:left="681" w:right="270"/>
        <w:jc w:val="both"/>
      </w:pPr>
      <w:r>
        <w:rPr/>
        <w:t>(usually arginine) followed by two hydrophobic residues, was proposed to carry the gating charges of sodium channels in the sliding helix or helical screw model of voltage sensing. The S4 segment is proposed to be in a transmembrane position in both resting and activated states; the gating charges are stabilized in their transmembrane position by forming ion pairs with neighbouring negatively charged residues; and their outward movement is catalysed by exchange of these ion pair partners (Yarov-Yarovoy </w:t>
      </w:r>
      <w:r>
        <w:rPr>
          <w:i/>
        </w:rPr>
        <w:t>et al. </w:t>
      </w:r>
      <w:r>
        <w:rPr/>
        <w:t>2006). The transmembrane position of the S4 segment in sodium channels has been shown to bind to the outer end of the S3–S4 loop of the voltage sensors in both resting and</w:t>
      </w:r>
      <w:r>
        <w:rPr>
          <w:spacing w:val="-3"/>
        </w:rPr>
        <w:t> </w:t>
      </w:r>
      <w:r>
        <w:rPr/>
        <w:t>activated</w:t>
      </w:r>
      <w:r>
        <w:rPr>
          <w:spacing w:val="-3"/>
        </w:rPr>
        <w:t> </w:t>
      </w:r>
      <w:r>
        <w:rPr/>
        <w:t>states,</w:t>
      </w:r>
      <w:r>
        <w:rPr>
          <w:spacing w:val="-3"/>
        </w:rPr>
        <w:t> </w:t>
      </w:r>
      <w:r>
        <w:rPr/>
        <w:t>thereby</w:t>
      </w:r>
      <w:r>
        <w:rPr>
          <w:spacing w:val="-8"/>
        </w:rPr>
        <w:t> </w:t>
      </w:r>
      <w:r>
        <w:rPr/>
        <w:t>establishing</w:t>
      </w:r>
      <w:r>
        <w:rPr>
          <w:spacing w:val="-3"/>
        </w:rPr>
        <w:t> </w:t>
      </w:r>
      <w:r>
        <w:rPr/>
        <w:t>that</w:t>
      </w:r>
      <w:r>
        <w:rPr>
          <w:spacing w:val="-3"/>
        </w:rPr>
        <w:t> </w:t>
      </w:r>
      <w:r>
        <w:rPr/>
        <w:t>the</w:t>
      </w:r>
      <w:r>
        <w:rPr>
          <w:spacing w:val="-4"/>
        </w:rPr>
        <w:t> </w:t>
      </w:r>
      <w:r>
        <w:rPr/>
        <w:t>S4</w:t>
      </w:r>
      <w:r>
        <w:rPr>
          <w:spacing w:val="-3"/>
        </w:rPr>
        <w:t> </w:t>
      </w:r>
      <w:r>
        <w:rPr/>
        <w:t>segment remains</w:t>
      </w:r>
      <w:r>
        <w:rPr>
          <w:spacing w:val="-1"/>
        </w:rPr>
        <w:t> </w:t>
      </w:r>
      <w:r>
        <w:rPr/>
        <w:t>in</w:t>
      </w:r>
      <w:r>
        <w:rPr>
          <w:spacing w:val="-3"/>
        </w:rPr>
        <w:t> </w:t>
      </w:r>
      <w:r>
        <w:rPr/>
        <w:t>a transmembrane position in both of these states (Wang </w:t>
      </w:r>
      <w:r>
        <w:rPr>
          <w:i/>
        </w:rPr>
        <w:t>et al. </w:t>
      </w:r>
      <w:r>
        <w:rPr/>
        <w:t>2011; Zhang </w:t>
      </w:r>
      <w:r>
        <w:rPr>
          <w:i/>
        </w:rPr>
        <w:t>et al. </w:t>
      </w:r>
      <w:r>
        <w:rPr/>
        <w:t>2011). Covalent labelling and voltage clamp fluorescence studies show that the S4 segments of sodium channels move outward and rotate upon</w:t>
      </w:r>
      <w:r>
        <w:rPr>
          <w:spacing w:val="-1"/>
        </w:rPr>
        <w:t> </w:t>
      </w:r>
      <w:r>
        <w:rPr/>
        <w:t>membrane depolarization</w:t>
      </w:r>
      <w:r>
        <w:rPr>
          <w:spacing w:val="-1"/>
        </w:rPr>
        <w:t> </w:t>
      </w:r>
      <w:r>
        <w:rPr/>
        <w:t>and transport the gating charges from an inner water-accessible vestibule to an outer water-accessible vestibule (Chanda and Bezanilla, 2002).</w:t>
      </w:r>
    </w:p>
    <w:p>
      <w:pPr>
        <w:pStyle w:val="BodyText"/>
      </w:pPr>
    </w:p>
    <w:p>
      <w:pPr>
        <w:pStyle w:val="BodyText"/>
        <w:spacing w:before="8"/>
      </w:pPr>
    </w:p>
    <w:p>
      <w:pPr>
        <w:pStyle w:val="Heading2"/>
        <w:numPr>
          <w:ilvl w:val="2"/>
          <w:numId w:val="10"/>
        </w:numPr>
        <w:tabs>
          <w:tab w:pos="1222" w:val="left" w:leader="none"/>
        </w:tabs>
        <w:spacing w:line="240" w:lineRule="auto" w:before="0" w:after="0"/>
        <w:ind w:left="1222" w:right="0" w:hanging="541"/>
        <w:jc w:val="both"/>
      </w:pPr>
      <w:bookmarkStart w:name="_TOC_250066" w:id="18"/>
      <w:r>
        <w:rPr/>
        <w:t>Ion</w:t>
      </w:r>
      <w:r>
        <w:rPr>
          <w:spacing w:val="-2"/>
        </w:rPr>
        <w:t> </w:t>
      </w:r>
      <w:r>
        <w:rPr/>
        <w:t>selectivity</w:t>
      </w:r>
      <w:r>
        <w:rPr>
          <w:spacing w:val="-2"/>
        </w:rPr>
        <w:t> </w:t>
      </w:r>
      <w:r>
        <w:rPr/>
        <w:t>and</w:t>
      </w:r>
      <w:bookmarkEnd w:id="18"/>
      <w:r>
        <w:rPr>
          <w:spacing w:val="-2"/>
        </w:rPr>
        <w:t> conductance</w:t>
      </w:r>
    </w:p>
    <w:p>
      <w:pPr>
        <w:pStyle w:val="BodyText"/>
        <w:spacing w:line="480" w:lineRule="auto" w:before="271"/>
        <w:ind w:left="681" w:right="277" w:firstLine="62"/>
        <w:jc w:val="both"/>
      </w:pPr>
      <w:r>
        <w:rPr/>
        <w:t>Although the overall pore architecture of sodium and potassium channels is similar, the structures of their ion selectivity filters and their mechanisms of ion selectivity and conductance are completely different. Potassium channels select K</w:t>
      </w:r>
      <w:r>
        <w:rPr>
          <w:vertAlign w:val="superscript"/>
        </w:rPr>
        <w:t>+</w:t>
      </w:r>
      <w:r>
        <w:rPr>
          <w:vertAlign w:val="baseline"/>
        </w:rPr>
        <w:t> by direct interaction with a series of four ion coordination sites formed by the backbone carbonyls of the amino acid residues that comprise the ion</w:t>
      </w:r>
      <w:r>
        <w:rPr>
          <w:spacing w:val="-2"/>
          <w:vertAlign w:val="baseline"/>
        </w:rPr>
        <w:t> </w:t>
      </w:r>
      <w:r>
        <w:rPr>
          <w:vertAlign w:val="baseline"/>
        </w:rPr>
        <w:t>selectivity</w:t>
      </w:r>
      <w:r>
        <w:rPr>
          <w:spacing w:val="-2"/>
          <w:vertAlign w:val="baseline"/>
        </w:rPr>
        <w:t> </w:t>
      </w:r>
      <w:r>
        <w:rPr>
          <w:vertAlign w:val="baseline"/>
        </w:rPr>
        <w:t>filter. No water molecules intervene between K</w:t>
      </w:r>
      <w:r>
        <w:rPr>
          <w:vertAlign w:val="superscript"/>
        </w:rPr>
        <w:t>+</w:t>
      </w:r>
      <w:r>
        <w:rPr>
          <w:vertAlign w:val="baseline"/>
        </w:rPr>
        <w:t> and its interacting backbone carbonyls in the ion selectivity filter of potassium</w:t>
      </w:r>
      <w:r>
        <w:rPr>
          <w:spacing w:val="9"/>
          <w:vertAlign w:val="baseline"/>
        </w:rPr>
        <w:t> </w:t>
      </w:r>
      <w:r>
        <w:rPr>
          <w:vertAlign w:val="baseline"/>
        </w:rPr>
        <w:t>channels</w:t>
      </w:r>
      <w:r>
        <w:rPr>
          <w:spacing w:val="11"/>
          <w:vertAlign w:val="baseline"/>
        </w:rPr>
        <w:t> </w:t>
      </w:r>
      <w:r>
        <w:rPr>
          <w:vertAlign w:val="baseline"/>
        </w:rPr>
        <w:t>(Zhou</w:t>
      </w:r>
      <w:r>
        <w:rPr>
          <w:spacing w:val="17"/>
          <w:vertAlign w:val="baseline"/>
        </w:rPr>
        <w:t> </w:t>
      </w:r>
      <w:r>
        <w:rPr>
          <w:i/>
          <w:vertAlign w:val="baseline"/>
        </w:rPr>
        <w:t>et</w:t>
      </w:r>
      <w:r>
        <w:rPr>
          <w:i/>
          <w:spacing w:val="14"/>
          <w:vertAlign w:val="baseline"/>
        </w:rPr>
        <w:t> </w:t>
      </w:r>
      <w:r>
        <w:rPr>
          <w:i/>
          <w:vertAlign w:val="baseline"/>
        </w:rPr>
        <w:t>al.</w:t>
      </w:r>
      <w:r>
        <w:rPr>
          <w:i/>
          <w:spacing w:val="12"/>
          <w:vertAlign w:val="baseline"/>
        </w:rPr>
        <w:t> </w:t>
      </w:r>
      <w:r>
        <w:rPr>
          <w:vertAlign w:val="baseline"/>
        </w:rPr>
        <w:t>2001).</w:t>
      </w:r>
      <w:r>
        <w:rPr>
          <w:spacing w:val="15"/>
          <w:vertAlign w:val="baseline"/>
        </w:rPr>
        <w:t> </w:t>
      </w:r>
      <w:r>
        <w:rPr>
          <w:vertAlign w:val="baseline"/>
        </w:rPr>
        <w:t>In</w:t>
      </w:r>
      <w:r>
        <w:rPr>
          <w:spacing w:val="9"/>
          <w:vertAlign w:val="baseline"/>
        </w:rPr>
        <w:t> </w:t>
      </w:r>
      <w:r>
        <w:rPr>
          <w:vertAlign w:val="baseline"/>
        </w:rPr>
        <w:t>contrast,</w:t>
      </w:r>
      <w:r>
        <w:rPr>
          <w:spacing w:val="11"/>
          <w:vertAlign w:val="baseline"/>
        </w:rPr>
        <w:t> </w:t>
      </w:r>
      <w:r>
        <w:rPr>
          <w:vertAlign w:val="baseline"/>
        </w:rPr>
        <w:t>the</w:t>
      </w:r>
      <w:r>
        <w:rPr>
          <w:spacing w:val="16"/>
          <w:vertAlign w:val="baseline"/>
        </w:rPr>
        <w:t> </w:t>
      </w:r>
      <w:r>
        <w:rPr>
          <w:vertAlign w:val="baseline"/>
        </w:rPr>
        <w:t>Na</w:t>
      </w:r>
      <w:r>
        <w:rPr>
          <w:vertAlign w:val="subscript"/>
        </w:rPr>
        <w:t>v</w:t>
      </w:r>
      <w:r>
        <w:rPr>
          <w:vertAlign w:val="baseline"/>
        </w:rPr>
        <w:t>Ab</w:t>
      </w:r>
      <w:r>
        <w:rPr>
          <w:spacing w:val="13"/>
          <w:vertAlign w:val="baseline"/>
        </w:rPr>
        <w:t> </w:t>
      </w:r>
      <w:r>
        <w:rPr>
          <w:vertAlign w:val="baseline"/>
        </w:rPr>
        <w:t>ion</w:t>
      </w:r>
      <w:r>
        <w:rPr>
          <w:spacing w:val="8"/>
          <w:vertAlign w:val="baseline"/>
        </w:rPr>
        <w:t> </w:t>
      </w:r>
      <w:r>
        <w:rPr>
          <w:vertAlign w:val="baseline"/>
        </w:rPr>
        <w:t>selectivity</w:t>
      </w:r>
      <w:r>
        <w:rPr>
          <w:spacing w:val="9"/>
          <w:vertAlign w:val="baseline"/>
        </w:rPr>
        <w:t> </w:t>
      </w:r>
      <w:r>
        <w:rPr>
          <w:vertAlign w:val="baseline"/>
        </w:rPr>
        <w:t>filter</w:t>
      </w:r>
      <w:r>
        <w:rPr>
          <w:spacing w:val="19"/>
          <w:vertAlign w:val="baseline"/>
        </w:rPr>
        <w:t> </w:t>
      </w:r>
      <w:r>
        <w:rPr>
          <w:vertAlign w:val="baseline"/>
        </w:rPr>
        <w:t>has</w:t>
      </w:r>
      <w:r>
        <w:rPr>
          <w:spacing w:val="11"/>
          <w:vertAlign w:val="baseline"/>
        </w:rPr>
        <w:t> </w:t>
      </w:r>
      <w:r>
        <w:rPr>
          <w:spacing w:val="-10"/>
          <w:vertAlign w:val="baseline"/>
        </w:rPr>
        <w:t>a</w:t>
      </w:r>
    </w:p>
    <w:p>
      <w:pPr>
        <w:spacing w:after="0" w:line="480" w:lineRule="auto"/>
        <w:jc w:val="both"/>
        <w:sectPr>
          <w:pgSz w:w="12240" w:h="15840"/>
          <w:pgMar w:header="0" w:footer="1066" w:top="1360" w:bottom="1260" w:left="1480" w:right="1160"/>
        </w:sectPr>
      </w:pPr>
    </w:p>
    <w:p>
      <w:pPr>
        <w:pStyle w:val="BodyText"/>
        <w:spacing w:line="480" w:lineRule="auto" w:before="72"/>
        <w:ind w:left="681" w:right="273"/>
        <w:jc w:val="both"/>
      </w:pPr>
      <w:r>
        <w:rPr/>
        <w:t>high-field-strength site at its extracellular end, formed by the side chains of four glutamate residues (Payandeh </w:t>
      </w:r>
      <w:r>
        <w:rPr>
          <w:i/>
        </w:rPr>
        <w:t>et al. </w:t>
      </w:r>
      <w:r>
        <w:rPr/>
        <w:t>2011), which are highly conserved and are key determinants of ion selectivity in vertebrate sodium and calcium channels (Heinemann </w:t>
      </w:r>
      <w:r>
        <w:rPr>
          <w:i/>
        </w:rPr>
        <w:t>et al. </w:t>
      </w:r>
      <w:r>
        <w:rPr/>
        <w:t>1992). Considering its dimension of</w:t>
      </w:r>
      <w:r>
        <w:rPr>
          <w:spacing w:val="-3"/>
        </w:rPr>
        <w:t> </w:t>
      </w:r>
      <w:r>
        <w:rPr/>
        <w:t>approximately</w:t>
      </w:r>
      <w:r>
        <w:rPr>
          <w:spacing w:val="-5"/>
        </w:rPr>
        <w:t> </w:t>
      </w:r>
      <w:r>
        <w:rPr/>
        <w:t>4.6°A</w:t>
      </w:r>
      <w:r>
        <w:rPr>
          <w:spacing w:val="-1"/>
        </w:rPr>
        <w:t> </w:t>
      </w:r>
      <w:r>
        <w:rPr/>
        <w:t>square, Na</w:t>
      </w:r>
      <w:r>
        <w:rPr>
          <w:vertAlign w:val="superscript"/>
        </w:rPr>
        <w:t>+</w:t>
      </w:r>
      <w:r>
        <w:rPr>
          <w:vertAlign w:val="baseline"/>
        </w:rPr>
        <w:t> with two planar waters</w:t>
      </w:r>
      <w:r>
        <w:rPr>
          <w:spacing w:val="-3"/>
          <w:vertAlign w:val="baseline"/>
        </w:rPr>
        <w:t> </w:t>
      </w:r>
      <w:r>
        <w:rPr>
          <w:vertAlign w:val="baseline"/>
        </w:rPr>
        <w:t>of</w:t>
      </w:r>
      <w:r>
        <w:rPr>
          <w:spacing w:val="-4"/>
          <w:vertAlign w:val="baseline"/>
        </w:rPr>
        <w:t> </w:t>
      </w:r>
      <w:r>
        <w:rPr>
          <w:vertAlign w:val="baseline"/>
        </w:rPr>
        <w:t>hydration</w:t>
      </w:r>
      <w:r>
        <w:rPr>
          <w:spacing w:val="-2"/>
          <w:vertAlign w:val="baseline"/>
        </w:rPr>
        <w:t> </w:t>
      </w:r>
      <w:r>
        <w:rPr>
          <w:vertAlign w:val="baseline"/>
        </w:rPr>
        <w:t>could fit in</w:t>
      </w:r>
      <w:r>
        <w:rPr>
          <w:spacing w:val="-2"/>
          <w:vertAlign w:val="baseline"/>
        </w:rPr>
        <w:t> </w:t>
      </w:r>
      <w:r>
        <w:rPr>
          <w:vertAlign w:val="baseline"/>
        </w:rPr>
        <w:t>this high-field-strength</w:t>
      </w:r>
      <w:r>
        <w:rPr>
          <w:spacing w:val="-2"/>
          <w:vertAlign w:val="baseline"/>
        </w:rPr>
        <w:t> </w:t>
      </w:r>
      <w:r>
        <w:rPr>
          <w:vertAlign w:val="baseline"/>
        </w:rPr>
        <w:t>site. This outer site is followed by two ion coordination sites formed by backbone carbonyls. These two carbonyl sites are perfectly designed to bind Na</w:t>
      </w:r>
      <w:r>
        <w:rPr>
          <w:vertAlign w:val="superscript"/>
        </w:rPr>
        <w:t>+</w:t>
      </w:r>
      <w:r>
        <w:rPr>
          <w:vertAlign w:val="baseline"/>
        </w:rPr>
        <w:t> with four planar waters of hydration but would be much too large to bind Na</w:t>
      </w:r>
      <w:r>
        <w:rPr>
          <w:vertAlign w:val="superscript"/>
        </w:rPr>
        <w:t>+</w:t>
      </w:r>
      <w:r>
        <w:rPr>
          <w:vertAlign w:val="baseline"/>
        </w:rPr>
        <w:t> directly. In fact, the Na</w:t>
      </w:r>
      <w:r>
        <w:rPr>
          <w:vertAlign w:val="subscript"/>
        </w:rPr>
        <w:t>v</w:t>
      </w:r>
      <w:r>
        <w:rPr>
          <w:vertAlign w:val="baseline"/>
        </w:rPr>
        <w:t>Ab selectivity filter is large enough to fit</w:t>
      </w:r>
      <w:r>
        <w:rPr>
          <w:spacing w:val="80"/>
          <w:vertAlign w:val="baseline"/>
        </w:rPr>
        <w:t> </w:t>
      </w:r>
      <w:r>
        <w:rPr>
          <w:vertAlign w:val="baseline"/>
        </w:rPr>
        <w:t>the entire potassium channel ion selectivity filter inside it (Payandeh </w:t>
      </w:r>
      <w:r>
        <w:rPr>
          <w:i/>
          <w:vertAlign w:val="baseline"/>
        </w:rPr>
        <w:t>et al. </w:t>
      </w:r>
      <w:r>
        <w:rPr>
          <w:vertAlign w:val="baseline"/>
        </w:rPr>
        <w:t>2011). Thus, the chemistry of Na</w:t>
      </w:r>
      <w:r>
        <w:rPr>
          <w:vertAlign w:val="superscript"/>
        </w:rPr>
        <w:t>+</w:t>
      </w:r>
      <w:r>
        <w:rPr>
          <w:vertAlign w:val="baseline"/>
        </w:rPr>
        <w:t> selectivity and conductance is opposite to that of K</w:t>
      </w:r>
      <w:r>
        <w:rPr>
          <w:vertAlign w:val="superscript"/>
        </w:rPr>
        <w:t>+</w:t>
      </w:r>
      <w:r>
        <w:rPr>
          <w:vertAlign w:val="baseline"/>
        </w:rPr>
        <w:t>: negatively charged residues interact with</w:t>
      </w:r>
      <w:r>
        <w:rPr>
          <w:spacing w:val="-1"/>
          <w:vertAlign w:val="baseline"/>
        </w:rPr>
        <w:t> </w:t>
      </w:r>
      <w:r>
        <w:rPr>
          <w:vertAlign w:val="baseline"/>
        </w:rPr>
        <w:t>Na</w:t>
      </w:r>
      <w:r>
        <w:rPr>
          <w:vertAlign w:val="superscript"/>
        </w:rPr>
        <w:t>+</w:t>
      </w:r>
      <w:r>
        <w:rPr>
          <w:vertAlign w:val="baseline"/>
        </w:rPr>
        <w:t> to remove most (but not all) of</w:t>
      </w:r>
      <w:r>
        <w:rPr>
          <w:spacing w:val="-4"/>
          <w:vertAlign w:val="baseline"/>
        </w:rPr>
        <w:t> </w:t>
      </w:r>
      <w:r>
        <w:rPr>
          <w:vertAlign w:val="baseline"/>
        </w:rPr>
        <w:t>its waters</w:t>
      </w:r>
      <w:r>
        <w:rPr>
          <w:spacing w:val="-3"/>
          <w:vertAlign w:val="baseline"/>
        </w:rPr>
        <w:t> </w:t>
      </w:r>
      <w:r>
        <w:rPr>
          <w:vertAlign w:val="baseline"/>
        </w:rPr>
        <w:t>of hydration, and Na</w:t>
      </w:r>
      <w:r>
        <w:rPr>
          <w:vertAlign w:val="superscript"/>
        </w:rPr>
        <w:t>+</w:t>
      </w:r>
      <w:r>
        <w:rPr>
          <w:vertAlign w:val="baseline"/>
        </w:rPr>
        <w:t> is conducted</w:t>
      </w:r>
      <w:r>
        <w:rPr>
          <w:spacing w:val="-1"/>
          <w:vertAlign w:val="baseline"/>
        </w:rPr>
        <w:t> </w:t>
      </w:r>
      <w:r>
        <w:rPr>
          <w:vertAlign w:val="baseline"/>
        </w:rPr>
        <w:t>as a hydrated ion</w:t>
      </w:r>
      <w:r>
        <w:rPr>
          <w:spacing w:val="-1"/>
          <w:vertAlign w:val="baseline"/>
        </w:rPr>
        <w:t> </w:t>
      </w:r>
      <w:r>
        <w:rPr>
          <w:vertAlign w:val="baseline"/>
        </w:rPr>
        <w:t>interacting with</w:t>
      </w:r>
      <w:r>
        <w:rPr>
          <w:spacing w:val="-1"/>
          <w:vertAlign w:val="baseline"/>
        </w:rPr>
        <w:t> </w:t>
      </w:r>
      <w:r>
        <w:rPr>
          <w:vertAlign w:val="baseline"/>
        </w:rPr>
        <w:t>the</w:t>
      </w:r>
      <w:r>
        <w:rPr>
          <w:spacing w:val="-2"/>
          <w:vertAlign w:val="baseline"/>
        </w:rPr>
        <w:t> </w:t>
      </w:r>
      <w:r>
        <w:rPr>
          <w:vertAlign w:val="baseline"/>
        </w:rPr>
        <w:t>pore</w:t>
      </w:r>
      <w:r>
        <w:rPr>
          <w:spacing w:val="-2"/>
          <w:vertAlign w:val="baseline"/>
        </w:rPr>
        <w:t> </w:t>
      </w:r>
      <w:r>
        <w:rPr>
          <w:vertAlign w:val="baseline"/>
        </w:rPr>
        <w:t>through</w:t>
      </w:r>
      <w:r>
        <w:rPr>
          <w:spacing w:val="-1"/>
          <w:vertAlign w:val="baseline"/>
        </w:rPr>
        <w:t> </w:t>
      </w:r>
      <w:r>
        <w:rPr>
          <w:vertAlign w:val="baseline"/>
        </w:rPr>
        <w:t>its inner shell</w:t>
      </w:r>
      <w:r>
        <w:rPr>
          <w:spacing w:val="-4"/>
          <w:vertAlign w:val="baseline"/>
        </w:rPr>
        <w:t> </w:t>
      </w:r>
      <w:r>
        <w:rPr>
          <w:vertAlign w:val="baseline"/>
        </w:rPr>
        <w:t>of bound waters. This structure of the</w:t>
      </w:r>
      <w:r>
        <w:rPr>
          <w:spacing w:val="25"/>
          <w:vertAlign w:val="baseline"/>
        </w:rPr>
        <w:t> </w:t>
      </w:r>
      <w:r>
        <w:rPr>
          <w:vertAlign w:val="baseline"/>
        </w:rPr>
        <w:t>ion selectivity filter of NavAb is remarkably similar</w:t>
      </w:r>
      <w:r>
        <w:rPr>
          <w:spacing w:val="40"/>
          <w:vertAlign w:val="baseline"/>
        </w:rPr>
        <w:t> </w:t>
      </w:r>
      <w:r>
        <w:rPr>
          <w:vertAlign w:val="baseline"/>
        </w:rPr>
        <w:t>to the four-barrier, three-site model of ion selectivity, which predicted an outer high- field-strength site that would partially dehydrate the permeating ion and two inner sites that would conduct and rehydrate the permeant Na</w:t>
      </w:r>
      <w:r>
        <w:rPr>
          <w:vertAlign w:val="superscript"/>
        </w:rPr>
        <w:t>+</w:t>
      </w:r>
      <w:r>
        <w:rPr>
          <w:vertAlign w:val="baseline"/>
        </w:rPr>
        <w:t> ion (Hille, 1975). This theory and structure gives clear insight into the chemistry and biophysics of sodium permeation.</w:t>
      </w:r>
    </w:p>
    <w:p>
      <w:pPr>
        <w:pStyle w:val="BodyText"/>
      </w:pPr>
    </w:p>
    <w:p>
      <w:pPr>
        <w:pStyle w:val="BodyText"/>
        <w:spacing w:before="8"/>
      </w:pPr>
    </w:p>
    <w:p>
      <w:pPr>
        <w:pStyle w:val="Heading2"/>
        <w:numPr>
          <w:ilvl w:val="2"/>
          <w:numId w:val="10"/>
        </w:numPr>
        <w:tabs>
          <w:tab w:pos="1222" w:val="left" w:leader="none"/>
        </w:tabs>
        <w:spacing w:line="240" w:lineRule="auto" w:before="1" w:after="0"/>
        <w:ind w:left="1222" w:right="0" w:hanging="541"/>
        <w:jc w:val="both"/>
      </w:pPr>
      <w:bookmarkStart w:name="_TOC_250065" w:id="19"/>
      <w:r>
        <w:rPr/>
        <w:t>Phosphorylation</w:t>
      </w:r>
      <w:r>
        <w:rPr>
          <w:spacing w:val="-1"/>
        </w:rPr>
        <w:t> </w:t>
      </w:r>
      <w:r>
        <w:rPr/>
        <w:t>of</w:t>
      </w:r>
      <w:r>
        <w:rPr>
          <w:spacing w:val="-5"/>
        </w:rPr>
        <w:t> </w:t>
      </w:r>
      <w:r>
        <w:rPr/>
        <w:t>Sodium</w:t>
      </w:r>
      <w:r>
        <w:rPr>
          <w:spacing w:val="-4"/>
        </w:rPr>
        <w:t> </w:t>
      </w:r>
      <w:bookmarkEnd w:id="19"/>
      <w:r>
        <w:rPr>
          <w:spacing w:val="-2"/>
        </w:rPr>
        <w:t>Channels</w:t>
      </w:r>
    </w:p>
    <w:p>
      <w:pPr>
        <w:pStyle w:val="BodyText"/>
        <w:spacing w:line="480" w:lineRule="auto" w:before="271"/>
        <w:ind w:left="681" w:right="271"/>
        <w:jc w:val="both"/>
      </w:pPr>
      <w:r>
        <w:rPr/>
        <w:t>Sodium</w:t>
      </w:r>
      <w:r>
        <w:rPr>
          <w:spacing w:val="-5"/>
        </w:rPr>
        <w:t> </w:t>
      </w:r>
      <w:r>
        <w:rPr/>
        <w:t>channels in brain are</w:t>
      </w:r>
      <w:r>
        <w:rPr>
          <w:spacing w:val="-1"/>
        </w:rPr>
        <w:t> </w:t>
      </w:r>
      <w:r>
        <w:rPr/>
        <w:t>rapidly</w:t>
      </w:r>
      <w:r>
        <w:rPr>
          <w:spacing w:val="-5"/>
        </w:rPr>
        <w:t> </w:t>
      </w:r>
      <w:r>
        <w:rPr/>
        <w:t>phosphorylated by cAMP-dependent protein</w:t>
      </w:r>
      <w:r>
        <w:rPr>
          <w:spacing w:val="-5"/>
        </w:rPr>
        <w:t> </w:t>
      </w:r>
      <w:r>
        <w:rPr/>
        <w:t>kinase, which reduces their ion conductance activity. Phosphorylation of domains I and II</w:t>
      </w:r>
      <w:r>
        <w:rPr>
          <w:spacing w:val="40"/>
        </w:rPr>
        <w:t> </w:t>
      </w:r>
      <w:r>
        <w:rPr/>
        <w:t>reduces peak sodium currents in brain neurons and in cells expressing cloned sodium channels</w:t>
      </w:r>
      <w:r>
        <w:rPr>
          <w:spacing w:val="23"/>
        </w:rPr>
        <w:t> </w:t>
      </w:r>
      <w:r>
        <w:rPr/>
        <w:t>without</w:t>
      </w:r>
      <w:r>
        <w:rPr>
          <w:spacing w:val="34"/>
        </w:rPr>
        <w:t> </w:t>
      </w:r>
      <w:r>
        <w:rPr/>
        <w:t>altering</w:t>
      </w:r>
      <w:r>
        <w:rPr>
          <w:spacing w:val="28"/>
        </w:rPr>
        <w:t> </w:t>
      </w:r>
      <w:r>
        <w:rPr/>
        <w:t>the</w:t>
      </w:r>
      <w:r>
        <w:rPr>
          <w:spacing w:val="32"/>
        </w:rPr>
        <w:t> </w:t>
      </w:r>
      <w:r>
        <w:rPr/>
        <w:t>voltage</w:t>
      </w:r>
      <w:r>
        <w:rPr>
          <w:spacing w:val="28"/>
        </w:rPr>
        <w:t> </w:t>
      </w:r>
      <w:r>
        <w:rPr/>
        <w:t>dependence</w:t>
      </w:r>
      <w:r>
        <w:rPr>
          <w:spacing w:val="31"/>
        </w:rPr>
        <w:t> </w:t>
      </w:r>
      <w:r>
        <w:rPr/>
        <w:t>of</w:t>
      </w:r>
      <w:r>
        <w:rPr>
          <w:spacing w:val="25"/>
        </w:rPr>
        <w:t> </w:t>
      </w:r>
      <w:r>
        <w:rPr/>
        <w:t>activation</w:t>
      </w:r>
      <w:r>
        <w:rPr>
          <w:spacing w:val="28"/>
        </w:rPr>
        <w:t> </w:t>
      </w:r>
      <w:r>
        <w:rPr/>
        <w:t>and</w:t>
      </w:r>
      <w:r>
        <w:rPr>
          <w:spacing w:val="33"/>
        </w:rPr>
        <w:t> </w:t>
      </w:r>
      <w:r>
        <w:rPr/>
        <w:t>inactivation,</w:t>
      </w:r>
      <w:r>
        <w:rPr>
          <w:spacing w:val="31"/>
        </w:rPr>
        <w:t> </w:t>
      </w:r>
      <w:r>
        <w:rPr>
          <w:spacing w:val="-2"/>
        </w:rPr>
        <w:t>action</w:t>
      </w:r>
    </w:p>
    <w:p>
      <w:pPr>
        <w:spacing w:after="0" w:line="480" w:lineRule="auto"/>
        <w:jc w:val="both"/>
        <w:sectPr>
          <w:pgSz w:w="12240" w:h="15840"/>
          <w:pgMar w:header="0" w:footer="1066" w:top="1360" w:bottom="1260" w:left="1480" w:right="1160"/>
        </w:sectPr>
      </w:pPr>
    </w:p>
    <w:p>
      <w:pPr>
        <w:pStyle w:val="BodyText"/>
        <w:spacing w:line="480" w:lineRule="auto" w:before="72"/>
        <w:ind w:left="681" w:right="275"/>
        <w:jc w:val="both"/>
      </w:pPr>
      <w:r>
        <w:rPr/>
        <w:t>potential generation and peak sodium currents are reduced by dopamine acting on D1- like receptors and subsequent activation of the cAMP signaling pathway. Thus, there is clear evidence for involvement in dopamine regulation</w:t>
      </w:r>
      <w:r>
        <w:rPr>
          <w:spacing w:val="-1"/>
        </w:rPr>
        <w:t> </w:t>
      </w:r>
      <w:r>
        <w:rPr/>
        <w:t>of</w:t>
      </w:r>
      <w:r>
        <w:rPr>
          <w:spacing w:val="-4"/>
        </w:rPr>
        <w:t> </w:t>
      </w:r>
      <w:r>
        <w:rPr/>
        <w:t>the firing properties and input- output relationships of striatonigral neurons (Catterall, 2000). Also, sodium currents in nucleus accumbens neurons are persistently reduced after treatment with cocaine, a drug which increases dopaminergic neurotransmission by blocking dopamine reuptake (Zhang </w:t>
      </w:r>
      <w:r>
        <w:rPr>
          <w:i/>
        </w:rPr>
        <w:t>et al</w:t>
      </w:r>
      <w:r>
        <w:rPr/>
        <w:t>., 1998).</w:t>
      </w:r>
    </w:p>
    <w:p>
      <w:pPr>
        <w:pStyle w:val="BodyText"/>
      </w:pPr>
    </w:p>
    <w:p>
      <w:pPr>
        <w:pStyle w:val="BodyText"/>
        <w:spacing w:before="2"/>
      </w:pPr>
    </w:p>
    <w:p>
      <w:pPr>
        <w:pStyle w:val="BodyText"/>
        <w:spacing w:line="480" w:lineRule="auto"/>
        <w:ind w:left="681" w:right="274"/>
        <w:jc w:val="both"/>
      </w:pPr>
      <w:r>
        <w:rPr/>
        <w:t>Sodium channels are also phosphorylated by protein kinase C, and this activation by diacylglycerols or by acetylcholine acting on muscarinic receptors slows sodium inactivation and reduces peak sodium currents. Also, as modulated by tyrosine phosphorylation, activation of tyrosine kinases causes a negative shift in the voltage- dependence of sodium channel inactivation (Catterall, 2000).</w:t>
      </w:r>
    </w:p>
    <w:p>
      <w:pPr>
        <w:pStyle w:val="BodyText"/>
      </w:pPr>
    </w:p>
    <w:p>
      <w:pPr>
        <w:pStyle w:val="BodyText"/>
        <w:spacing w:before="6"/>
      </w:pPr>
    </w:p>
    <w:p>
      <w:pPr>
        <w:pStyle w:val="Heading2"/>
        <w:numPr>
          <w:ilvl w:val="2"/>
          <w:numId w:val="10"/>
        </w:numPr>
        <w:tabs>
          <w:tab w:pos="1222" w:val="left" w:leader="none"/>
        </w:tabs>
        <w:spacing w:line="240" w:lineRule="auto" w:before="0" w:after="0"/>
        <w:ind w:left="1222" w:right="0" w:hanging="541"/>
        <w:jc w:val="both"/>
      </w:pPr>
      <w:bookmarkStart w:name="_TOC_250064" w:id="20"/>
      <w:r>
        <w:rPr/>
        <w:t>Channelopathies</w:t>
      </w:r>
      <w:r>
        <w:rPr>
          <w:spacing w:val="-2"/>
        </w:rPr>
        <w:t> </w:t>
      </w:r>
      <w:r>
        <w:rPr/>
        <w:t>of</w:t>
      </w:r>
      <w:r>
        <w:rPr>
          <w:spacing w:val="-2"/>
        </w:rPr>
        <w:t> </w:t>
      </w:r>
      <w:r>
        <w:rPr/>
        <w:t>sodium</w:t>
      </w:r>
      <w:r>
        <w:rPr>
          <w:spacing w:val="-1"/>
        </w:rPr>
        <w:t> </w:t>
      </w:r>
      <w:bookmarkEnd w:id="20"/>
      <w:r>
        <w:rPr>
          <w:spacing w:val="-2"/>
        </w:rPr>
        <w:t>channels</w:t>
      </w:r>
    </w:p>
    <w:p>
      <w:pPr>
        <w:pStyle w:val="BodyText"/>
        <w:spacing w:line="480" w:lineRule="auto" w:before="271"/>
        <w:ind w:left="681" w:right="279"/>
        <w:jc w:val="both"/>
      </w:pPr>
      <w:r>
        <w:rPr/>
        <w:t>In Dravet syndrome, and possibly also in generalized epilepsy with febrile seizures plus, loss-of-function mutations in Na</w:t>
      </w:r>
      <w:r>
        <w:rPr>
          <w:vertAlign w:val="subscript"/>
        </w:rPr>
        <w:t>v</w:t>
      </w:r>
      <w:r>
        <w:rPr>
          <w:vertAlign w:val="baseline"/>
        </w:rPr>
        <w:t>1.1 channels selectively impair the excitability of GABAergic inhibitory</w:t>
      </w:r>
      <w:r>
        <w:rPr>
          <w:spacing w:val="-2"/>
          <w:vertAlign w:val="baseline"/>
        </w:rPr>
        <w:t> </w:t>
      </w:r>
      <w:r>
        <w:rPr>
          <w:vertAlign w:val="baseline"/>
        </w:rPr>
        <w:t>neurons and thereby</w:t>
      </w:r>
      <w:r>
        <w:rPr>
          <w:spacing w:val="-2"/>
          <w:vertAlign w:val="baseline"/>
        </w:rPr>
        <w:t> </w:t>
      </w:r>
      <w:r>
        <w:rPr>
          <w:vertAlign w:val="baseline"/>
        </w:rPr>
        <w:t>create hyperexcitability in neural</w:t>
      </w:r>
      <w:r>
        <w:rPr>
          <w:spacing w:val="-2"/>
          <w:vertAlign w:val="baseline"/>
        </w:rPr>
        <w:t> </w:t>
      </w:r>
      <w:r>
        <w:rPr>
          <w:vertAlign w:val="baseline"/>
        </w:rPr>
        <w:t>circuits and cause epilepsy (Catterall </w:t>
      </w:r>
      <w:r>
        <w:rPr>
          <w:i/>
          <w:vertAlign w:val="baseline"/>
        </w:rPr>
        <w:t>et al. </w:t>
      </w:r>
      <w:r>
        <w:rPr>
          <w:vertAlign w:val="baseline"/>
        </w:rPr>
        <w:t>2010).</w:t>
      </w:r>
    </w:p>
    <w:p>
      <w:pPr>
        <w:pStyle w:val="BodyText"/>
      </w:pPr>
    </w:p>
    <w:p>
      <w:pPr>
        <w:pStyle w:val="BodyText"/>
        <w:spacing w:before="1"/>
      </w:pPr>
    </w:p>
    <w:p>
      <w:pPr>
        <w:pStyle w:val="BodyText"/>
        <w:spacing w:line="480" w:lineRule="auto"/>
        <w:ind w:left="681" w:right="279"/>
        <w:jc w:val="both"/>
        <w:rPr>
          <w:i/>
        </w:rPr>
      </w:pPr>
      <w:r>
        <w:rPr/>
        <w:t>In sensory neurons, mutations in Na</w:t>
      </w:r>
      <w:r>
        <w:rPr>
          <w:vertAlign w:val="subscript"/>
        </w:rPr>
        <w:t>v</w:t>
      </w:r>
      <w:r>
        <w:rPr>
          <w:vertAlign w:val="baseline"/>
        </w:rPr>
        <w:t>1.7 channels cause erythromelalgia by shifting the voltage dependence of activation to more negative membrane potentials and cause paroxysmal</w:t>
      </w:r>
      <w:r>
        <w:rPr>
          <w:spacing w:val="3"/>
          <w:vertAlign w:val="baseline"/>
        </w:rPr>
        <w:t> </w:t>
      </w:r>
      <w:r>
        <w:rPr>
          <w:vertAlign w:val="baseline"/>
        </w:rPr>
        <w:t>extreme</w:t>
      </w:r>
      <w:r>
        <w:rPr>
          <w:spacing w:val="8"/>
          <w:vertAlign w:val="baseline"/>
        </w:rPr>
        <w:t> </w:t>
      </w:r>
      <w:r>
        <w:rPr>
          <w:vertAlign w:val="baseline"/>
        </w:rPr>
        <w:t>pain</w:t>
      </w:r>
      <w:r>
        <w:rPr>
          <w:spacing w:val="10"/>
          <w:vertAlign w:val="baseline"/>
        </w:rPr>
        <w:t> </w:t>
      </w:r>
      <w:r>
        <w:rPr>
          <w:vertAlign w:val="baseline"/>
        </w:rPr>
        <w:t>disorder</w:t>
      </w:r>
      <w:r>
        <w:rPr>
          <w:spacing w:val="6"/>
          <w:vertAlign w:val="baseline"/>
        </w:rPr>
        <w:t> </w:t>
      </w:r>
      <w:r>
        <w:rPr>
          <w:vertAlign w:val="baseline"/>
        </w:rPr>
        <w:t>by</w:t>
      </w:r>
      <w:r>
        <w:rPr>
          <w:spacing w:val="4"/>
          <w:vertAlign w:val="baseline"/>
        </w:rPr>
        <w:t> </w:t>
      </w:r>
      <w:r>
        <w:rPr>
          <w:vertAlign w:val="baseline"/>
        </w:rPr>
        <w:t>impairing</w:t>
      </w:r>
      <w:r>
        <w:rPr>
          <w:spacing w:val="5"/>
          <w:vertAlign w:val="baseline"/>
        </w:rPr>
        <w:t> </w:t>
      </w:r>
      <w:r>
        <w:rPr>
          <w:vertAlign w:val="baseline"/>
        </w:rPr>
        <w:t>sodium channel</w:t>
      </w:r>
      <w:r>
        <w:rPr>
          <w:spacing w:val="6"/>
          <w:vertAlign w:val="baseline"/>
        </w:rPr>
        <w:t> </w:t>
      </w:r>
      <w:r>
        <w:rPr>
          <w:vertAlign w:val="baseline"/>
        </w:rPr>
        <w:t>inactivation (Dib-Hajj</w:t>
      </w:r>
      <w:r>
        <w:rPr>
          <w:spacing w:val="7"/>
          <w:vertAlign w:val="baseline"/>
        </w:rPr>
        <w:t> </w:t>
      </w:r>
      <w:r>
        <w:rPr>
          <w:i/>
          <w:spacing w:val="-5"/>
          <w:vertAlign w:val="baseline"/>
        </w:rPr>
        <w:t>et</w:t>
      </w:r>
    </w:p>
    <w:p>
      <w:pPr>
        <w:spacing w:after="0" w:line="480" w:lineRule="auto"/>
        <w:jc w:val="both"/>
        <w:sectPr>
          <w:pgSz w:w="12240" w:h="15840"/>
          <w:pgMar w:header="0" w:footer="1066" w:top="1360" w:bottom="1260" w:left="1480" w:right="1160"/>
        </w:sectPr>
      </w:pPr>
    </w:p>
    <w:p>
      <w:pPr>
        <w:pStyle w:val="BodyText"/>
        <w:spacing w:line="480" w:lineRule="auto" w:before="72"/>
        <w:ind w:left="681" w:right="277"/>
        <w:jc w:val="both"/>
      </w:pPr>
      <w:r>
        <w:rPr>
          <w:i/>
        </w:rPr>
        <w:t>al., </w:t>
      </w:r>
      <w:r>
        <w:rPr/>
        <w:t>2009). In the rare recessive pain disorder congenital indifference to pain, loss-of- function mutations in both alleles of the gene encoding Na</w:t>
      </w:r>
      <w:r>
        <w:rPr>
          <w:vertAlign w:val="subscript"/>
        </w:rPr>
        <w:t>v</w:t>
      </w:r>
      <w:r>
        <w:rPr>
          <w:vertAlign w:val="baseline"/>
        </w:rPr>
        <w:t>1.7 channels cause complete loss of pain sensation (Cox </w:t>
      </w:r>
      <w:r>
        <w:rPr>
          <w:i/>
          <w:vertAlign w:val="baseline"/>
        </w:rPr>
        <w:t>et al., </w:t>
      </w:r>
      <w:r>
        <w:rPr>
          <w:vertAlign w:val="baseline"/>
        </w:rPr>
        <w:t>2006).</w:t>
      </w:r>
    </w:p>
    <w:p>
      <w:pPr>
        <w:pStyle w:val="BodyText"/>
      </w:pPr>
    </w:p>
    <w:p>
      <w:pPr>
        <w:pStyle w:val="BodyText"/>
        <w:spacing w:before="1"/>
      </w:pPr>
    </w:p>
    <w:p>
      <w:pPr>
        <w:pStyle w:val="BodyText"/>
        <w:spacing w:line="480" w:lineRule="auto"/>
        <w:ind w:left="681" w:right="278"/>
        <w:jc w:val="both"/>
      </w:pPr>
      <w:r>
        <w:rPr/>
        <w:t>Mutations of the gating charges in the voltage sensor of Na</w:t>
      </w:r>
      <w:r>
        <w:rPr>
          <w:vertAlign w:val="subscript"/>
        </w:rPr>
        <w:t>v</w:t>
      </w:r>
      <w:r>
        <w:rPr>
          <w:vertAlign w:val="baseline"/>
        </w:rPr>
        <w:t>1.4 channels cause an ionic leak through the gating pore, resulting in excess Na</w:t>
      </w:r>
      <w:r>
        <w:rPr>
          <w:vertAlign w:val="superscript"/>
        </w:rPr>
        <w:t>+</w:t>
      </w:r>
      <w:r>
        <w:rPr>
          <w:vertAlign w:val="baseline"/>
        </w:rPr>
        <w:t> influx through the leaky voltage sensor, accumulation of intracellular Na</w:t>
      </w:r>
      <w:r>
        <w:rPr>
          <w:vertAlign w:val="superscript"/>
        </w:rPr>
        <w:t>+</w:t>
      </w:r>
      <w:r>
        <w:rPr>
          <w:vertAlign w:val="baseline"/>
        </w:rPr>
        <w:t>, depolarization and conduction block that lead</w:t>
      </w:r>
      <w:r>
        <w:rPr>
          <w:spacing w:val="40"/>
          <w:vertAlign w:val="baseline"/>
        </w:rPr>
        <w:t> </w:t>
      </w:r>
      <w:r>
        <w:rPr>
          <w:vertAlign w:val="baseline"/>
        </w:rPr>
        <w:t>to episodic paralysis (Sokolov </w:t>
      </w:r>
      <w:r>
        <w:rPr>
          <w:i/>
          <w:vertAlign w:val="baseline"/>
        </w:rPr>
        <w:t>et al.</w:t>
      </w:r>
      <w:r>
        <w:rPr>
          <w:vertAlign w:val="baseline"/>
        </w:rPr>
        <w:t>, 2008).In skeletal muscle, mutations in Na</w:t>
      </w:r>
      <w:r>
        <w:rPr>
          <w:vertAlign w:val="subscript"/>
        </w:rPr>
        <w:t>v</w:t>
      </w:r>
      <w:r>
        <w:rPr>
          <w:vertAlign w:val="baseline"/>
        </w:rPr>
        <w:t>1.4 channels increase channel activity by impairing fast and/or slow inactivation in paramyotonia congenita and hyperkalaemic periodic paralysis (Venance </w:t>
      </w:r>
      <w:r>
        <w:rPr>
          <w:i/>
          <w:vertAlign w:val="baseline"/>
        </w:rPr>
        <w:t>et al., </w:t>
      </w:r>
      <w:r>
        <w:rPr>
          <w:vertAlign w:val="baseline"/>
        </w:rPr>
        <w:t>2006).</w:t>
      </w:r>
    </w:p>
    <w:p>
      <w:pPr>
        <w:pStyle w:val="BodyText"/>
      </w:pPr>
    </w:p>
    <w:p>
      <w:pPr>
        <w:pStyle w:val="BodyText"/>
        <w:spacing w:before="1"/>
      </w:pPr>
    </w:p>
    <w:p>
      <w:pPr>
        <w:pStyle w:val="BodyText"/>
        <w:spacing w:line="480" w:lineRule="auto" w:before="1"/>
        <w:ind w:left="681" w:right="278"/>
        <w:jc w:val="both"/>
      </w:pPr>
      <w:r>
        <w:rPr/>
        <w:t>Also, mutations in Na</w:t>
      </w:r>
      <w:r>
        <w:rPr>
          <w:vertAlign w:val="subscript"/>
        </w:rPr>
        <w:t>v</w:t>
      </w:r>
      <w:r>
        <w:rPr>
          <w:vertAlign w:val="baseline"/>
        </w:rPr>
        <w:t>1.5 channels cause long QT syndrome by impairing sodium channel inactivation (Keating and Sanguinetti, 2001). In Brugada syndrome, loss-of- function mutations of Na</w:t>
      </w:r>
      <w:r>
        <w:rPr>
          <w:vertAlign w:val="subscript"/>
        </w:rPr>
        <w:t>v</w:t>
      </w:r>
      <w:r>
        <w:rPr>
          <w:vertAlign w:val="baseline"/>
        </w:rPr>
        <w:t>1.5 channels create inhomogeneity of conduction across the ventricular wall and generate arrhythmias (Terrenoire </w:t>
      </w:r>
      <w:r>
        <w:rPr>
          <w:i/>
          <w:vertAlign w:val="baseline"/>
        </w:rPr>
        <w:t>et al., </w:t>
      </w:r>
      <w:r>
        <w:rPr>
          <w:vertAlign w:val="baseline"/>
        </w:rPr>
        <w:t>2007).</w:t>
      </w:r>
    </w:p>
    <w:p>
      <w:pPr>
        <w:pStyle w:val="BodyText"/>
      </w:pPr>
    </w:p>
    <w:p>
      <w:pPr>
        <w:pStyle w:val="BodyText"/>
        <w:spacing w:before="5"/>
      </w:pPr>
    </w:p>
    <w:p>
      <w:pPr>
        <w:pStyle w:val="Heading2"/>
        <w:numPr>
          <w:ilvl w:val="1"/>
          <w:numId w:val="10"/>
        </w:numPr>
        <w:tabs>
          <w:tab w:pos="1045" w:val="left" w:leader="none"/>
        </w:tabs>
        <w:spacing w:line="240" w:lineRule="auto" w:before="0" w:after="0"/>
        <w:ind w:left="1045" w:right="0" w:hanging="364"/>
        <w:jc w:val="both"/>
      </w:pPr>
      <w:bookmarkStart w:name="_TOC_250063" w:id="21"/>
      <w:r>
        <w:rPr/>
        <w:t>Voltage-Gated</w:t>
      </w:r>
      <w:r>
        <w:rPr>
          <w:spacing w:val="-7"/>
        </w:rPr>
        <w:t> </w:t>
      </w:r>
      <w:r>
        <w:rPr/>
        <w:t>Potassium</w:t>
      </w:r>
      <w:r>
        <w:rPr>
          <w:spacing w:val="-6"/>
        </w:rPr>
        <w:t> </w:t>
      </w:r>
      <w:r>
        <w:rPr/>
        <w:t>Channels</w:t>
      </w:r>
      <w:r>
        <w:rPr>
          <w:spacing w:val="-5"/>
        </w:rPr>
        <w:t> </w:t>
      </w:r>
      <w:bookmarkEnd w:id="21"/>
      <w:r>
        <w:rPr>
          <w:spacing w:val="-2"/>
        </w:rPr>
        <w:t>(VGKCs)</w:t>
      </w:r>
    </w:p>
    <w:p>
      <w:pPr>
        <w:pStyle w:val="BodyText"/>
        <w:spacing w:line="480" w:lineRule="auto" w:before="272"/>
        <w:ind w:left="681" w:right="271"/>
        <w:jc w:val="both"/>
      </w:pPr>
      <w:r>
        <w:rPr/>
        <w:t>Voltage-gated potassium channels indirectly modify presynaptic Ca</w:t>
      </w:r>
      <w:r>
        <w:rPr>
          <w:vertAlign w:val="superscript"/>
        </w:rPr>
        <w:t>2+</w:t>
      </w:r>
      <w:r>
        <w:rPr>
          <w:vertAlign w:val="baseline"/>
        </w:rPr>
        <w:t> entry, neurotransmitter release and action potential. Hence, more subtle mechanism of seizure control than voltage-gated calcium channel. Presynaptic voltage-gated potassium regulates the release of both excitatory and inhibitory neurotransmitters throughout the brain. Generally, if VGKCs open; the membrane potential will move toward the potassium</w:t>
      </w:r>
      <w:r>
        <w:rPr>
          <w:spacing w:val="40"/>
          <w:vertAlign w:val="baseline"/>
        </w:rPr>
        <w:t> </w:t>
      </w:r>
      <w:r>
        <w:rPr>
          <w:vertAlign w:val="baseline"/>
        </w:rPr>
        <w:t>equilibrium</w:t>
      </w:r>
      <w:r>
        <w:rPr>
          <w:spacing w:val="40"/>
          <w:vertAlign w:val="baseline"/>
        </w:rPr>
        <w:t> </w:t>
      </w:r>
      <w:r>
        <w:rPr>
          <w:vertAlign w:val="baseline"/>
        </w:rPr>
        <w:t>potential,</w:t>
      </w:r>
      <w:r>
        <w:rPr>
          <w:spacing w:val="40"/>
          <w:vertAlign w:val="baseline"/>
        </w:rPr>
        <w:t> </w:t>
      </w:r>
      <w:r>
        <w:rPr>
          <w:vertAlign w:val="baseline"/>
        </w:rPr>
        <w:t>whereas</w:t>
      </w:r>
      <w:r>
        <w:rPr>
          <w:spacing w:val="40"/>
          <w:vertAlign w:val="baseline"/>
        </w:rPr>
        <w:t> </w:t>
      </w:r>
      <w:r>
        <w:rPr>
          <w:vertAlign w:val="baseline"/>
        </w:rPr>
        <w:t>if</w:t>
      </w:r>
      <w:r>
        <w:rPr>
          <w:spacing w:val="40"/>
          <w:vertAlign w:val="baseline"/>
        </w:rPr>
        <w:t> </w:t>
      </w:r>
      <w:r>
        <w:rPr>
          <w:vertAlign w:val="baseline"/>
        </w:rPr>
        <w:t>close,</w:t>
      </w:r>
      <w:r>
        <w:rPr>
          <w:spacing w:val="40"/>
          <w:vertAlign w:val="baseline"/>
        </w:rPr>
        <w:t> </w:t>
      </w:r>
      <w:r>
        <w:rPr>
          <w:vertAlign w:val="baseline"/>
        </w:rPr>
        <w:t>other</w:t>
      </w:r>
      <w:r>
        <w:rPr>
          <w:spacing w:val="40"/>
          <w:vertAlign w:val="baseline"/>
        </w:rPr>
        <w:t> </w:t>
      </w:r>
      <w:r>
        <w:rPr>
          <w:vertAlign w:val="baseline"/>
        </w:rPr>
        <w:t>ionic</w:t>
      </w:r>
      <w:r>
        <w:rPr>
          <w:spacing w:val="40"/>
          <w:vertAlign w:val="baseline"/>
        </w:rPr>
        <w:t> </w:t>
      </w:r>
      <w:r>
        <w:rPr>
          <w:vertAlign w:val="baseline"/>
        </w:rPr>
        <w:t>conductances</w:t>
      </w:r>
      <w:r>
        <w:rPr>
          <w:spacing w:val="40"/>
          <w:vertAlign w:val="baseline"/>
        </w:rPr>
        <w:t> </w:t>
      </w:r>
      <w:r>
        <w:rPr>
          <w:vertAlign w:val="baseline"/>
        </w:rPr>
        <w:t>active</w:t>
      </w:r>
      <w:r>
        <w:rPr>
          <w:spacing w:val="40"/>
          <w:vertAlign w:val="baseline"/>
        </w:rPr>
        <w:t> </w:t>
      </w:r>
      <w:r>
        <w:rPr>
          <w:vertAlign w:val="baseline"/>
        </w:rPr>
        <w:t>in</w:t>
      </w:r>
    </w:p>
    <w:p>
      <w:pPr>
        <w:spacing w:after="0" w:line="480" w:lineRule="auto"/>
        <w:jc w:val="both"/>
        <w:sectPr>
          <w:pgSz w:w="12240" w:h="15840"/>
          <w:pgMar w:header="0" w:footer="1066" w:top="1360" w:bottom="1260" w:left="1480" w:right="1160"/>
        </w:sectPr>
      </w:pPr>
    </w:p>
    <w:p>
      <w:pPr>
        <w:pStyle w:val="BodyText"/>
        <w:spacing w:line="480" w:lineRule="auto" w:before="72"/>
        <w:ind w:left="681" w:right="273"/>
        <w:jc w:val="both"/>
      </w:pPr>
      <w:r>
        <w:rPr/>
        <w:t>neurons will drive membrane potential changes, often, as in case of</w:t>
      </w:r>
      <w:r>
        <w:rPr>
          <w:spacing w:val="-3"/>
        </w:rPr>
        <w:t> </w:t>
      </w:r>
      <w:r>
        <w:rPr/>
        <w:t>VGSCs and VGCCs, in a depolarizing direction thus, VGKCs openers can be considered as good antiepileptic because they speed the repolarization of</w:t>
      </w:r>
      <w:r>
        <w:rPr>
          <w:spacing w:val="-3"/>
        </w:rPr>
        <w:t> </w:t>
      </w:r>
      <w:r>
        <w:rPr/>
        <w:t>the presynaptic terminals, which will shorten the duration of action potential toward potassium equilibrium potential (E</w:t>
      </w:r>
      <w:r>
        <w:rPr>
          <w:vertAlign w:val="subscript"/>
        </w:rPr>
        <w:t>K</w:t>
      </w:r>
      <w:r>
        <w:rPr>
          <w:vertAlign w:val="baseline"/>
        </w:rPr>
        <w:t>). Examples of VGKCs opener are Flupirtine and Retigabine (Nicholas </w:t>
      </w:r>
      <w:r>
        <w:rPr>
          <w:i/>
          <w:vertAlign w:val="baseline"/>
        </w:rPr>
        <w:t>et al</w:t>
      </w:r>
      <w:r>
        <w:rPr>
          <w:vertAlign w:val="baseline"/>
        </w:rPr>
        <w:t>., 2002).</w:t>
      </w:r>
    </w:p>
    <w:p>
      <w:pPr>
        <w:pStyle w:val="BodyText"/>
      </w:pPr>
    </w:p>
    <w:p>
      <w:pPr>
        <w:pStyle w:val="BodyText"/>
        <w:spacing w:before="1"/>
      </w:pPr>
    </w:p>
    <w:p>
      <w:pPr>
        <w:pStyle w:val="BodyText"/>
        <w:spacing w:line="480" w:lineRule="auto"/>
        <w:ind w:left="681" w:right="279"/>
        <w:jc w:val="both"/>
      </w:pPr>
      <w:r>
        <w:rPr/>
        <w:t>Voltage-gated (delayed rectifier) K</w:t>
      </w:r>
      <w:r>
        <w:rPr>
          <w:vertAlign w:val="superscript"/>
        </w:rPr>
        <w:t>+</w:t>
      </w:r>
      <w:r>
        <w:rPr>
          <w:vertAlign w:val="baseline"/>
        </w:rPr>
        <w:t> channels contribute to the rapid repolarisation phase of the action potential. Although membrane depolarization opens these channels, they open and close more slowly than do Na</w:t>
      </w:r>
      <w:r>
        <w:rPr>
          <w:vertAlign w:val="superscript"/>
        </w:rPr>
        <w:t>+</w:t>
      </w:r>
      <w:r>
        <w:rPr>
          <w:vertAlign w:val="baseline"/>
        </w:rPr>
        <w:t> channels in response to depolarization. Therefore, inward Na</w:t>
      </w:r>
      <w:r>
        <w:rPr>
          <w:vertAlign w:val="superscript"/>
        </w:rPr>
        <w:t>+</w:t>
      </w:r>
      <w:r>
        <w:rPr>
          <w:vertAlign w:val="baseline"/>
        </w:rPr>
        <w:t> current dominates the early (depolarization) phase of action potential, and outward K</w:t>
      </w:r>
      <w:r>
        <w:rPr>
          <w:vertAlign w:val="superscript"/>
        </w:rPr>
        <w:t>+</w:t>
      </w:r>
      <w:r>
        <w:rPr>
          <w:vertAlign w:val="baseline"/>
        </w:rPr>
        <w:t> current dominates the later</w:t>
      </w:r>
      <w:r>
        <w:rPr>
          <w:spacing w:val="-1"/>
          <w:vertAlign w:val="baseline"/>
        </w:rPr>
        <w:t> </w:t>
      </w:r>
      <w:r>
        <w:rPr>
          <w:vertAlign w:val="baseline"/>
        </w:rPr>
        <w:t>(repolarisation) phase. Thus, action potential is characterized by an initial depolarization as a result of fast inward Na</w:t>
      </w:r>
      <w:r>
        <w:rPr>
          <w:vertAlign w:val="superscript"/>
        </w:rPr>
        <w:t>+</w:t>
      </w:r>
      <w:r>
        <w:rPr>
          <w:spacing w:val="40"/>
          <w:vertAlign w:val="baseline"/>
        </w:rPr>
        <w:t> </w:t>
      </w:r>
      <w:r>
        <w:rPr>
          <w:vertAlign w:val="baseline"/>
        </w:rPr>
        <w:t>current, followed by a prolonged repolarization caused by slower and more sustained outward K</w:t>
      </w:r>
      <w:r>
        <w:rPr>
          <w:vertAlign w:val="superscript"/>
        </w:rPr>
        <w:t>+</w:t>
      </w:r>
      <w:r>
        <w:rPr>
          <w:vertAlign w:val="baseline"/>
        </w:rPr>
        <w:t> current (Dekker, </w:t>
      </w:r>
      <w:r>
        <w:rPr>
          <w:i/>
          <w:vertAlign w:val="baseline"/>
        </w:rPr>
        <w:t>et al., </w:t>
      </w:r>
      <w:r>
        <w:rPr>
          <w:vertAlign w:val="baseline"/>
        </w:rPr>
        <w:t>2008).</w:t>
      </w:r>
    </w:p>
    <w:p>
      <w:pPr>
        <w:pStyle w:val="BodyText"/>
      </w:pPr>
    </w:p>
    <w:p>
      <w:pPr>
        <w:pStyle w:val="BodyText"/>
        <w:spacing w:before="2"/>
      </w:pPr>
    </w:p>
    <w:p>
      <w:pPr>
        <w:pStyle w:val="BodyText"/>
        <w:spacing w:line="480" w:lineRule="auto"/>
        <w:ind w:left="681" w:right="274"/>
        <w:jc w:val="both"/>
      </w:pPr>
      <w:r>
        <w:rPr/>
        <w:t>Potassium channels play a major role in the control of all aspect of neuronal excitability that need to be exploited for the development of new AEDs, this may serve as an</w:t>
      </w:r>
      <w:r>
        <w:rPr>
          <w:spacing w:val="40"/>
        </w:rPr>
        <w:t> </w:t>
      </w:r>
      <w:r>
        <w:rPr/>
        <w:t>alternate or adjunct therapy for the treatment of drug-resistant or refractory</w:t>
      </w:r>
      <w:r>
        <w:rPr>
          <w:spacing w:val="-1"/>
        </w:rPr>
        <w:t> </w:t>
      </w:r>
      <w:r>
        <w:rPr/>
        <w:t>epilepsy. For instance, inward rectifiers, is a class of</w:t>
      </w:r>
      <w:r>
        <w:rPr>
          <w:spacing w:val="-3"/>
        </w:rPr>
        <w:t> </w:t>
      </w:r>
      <w:r>
        <w:rPr/>
        <w:t>potassium channels primarily functions to control neuronal excitability. These channels pass current over a hyperpolarized voltage range; this will lead to the maintenance of resting membrane potential, responsiveness to synaptic inputs and neurotransmitter release. Gating of some inward rectifiers is tightly regulated by intracellular ATP</w:t>
      </w:r>
      <w:r>
        <w:rPr>
          <w:spacing w:val="20"/>
        </w:rPr>
        <w:t> </w:t>
      </w:r>
      <w:r>
        <w:rPr/>
        <w:t>levels, providing a link</w:t>
      </w:r>
      <w:r>
        <w:rPr>
          <w:spacing w:val="20"/>
        </w:rPr>
        <w:t> </w:t>
      </w:r>
      <w:r>
        <w:rPr/>
        <w:t>between cellular</w:t>
      </w:r>
      <w:r>
        <w:rPr>
          <w:spacing w:val="21"/>
        </w:rPr>
        <w:t> </w:t>
      </w:r>
      <w:r>
        <w:rPr/>
        <w:t>metabolism and</w:t>
      </w:r>
    </w:p>
    <w:p>
      <w:pPr>
        <w:spacing w:after="0" w:line="480" w:lineRule="auto"/>
        <w:jc w:val="both"/>
        <w:sectPr>
          <w:pgSz w:w="12240" w:h="15840"/>
          <w:pgMar w:header="0" w:footer="1066" w:top="1360" w:bottom="1260" w:left="1480" w:right="1160"/>
        </w:sectPr>
      </w:pPr>
    </w:p>
    <w:p>
      <w:pPr>
        <w:pStyle w:val="BodyText"/>
        <w:spacing w:line="480" w:lineRule="auto" w:before="72"/>
        <w:ind w:left="681" w:right="277"/>
        <w:jc w:val="both"/>
      </w:pPr>
      <w:r>
        <w:rPr/>
        <w:t>neuronal excitability. Others are activated by G-protein coupled receptors; both are referred to as ATP-sensitive K</w:t>
      </w:r>
      <w:r>
        <w:rPr>
          <w:vertAlign w:val="superscript"/>
        </w:rPr>
        <w:t>+</w:t>
      </w:r>
      <w:r>
        <w:rPr>
          <w:vertAlign w:val="baseline"/>
        </w:rPr>
        <w:t> channels and G-protein activated K</w:t>
      </w:r>
      <w:r>
        <w:rPr>
          <w:vertAlign w:val="superscript"/>
        </w:rPr>
        <w:t>+</w:t>
      </w:r>
      <w:r>
        <w:rPr>
          <w:vertAlign w:val="baseline"/>
        </w:rPr>
        <w:t> channels respectively (Wickenden, 2002).</w:t>
      </w:r>
    </w:p>
    <w:p>
      <w:pPr>
        <w:pStyle w:val="BodyText"/>
      </w:pPr>
    </w:p>
    <w:p>
      <w:pPr>
        <w:pStyle w:val="BodyText"/>
        <w:spacing w:before="1"/>
      </w:pPr>
    </w:p>
    <w:p>
      <w:pPr>
        <w:pStyle w:val="BodyText"/>
        <w:spacing w:line="480" w:lineRule="auto"/>
        <w:ind w:left="681" w:right="278"/>
        <w:jc w:val="both"/>
      </w:pPr>
      <w:r>
        <w:rPr/>
        <w:t>Another class of VGKCs is KCNQ</w:t>
      </w:r>
      <w:r>
        <w:rPr>
          <w:vertAlign w:val="subscript"/>
        </w:rPr>
        <w:t>2</w:t>
      </w:r>
      <w:r>
        <w:rPr>
          <w:vertAlign w:val="baseline"/>
        </w:rPr>
        <w:t> and KCNQ</w:t>
      </w:r>
      <w:r>
        <w:rPr>
          <w:vertAlign w:val="subscript"/>
        </w:rPr>
        <w:t>3</w:t>
      </w:r>
      <w:r>
        <w:rPr>
          <w:vertAlign w:val="baseline"/>
        </w:rPr>
        <w:t>. They are predominantly expressed in the</w:t>
      </w:r>
      <w:r>
        <w:rPr>
          <w:spacing w:val="-2"/>
          <w:vertAlign w:val="baseline"/>
        </w:rPr>
        <w:t> </w:t>
      </w:r>
      <w:r>
        <w:rPr>
          <w:vertAlign w:val="baseline"/>
        </w:rPr>
        <w:t>CNS, and</w:t>
      </w:r>
      <w:r>
        <w:rPr>
          <w:spacing w:val="-1"/>
          <w:vertAlign w:val="baseline"/>
        </w:rPr>
        <w:t> </w:t>
      </w:r>
      <w:r>
        <w:rPr>
          <w:vertAlign w:val="baseline"/>
        </w:rPr>
        <w:t>are found both</w:t>
      </w:r>
      <w:r>
        <w:rPr>
          <w:spacing w:val="-6"/>
          <w:vertAlign w:val="baseline"/>
        </w:rPr>
        <w:t> </w:t>
      </w:r>
      <w:r>
        <w:rPr>
          <w:vertAlign w:val="baseline"/>
        </w:rPr>
        <w:t>pre- and</w:t>
      </w:r>
      <w:r>
        <w:rPr>
          <w:spacing w:val="-1"/>
          <w:vertAlign w:val="baseline"/>
        </w:rPr>
        <w:t> </w:t>
      </w:r>
      <w:r>
        <w:rPr>
          <w:vertAlign w:val="baseline"/>
        </w:rPr>
        <w:t>post-synaptically</w:t>
      </w:r>
      <w:r>
        <w:rPr>
          <w:spacing w:val="-1"/>
          <w:vertAlign w:val="baseline"/>
        </w:rPr>
        <w:t> </w:t>
      </w:r>
      <w:r>
        <w:rPr>
          <w:vertAlign w:val="baseline"/>
        </w:rPr>
        <w:t>in brain</w:t>
      </w:r>
      <w:r>
        <w:rPr>
          <w:spacing w:val="-1"/>
          <w:vertAlign w:val="baseline"/>
        </w:rPr>
        <w:t> </w:t>
      </w:r>
      <w:r>
        <w:rPr>
          <w:vertAlign w:val="baseline"/>
        </w:rPr>
        <w:t>regions</w:t>
      </w:r>
      <w:r>
        <w:rPr>
          <w:spacing w:val="-3"/>
          <w:vertAlign w:val="baseline"/>
        </w:rPr>
        <w:t> </w:t>
      </w:r>
      <w:r>
        <w:rPr>
          <w:vertAlign w:val="baseline"/>
        </w:rPr>
        <w:t>that are</w:t>
      </w:r>
      <w:r>
        <w:rPr>
          <w:spacing w:val="-2"/>
          <w:vertAlign w:val="baseline"/>
        </w:rPr>
        <w:t> </w:t>
      </w:r>
      <w:r>
        <w:rPr>
          <w:vertAlign w:val="baseline"/>
        </w:rPr>
        <w:t>known</w:t>
      </w:r>
      <w:r>
        <w:rPr>
          <w:spacing w:val="-2"/>
          <w:vertAlign w:val="baseline"/>
        </w:rPr>
        <w:t> </w:t>
      </w:r>
      <w:r>
        <w:rPr>
          <w:vertAlign w:val="baseline"/>
        </w:rPr>
        <w:t>to be important for the control of neuronal network oscillations and synchronization (Cooper, </w:t>
      </w:r>
      <w:r>
        <w:rPr>
          <w:i/>
          <w:vertAlign w:val="baseline"/>
        </w:rPr>
        <w:t>et al</w:t>
      </w:r>
      <w:r>
        <w:rPr>
          <w:vertAlign w:val="baseline"/>
        </w:rPr>
        <w:t>., 2001).</w:t>
      </w:r>
    </w:p>
    <w:p>
      <w:pPr>
        <w:pStyle w:val="BodyText"/>
      </w:pPr>
    </w:p>
    <w:p>
      <w:pPr>
        <w:pStyle w:val="BodyText"/>
        <w:spacing w:before="6"/>
      </w:pPr>
    </w:p>
    <w:p>
      <w:pPr>
        <w:pStyle w:val="Heading2"/>
        <w:numPr>
          <w:ilvl w:val="1"/>
          <w:numId w:val="10"/>
        </w:numPr>
        <w:tabs>
          <w:tab w:pos="1045" w:val="left" w:leader="none"/>
        </w:tabs>
        <w:spacing w:line="240" w:lineRule="auto" w:before="0" w:after="0"/>
        <w:ind w:left="1045" w:right="0" w:hanging="364"/>
        <w:jc w:val="both"/>
      </w:pPr>
      <w:bookmarkStart w:name="_TOC_250062" w:id="22"/>
      <w:r>
        <w:rPr/>
        <w:t>Voltage-Gated</w:t>
      </w:r>
      <w:r>
        <w:rPr>
          <w:spacing w:val="-5"/>
        </w:rPr>
        <w:t> </w:t>
      </w:r>
      <w:r>
        <w:rPr/>
        <w:t>Calcium</w:t>
      </w:r>
      <w:r>
        <w:rPr>
          <w:spacing w:val="-4"/>
        </w:rPr>
        <w:t> </w:t>
      </w:r>
      <w:r>
        <w:rPr/>
        <w:t>Channels</w:t>
      </w:r>
      <w:bookmarkEnd w:id="22"/>
      <w:r>
        <w:rPr>
          <w:spacing w:val="-2"/>
        </w:rPr>
        <w:t> (VGCCs)</w:t>
      </w:r>
    </w:p>
    <w:p>
      <w:pPr>
        <w:pStyle w:val="BodyText"/>
        <w:spacing w:line="480" w:lineRule="auto" w:before="271"/>
        <w:ind w:left="681" w:right="278"/>
        <w:jc w:val="both"/>
      </w:pPr>
      <w:r>
        <w:rPr/>
        <w:t>Calcium ion is an important signaling molecule that is present in low concentration in extracellular fluid</w:t>
      </w:r>
      <w:r>
        <w:rPr>
          <w:spacing w:val="-1"/>
        </w:rPr>
        <w:t> </w:t>
      </w:r>
      <w:r>
        <w:rPr/>
        <w:t>and in minute</w:t>
      </w:r>
      <w:r>
        <w:rPr>
          <w:spacing w:val="-2"/>
        </w:rPr>
        <w:t> </w:t>
      </w:r>
      <w:r>
        <w:rPr/>
        <w:t>concentration</w:t>
      </w:r>
      <w:r>
        <w:rPr>
          <w:spacing w:val="-1"/>
        </w:rPr>
        <w:t> </w:t>
      </w:r>
      <w:r>
        <w:rPr/>
        <w:t>in most cell interiors. The</w:t>
      </w:r>
      <w:r>
        <w:rPr>
          <w:spacing w:val="-2"/>
        </w:rPr>
        <w:t> </w:t>
      </w:r>
      <w:r>
        <w:rPr/>
        <w:t>opening</w:t>
      </w:r>
      <w:r>
        <w:rPr>
          <w:spacing w:val="-1"/>
        </w:rPr>
        <w:t> </w:t>
      </w:r>
      <w:r>
        <w:rPr/>
        <w:t>of</w:t>
      </w:r>
      <w:r>
        <w:rPr>
          <w:spacing w:val="-3"/>
        </w:rPr>
        <w:t> </w:t>
      </w:r>
      <w:r>
        <w:rPr/>
        <w:t>Ca</w:t>
      </w:r>
      <w:r>
        <w:rPr>
          <w:vertAlign w:val="superscript"/>
        </w:rPr>
        <w:t>2+</w:t>
      </w:r>
      <w:r>
        <w:rPr>
          <w:vertAlign w:val="baseline"/>
        </w:rPr>
        <w:t> channels is the critical</w:t>
      </w:r>
      <w:r>
        <w:rPr>
          <w:spacing w:val="-15"/>
          <w:vertAlign w:val="baseline"/>
        </w:rPr>
        <w:t> </w:t>
      </w:r>
      <w:r>
        <w:rPr>
          <w:vertAlign w:val="baseline"/>
        </w:rPr>
        <w:t>link between</w:t>
      </w:r>
      <w:r>
        <w:rPr>
          <w:spacing w:val="-1"/>
          <w:vertAlign w:val="baseline"/>
        </w:rPr>
        <w:t> </w:t>
      </w:r>
      <w:r>
        <w:rPr>
          <w:vertAlign w:val="baseline"/>
        </w:rPr>
        <w:t>cell</w:t>
      </w:r>
      <w:r>
        <w:rPr>
          <w:spacing w:val="-5"/>
          <w:vertAlign w:val="baseline"/>
        </w:rPr>
        <w:t> </w:t>
      </w:r>
      <w:r>
        <w:rPr>
          <w:vertAlign w:val="baseline"/>
        </w:rPr>
        <w:t>depolarization</w:t>
      </w:r>
      <w:r>
        <w:rPr>
          <w:spacing w:val="-1"/>
          <w:vertAlign w:val="baseline"/>
        </w:rPr>
        <w:t> </w:t>
      </w:r>
      <w:r>
        <w:rPr>
          <w:vertAlign w:val="baseline"/>
        </w:rPr>
        <w:t>and Ca</w:t>
      </w:r>
      <w:r>
        <w:rPr>
          <w:vertAlign w:val="superscript"/>
        </w:rPr>
        <w:t>2+</w:t>
      </w:r>
      <w:r>
        <w:rPr>
          <w:spacing w:val="-15"/>
          <w:vertAlign w:val="baseline"/>
        </w:rPr>
        <w:t> </w:t>
      </w:r>
      <w:r>
        <w:rPr>
          <w:vertAlign w:val="baseline"/>
        </w:rPr>
        <w:t>entry</w:t>
      </w:r>
      <w:r>
        <w:rPr>
          <w:spacing w:val="-6"/>
          <w:vertAlign w:val="baseline"/>
        </w:rPr>
        <w:t> </w:t>
      </w:r>
      <w:r>
        <w:rPr>
          <w:vertAlign w:val="baseline"/>
        </w:rPr>
        <w:t>which</w:t>
      </w:r>
      <w:r>
        <w:rPr>
          <w:spacing w:val="-1"/>
          <w:vertAlign w:val="baseline"/>
        </w:rPr>
        <w:t> </w:t>
      </w:r>
      <w:r>
        <w:rPr>
          <w:vertAlign w:val="baseline"/>
        </w:rPr>
        <w:t>can</w:t>
      </w:r>
      <w:r>
        <w:rPr>
          <w:spacing w:val="-1"/>
          <w:vertAlign w:val="baseline"/>
        </w:rPr>
        <w:t> </w:t>
      </w:r>
      <w:r>
        <w:rPr>
          <w:vertAlign w:val="baseline"/>
        </w:rPr>
        <w:t>result in its high concentration level. The subsequent binding of</w:t>
      </w:r>
      <w:r>
        <w:rPr>
          <w:spacing w:val="40"/>
          <w:vertAlign w:val="baseline"/>
        </w:rPr>
        <w:t> </w:t>
      </w:r>
      <w:r>
        <w:rPr>
          <w:vertAlign w:val="baseline"/>
        </w:rPr>
        <w:t>Ca</w:t>
      </w:r>
      <w:r>
        <w:rPr>
          <w:vertAlign w:val="superscript"/>
        </w:rPr>
        <w:t>2+</w:t>
      </w:r>
      <w:r>
        <w:rPr>
          <w:vertAlign w:val="baseline"/>
        </w:rPr>
        <w:t> to intracellular molecules can lead to; muscle contraction, the triggering of neurotransmitter release from nerve terminals, the</w:t>
      </w:r>
      <w:r>
        <w:rPr>
          <w:spacing w:val="-3"/>
          <w:vertAlign w:val="baseline"/>
        </w:rPr>
        <w:t> </w:t>
      </w:r>
      <w:r>
        <w:rPr>
          <w:vertAlign w:val="baseline"/>
        </w:rPr>
        <w:t>activation</w:t>
      </w:r>
      <w:r>
        <w:rPr>
          <w:spacing w:val="-7"/>
          <w:vertAlign w:val="baseline"/>
        </w:rPr>
        <w:t> </w:t>
      </w:r>
      <w:r>
        <w:rPr>
          <w:vertAlign w:val="baseline"/>
        </w:rPr>
        <w:t>of</w:t>
      </w:r>
      <w:r>
        <w:rPr>
          <w:spacing w:val="-10"/>
          <w:vertAlign w:val="baseline"/>
        </w:rPr>
        <w:t> </w:t>
      </w:r>
      <w:r>
        <w:rPr>
          <w:vertAlign w:val="baseline"/>
        </w:rPr>
        <w:t>second messenger</w:t>
      </w:r>
      <w:r>
        <w:rPr>
          <w:spacing w:val="40"/>
          <w:vertAlign w:val="baseline"/>
        </w:rPr>
        <w:t> </w:t>
      </w:r>
      <w:r>
        <w:rPr>
          <w:vertAlign w:val="baseline"/>
        </w:rPr>
        <w:t>system</w:t>
      </w:r>
      <w:r>
        <w:rPr>
          <w:spacing w:val="-11"/>
          <w:vertAlign w:val="baseline"/>
        </w:rPr>
        <w:t> </w:t>
      </w:r>
      <w:r>
        <w:rPr>
          <w:vertAlign w:val="baseline"/>
        </w:rPr>
        <w:t>that cause many</w:t>
      </w:r>
      <w:r>
        <w:rPr>
          <w:spacing w:val="-7"/>
          <w:vertAlign w:val="baseline"/>
        </w:rPr>
        <w:t> </w:t>
      </w:r>
      <w:r>
        <w:rPr>
          <w:vertAlign w:val="baseline"/>
        </w:rPr>
        <w:t>changes, including alteration in gene expression and in extreme cases, neuronal self-destruction. Some Ca</w:t>
      </w:r>
      <w:r>
        <w:rPr>
          <w:vertAlign w:val="superscript"/>
        </w:rPr>
        <w:t>2+</w:t>
      </w:r>
      <w:r>
        <w:rPr>
          <w:vertAlign w:val="baseline"/>
        </w:rPr>
        <w:t> channels also impart electrical properties to the cells in which they are expressed, thus, may</w:t>
      </w:r>
      <w:r>
        <w:rPr>
          <w:spacing w:val="-2"/>
          <w:vertAlign w:val="baseline"/>
        </w:rPr>
        <w:t> </w:t>
      </w:r>
      <w:r>
        <w:rPr>
          <w:vertAlign w:val="baseline"/>
        </w:rPr>
        <w:t>show action</w:t>
      </w:r>
      <w:r>
        <w:rPr>
          <w:spacing w:val="-2"/>
          <w:vertAlign w:val="baseline"/>
        </w:rPr>
        <w:t> </w:t>
      </w:r>
      <w:r>
        <w:rPr>
          <w:vertAlign w:val="baseline"/>
        </w:rPr>
        <w:t>potentials in which</w:t>
      </w:r>
      <w:r>
        <w:rPr>
          <w:spacing w:val="-2"/>
          <w:vertAlign w:val="baseline"/>
        </w:rPr>
        <w:t> </w:t>
      </w:r>
      <w:r>
        <w:rPr>
          <w:vertAlign w:val="baseline"/>
        </w:rPr>
        <w:t>the depolarizing current is carried predominantly by Ca</w:t>
      </w:r>
      <w:r>
        <w:rPr>
          <w:vertAlign w:val="superscript"/>
        </w:rPr>
        <w:t>2+</w:t>
      </w:r>
      <w:r>
        <w:rPr>
          <w:vertAlign w:val="baseline"/>
        </w:rPr>
        <w:t> (Nestler, </w:t>
      </w:r>
      <w:r>
        <w:rPr>
          <w:i/>
          <w:vertAlign w:val="baseline"/>
        </w:rPr>
        <w:t>et al</w:t>
      </w:r>
      <w:r>
        <w:rPr>
          <w:vertAlign w:val="baseline"/>
        </w:rPr>
        <w:t>., 2009).</w:t>
      </w:r>
    </w:p>
    <w:p>
      <w:pPr>
        <w:pStyle w:val="BodyText"/>
      </w:pPr>
    </w:p>
    <w:p>
      <w:pPr>
        <w:pStyle w:val="BodyText"/>
        <w:spacing w:before="2"/>
      </w:pPr>
    </w:p>
    <w:p>
      <w:pPr>
        <w:pStyle w:val="BodyText"/>
        <w:spacing w:line="480" w:lineRule="auto"/>
        <w:ind w:left="681" w:right="280"/>
        <w:jc w:val="both"/>
      </w:pPr>
      <w:r>
        <w:rPr/>
        <w:t>According to Nicholas, </w:t>
      </w:r>
      <w:r>
        <w:rPr>
          <w:i/>
        </w:rPr>
        <w:t>et al</w:t>
      </w:r>
      <w:r>
        <w:rPr/>
        <w:t>., (2002), VGCCs are key regulators of Ca</w:t>
      </w:r>
      <w:r>
        <w:rPr>
          <w:vertAlign w:val="superscript"/>
        </w:rPr>
        <w:t>2+</w:t>
      </w:r>
      <w:r>
        <w:rPr>
          <w:vertAlign w:val="baseline"/>
        </w:rPr>
        <w:t> entry into neurons,</w:t>
      </w:r>
      <w:r>
        <w:rPr>
          <w:spacing w:val="21"/>
          <w:vertAlign w:val="baseline"/>
        </w:rPr>
        <w:t> </w:t>
      </w:r>
      <w:r>
        <w:rPr>
          <w:vertAlign w:val="baseline"/>
        </w:rPr>
        <w:t>and</w:t>
      </w:r>
      <w:r>
        <w:rPr>
          <w:spacing w:val="25"/>
          <w:vertAlign w:val="baseline"/>
        </w:rPr>
        <w:t> </w:t>
      </w:r>
      <w:r>
        <w:rPr>
          <w:vertAlign w:val="baseline"/>
        </w:rPr>
        <w:t>are</w:t>
      </w:r>
      <w:r>
        <w:rPr>
          <w:spacing w:val="20"/>
          <w:vertAlign w:val="baseline"/>
        </w:rPr>
        <w:t> </w:t>
      </w:r>
      <w:r>
        <w:rPr>
          <w:vertAlign w:val="baseline"/>
        </w:rPr>
        <w:t>known</w:t>
      </w:r>
      <w:r>
        <w:rPr>
          <w:spacing w:val="15"/>
          <w:vertAlign w:val="baseline"/>
        </w:rPr>
        <w:t> </w:t>
      </w:r>
      <w:r>
        <w:rPr>
          <w:vertAlign w:val="baseline"/>
        </w:rPr>
        <w:t>to</w:t>
      </w:r>
      <w:r>
        <w:rPr>
          <w:spacing w:val="24"/>
          <w:vertAlign w:val="baseline"/>
        </w:rPr>
        <w:t> </w:t>
      </w:r>
      <w:r>
        <w:rPr>
          <w:vertAlign w:val="baseline"/>
        </w:rPr>
        <w:t>control</w:t>
      </w:r>
      <w:r>
        <w:rPr>
          <w:spacing w:val="12"/>
          <w:vertAlign w:val="baseline"/>
        </w:rPr>
        <w:t> </w:t>
      </w:r>
      <w:r>
        <w:rPr>
          <w:vertAlign w:val="baseline"/>
        </w:rPr>
        <w:t>a</w:t>
      </w:r>
      <w:r>
        <w:rPr>
          <w:spacing w:val="24"/>
          <w:vertAlign w:val="baseline"/>
        </w:rPr>
        <w:t> </w:t>
      </w:r>
      <w:r>
        <w:rPr>
          <w:vertAlign w:val="baseline"/>
        </w:rPr>
        <w:t>variety</w:t>
      </w:r>
      <w:r>
        <w:rPr>
          <w:spacing w:val="16"/>
          <w:vertAlign w:val="baseline"/>
        </w:rPr>
        <w:t> </w:t>
      </w:r>
      <w:r>
        <w:rPr>
          <w:vertAlign w:val="baseline"/>
        </w:rPr>
        <w:t>of</w:t>
      </w:r>
      <w:r>
        <w:rPr>
          <w:spacing w:val="17"/>
          <w:vertAlign w:val="baseline"/>
        </w:rPr>
        <w:t> </w:t>
      </w:r>
      <w:r>
        <w:rPr>
          <w:vertAlign w:val="baseline"/>
        </w:rPr>
        <w:t>cellular</w:t>
      </w:r>
      <w:r>
        <w:rPr>
          <w:spacing w:val="21"/>
          <w:vertAlign w:val="baseline"/>
        </w:rPr>
        <w:t> </w:t>
      </w:r>
      <w:r>
        <w:rPr>
          <w:vertAlign w:val="baseline"/>
        </w:rPr>
        <w:t>processes</w:t>
      </w:r>
      <w:r>
        <w:rPr>
          <w:spacing w:val="23"/>
          <w:vertAlign w:val="baseline"/>
        </w:rPr>
        <w:t> </w:t>
      </w:r>
      <w:r>
        <w:rPr>
          <w:vertAlign w:val="baseline"/>
        </w:rPr>
        <w:t>that</w:t>
      </w:r>
      <w:r>
        <w:rPr>
          <w:spacing w:val="25"/>
          <w:vertAlign w:val="baseline"/>
        </w:rPr>
        <w:t> </w:t>
      </w:r>
      <w:r>
        <w:rPr>
          <w:vertAlign w:val="baseline"/>
        </w:rPr>
        <w:t>regulate</w:t>
      </w:r>
      <w:r>
        <w:rPr>
          <w:spacing w:val="20"/>
          <w:vertAlign w:val="baseline"/>
        </w:rPr>
        <w:t> </w:t>
      </w:r>
      <w:r>
        <w:rPr>
          <w:spacing w:val="-2"/>
          <w:vertAlign w:val="baseline"/>
        </w:rPr>
        <w:t>neuronal</w:t>
      </w:r>
    </w:p>
    <w:p>
      <w:pPr>
        <w:spacing w:after="0" w:line="480" w:lineRule="auto"/>
        <w:jc w:val="both"/>
        <w:sectPr>
          <w:pgSz w:w="12240" w:h="15840"/>
          <w:pgMar w:header="0" w:footer="1066" w:top="1360" w:bottom="1260" w:left="1480" w:right="1160"/>
        </w:sectPr>
      </w:pPr>
    </w:p>
    <w:p>
      <w:pPr>
        <w:pStyle w:val="BodyText"/>
        <w:spacing w:line="480" w:lineRule="auto" w:before="72"/>
        <w:ind w:left="681" w:right="278"/>
        <w:jc w:val="both"/>
      </w:pPr>
      <w:r>
        <w:rPr/>
        <w:t>excitability. They are divided into two groups; high-voltage activated and low-voltage </w:t>
      </w:r>
      <w:r>
        <w:rPr>
          <w:spacing w:val="-2"/>
        </w:rPr>
        <w:t>activated.</w:t>
      </w:r>
    </w:p>
    <w:p>
      <w:pPr>
        <w:pStyle w:val="BodyText"/>
      </w:pPr>
    </w:p>
    <w:p>
      <w:pPr>
        <w:pStyle w:val="BodyText"/>
        <w:spacing w:before="1"/>
      </w:pPr>
    </w:p>
    <w:p>
      <w:pPr>
        <w:pStyle w:val="BodyText"/>
        <w:spacing w:line="480" w:lineRule="auto"/>
        <w:ind w:left="681" w:right="275"/>
        <w:jc w:val="both"/>
      </w:pPr>
      <w:r>
        <w:rPr/>
        <w:t>High voltage activated, also known as L-type (large current or long open time) controls the release of neurotranmitters such as the excitatory neurotransmitter glutamate. Whereas, low voltage activated, also known as T-type (tiny current or transient) controls membrane potential that lead to low threshold stimulation in thalamic neurons, which may underlie the synchronizing discharges characteristic of epilepsy. These channels</w:t>
      </w:r>
      <w:r>
        <w:rPr>
          <w:spacing w:val="40"/>
        </w:rPr>
        <w:t> </w:t>
      </w:r>
      <w:r>
        <w:rPr/>
        <w:t>have been shown to be blocked by known antiepileptic drugs such as ethosuximide, gabapentin and levetiracetam (Nicholas, </w:t>
      </w:r>
      <w:r>
        <w:rPr>
          <w:i/>
        </w:rPr>
        <w:t>et al</w:t>
      </w:r>
      <w:r>
        <w:rPr/>
        <w:t>., 2002).</w:t>
      </w:r>
    </w:p>
    <w:p>
      <w:pPr>
        <w:pStyle w:val="BodyText"/>
      </w:pPr>
    </w:p>
    <w:p>
      <w:pPr>
        <w:pStyle w:val="BodyText"/>
        <w:spacing w:before="1"/>
      </w:pPr>
    </w:p>
    <w:p>
      <w:pPr>
        <w:pStyle w:val="BodyText"/>
        <w:spacing w:line="480" w:lineRule="auto" w:before="1"/>
        <w:ind w:left="681" w:right="274"/>
        <w:jc w:val="both"/>
      </w:pPr>
      <w:r>
        <w:rPr/>
        <w:t>Sodium valproate is also known to inhibit T-type Ca</w:t>
      </w:r>
      <w:r>
        <w:rPr>
          <w:vertAlign w:val="superscript"/>
        </w:rPr>
        <w:t>2+</w:t>
      </w:r>
      <w:r>
        <w:rPr>
          <w:vertAlign w:val="baseline"/>
        </w:rPr>
        <w:t> channels in thalamic neurons (Lowestein, 2001). Similarly, zonisamide inhibits T-type Ca</w:t>
      </w:r>
      <w:r>
        <w:rPr>
          <w:vertAlign w:val="superscript"/>
        </w:rPr>
        <w:t>2+</w:t>
      </w:r>
      <w:r>
        <w:rPr>
          <w:vertAlign w:val="baseline"/>
        </w:rPr>
        <w:t> currents and also inhibits the sustained, repetitive firing of spinal cord neurons presumably by pronlonging inactivation</w:t>
      </w:r>
      <w:r>
        <w:rPr>
          <w:spacing w:val="-5"/>
          <w:vertAlign w:val="baseline"/>
        </w:rPr>
        <w:t> </w:t>
      </w:r>
      <w:r>
        <w:rPr>
          <w:vertAlign w:val="baseline"/>
        </w:rPr>
        <w:t>of</w:t>
      </w:r>
      <w:r>
        <w:rPr>
          <w:spacing w:val="-2"/>
          <w:vertAlign w:val="baseline"/>
        </w:rPr>
        <w:t> </w:t>
      </w:r>
      <w:r>
        <w:rPr>
          <w:vertAlign w:val="baseline"/>
        </w:rPr>
        <w:t>voltage-gated Na</w:t>
      </w:r>
      <w:r>
        <w:rPr>
          <w:vertAlign w:val="superscript"/>
        </w:rPr>
        <w:t>+</w:t>
      </w:r>
      <w:r>
        <w:rPr>
          <w:spacing w:val="-15"/>
          <w:vertAlign w:val="baseline"/>
        </w:rPr>
        <w:t> </w:t>
      </w:r>
      <w:r>
        <w:rPr>
          <w:vertAlign w:val="baseline"/>
        </w:rPr>
        <w:t>channels in manners similar to actions</w:t>
      </w:r>
      <w:r>
        <w:rPr>
          <w:spacing w:val="-1"/>
          <w:vertAlign w:val="baseline"/>
        </w:rPr>
        <w:t> </w:t>
      </w:r>
      <w:r>
        <w:rPr>
          <w:vertAlign w:val="baseline"/>
        </w:rPr>
        <w:t>of</w:t>
      </w:r>
      <w:r>
        <w:rPr>
          <w:spacing w:val="-7"/>
          <w:vertAlign w:val="baseline"/>
        </w:rPr>
        <w:t> </w:t>
      </w:r>
      <w:r>
        <w:rPr>
          <w:vertAlign w:val="baseline"/>
        </w:rPr>
        <w:t>phenytoin and carbamazepine (McNamara, 2006). Overexpression of T-type channels appears to be linked to pathophysiological conditions such as absence epilepsy, and metallic ions such as</w:t>
      </w:r>
      <w:r>
        <w:rPr>
          <w:spacing w:val="-1"/>
          <w:vertAlign w:val="baseline"/>
        </w:rPr>
        <w:t> </w:t>
      </w:r>
      <w:r>
        <w:rPr>
          <w:vertAlign w:val="baseline"/>
        </w:rPr>
        <w:t>Cd</w:t>
      </w:r>
      <w:r>
        <w:rPr>
          <w:vertAlign w:val="superscript"/>
        </w:rPr>
        <w:t>2+</w:t>
      </w:r>
      <w:r>
        <w:rPr>
          <w:vertAlign w:val="baseline"/>
        </w:rPr>
        <w:t>, Co</w:t>
      </w:r>
      <w:r>
        <w:rPr>
          <w:vertAlign w:val="superscript"/>
        </w:rPr>
        <w:t>2+</w:t>
      </w:r>
      <w:r>
        <w:rPr>
          <w:vertAlign w:val="baseline"/>
        </w:rPr>
        <w:t>,</w:t>
      </w:r>
      <w:r>
        <w:rPr>
          <w:spacing w:val="-14"/>
          <w:vertAlign w:val="baseline"/>
        </w:rPr>
        <w:t> </w:t>
      </w:r>
      <w:r>
        <w:rPr>
          <w:vertAlign w:val="baseline"/>
        </w:rPr>
        <w:t>Ni</w:t>
      </w:r>
      <w:r>
        <w:rPr>
          <w:vertAlign w:val="superscript"/>
        </w:rPr>
        <w:t>+</w:t>
      </w:r>
      <w:r>
        <w:rPr>
          <w:vertAlign w:val="baseline"/>
        </w:rPr>
        <w:t>, Pb</w:t>
      </w:r>
      <w:r>
        <w:rPr>
          <w:vertAlign w:val="superscript"/>
        </w:rPr>
        <w:t>2+</w:t>
      </w:r>
      <w:r>
        <w:rPr>
          <w:spacing w:val="-15"/>
          <w:vertAlign w:val="baseline"/>
        </w:rPr>
        <w:t> </w:t>
      </w:r>
      <w:r>
        <w:rPr>
          <w:vertAlign w:val="baseline"/>
        </w:rPr>
        <w:t>and</w:t>
      </w:r>
      <w:r>
        <w:rPr>
          <w:spacing w:val="-11"/>
          <w:vertAlign w:val="baseline"/>
        </w:rPr>
        <w:t> </w:t>
      </w:r>
      <w:r>
        <w:rPr>
          <w:vertAlign w:val="baseline"/>
        </w:rPr>
        <w:t>Zn</w:t>
      </w:r>
      <w:r>
        <w:rPr>
          <w:vertAlign w:val="superscript"/>
        </w:rPr>
        <w:t>2+</w:t>
      </w:r>
      <w:r>
        <w:rPr>
          <w:spacing w:val="-15"/>
          <w:vertAlign w:val="baseline"/>
        </w:rPr>
        <w:t> </w:t>
      </w:r>
      <w:r>
        <w:rPr>
          <w:vertAlign w:val="baseline"/>
        </w:rPr>
        <w:t>have been found to inhibit Ca</w:t>
      </w:r>
      <w:r>
        <w:rPr>
          <w:vertAlign w:val="superscript"/>
        </w:rPr>
        <w:t>2+</w:t>
      </w:r>
      <w:r>
        <w:rPr>
          <w:vertAlign w:val="baseline"/>
        </w:rPr>
        <w:t> permeation via voltage- dependent Ca</w:t>
      </w:r>
      <w:r>
        <w:rPr>
          <w:vertAlign w:val="superscript"/>
        </w:rPr>
        <w:t>2+</w:t>
      </w:r>
      <w:r>
        <w:rPr>
          <w:spacing w:val="-1"/>
          <w:vertAlign w:val="baseline"/>
        </w:rPr>
        <w:t> </w:t>
      </w:r>
      <w:r>
        <w:rPr>
          <w:vertAlign w:val="baseline"/>
        </w:rPr>
        <w:t>channels</w:t>
      </w:r>
      <w:r>
        <w:rPr>
          <w:spacing w:val="-1"/>
          <w:vertAlign w:val="baseline"/>
        </w:rPr>
        <w:t> </w:t>
      </w:r>
      <w:r>
        <w:rPr>
          <w:vertAlign w:val="baseline"/>
        </w:rPr>
        <w:t>with</w:t>
      </w:r>
      <w:r>
        <w:rPr>
          <w:spacing w:val="-7"/>
          <w:vertAlign w:val="baseline"/>
        </w:rPr>
        <w:t> </w:t>
      </w:r>
      <w:r>
        <w:rPr>
          <w:vertAlign w:val="baseline"/>
        </w:rPr>
        <w:t>different potencies. Among</w:t>
      </w:r>
      <w:r>
        <w:rPr>
          <w:spacing w:val="-3"/>
          <w:vertAlign w:val="baseline"/>
        </w:rPr>
        <w:t> </w:t>
      </w:r>
      <w:r>
        <w:rPr>
          <w:vertAlign w:val="baseline"/>
        </w:rPr>
        <w:t>these cations</w:t>
      </w:r>
      <w:r>
        <w:rPr>
          <w:spacing w:val="-1"/>
          <w:vertAlign w:val="baseline"/>
        </w:rPr>
        <w:t> </w:t>
      </w:r>
      <w:r>
        <w:rPr>
          <w:vertAlign w:val="baseline"/>
        </w:rPr>
        <w:t>Ni</w:t>
      </w:r>
      <w:r>
        <w:rPr>
          <w:vertAlign w:val="superscript"/>
        </w:rPr>
        <w:t>+1</w:t>
      </w:r>
      <w:r>
        <w:rPr>
          <w:spacing w:val="-14"/>
          <w:vertAlign w:val="baseline"/>
        </w:rPr>
        <w:t> </w:t>
      </w:r>
      <w:r>
        <w:rPr>
          <w:vertAlign w:val="baseline"/>
        </w:rPr>
        <w:t>was</w:t>
      </w:r>
      <w:r>
        <w:rPr>
          <w:spacing w:val="-15"/>
          <w:vertAlign w:val="baseline"/>
        </w:rPr>
        <w:t> </w:t>
      </w:r>
      <w:r>
        <w:rPr>
          <w:vertAlign w:val="baseline"/>
        </w:rPr>
        <w:t>found to be selective blocker for low voltage-activated T-type Ca</w:t>
      </w:r>
      <w:r>
        <w:rPr>
          <w:vertAlign w:val="superscript"/>
        </w:rPr>
        <w:t>2+</w:t>
      </w:r>
      <w:r>
        <w:rPr>
          <w:spacing w:val="-14"/>
          <w:vertAlign w:val="baseline"/>
        </w:rPr>
        <w:t> </w:t>
      </w:r>
      <w:r>
        <w:rPr>
          <w:vertAlign w:val="baseline"/>
        </w:rPr>
        <w:t>channels (Kang </w:t>
      </w:r>
      <w:r>
        <w:rPr>
          <w:i/>
          <w:vertAlign w:val="baseline"/>
        </w:rPr>
        <w:t>et al</w:t>
      </w:r>
      <w:r>
        <w:rPr>
          <w:vertAlign w:val="baseline"/>
        </w:rPr>
        <w:t>., 2006).</w:t>
      </w:r>
    </w:p>
    <w:p>
      <w:pPr>
        <w:spacing w:after="0" w:line="480" w:lineRule="auto"/>
        <w:jc w:val="both"/>
        <w:sectPr>
          <w:pgSz w:w="12240" w:h="15840"/>
          <w:pgMar w:header="0" w:footer="1066" w:top="1360" w:bottom="1260" w:left="1480" w:right="1160"/>
        </w:sectPr>
      </w:pPr>
    </w:p>
    <w:p>
      <w:pPr>
        <w:pStyle w:val="Heading2"/>
        <w:numPr>
          <w:ilvl w:val="1"/>
          <w:numId w:val="10"/>
        </w:numPr>
        <w:tabs>
          <w:tab w:pos="1045" w:val="left" w:leader="none"/>
        </w:tabs>
        <w:spacing w:line="240" w:lineRule="auto" w:before="77" w:after="0"/>
        <w:ind w:left="1045" w:right="0" w:hanging="364"/>
        <w:jc w:val="both"/>
      </w:pPr>
      <w:bookmarkStart w:name="_TOC_250061" w:id="23"/>
      <w:r>
        <w:rPr/>
        <w:t>Chloride</w:t>
      </w:r>
      <w:r>
        <w:rPr>
          <w:spacing w:val="-10"/>
        </w:rPr>
        <w:t> </w:t>
      </w:r>
      <w:bookmarkEnd w:id="23"/>
      <w:r>
        <w:rPr>
          <w:spacing w:val="-2"/>
        </w:rPr>
        <w:t>Channels</w:t>
      </w:r>
    </w:p>
    <w:p>
      <w:pPr>
        <w:pStyle w:val="BodyText"/>
        <w:spacing w:line="480" w:lineRule="auto" w:before="271"/>
        <w:ind w:left="681" w:right="271"/>
        <w:jc w:val="both"/>
      </w:pPr>
      <w:r>
        <w:rPr/>
        <w:t>Anion channels are proteinaceous pores in biological membranes that allow the passive diffusion of negatively charged ions along their electrochemical gradient. Chloride ion channel</w:t>
      </w:r>
      <w:r>
        <w:rPr>
          <w:spacing w:val="-10"/>
        </w:rPr>
        <w:t> </w:t>
      </w:r>
      <w:r>
        <w:rPr/>
        <w:t>gating may</w:t>
      </w:r>
      <w:r>
        <w:rPr>
          <w:spacing w:val="-6"/>
        </w:rPr>
        <w:t> </w:t>
      </w:r>
      <w:r>
        <w:rPr/>
        <w:t>depend</w:t>
      </w:r>
      <w:r>
        <w:rPr>
          <w:spacing w:val="-1"/>
        </w:rPr>
        <w:t> </w:t>
      </w:r>
      <w:r>
        <w:rPr/>
        <w:t>on</w:t>
      </w:r>
      <w:r>
        <w:rPr>
          <w:spacing w:val="-6"/>
        </w:rPr>
        <w:t> </w:t>
      </w:r>
      <w:r>
        <w:rPr/>
        <w:t>the</w:t>
      </w:r>
      <w:r>
        <w:rPr>
          <w:spacing w:val="-2"/>
        </w:rPr>
        <w:t> </w:t>
      </w:r>
      <w:r>
        <w:rPr/>
        <w:t>transmembrane voltage</w:t>
      </w:r>
      <w:r>
        <w:rPr>
          <w:spacing w:val="-2"/>
        </w:rPr>
        <w:t> </w:t>
      </w:r>
      <w:r>
        <w:rPr/>
        <w:t>(in</w:t>
      </w:r>
      <w:r>
        <w:rPr>
          <w:spacing w:val="-1"/>
        </w:rPr>
        <w:t> </w:t>
      </w:r>
      <w:r>
        <w:rPr/>
        <w:t>voltage-gated</w:t>
      </w:r>
      <w:r>
        <w:rPr>
          <w:spacing w:val="-1"/>
        </w:rPr>
        <w:t> </w:t>
      </w:r>
      <w:r>
        <w:rPr/>
        <w:t>channels), on cell swelling, on the binding of</w:t>
      </w:r>
      <w:r>
        <w:rPr>
          <w:spacing w:val="-3"/>
        </w:rPr>
        <w:t> </w:t>
      </w:r>
      <w:r>
        <w:rPr/>
        <w:t>signaling molecules (as in ligand-gated anion channels of postsynaptic membranes), on various ions (e.g., anions, H</w:t>
      </w:r>
      <w:r>
        <w:rPr>
          <w:vertAlign w:val="superscript"/>
        </w:rPr>
        <w:t>+</w:t>
      </w:r>
      <w:r>
        <w:rPr>
          <w:vertAlign w:val="baseline"/>
        </w:rPr>
        <w:t> (pH), or Ca</w:t>
      </w:r>
      <w:r>
        <w:rPr>
          <w:vertAlign w:val="superscript"/>
        </w:rPr>
        <w:t>2+</w:t>
      </w:r>
      <w:r>
        <w:rPr>
          <w:vertAlign w:val="baseline"/>
        </w:rPr>
        <w:t>), on the phosphorylation of intracellular residues by various protein kinases, or on the binding or hydrolysis of ATP. Plasma membrane Chloride ion currents are important for the regulation of excitability in nerve and muscle (Jentsch </w:t>
      </w:r>
      <w:r>
        <w:rPr>
          <w:i/>
          <w:vertAlign w:val="baseline"/>
        </w:rPr>
        <w:t>et al</w:t>
      </w:r>
      <w:r>
        <w:rPr>
          <w:vertAlign w:val="baseline"/>
        </w:rPr>
        <w:t>., 2002).</w:t>
      </w:r>
    </w:p>
    <w:p>
      <w:pPr>
        <w:pStyle w:val="BodyText"/>
      </w:pPr>
    </w:p>
    <w:p>
      <w:pPr>
        <w:pStyle w:val="BodyText"/>
        <w:spacing w:before="2"/>
      </w:pPr>
    </w:p>
    <w:p>
      <w:pPr>
        <w:pStyle w:val="BodyText"/>
        <w:spacing w:line="480" w:lineRule="auto"/>
        <w:ind w:left="681" w:right="268"/>
        <w:jc w:val="both"/>
      </w:pPr>
      <w:r>
        <w:rPr/>
        <w:t>The intracellular Chloride ion concentration of neurons determines the response to the neurotransmitters glycine and GABA. Because glycine, GABA</w:t>
      </w:r>
      <w:r>
        <w:rPr>
          <w:vertAlign w:val="subscript"/>
        </w:rPr>
        <w:t>A</w:t>
      </w:r>
      <w:r>
        <w:rPr>
          <w:vertAlign w:val="baseline"/>
        </w:rPr>
        <w:t>, and GABA</w:t>
      </w:r>
      <w:r>
        <w:rPr>
          <w:vertAlign w:val="subscript"/>
        </w:rPr>
        <w:t>C</w:t>
      </w:r>
      <w:r>
        <w:rPr>
          <w:vertAlign w:val="baseline"/>
        </w:rPr>
        <w:t> receptors are ligand-gated chloride ion channels, their activation can lead to a passive influx or efflux of chloride, depending on the electrochemical potential for</w:t>
      </w:r>
      <w:r>
        <w:rPr>
          <w:spacing w:val="40"/>
          <w:vertAlign w:val="baseline"/>
        </w:rPr>
        <w:t> </w:t>
      </w:r>
      <w:r>
        <w:rPr>
          <w:vertAlign w:val="baseline"/>
        </w:rPr>
        <w:t>Cl</w:t>
      </w:r>
      <w:r>
        <w:rPr>
          <w:rFonts w:ascii="Arial MT"/>
          <w:vertAlign w:val="superscript"/>
        </w:rPr>
        <w:t>-</w:t>
      </w:r>
      <w:r>
        <w:rPr>
          <w:vertAlign w:val="baseline"/>
        </w:rPr>
        <w:t>. Their activation</w:t>
      </w:r>
      <w:r>
        <w:rPr>
          <w:spacing w:val="40"/>
          <w:vertAlign w:val="baseline"/>
        </w:rPr>
        <w:t> </w:t>
      </w:r>
      <w:r>
        <w:rPr>
          <w:vertAlign w:val="baseline"/>
        </w:rPr>
        <w:t>can therefore lead to an excitatory, or to the more commonly observed inhibitory, response. Chloride ion channels activated by intracellular calcium</w:t>
      </w:r>
      <w:r>
        <w:rPr>
          <w:spacing w:val="-1"/>
          <w:vertAlign w:val="baseline"/>
        </w:rPr>
        <w:t> </w:t>
      </w:r>
      <w:r>
        <w:rPr>
          <w:vertAlign w:val="baseline"/>
        </w:rPr>
        <w:t>are found in many</w:t>
      </w:r>
      <w:r>
        <w:rPr>
          <w:spacing w:val="-1"/>
          <w:vertAlign w:val="baseline"/>
        </w:rPr>
        <w:t> </w:t>
      </w:r>
      <w:r>
        <w:rPr>
          <w:vertAlign w:val="baseline"/>
        </w:rPr>
        <w:t>cell types, including epithelial cells, neurons, cardiac and smooth muscle cells, as well as blood cells. In neurons and muscle cells, Ca</w:t>
      </w:r>
      <w:r>
        <w:rPr>
          <w:vertAlign w:val="superscript"/>
        </w:rPr>
        <w:t>2+</w:t>
      </w:r>
      <w:r>
        <w:rPr>
          <w:vertAlign w:val="baseline"/>
        </w:rPr>
        <w:t> activated Cl</w:t>
      </w:r>
      <w:r>
        <w:rPr>
          <w:vertAlign w:val="superscript"/>
        </w:rPr>
        <w:t>-</w:t>
      </w:r>
      <w:r>
        <w:rPr>
          <w:vertAlign w:val="baseline"/>
        </w:rPr>
        <w:t> channels may modulate excitability, e.g., by generating after potentials, and Ca</w:t>
      </w:r>
      <w:r>
        <w:rPr>
          <w:vertAlign w:val="superscript"/>
        </w:rPr>
        <w:t>2+</w:t>
      </w:r>
      <w:r>
        <w:rPr>
          <w:vertAlign w:val="baseline"/>
        </w:rPr>
        <w:t> activated Cl</w:t>
      </w:r>
      <w:r>
        <w:rPr>
          <w:vertAlign w:val="superscript"/>
        </w:rPr>
        <w:t>-</w:t>
      </w:r>
      <w:r>
        <w:rPr>
          <w:vertAlign w:val="baseline"/>
        </w:rPr>
        <w:t> channels are thought to regulate the tonus of smooth muscle (Jentsch </w:t>
      </w:r>
      <w:r>
        <w:rPr>
          <w:i/>
          <w:vertAlign w:val="baseline"/>
        </w:rPr>
        <w:t>et al</w:t>
      </w:r>
      <w:r>
        <w:rPr>
          <w:vertAlign w:val="baseline"/>
        </w:rPr>
        <w:t>., 2002).</w:t>
      </w:r>
    </w:p>
    <w:p>
      <w:pPr>
        <w:spacing w:after="0" w:line="480" w:lineRule="auto"/>
        <w:jc w:val="both"/>
        <w:sectPr>
          <w:pgSz w:w="12240" w:h="15840"/>
          <w:pgMar w:header="0" w:footer="1066" w:top="1360" w:bottom="1260" w:left="1480" w:right="1160"/>
        </w:sectPr>
      </w:pPr>
    </w:p>
    <w:p>
      <w:pPr>
        <w:pStyle w:val="Heading2"/>
        <w:numPr>
          <w:ilvl w:val="1"/>
          <w:numId w:val="10"/>
        </w:numPr>
        <w:tabs>
          <w:tab w:pos="1045" w:val="left" w:leader="none"/>
        </w:tabs>
        <w:spacing w:line="240" w:lineRule="auto" w:before="77" w:after="0"/>
        <w:ind w:left="1045" w:right="0" w:hanging="364"/>
        <w:jc w:val="both"/>
      </w:pPr>
      <w:bookmarkStart w:name="_TOC_250060" w:id="24"/>
      <w:r>
        <w:rPr/>
        <w:t>Neurotransmitter</w:t>
      </w:r>
      <w:r>
        <w:rPr>
          <w:spacing w:val="-9"/>
        </w:rPr>
        <w:t> </w:t>
      </w:r>
      <w:r>
        <w:rPr/>
        <w:t>Mediated</w:t>
      </w:r>
      <w:r>
        <w:rPr>
          <w:spacing w:val="-10"/>
        </w:rPr>
        <w:t> </w:t>
      </w:r>
      <w:bookmarkEnd w:id="24"/>
      <w:r>
        <w:rPr>
          <w:spacing w:val="-2"/>
        </w:rPr>
        <w:t>Mechanisms</w:t>
      </w:r>
    </w:p>
    <w:p>
      <w:pPr>
        <w:pStyle w:val="BodyText"/>
        <w:spacing w:line="480" w:lineRule="auto" w:before="271"/>
        <w:ind w:left="681" w:right="278"/>
        <w:jc w:val="both"/>
      </w:pPr>
      <w:r>
        <w:rPr/>
        <w:t>Synapses are known to mediate interneuronal communication via synaptic neurotransmitters and as such reduction of inhibitory synaptic activity might be expected to</w:t>
      </w:r>
      <w:r>
        <w:rPr>
          <w:spacing w:val="-2"/>
        </w:rPr>
        <w:t> </w:t>
      </w:r>
      <w:r>
        <w:rPr/>
        <w:t>trigger</w:t>
      </w:r>
      <w:r>
        <w:rPr>
          <w:spacing w:val="-1"/>
        </w:rPr>
        <w:t> </w:t>
      </w:r>
      <w:r>
        <w:rPr/>
        <w:t>occurrence of</w:t>
      </w:r>
      <w:r>
        <w:rPr>
          <w:spacing w:val="-5"/>
        </w:rPr>
        <w:t> </w:t>
      </w:r>
      <w:r>
        <w:rPr/>
        <w:t>seizures. Amino acids including</w:t>
      </w:r>
      <w:r>
        <w:rPr>
          <w:spacing w:val="-2"/>
        </w:rPr>
        <w:t> </w:t>
      </w:r>
      <w:r>
        <w:rPr/>
        <w:t>glycine as well</w:t>
      </w:r>
      <w:r>
        <w:rPr>
          <w:spacing w:val="-1"/>
        </w:rPr>
        <w:t> </w:t>
      </w:r>
      <w:r>
        <w:rPr/>
        <w:t>as</w:t>
      </w:r>
      <w:r>
        <w:rPr>
          <w:spacing w:val="-4"/>
        </w:rPr>
        <w:t> </w:t>
      </w:r>
      <w:r>
        <w:rPr/>
        <w:t>gamma amino butyric</w:t>
      </w:r>
      <w:r>
        <w:rPr>
          <w:spacing w:val="-3"/>
        </w:rPr>
        <w:t> </w:t>
      </w:r>
      <w:r>
        <w:rPr/>
        <w:t>acid</w:t>
      </w:r>
      <w:r>
        <w:rPr>
          <w:spacing w:val="-2"/>
        </w:rPr>
        <w:t> </w:t>
      </w:r>
      <w:r>
        <w:rPr/>
        <w:t>(GABA)</w:t>
      </w:r>
      <w:r>
        <w:rPr>
          <w:spacing w:val="-2"/>
        </w:rPr>
        <w:t> </w:t>
      </w:r>
      <w:r>
        <w:rPr/>
        <w:t>are</w:t>
      </w:r>
      <w:r>
        <w:rPr>
          <w:spacing w:val="-3"/>
        </w:rPr>
        <w:t> </w:t>
      </w:r>
      <w:r>
        <w:rPr/>
        <w:t>the inhibitory</w:t>
      </w:r>
      <w:r>
        <w:rPr>
          <w:spacing w:val="-7"/>
        </w:rPr>
        <w:t> </w:t>
      </w:r>
      <w:r>
        <w:rPr/>
        <w:t>neurotransmitters.</w:t>
      </w:r>
      <w:r>
        <w:rPr>
          <w:spacing w:val="-1"/>
        </w:rPr>
        <w:t> </w:t>
      </w:r>
      <w:r>
        <w:rPr/>
        <w:t>On</w:t>
      </w:r>
      <w:r>
        <w:rPr>
          <w:spacing w:val="-8"/>
        </w:rPr>
        <w:t> </w:t>
      </w:r>
      <w:r>
        <w:rPr/>
        <w:t>the</w:t>
      </w:r>
      <w:r>
        <w:rPr>
          <w:spacing w:val="-3"/>
        </w:rPr>
        <w:t> </w:t>
      </w:r>
      <w:r>
        <w:rPr/>
        <w:t>other</w:t>
      </w:r>
      <w:r>
        <w:rPr>
          <w:spacing w:val="-2"/>
        </w:rPr>
        <w:t> </w:t>
      </w:r>
      <w:r>
        <w:rPr/>
        <w:t>hand,</w:t>
      </w:r>
      <w:r>
        <w:rPr>
          <w:spacing w:val="-1"/>
        </w:rPr>
        <w:t> </w:t>
      </w:r>
      <w:r>
        <w:rPr/>
        <w:t>glutamate is the principal excitatory neurotransmitter acting through N-methyl-D-aspartate (NMDA), alpha amino-3-hydroxy-5-methyl isoxazole-4-propionic acid (AMPA) and kainite (KA) receptor subtypes (McNamara, 2001).</w:t>
      </w:r>
    </w:p>
    <w:p>
      <w:pPr>
        <w:pStyle w:val="BodyText"/>
      </w:pPr>
    </w:p>
    <w:p>
      <w:pPr>
        <w:pStyle w:val="BodyText"/>
        <w:spacing w:before="7"/>
      </w:pPr>
    </w:p>
    <w:p>
      <w:pPr>
        <w:pStyle w:val="Heading2"/>
        <w:numPr>
          <w:ilvl w:val="2"/>
          <w:numId w:val="10"/>
        </w:numPr>
        <w:tabs>
          <w:tab w:pos="1222" w:val="left" w:leader="none"/>
        </w:tabs>
        <w:spacing w:line="240" w:lineRule="auto" w:before="0" w:after="0"/>
        <w:ind w:left="1222" w:right="0" w:hanging="541"/>
        <w:jc w:val="both"/>
      </w:pPr>
      <w:bookmarkStart w:name="_TOC_250059" w:id="25"/>
      <w:r>
        <w:rPr/>
        <w:t>Gamma</w:t>
      </w:r>
      <w:r>
        <w:rPr>
          <w:spacing w:val="-2"/>
        </w:rPr>
        <w:t> </w:t>
      </w:r>
      <w:r>
        <w:rPr/>
        <w:t>amino</w:t>
      </w:r>
      <w:r>
        <w:rPr>
          <w:spacing w:val="-2"/>
        </w:rPr>
        <w:t> </w:t>
      </w:r>
      <w:r>
        <w:rPr/>
        <w:t>butyric</w:t>
      </w:r>
      <w:r>
        <w:rPr>
          <w:spacing w:val="-3"/>
        </w:rPr>
        <w:t> </w:t>
      </w:r>
      <w:r>
        <w:rPr/>
        <w:t>acid</w:t>
      </w:r>
      <w:r>
        <w:rPr>
          <w:spacing w:val="-1"/>
        </w:rPr>
        <w:t> </w:t>
      </w:r>
      <w:bookmarkEnd w:id="25"/>
      <w:r>
        <w:rPr>
          <w:spacing w:val="-2"/>
        </w:rPr>
        <w:t>(GABA)</w:t>
      </w:r>
    </w:p>
    <w:p>
      <w:pPr>
        <w:pStyle w:val="BodyText"/>
        <w:spacing w:line="480" w:lineRule="auto" w:before="271"/>
        <w:ind w:left="681" w:right="282"/>
        <w:jc w:val="both"/>
      </w:pPr>
      <w:r>
        <w:rPr/>
        <w:t>GABA is the predominant inhibitory neurotransmitter in the brain, and the expression</w:t>
      </w:r>
      <w:r>
        <w:rPr>
          <w:spacing w:val="40"/>
        </w:rPr>
        <w:t> </w:t>
      </w:r>
      <w:r>
        <w:rPr/>
        <w:t>and function of GABA receptors also are developmentally regulated (Russell and Frances, 2001).</w:t>
      </w:r>
    </w:p>
    <w:p>
      <w:pPr>
        <w:pStyle w:val="BodyText"/>
        <w:spacing w:before="241"/>
        <w:ind w:left="681"/>
        <w:jc w:val="both"/>
      </w:pPr>
      <w:r>
        <w:rPr/>
        <w:t>GABA</w:t>
      </w:r>
      <w:r>
        <w:rPr>
          <w:spacing w:val="21"/>
        </w:rPr>
        <w:t> </w:t>
      </w:r>
      <w:r>
        <w:rPr/>
        <w:t>receptors</w:t>
      </w:r>
      <w:r>
        <w:rPr>
          <w:spacing w:val="26"/>
        </w:rPr>
        <w:t> </w:t>
      </w:r>
      <w:r>
        <w:rPr/>
        <w:t>are</w:t>
      </w:r>
      <w:r>
        <w:rPr>
          <w:spacing w:val="29"/>
        </w:rPr>
        <w:t> </w:t>
      </w:r>
      <w:r>
        <w:rPr/>
        <w:t>pentameric</w:t>
      </w:r>
      <w:r>
        <w:rPr>
          <w:spacing w:val="32"/>
        </w:rPr>
        <w:t> </w:t>
      </w:r>
      <w:r>
        <w:rPr/>
        <w:t>ligand-gated</w:t>
      </w:r>
      <w:r>
        <w:rPr>
          <w:spacing w:val="29"/>
        </w:rPr>
        <w:t> </w:t>
      </w:r>
      <w:r>
        <w:rPr/>
        <w:t>anion</w:t>
      </w:r>
      <w:r>
        <w:rPr>
          <w:spacing w:val="24"/>
        </w:rPr>
        <w:t> </w:t>
      </w:r>
      <w:r>
        <w:rPr/>
        <w:t>channels.</w:t>
      </w:r>
      <w:r>
        <w:rPr>
          <w:spacing w:val="31"/>
        </w:rPr>
        <w:t> </w:t>
      </w:r>
      <w:r>
        <w:rPr/>
        <w:t>The</w:t>
      </w:r>
      <w:r>
        <w:rPr>
          <w:spacing w:val="29"/>
        </w:rPr>
        <w:t> </w:t>
      </w:r>
      <w:r>
        <w:rPr/>
        <w:t>subunits</w:t>
      </w:r>
      <w:r>
        <w:rPr>
          <w:spacing w:val="26"/>
        </w:rPr>
        <w:t> </w:t>
      </w:r>
      <w:r>
        <w:rPr/>
        <w:t>are</w:t>
      </w:r>
      <w:r>
        <w:rPr>
          <w:spacing w:val="29"/>
        </w:rPr>
        <w:t> </w:t>
      </w:r>
      <w:r>
        <w:rPr>
          <w:spacing w:val="-2"/>
        </w:rPr>
        <w:t>derived</w:t>
      </w:r>
    </w:p>
    <w:p>
      <w:pPr>
        <w:pStyle w:val="BodyText"/>
        <w:spacing w:before="52"/>
      </w:pPr>
    </w:p>
    <w:p>
      <w:pPr>
        <w:pStyle w:val="BodyText"/>
        <w:spacing w:line="470" w:lineRule="auto"/>
        <w:ind w:left="681" w:right="276"/>
        <w:jc w:val="both"/>
      </w:pPr>
      <w:r>
        <w:rPr/>
        <w:t>from</w:t>
      </w:r>
      <w:r>
        <w:rPr>
          <w:spacing w:val="-9"/>
        </w:rPr>
        <w:t> </w:t>
      </w:r>
      <w:r>
        <w:rPr/>
        <w:t>α, β, γ, δ, and </w:t>
      </w:r>
      <w:r>
        <w:rPr>
          <w:rFonts w:ascii="Lucida Sans Unicode" w:hAnsi="Lucida Sans Unicode"/>
        </w:rPr>
        <w:t>ɛ</w:t>
      </w:r>
      <w:r>
        <w:rPr>
          <w:rFonts w:ascii="Lucida Sans Unicode" w:hAnsi="Lucida Sans Unicode"/>
          <w:spacing w:val="-16"/>
        </w:rPr>
        <w:t> </w:t>
      </w:r>
      <w:r>
        <w:rPr/>
        <w:t>gene families, some</w:t>
      </w:r>
      <w:r>
        <w:rPr>
          <w:spacing w:val="-2"/>
        </w:rPr>
        <w:t> </w:t>
      </w:r>
      <w:r>
        <w:rPr/>
        <w:t>of</w:t>
      </w:r>
      <w:r>
        <w:rPr>
          <w:spacing w:val="-8"/>
        </w:rPr>
        <w:t> </w:t>
      </w:r>
      <w:r>
        <w:rPr/>
        <w:t>which</w:t>
      </w:r>
      <w:r>
        <w:rPr>
          <w:spacing w:val="-1"/>
        </w:rPr>
        <w:t> </w:t>
      </w:r>
      <w:r>
        <w:rPr/>
        <w:t>have multiple members</w:t>
      </w:r>
      <w:r>
        <w:rPr>
          <w:spacing w:val="-4"/>
        </w:rPr>
        <w:t> </w:t>
      </w:r>
      <w:r>
        <w:rPr/>
        <w:t>such</w:t>
      </w:r>
      <w:r>
        <w:rPr>
          <w:spacing w:val="-6"/>
        </w:rPr>
        <w:t> </w:t>
      </w:r>
      <w:r>
        <w:rPr/>
        <w:t>as</w:t>
      </w:r>
      <w:r>
        <w:rPr>
          <w:spacing w:val="-4"/>
        </w:rPr>
        <w:t> </w:t>
      </w:r>
      <w:r>
        <w:rPr/>
        <w:t>α</w:t>
      </w:r>
      <w:r>
        <w:rPr>
          <w:spacing w:val="-2"/>
        </w:rPr>
        <w:t> </w:t>
      </w:r>
      <w:r>
        <w:rPr/>
        <w:t>1–6, β1–3, and γ1–3. The majority of</w:t>
      </w:r>
      <w:r>
        <w:rPr>
          <w:spacing w:val="-1"/>
        </w:rPr>
        <w:t> </w:t>
      </w:r>
      <w:r>
        <w:rPr/>
        <w:t>the receptors appear to be composed of 2α, 2β, and γ or</w:t>
      </w:r>
      <w:r>
        <w:rPr>
          <w:spacing w:val="40"/>
        </w:rPr>
        <w:t> </w:t>
      </w:r>
      <w:r>
        <w:rPr/>
        <w:t>δ subunits. The sensitivity of the receptor to many modulators depends on its subunit composition.</w:t>
      </w:r>
      <w:r>
        <w:rPr>
          <w:spacing w:val="27"/>
        </w:rPr>
        <w:t> </w:t>
      </w:r>
      <w:r>
        <w:rPr/>
        <w:t>Subunit</w:t>
      </w:r>
      <w:r>
        <w:rPr>
          <w:spacing w:val="31"/>
        </w:rPr>
        <w:t> </w:t>
      </w:r>
      <w:r>
        <w:rPr/>
        <w:t>composition-dependent</w:t>
      </w:r>
      <w:r>
        <w:rPr>
          <w:spacing w:val="30"/>
        </w:rPr>
        <w:t> </w:t>
      </w:r>
      <w:r>
        <w:rPr/>
        <w:t>properties</w:t>
      </w:r>
      <w:r>
        <w:rPr>
          <w:spacing w:val="23"/>
        </w:rPr>
        <w:t> </w:t>
      </w:r>
      <w:r>
        <w:rPr/>
        <w:t>of</w:t>
      </w:r>
      <w:r>
        <w:rPr>
          <w:spacing w:val="19"/>
        </w:rPr>
        <w:t> </w:t>
      </w:r>
      <w:r>
        <w:rPr/>
        <w:t>GABA</w:t>
      </w:r>
      <w:r>
        <w:rPr>
          <w:spacing w:val="20"/>
        </w:rPr>
        <w:t> </w:t>
      </w:r>
      <w:r>
        <w:rPr/>
        <w:t>receptors</w:t>
      </w:r>
      <w:r>
        <w:rPr>
          <w:spacing w:val="23"/>
        </w:rPr>
        <w:t> </w:t>
      </w:r>
      <w:r>
        <w:rPr/>
        <w:t>relevant</w:t>
      </w:r>
      <w:r>
        <w:rPr>
          <w:spacing w:val="31"/>
        </w:rPr>
        <w:t> </w:t>
      </w:r>
      <w:r>
        <w:rPr>
          <w:spacing w:val="-5"/>
        </w:rPr>
        <w:t>to</w:t>
      </w:r>
    </w:p>
    <w:p>
      <w:pPr>
        <w:pStyle w:val="BodyText"/>
        <w:spacing w:line="480" w:lineRule="auto"/>
        <w:ind w:left="681" w:right="279"/>
        <w:jc w:val="both"/>
      </w:pPr>
      <w:r>
        <w:rPr/>
        <w:t>status epilepticus and epilepsy are their sensitivity to benzodiazepines such as diazepam, midazolam and lorazepam, and also to the divalent cation Zn</w:t>
      </w:r>
      <w:r>
        <w:rPr>
          <w:vertAlign w:val="superscript"/>
        </w:rPr>
        <w:t>2+</w:t>
      </w:r>
      <w:r>
        <w:rPr>
          <w:vertAlign w:val="baseline"/>
        </w:rPr>
        <w:t> and neurosteroids. Diazepam sensitivity requires the presence of a γ2 subunit and the relative affinity of diazepam</w:t>
      </w:r>
      <w:r>
        <w:rPr>
          <w:spacing w:val="-4"/>
          <w:vertAlign w:val="baseline"/>
        </w:rPr>
        <w:t> </w:t>
      </w:r>
      <w:r>
        <w:rPr>
          <w:vertAlign w:val="baseline"/>
        </w:rPr>
        <w:t>to the receptor also depends</w:t>
      </w:r>
      <w:r>
        <w:rPr>
          <w:spacing w:val="-2"/>
          <w:vertAlign w:val="baseline"/>
        </w:rPr>
        <w:t> </w:t>
      </w:r>
      <w:r>
        <w:rPr>
          <w:vertAlign w:val="baseline"/>
        </w:rPr>
        <w:t>on the subtype of</w:t>
      </w:r>
      <w:r>
        <w:rPr>
          <w:spacing w:val="-2"/>
          <w:vertAlign w:val="baseline"/>
        </w:rPr>
        <w:t> </w:t>
      </w:r>
      <w:r>
        <w:rPr>
          <w:vertAlign w:val="baseline"/>
        </w:rPr>
        <w:t>α subunit. In contrast, sensitivity to</w:t>
      </w:r>
      <w:r>
        <w:rPr>
          <w:spacing w:val="23"/>
          <w:vertAlign w:val="baseline"/>
        </w:rPr>
        <w:t> </w:t>
      </w:r>
      <w:r>
        <w:rPr>
          <w:vertAlign w:val="baseline"/>
        </w:rPr>
        <w:t>Zn</w:t>
      </w:r>
      <w:r>
        <w:rPr>
          <w:vertAlign w:val="superscript"/>
        </w:rPr>
        <w:t>2+</w:t>
      </w:r>
      <w:r>
        <w:rPr>
          <w:spacing w:val="20"/>
          <w:vertAlign w:val="baseline"/>
        </w:rPr>
        <w:t> </w:t>
      </w:r>
      <w:r>
        <w:rPr>
          <w:vertAlign w:val="baseline"/>
        </w:rPr>
        <w:t>is</w:t>
      </w:r>
      <w:r>
        <w:rPr>
          <w:spacing w:val="17"/>
          <w:vertAlign w:val="baseline"/>
        </w:rPr>
        <w:t> </w:t>
      </w:r>
      <w:r>
        <w:rPr>
          <w:vertAlign w:val="baseline"/>
        </w:rPr>
        <w:t>reduced</w:t>
      </w:r>
      <w:r>
        <w:rPr>
          <w:spacing w:val="18"/>
          <w:vertAlign w:val="baseline"/>
        </w:rPr>
        <w:t> </w:t>
      </w:r>
      <w:r>
        <w:rPr>
          <w:vertAlign w:val="baseline"/>
        </w:rPr>
        <w:t>by</w:t>
      </w:r>
      <w:r>
        <w:rPr>
          <w:spacing w:val="14"/>
          <w:vertAlign w:val="baseline"/>
        </w:rPr>
        <w:t> </w:t>
      </w:r>
      <w:r>
        <w:rPr>
          <w:vertAlign w:val="baseline"/>
        </w:rPr>
        <w:t>the</w:t>
      </w:r>
      <w:r>
        <w:rPr>
          <w:spacing w:val="17"/>
          <w:vertAlign w:val="baseline"/>
        </w:rPr>
        <w:t> </w:t>
      </w:r>
      <w:r>
        <w:rPr>
          <w:vertAlign w:val="baseline"/>
        </w:rPr>
        <w:t>presence</w:t>
      </w:r>
      <w:r>
        <w:rPr>
          <w:spacing w:val="18"/>
          <w:vertAlign w:val="baseline"/>
        </w:rPr>
        <w:t> </w:t>
      </w:r>
      <w:r>
        <w:rPr>
          <w:vertAlign w:val="baseline"/>
        </w:rPr>
        <w:t>of</w:t>
      </w:r>
      <w:r>
        <w:rPr>
          <w:spacing w:val="11"/>
          <w:vertAlign w:val="baseline"/>
        </w:rPr>
        <w:t> </w:t>
      </w:r>
      <w:r>
        <w:rPr>
          <w:vertAlign w:val="baseline"/>
        </w:rPr>
        <w:t>a</w:t>
      </w:r>
      <w:r>
        <w:rPr>
          <w:spacing w:val="17"/>
          <w:vertAlign w:val="baseline"/>
        </w:rPr>
        <w:t> </w:t>
      </w:r>
      <w:r>
        <w:rPr>
          <w:vertAlign w:val="baseline"/>
        </w:rPr>
        <w:t>γ</w:t>
      </w:r>
      <w:r>
        <w:rPr>
          <w:spacing w:val="18"/>
          <w:vertAlign w:val="baseline"/>
        </w:rPr>
        <w:t> </w:t>
      </w:r>
      <w:r>
        <w:rPr>
          <w:vertAlign w:val="baseline"/>
        </w:rPr>
        <w:t>subunit,</w:t>
      </w:r>
      <w:r>
        <w:rPr>
          <w:spacing w:val="20"/>
          <w:vertAlign w:val="baseline"/>
        </w:rPr>
        <w:t> </w:t>
      </w:r>
      <w:r>
        <w:rPr>
          <w:vertAlign w:val="baseline"/>
        </w:rPr>
        <w:t>but</w:t>
      </w:r>
      <w:r>
        <w:rPr>
          <w:spacing w:val="23"/>
          <w:vertAlign w:val="baseline"/>
        </w:rPr>
        <w:t> </w:t>
      </w:r>
      <w:r>
        <w:rPr>
          <w:vertAlign w:val="baseline"/>
        </w:rPr>
        <w:t>relative</w:t>
      </w:r>
      <w:r>
        <w:rPr>
          <w:spacing w:val="18"/>
          <w:vertAlign w:val="baseline"/>
        </w:rPr>
        <w:t> </w:t>
      </w:r>
      <w:r>
        <w:rPr>
          <w:vertAlign w:val="baseline"/>
        </w:rPr>
        <w:t>sensitivity</w:t>
      </w:r>
      <w:r>
        <w:rPr>
          <w:spacing w:val="14"/>
          <w:vertAlign w:val="baseline"/>
        </w:rPr>
        <w:t> </w:t>
      </w:r>
      <w:r>
        <w:rPr>
          <w:vertAlign w:val="baseline"/>
        </w:rPr>
        <w:t>to</w:t>
      </w:r>
      <w:r>
        <w:rPr>
          <w:spacing w:val="26"/>
          <w:vertAlign w:val="baseline"/>
        </w:rPr>
        <w:t> </w:t>
      </w:r>
      <w:r>
        <w:rPr>
          <w:vertAlign w:val="baseline"/>
        </w:rPr>
        <w:t>Zn</w:t>
      </w:r>
      <w:r>
        <w:rPr>
          <w:vertAlign w:val="superscript"/>
        </w:rPr>
        <w:t>2+</w:t>
      </w:r>
      <w:r>
        <w:rPr>
          <w:spacing w:val="20"/>
          <w:vertAlign w:val="baseline"/>
        </w:rPr>
        <w:t> </w:t>
      </w:r>
      <w:r>
        <w:rPr>
          <w:vertAlign w:val="baseline"/>
        </w:rPr>
        <w:t>is</w:t>
      </w:r>
      <w:r>
        <w:rPr>
          <w:spacing w:val="17"/>
          <w:vertAlign w:val="baseline"/>
        </w:rPr>
        <w:t> </w:t>
      </w:r>
      <w:r>
        <w:rPr>
          <w:spacing w:val="-4"/>
          <w:vertAlign w:val="baseline"/>
        </w:rPr>
        <w:t>also</w:t>
      </w:r>
    </w:p>
    <w:p>
      <w:pPr>
        <w:spacing w:after="0" w:line="480" w:lineRule="auto"/>
        <w:jc w:val="both"/>
        <w:sectPr>
          <w:pgSz w:w="12240" w:h="15840"/>
          <w:pgMar w:header="0" w:footer="1066" w:top="1360" w:bottom="1260" w:left="1480" w:right="1160"/>
        </w:sectPr>
      </w:pPr>
    </w:p>
    <w:p>
      <w:pPr>
        <w:pStyle w:val="BodyText"/>
        <w:spacing w:line="480" w:lineRule="auto" w:before="72"/>
        <w:ind w:left="681" w:right="286"/>
        <w:jc w:val="both"/>
      </w:pPr>
      <w:r>
        <w:rPr/>
        <w:t>regulated by the subtype of</w:t>
      </w:r>
      <w:r>
        <w:rPr>
          <w:spacing w:val="-2"/>
        </w:rPr>
        <w:t> </w:t>
      </w:r>
      <w:r>
        <w:rPr/>
        <w:t>α subunit. The presence of a δ subunit confers higher GABA and neurosteroid affinity to the receptor (Joshi and Kapur, 2012).</w:t>
      </w:r>
    </w:p>
    <w:p>
      <w:pPr>
        <w:pStyle w:val="BodyText"/>
      </w:pPr>
    </w:p>
    <w:p>
      <w:pPr>
        <w:pStyle w:val="BodyText"/>
        <w:spacing w:before="241"/>
      </w:pPr>
    </w:p>
    <w:p>
      <w:pPr>
        <w:pStyle w:val="BodyText"/>
        <w:spacing w:line="480" w:lineRule="auto"/>
        <w:ind w:left="681" w:right="277"/>
        <w:jc w:val="both"/>
      </w:pPr>
      <w:r>
        <w:rPr/>
        <w:t>Prolonged seizures (status epilepticus) result in alterations in the expression and membrane localization of several GABAR subunits (α1, α4, γ2, δ) in hippocampal</w:t>
      </w:r>
      <w:r>
        <w:rPr>
          <w:spacing w:val="40"/>
        </w:rPr>
        <w:t> </w:t>
      </w:r>
      <w:r>
        <w:rPr/>
        <w:t>dentate granule neurons. These alterations, which are associated with changes in phasic and tonic GABAR -mediated inhibition, and in GABAR modulation</w:t>
      </w:r>
      <w:r>
        <w:rPr>
          <w:spacing w:val="-2"/>
        </w:rPr>
        <w:t> </w:t>
      </w:r>
      <w:r>
        <w:rPr/>
        <w:t>by benzodiazepines, neurosteroids, and zinc, begin soon after status epilepticus and continue as animals become epileptic (Zhang </w:t>
      </w:r>
      <w:r>
        <w:rPr>
          <w:i/>
        </w:rPr>
        <w:t>et al</w:t>
      </w:r>
      <w:r>
        <w:rPr/>
        <w:t>., 2007).</w:t>
      </w:r>
    </w:p>
    <w:p>
      <w:pPr>
        <w:pStyle w:val="BodyText"/>
        <w:spacing w:line="480" w:lineRule="auto" w:before="241"/>
        <w:ind w:left="681" w:right="274"/>
        <w:jc w:val="both"/>
      </w:pPr>
      <w:r>
        <w:rPr/>
        <w:t>In addition to pharmacological modulation by different drugs, subunit composition also influences the kinetic properties of the receptors. For example, δ subunit-containing receptors desensitize slowly</w:t>
      </w:r>
      <w:r>
        <w:rPr>
          <w:spacing w:val="-2"/>
        </w:rPr>
        <w:t> </w:t>
      </w:r>
      <w:r>
        <w:rPr/>
        <w:t>and more incompletely</w:t>
      </w:r>
      <w:r>
        <w:rPr>
          <w:spacing w:val="-2"/>
        </w:rPr>
        <w:t> </w:t>
      </w:r>
      <w:r>
        <w:rPr/>
        <w:t>than</w:t>
      </w:r>
      <w:r>
        <w:rPr>
          <w:spacing w:val="-2"/>
        </w:rPr>
        <w:t> </w:t>
      </w:r>
      <w:r>
        <w:rPr/>
        <w:t>γ2 subunit-containing receptors. Subunit composition also determines receptor targeting. Presence of a γ2 subunit is necessary for synaptic localization of GABA receptors, whereas GABA receptors composed of the δ subunit remain exclusively in the peri- and extra-synaptic membrane. Synaptic GABA</w:t>
      </w:r>
      <w:r>
        <w:rPr>
          <w:spacing w:val="-5"/>
        </w:rPr>
        <w:t> </w:t>
      </w:r>
      <w:r>
        <w:rPr/>
        <w:t>receptors</w:t>
      </w:r>
      <w:r>
        <w:rPr>
          <w:spacing w:val="-1"/>
        </w:rPr>
        <w:t> </w:t>
      </w:r>
      <w:r>
        <w:rPr/>
        <w:t>mediate fast inhibition in</w:t>
      </w:r>
      <w:r>
        <w:rPr>
          <w:spacing w:val="-4"/>
        </w:rPr>
        <w:t> </w:t>
      </w:r>
      <w:r>
        <w:rPr/>
        <w:t>response to the high</w:t>
      </w:r>
      <w:r>
        <w:rPr>
          <w:spacing w:val="-4"/>
        </w:rPr>
        <w:t> </w:t>
      </w:r>
      <w:r>
        <w:rPr/>
        <w:t>concentration</w:t>
      </w:r>
      <w:r>
        <w:rPr>
          <w:spacing w:val="-4"/>
        </w:rPr>
        <w:t> </w:t>
      </w:r>
      <w:r>
        <w:rPr/>
        <w:t>of GABA</w:t>
      </w:r>
      <w:r>
        <w:rPr>
          <w:spacing w:val="-1"/>
        </w:rPr>
        <w:t> </w:t>
      </w:r>
      <w:r>
        <w:rPr/>
        <w:t>released in the synaptic cleft, whereas extra-synaptic receptors respond to GABA spilled over from synapses and contribute to persistent background inhibition commonly referred to as tonic inhibition (Joshi and Kapur, 2012).</w:t>
      </w:r>
    </w:p>
    <w:p>
      <w:pPr>
        <w:spacing w:after="0" w:line="480" w:lineRule="auto"/>
        <w:jc w:val="both"/>
        <w:sectPr>
          <w:pgSz w:w="12240" w:h="15840"/>
          <w:pgMar w:header="0" w:footer="1066" w:top="1360" w:bottom="1260" w:left="1480" w:right="1160"/>
        </w:sectPr>
      </w:pPr>
    </w:p>
    <w:p>
      <w:pPr>
        <w:pStyle w:val="ListParagraph"/>
        <w:numPr>
          <w:ilvl w:val="3"/>
          <w:numId w:val="10"/>
        </w:numPr>
        <w:tabs>
          <w:tab w:pos="1404" w:val="left" w:leader="none"/>
        </w:tabs>
        <w:spacing w:line="240" w:lineRule="auto" w:before="72" w:after="0"/>
        <w:ind w:left="1404" w:right="0" w:hanging="723"/>
        <w:jc w:val="left"/>
        <w:rPr>
          <w:i/>
          <w:sz w:val="24"/>
        </w:rPr>
      </w:pPr>
      <w:r>
        <w:rPr>
          <w:i/>
          <w:sz w:val="24"/>
        </w:rPr>
        <w:t>GABA</w:t>
      </w:r>
      <w:r>
        <w:rPr>
          <w:i/>
          <w:spacing w:val="-6"/>
          <w:sz w:val="24"/>
        </w:rPr>
        <w:t> </w:t>
      </w:r>
      <w:r>
        <w:rPr>
          <w:i/>
          <w:sz w:val="24"/>
        </w:rPr>
        <w:t>receptor</w:t>
      </w:r>
      <w:r>
        <w:rPr>
          <w:i/>
          <w:spacing w:val="-4"/>
          <w:sz w:val="24"/>
        </w:rPr>
        <w:t> </w:t>
      </w:r>
      <w:r>
        <w:rPr>
          <w:i/>
          <w:spacing w:val="-2"/>
          <w:sz w:val="24"/>
        </w:rPr>
        <w:t>subtypes</w:t>
      </w:r>
    </w:p>
    <w:p>
      <w:pPr>
        <w:pStyle w:val="BodyText"/>
        <w:rPr>
          <w:i/>
        </w:rPr>
      </w:pPr>
    </w:p>
    <w:p>
      <w:pPr>
        <w:pStyle w:val="BodyText"/>
        <w:spacing w:line="480" w:lineRule="auto"/>
        <w:ind w:left="681" w:right="277"/>
        <w:jc w:val="both"/>
      </w:pPr>
      <w:r>
        <w:rPr/>
        <w:t>Three types of GABA receptors, GABA</w:t>
      </w:r>
      <w:r>
        <w:rPr>
          <w:vertAlign w:val="subscript"/>
        </w:rPr>
        <w:t>A</w:t>
      </w:r>
      <w:r>
        <w:rPr>
          <w:vertAlign w:val="baseline"/>
        </w:rPr>
        <w:t>, GABA</w:t>
      </w:r>
      <w:r>
        <w:rPr>
          <w:vertAlign w:val="subscript"/>
        </w:rPr>
        <w:t>B</w:t>
      </w:r>
      <w:r>
        <w:rPr>
          <w:vertAlign w:val="baseline"/>
        </w:rPr>
        <w:t> and GABA</w:t>
      </w:r>
      <w:r>
        <w:rPr>
          <w:vertAlign w:val="subscript"/>
        </w:rPr>
        <w:t>C</w:t>
      </w:r>
      <w:r>
        <w:rPr>
          <w:vertAlign w:val="baseline"/>
        </w:rPr>
        <w:t>, are found in the mature central nervous system. GABA</w:t>
      </w:r>
      <w:r>
        <w:rPr>
          <w:vertAlign w:val="subscript"/>
        </w:rPr>
        <w:t>A</w:t>
      </w:r>
      <w:r>
        <w:rPr>
          <w:vertAlign w:val="baseline"/>
        </w:rPr>
        <w:t> and GABA</w:t>
      </w:r>
      <w:r>
        <w:rPr>
          <w:vertAlign w:val="subscript"/>
        </w:rPr>
        <w:t>C</w:t>
      </w:r>
      <w:r>
        <w:rPr>
          <w:vertAlign w:val="baseline"/>
        </w:rPr>
        <w:t> are ionotropic receptors, whereas, GABA</w:t>
      </w:r>
      <w:r>
        <w:rPr>
          <w:vertAlign w:val="subscript"/>
        </w:rPr>
        <w:t>B</w:t>
      </w:r>
      <w:r>
        <w:rPr>
          <w:vertAlign w:val="baseline"/>
        </w:rPr>
        <w:t> is a metabotropic receptor. Most fast synaptic inhibition in the mature brain is mediated by GABA</w:t>
      </w:r>
      <w:r>
        <w:rPr>
          <w:vertAlign w:val="subscript"/>
        </w:rPr>
        <w:t>A</w:t>
      </w:r>
      <w:r>
        <w:rPr>
          <w:vertAlign w:val="baseline"/>
        </w:rPr>
        <w:t> receptors whereas slow inhibition is mediated by GABA</w:t>
      </w:r>
      <w:r>
        <w:rPr>
          <w:vertAlign w:val="subscript"/>
        </w:rPr>
        <w:t>B</w:t>
      </w:r>
      <w:r>
        <w:rPr>
          <w:vertAlign w:val="baseline"/>
        </w:rPr>
        <w:t> receptors (Kayal- Brooks </w:t>
      </w:r>
      <w:r>
        <w:rPr>
          <w:i/>
          <w:vertAlign w:val="baseline"/>
        </w:rPr>
        <w:t>et al</w:t>
      </w:r>
      <w:r>
        <w:rPr>
          <w:vertAlign w:val="baseline"/>
        </w:rPr>
        <w:t>., 2009).</w:t>
      </w:r>
    </w:p>
    <w:p>
      <w:pPr>
        <w:pStyle w:val="BodyText"/>
      </w:pPr>
    </w:p>
    <w:p>
      <w:pPr>
        <w:pStyle w:val="BodyText"/>
        <w:spacing w:before="1"/>
      </w:pPr>
    </w:p>
    <w:p>
      <w:pPr>
        <w:pStyle w:val="BodyText"/>
        <w:spacing w:line="480" w:lineRule="auto"/>
        <w:ind w:left="681" w:right="278"/>
        <w:jc w:val="both"/>
      </w:pPr>
      <w:r>
        <w:rPr/>
        <w:t>GABA</w:t>
      </w:r>
      <w:r>
        <w:rPr>
          <w:vertAlign w:val="subscript"/>
        </w:rPr>
        <w:t>A</w:t>
      </w:r>
      <w:r>
        <w:rPr>
          <w:vertAlign w:val="baseline"/>
        </w:rPr>
        <w:t> receptors mediate post synaptic responses to GABA in central neurons, and are expressed</w:t>
      </w:r>
      <w:r>
        <w:rPr>
          <w:spacing w:val="-2"/>
          <w:vertAlign w:val="baseline"/>
        </w:rPr>
        <w:t> </w:t>
      </w:r>
      <w:r>
        <w:rPr>
          <w:vertAlign w:val="baseline"/>
        </w:rPr>
        <w:t>at embryonic</w:t>
      </w:r>
      <w:r>
        <w:rPr>
          <w:spacing w:val="-3"/>
          <w:vertAlign w:val="baseline"/>
        </w:rPr>
        <w:t> </w:t>
      </w:r>
      <w:r>
        <w:rPr>
          <w:vertAlign w:val="baseline"/>
        </w:rPr>
        <w:t>stages</w:t>
      </w:r>
      <w:r>
        <w:rPr>
          <w:spacing w:val="-4"/>
          <w:vertAlign w:val="baseline"/>
        </w:rPr>
        <w:t> </w:t>
      </w:r>
      <w:r>
        <w:rPr>
          <w:vertAlign w:val="baseline"/>
        </w:rPr>
        <w:t>(Laurie, </w:t>
      </w:r>
      <w:r>
        <w:rPr>
          <w:i/>
          <w:vertAlign w:val="baseline"/>
        </w:rPr>
        <w:t>et</w:t>
      </w:r>
      <w:r>
        <w:rPr>
          <w:i/>
          <w:spacing w:val="-2"/>
          <w:vertAlign w:val="baseline"/>
        </w:rPr>
        <w:t> </w:t>
      </w:r>
      <w:r>
        <w:rPr>
          <w:i/>
          <w:vertAlign w:val="baseline"/>
        </w:rPr>
        <w:t>al</w:t>
      </w:r>
      <w:r>
        <w:rPr>
          <w:vertAlign w:val="baseline"/>
        </w:rPr>
        <w:t>.,</w:t>
      </w:r>
      <w:r>
        <w:rPr>
          <w:spacing w:val="-1"/>
          <w:vertAlign w:val="baseline"/>
        </w:rPr>
        <w:t> </w:t>
      </w:r>
      <w:r>
        <w:rPr>
          <w:vertAlign w:val="baseline"/>
        </w:rPr>
        <w:t>1992).</w:t>
      </w:r>
      <w:r>
        <w:rPr>
          <w:spacing w:val="-1"/>
          <w:vertAlign w:val="baseline"/>
        </w:rPr>
        <w:t> </w:t>
      </w:r>
      <w:r>
        <w:rPr>
          <w:vertAlign w:val="baseline"/>
        </w:rPr>
        <w:t>However,</w:t>
      </w:r>
      <w:r>
        <w:rPr>
          <w:spacing w:val="-1"/>
          <w:vertAlign w:val="baseline"/>
        </w:rPr>
        <w:t> </w:t>
      </w:r>
      <w:r>
        <w:rPr>
          <w:vertAlign w:val="baseline"/>
        </w:rPr>
        <w:t>in</w:t>
      </w:r>
      <w:r>
        <w:rPr>
          <w:spacing w:val="-7"/>
          <w:vertAlign w:val="baseline"/>
        </w:rPr>
        <w:t> </w:t>
      </w:r>
      <w:r>
        <w:rPr>
          <w:vertAlign w:val="baseline"/>
        </w:rPr>
        <w:t>the first postnatal</w:t>
      </w:r>
      <w:r>
        <w:rPr>
          <w:spacing w:val="-11"/>
          <w:vertAlign w:val="baseline"/>
        </w:rPr>
        <w:t> </w:t>
      </w:r>
      <w:r>
        <w:rPr>
          <w:vertAlign w:val="baseline"/>
        </w:rPr>
        <w:t>week, activation of GABA</w:t>
      </w:r>
      <w:r>
        <w:rPr>
          <w:vertAlign w:val="subscript"/>
        </w:rPr>
        <w:t>A</w:t>
      </w:r>
      <w:r>
        <w:rPr>
          <w:vertAlign w:val="baseline"/>
        </w:rPr>
        <w:t> receptors causes membrane depolarization rather than hyperpolarisation typical of mature GABA-ergic synapses (Swann, </w:t>
      </w:r>
      <w:r>
        <w:rPr>
          <w:i/>
          <w:vertAlign w:val="baseline"/>
        </w:rPr>
        <w:t>et al</w:t>
      </w:r>
      <w:r>
        <w:rPr>
          <w:vertAlign w:val="baseline"/>
        </w:rPr>
        <w:t>., 1999). Thus, although functional GABA receptors are present very early in development, the delayed onset of GABA-ergic inhibition may contribute to the enhanced excitability of immature brain (Rivera, </w:t>
      </w:r>
      <w:r>
        <w:rPr>
          <w:i/>
          <w:vertAlign w:val="baseline"/>
        </w:rPr>
        <w:t>et al</w:t>
      </w:r>
      <w:r>
        <w:rPr>
          <w:vertAlign w:val="baseline"/>
        </w:rPr>
        <w:t>., 1999). GABA</w:t>
      </w:r>
      <w:r>
        <w:rPr>
          <w:vertAlign w:val="subscript"/>
        </w:rPr>
        <w:t>A</w:t>
      </w:r>
      <w:r>
        <w:rPr>
          <w:vertAlign w:val="baseline"/>
        </w:rPr>
        <w:t> receptors are selectively activated by muscimol and isoguvacin. Picrotoxin, a mixture of picrotin and picrotoxinin, is a noncompetitive inhibitor</w:t>
      </w:r>
      <w:r>
        <w:rPr>
          <w:spacing w:val="-4"/>
          <w:vertAlign w:val="baseline"/>
        </w:rPr>
        <w:t> </w:t>
      </w:r>
      <w:r>
        <w:rPr>
          <w:vertAlign w:val="baseline"/>
        </w:rPr>
        <w:t>that reduces</w:t>
      </w:r>
      <w:r>
        <w:rPr>
          <w:spacing w:val="-3"/>
          <w:vertAlign w:val="baseline"/>
        </w:rPr>
        <w:t> </w:t>
      </w:r>
      <w:r>
        <w:rPr>
          <w:vertAlign w:val="baseline"/>
        </w:rPr>
        <w:t>channel</w:t>
      </w:r>
      <w:r>
        <w:rPr>
          <w:spacing w:val="-6"/>
          <w:vertAlign w:val="baseline"/>
        </w:rPr>
        <w:t> </w:t>
      </w:r>
      <w:r>
        <w:rPr>
          <w:vertAlign w:val="baseline"/>
        </w:rPr>
        <w:t>activity. It binds</w:t>
      </w:r>
      <w:r>
        <w:rPr>
          <w:spacing w:val="-3"/>
          <w:vertAlign w:val="baseline"/>
        </w:rPr>
        <w:t> </w:t>
      </w:r>
      <w:r>
        <w:rPr>
          <w:vertAlign w:val="baseline"/>
        </w:rPr>
        <w:t>to a</w:t>
      </w:r>
      <w:r>
        <w:rPr>
          <w:spacing w:val="-6"/>
          <w:vertAlign w:val="baseline"/>
        </w:rPr>
        <w:t> </w:t>
      </w:r>
      <w:r>
        <w:rPr>
          <w:vertAlign w:val="baseline"/>
        </w:rPr>
        <w:t>site</w:t>
      </w:r>
      <w:r>
        <w:rPr>
          <w:spacing w:val="-2"/>
          <w:vertAlign w:val="baseline"/>
        </w:rPr>
        <w:t> </w:t>
      </w:r>
      <w:r>
        <w:rPr>
          <w:vertAlign w:val="baseline"/>
        </w:rPr>
        <w:t>different from</w:t>
      </w:r>
      <w:r>
        <w:rPr>
          <w:spacing w:val="-9"/>
          <w:vertAlign w:val="baseline"/>
        </w:rPr>
        <w:t> </w:t>
      </w:r>
      <w:r>
        <w:rPr>
          <w:vertAlign w:val="baseline"/>
        </w:rPr>
        <w:t>the GABA-binding site (Jentsch </w:t>
      </w:r>
      <w:r>
        <w:rPr>
          <w:i/>
          <w:vertAlign w:val="baseline"/>
        </w:rPr>
        <w:t>et al</w:t>
      </w:r>
      <w:r>
        <w:rPr>
          <w:vertAlign w:val="baseline"/>
        </w:rPr>
        <w:t>., 2002).</w:t>
      </w:r>
    </w:p>
    <w:p>
      <w:pPr>
        <w:pStyle w:val="BodyText"/>
      </w:pPr>
    </w:p>
    <w:p>
      <w:pPr>
        <w:pStyle w:val="BodyText"/>
        <w:spacing w:before="3"/>
      </w:pPr>
    </w:p>
    <w:p>
      <w:pPr>
        <w:pStyle w:val="BodyText"/>
        <w:spacing w:line="480" w:lineRule="auto"/>
        <w:ind w:left="681" w:right="277"/>
        <w:jc w:val="both"/>
      </w:pPr>
      <w:r>
        <w:rPr/>
        <w:t>The G-protein-coupled GABA</w:t>
      </w:r>
      <w:r>
        <w:rPr>
          <w:vertAlign w:val="subscript"/>
        </w:rPr>
        <w:t>B</w:t>
      </w:r>
      <w:r>
        <w:rPr>
          <w:vertAlign w:val="baseline"/>
        </w:rPr>
        <w:t> receptors are activated both pre- and postsynaptically, with opposite effects on transmission. Postsynaptic GABA</w:t>
      </w:r>
      <w:r>
        <w:rPr>
          <w:vertAlign w:val="subscript"/>
        </w:rPr>
        <w:t>B</w:t>
      </w:r>
      <w:r>
        <w:rPr>
          <w:vertAlign w:val="baseline"/>
        </w:rPr>
        <w:t> receptors mediate relatively slowly activating and long-lasting membrane hyperpolarisation through the activation of</w:t>
      </w:r>
      <w:r>
        <w:rPr>
          <w:spacing w:val="40"/>
          <w:vertAlign w:val="baseline"/>
        </w:rPr>
        <w:t> </w:t>
      </w:r>
      <w:r>
        <w:rPr>
          <w:vertAlign w:val="baseline"/>
        </w:rPr>
        <w:t>a K</w:t>
      </w:r>
      <w:r>
        <w:rPr>
          <w:vertAlign w:val="superscript"/>
        </w:rPr>
        <w:t>+</w:t>
      </w:r>
      <w:r>
        <w:rPr>
          <w:vertAlign w:val="baseline"/>
        </w:rPr>
        <w:t> conductance, whereas the activation of presynaptic GABA</w:t>
      </w:r>
      <w:r>
        <w:rPr>
          <w:vertAlign w:val="subscript"/>
        </w:rPr>
        <w:t>B</w:t>
      </w:r>
      <w:r>
        <w:rPr>
          <w:vertAlign w:val="baseline"/>
        </w:rPr>
        <w:t> receptors decreases neurotransmitter release through the inhibition of Ca</w:t>
      </w:r>
      <w:r>
        <w:rPr>
          <w:vertAlign w:val="superscript"/>
        </w:rPr>
        <w:t>2+</w:t>
      </w:r>
      <w:r>
        <w:rPr>
          <w:vertAlign w:val="baseline"/>
        </w:rPr>
        <w:t> channels (Giarsa, </w:t>
      </w:r>
      <w:r>
        <w:rPr>
          <w:i/>
          <w:vertAlign w:val="baseline"/>
        </w:rPr>
        <w:t>et al</w:t>
      </w:r>
      <w:r>
        <w:rPr>
          <w:vertAlign w:val="baseline"/>
        </w:rPr>
        <w:t>., 1995).</w:t>
      </w:r>
    </w:p>
    <w:p>
      <w:pPr>
        <w:spacing w:after="0" w:line="480" w:lineRule="auto"/>
        <w:jc w:val="both"/>
        <w:sectPr>
          <w:pgSz w:w="12240" w:h="15840"/>
          <w:pgMar w:header="0" w:footer="1066" w:top="1360" w:bottom="1260" w:left="1480" w:right="1160"/>
        </w:sectPr>
      </w:pPr>
    </w:p>
    <w:p>
      <w:pPr>
        <w:pStyle w:val="BodyText"/>
        <w:spacing w:line="480" w:lineRule="auto" w:before="72"/>
        <w:ind w:left="681" w:right="275"/>
        <w:jc w:val="both"/>
      </w:pPr>
      <w:r>
        <w:rPr/>
        <w:t>GABA</w:t>
      </w:r>
      <w:r>
        <w:rPr>
          <w:vertAlign w:val="subscript"/>
        </w:rPr>
        <w:t>C</w:t>
      </w:r>
      <w:r>
        <w:rPr>
          <w:vertAlign w:val="baseline"/>
        </w:rPr>
        <w:t> receptors were first described in interneurons of the spinal cord and later also identified in the retina. In contrast to GABA</w:t>
      </w:r>
      <w:r>
        <w:rPr>
          <w:vertAlign w:val="subscript"/>
        </w:rPr>
        <w:t>A</w:t>
      </w:r>
      <w:r>
        <w:rPr>
          <w:vertAlign w:val="baseline"/>
        </w:rPr>
        <w:t> receptors, which are sensitive to bicuculline, and</w:t>
      </w:r>
      <w:r>
        <w:rPr>
          <w:spacing w:val="-1"/>
          <w:vertAlign w:val="baseline"/>
        </w:rPr>
        <w:t> </w:t>
      </w:r>
      <w:r>
        <w:rPr>
          <w:vertAlign w:val="baseline"/>
        </w:rPr>
        <w:t>GABA</w:t>
      </w:r>
      <w:r>
        <w:rPr>
          <w:vertAlign w:val="subscript"/>
        </w:rPr>
        <w:t>B</w:t>
      </w:r>
      <w:r>
        <w:rPr>
          <w:spacing w:val="-1"/>
          <w:vertAlign w:val="baseline"/>
        </w:rPr>
        <w:t> </w:t>
      </w:r>
      <w:r>
        <w:rPr>
          <w:vertAlign w:val="baseline"/>
        </w:rPr>
        <w:t>receptors, which</w:t>
      </w:r>
      <w:r>
        <w:rPr>
          <w:spacing w:val="-6"/>
          <w:vertAlign w:val="baseline"/>
        </w:rPr>
        <w:t> </w:t>
      </w:r>
      <w:r>
        <w:rPr>
          <w:vertAlign w:val="baseline"/>
        </w:rPr>
        <w:t>are</w:t>
      </w:r>
      <w:r>
        <w:rPr>
          <w:spacing w:val="-2"/>
          <w:vertAlign w:val="baseline"/>
        </w:rPr>
        <w:t> </w:t>
      </w:r>
      <w:r>
        <w:rPr>
          <w:vertAlign w:val="baseline"/>
        </w:rPr>
        <w:t>sensitive</w:t>
      </w:r>
      <w:r>
        <w:rPr>
          <w:spacing w:val="-2"/>
          <w:vertAlign w:val="baseline"/>
        </w:rPr>
        <w:t> </w:t>
      </w:r>
      <w:r>
        <w:rPr>
          <w:vertAlign w:val="baseline"/>
        </w:rPr>
        <w:t>to baclofen, GABA</w:t>
      </w:r>
      <w:r>
        <w:rPr>
          <w:vertAlign w:val="subscript"/>
        </w:rPr>
        <w:t>C</w:t>
      </w:r>
      <w:r>
        <w:rPr>
          <w:spacing w:val="-1"/>
          <w:vertAlign w:val="baseline"/>
        </w:rPr>
        <w:t> </w:t>
      </w:r>
      <w:r>
        <w:rPr>
          <w:vertAlign w:val="baseline"/>
        </w:rPr>
        <w:t>receptors</w:t>
      </w:r>
      <w:r>
        <w:rPr>
          <w:spacing w:val="-3"/>
          <w:vertAlign w:val="baseline"/>
        </w:rPr>
        <w:t> </w:t>
      </w:r>
      <w:r>
        <w:rPr>
          <w:vertAlign w:val="baseline"/>
        </w:rPr>
        <w:t>are insensitive to either drug. Compared with GABA</w:t>
      </w:r>
      <w:r>
        <w:rPr>
          <w:vertAlign w:val="subscript"/>
        </w:rPr>
        <w:t>A</w:t>
      </w:r>
      <w:r>
        <w:rPr>
          <w:vertAlign w:val="baseline"/>
        </w:rPr>
        <w:t> receptors, GABA</w:t>
      </w:r>
      <w:r>
        <w:rPr>
          <w:vertAlign w:val="subscript"/>
        </w:rPr>
        <w:t>C</w:t>
      </w:r>
      <w:r>
        <w:rPr>
          <w:vertAlign w:val="baseline"/>
        </w:rPr>
        <w:t> receptors have a higher sensitivity</w:t>
      </w:r>
      <w:r>
        <w:rPr>
          <w:spacing w:val="-7"/>
          <w:vertAlign w:val="baseline"/>
        </w:rPr>
        <w:t> </w:t>
      </w:r>
      <w:r>
        <w:rPr>
          <w:vertAlign w:val="baseline"/>
        </w:rPr>
        <w:t>to GABA. Their currents are smaller, and they</w:t>
      </w:r>
      <w:r>
        <w:rPr>
          <w:spacing w:val="-7"/>
          <w:vertAlign w:val="baseline"/>
        </w:rPr>
        <w:t> </w:t>
      </w:r>
      <w:r>
        <w:rPr>
          <w:vertAlign w:val="baseline"/>
        </w:rPr>
        <w:t>do not desensitize. They share only 30– 38% amino acid sequence identity with the GABA</w:t>
      </w:r>
      <w:r>
        <w:rPr>
          <w:vertAlign w:val="subscript"/>
        </w:rPr>
        <w:t>A</w:t>
      </w:r>
      <w:r>
        <w:rPr>
          <w:vertAlign w:val="baseline"/>
        </w:rPr>
        <w:t> receptors subunits (Jentsch </w:t>
      </w:r>
      <w:r>
        <w:rPr>
          <w:i/>
          <w:vertAlign w:val="baseline"/>
        </w:rPr>
        <w:t>et al</w:t>
      </w:r>
      <w:r>
        <w:rPr>
          <w:vertAlign w:val="baseline"/>
        </w:rPr>
        <w:t>., 2002)</w:t>
      </w:r>
    </w:p>
    <w:p>
      <w:pPr>
        <w:spacing w:before="1"/>
        <w:ind w:left="681" w:right="0" w:firstLine="0"/>
        <w:jc w:val="left"/>
        <w:rPr>
          <w:sz w:val="24"/>
        </w:rPr>
      </w:pPr>
      <w:r>
        <w:rPr>
          <w:spacing w:val="-10"/>
          <w:sz w:val="24"/>
        </w:rPr>
        <w:t>.</w:t>
      </w:r>
    </w:p>
    <w:p>
      <w:pPr>
        <w:pStyle w:val="BodyText"/>
        <w:spacing w:before="6"/>
      </w:pPr>
    </w:p>
    <w:p>
      <w:pPr>
        <w:pStyle w:val="Heading2"/>
        <w:numPr>
          <w:ilvl w:val="2"/>
          <w:numId w:val="10"/>
        </w:numPr>
        <w:tabs>
          <w:tab w:pos="1222" w:val="left" w:leader="none"/>
        </w:tabs>
        <w:spacing w:line="240" w:lineRule="auto" w:before="0" w:after="0"/>
        <w:ind w:left="1222" w:right="0" w:hanging="541"/>
        <w:jc w:val="both"/>
      </w:pPr>
      <w:bookmarkStart w:name="_TOC_250058" w:id="26"/>
      <w:bookmarkEnd w:id="26"/>
      <w:r>
        <w:rPr>
          <w:spacing w:val="-2"/>
        </w:rPr>
        <w:t>Glycine</w:t>
      </w:r>
    </w:p>
    <w:p>
      <w:pPr>
        <w:pStyle w:val="BodyText"/>
        <w:spacing w:line="480" w:lineRule="auto" w:before="271"/>
        <w:ind w:left="681" w:right="269"/>
        <w:jc w:val="both"/>
      </w:pPr>
      <w:r>
        <w:rPr/>
        <w:t>Fast inhibitory neurotransmission in the mammalian central nervous system (CNS) is mediated primarily by the neurotransmitters GABA and glycine. Glycine is predominantly used in the spinal cord and the brain stem, whereas GABA is more commonly used in the brain. Their binding to their receptors opens intrinsic anion channels. In the adult CNS, this mostly leads to a Cl</w:t>
      </w:r>
      <w:r>
        <w:rPr>
          <w:vertAlign w:val="superscript"/>
        </w:rPr>
        <w:t>-</w:t>
      </w:r>
      <w:r>
        <w:rPr>
          <w:vertAlign w:val="baseline"/>
        </w:rPr>
        <w:t> influx, which hyperpolarizes the neuron and thereby inhibits neuronal activity. Early in development, GABA and glycine induce a strong depolarizing response that can cause Ca</w:t>
      </w:r>
      <w:r>
        <w:rPr>
          <w:vertAlign w:val="superscript"/>
        </w:rPr>
        <w:t>2+</w:t>
      </w:r>
      <w:r>
        <w:rPr>
          <w:vertAlign w:val="baseline"/>
        </w:rPr>
        <w:t> influx via voltage-gated Ca</w:t>
      </w:r>
      <w:r>
        <w:rPr>
          <w:vertAlign w:val="superscript"/>
        </w:rPr>
        <w:t>2+</w:t>
      </w:r>
      <w:r>
        <w:rPr>
          <w:vertAlign w:val="baseline"/>
        </w:rPr>
        <w:t>channels and thus triggers neurotransmitter release (Reichling, </w:t>
      </w:r>
      <w:r>
        <w:rPr>
          <w:i/>
          <w:vertAlign w:val="baseline"/>
        </w:rPr>
        <w:t>et al</w:t>
      </w:r>
      <w:r>
        <w:rPr>
          <w:vertAlign w:val="baseline"/>
        </w:rPr>
        <w:t>., 1994).</w:t>
      </w:r>
    </w:p>
    <w:p>
      <w:pPr>
        <w:pStyle w:val="BodyText"/>
      </w:pPr>
    </w:p>
    <w:p>
      <w:pPr>
        <w:pStyle w:val="BodyText"/>
        <w:spacing w:before="2"/>
      </w:pPr>
    </w:p>
    <w:p>
      <w:pPr>
        <w:pStyle w:val="BodyText"/>
        <w:spacing w:line="480" w:lineRule="auto"/>
        <w:ind w:left="681" w:right="280"/>
        <w:jc w:val="both"/>
      </w:pPr>
      <w:r>
        <w:rPr/>
        <w:t>Glycine receptors can be activated by glycine, alanine and taurine. They are selectively antagonized</w:t>
      </w:r>
      <w:r>
        <w:rPr>
          <w:spacing w:val="-4"/>
        </w:rPr>
        <w:t> </w:t>
      </w:r>
      <w:r>
        <w:rPr/>
        <w:t>by</w:t>
      </w:r>
      <w:r>
        <w:rPr>
          <w:spacing w:val="-5"/>
        </w:rPr>
        <w:t> </w:t>
      </w:r>
      <w:r>
        <w:rPr/>
        <w:t>strychnine. At least two</w:t>
      </w:r>
      <w:r>
        <w:rPr>
          <w:spacing w:val="-1"/>
        </w:rPr>
        <w:t> </w:t>
      </w:r>
      <w:r>
        <w:rPr/>
        <w:t>different binding</w:t>
      </w:r>
      <w:r>
        <w:rPr>
          <w:spacing w:val="-4"/>
        </w:rPr>
        <w:t> </w:t>
      </w:r>
      <w:r>
        <w:rPr/>
        <w:t>sites</w:t>
      </w:r>
      <w:r>
        <w:rPr>
          <w:spacing w:val="-3"/>
        </w:rPr>
        <w:t> </w:t>
      </w:r>
      <w:r>
        <w:rPr/>
        <w:t>for</w:t>
      </w:r>
      <w:r>
        <w:rPr>
          <w:spacing w:val="-4"/>
        </w:rPr>
        <w:t> </w:t>
      </w:r>
      <w:r>
        <w:rPr/>
        <w:t>agonists</w:t>
      </w:r>
      <w:r>
        <w:rPr>
          <w:spacing w:val="-6"/>
        </w:rPr>
        <w:t> </w:t>
      </w:r>
      <w:r>
        <w:rPr/>
        <w:t>and</w:t>
      </w:r>
      <w:r>
        <w:rPr>
          <w:spacing w:val="-4"/>
        </w:rPr>
        <w:t> </w:t>
      </w:r>
      <w:r>
        <w:rPr/>
        <w:t>strychnine were identified; one in the aminoterminal extracellular domain and a second in the</w:t>
      </w:r>
      <w:r>
        <w:rPr>
          <w:spacing w:val="40"/>
        </w:rPr>
        <w:t> </w:t>
      </w:r>
      <w:r>
        <w:rPr/>
        <w:t>second extracellular cysteine loop. The only known agonist that is not an amino acid is cesium.</w:t>
      </w:r>
      <w:r>
        <w:rPr>
          <w:spacing w:val="47"/>
        </w:rPr>
        <w:t> </w:t>
      </w:r>
      <w:r>
        <w:rPr/>
        <w:t>Apparent</w:t>
      </w:r>
      <w:r>
        <w:rPr>
          <w:spacing w:val="46"/>
        </w:rPr>
        <w:t> </w:t>
      </w:r>
      <w:r>
        <w:rPr/>
        <w:t>glycine</w:t>
      </w:r>
      <w:r>
        <w:rPr>
          <w:spacing w:val="40"/>
        </w:rPr>
        <w:t> </w:t>
      </w:r>
      <w:r>
        <w:rPr/>
        <w:t>affinity</w:t>
      </w:r>
      <w:r>
        <w:rPr>
          <w:spacing w:val="41"/>
        </w:rPr>
        <w:t> </w:t>
      </w:r>
      <w:r>
        <w:rPr/>
        <w:t>is</w:t>
      </w:r>
      <w:r>
        <w:rPr>
          <w:spacing w:val="43"/>
        </w:rPr>
        <w:t> </w:t>
      </w:r>
      <w:r>
        <w:rPr/>
        <w:t>strongly</w:t>
      </w:r>
      <w:r>
        <w:rPr>
          <w:spacing w:val="31"/>
        </w:rPr>
        <w:t> </w:t>
      </w:r>
      <w:r>
        <w:rPr/>
        <w:t>potentiated</w:t>
      </w:r>
      <w:r>
        <w:rPr>
          <w:spacing w:val="41"/>
        </w:rPr>
        <w:t> </w:t>
      </w:r>
      <w:r>
        <w:rPr/>
        <w:t>by</w:t>
      </w:r>
      <w:r>
        <w:rPr>
          <w:spacing w:val="41"/>
        </w:rPr>
        <w:t> </w:t>
      </w:r>
      <w:r>
        <w:rPr/>
        <w:t>Zn</w:t>
      </w:r>
      <w:r>
        <w:rPr>
          <w:vertAlign w:val="superscript"/>
        </w:rPr>
        <w:t>2+</w:t>
      </w:r>
      <w:r>
        <w:rPr>
          <w:spacing w:val="43"/>
          <w:vertAlign w:val="baseline"/>
        </w:rPr>
        <w:t> </w:t>
      </w:r>
      <w:r>
        <w:rPr>
          <w:vertAlign w:val="baseline"/>
        </w:rPr>
        <w:t>but</w:t>
      </w:r>
      <w:r>
        <w:rPr>
          <w:spacing w:val="51"/>
          <w:vertAlign w:val="baseline"/>
        </w:rPr>
        <w:t> </w:t>
      </w:r>
      <w:r>
        <w:rPr>
          <w:vertAlign w:val="baseline"/>
        </w:rPr>
        <w:t>it</w:t>
      </w:r>
      <w:r>
        <w:rPr>
          <w:spacing w:val="50"/>
          <w:vertAlign w:val="baseline"/>
        </w:rPr>
        <w:t> </w:t>
      </w:r>
      <w:r>
        <w:rPr>
          <w:vertAlign w:val="baseline"/>
        </w:rPr>
        <w:t>is</w:t>
      </w:r>
      <w:r>
        <w:rPr>
          <w:spacing w:val="39"/>
          <w:vertAlign w:val="baseline"/>
        </w:rPr>
        <w:t> </w:t>
      </w:r>
      <w:r>
        <w:rPr>
          <w:vertAlign w:val="baseline"/>
        </w:rPr>
        <w:t>reduced</w:t>
      </w:r>
      <w:r>
        <w:rPr>
          <w:spacing w:val="41"/>
          <w:vertAlign w:val="baseline"/>
        </w:rPr>
        <w:t> </w:t>
      </w:r>
      <w:r>
        <w:rPr>
          <w:spacing w:val="-5"/>
          <w:vertAlign w:val="baseline"/>
        </w:rPr>
        <w:t>at</w:t>
      </w:r>
    </w:p>
    <w:p>
      <w:pPr>
        <w:spacing w:after="0" w:line="480" w:lineRule="auto"/>
        <w:jc w:val="both"/>
        <w:sectPr>
          <w:pgSz w:w="12240" w:h="15840"/>
          <w:pgMar w:header="0" w:footer="1066" w:top="1360" w:bottom="1260" w:left="1480" w:right="1160"/>
        </w:sectPr>
      </w:pPr>
    </w:p>
    <w:p>
      <w:pPr>
        <w:pStyle w:val="BodyText"/>
        <w:spacing w:line="480" w:lineRule="auto" w:before="72"/>
        <w:ind w:left="681" w:right="277"/>
        <w:jc w:val="both"/>
      </w:pPr>
      <w:r>
        <w:rPr/>
        <w:t>higher concentrations. High concentrations of ethanol are found to potentiate glycine- activated currents in chick spinal cord neurons. Glycine receptors are also potentiated by the anesthetic isoflurane. The alkaloid strychnine is a highly selective and extremely potent competitive antagonist of glycine receptors. The only known glycine receptor channel blocker is cyanotriphenylborate (Jentsch </w:t>
      </w:r>
      <w:r>
        <w:rPr>
          <w:i/>
        </w:rPr>
        <w:t>et al</w:t>
      </w:r>
      <w:r>
        <w:rPr/>
        <w:t>., 2002).</w:t>
      </w:r>
    </w:p>
    <w:p>
      <w:pPr>
        <w:pStyle w:val="BodyText"/>
      </w:pPr>
    </w:p>
    <w:p>
      <w:pPr>
        <w:pStyle w:val="BodyText"/>
        <w:spacing w:before="6"/>
      </w:pPr>
    </w:p>
    <w:p>
      <w:pPr>
        <w:pStyle w:val="Heading2"/>
        <w:numPr>
          <w:ilvl w:val="2"/>
          <w:numId w:val="10"/>
        </w:numPr>
        <w:tabs>
          <w:tab w:pos="1284" w:val="left" w:leader="none"/>
        </w:tabs>
        <w:spacing w:line="240" w:lineRule="auto" w:before="0" w:after="0"/>
        <w:ind w:left="1284" w:right="0" w:hanging="541"/>
        <w:jc w:val="left"/>
      </w:pPr>
      <w:bookmarkStart w:name="_TOC_250057" w:id="27"/>
      <w:r>
        <w:rPr/>
        <w:t>Glutamate</w:t>
      </w:r>
      <w:r>
        <w:rPr>
          <w:spacing w:val="-5"/>
        </w:rPr>
        <w:t> </w:t>
      </w:r>
      <w:bookmarkEnd w:id="27"/>
      <w:r>
        <w:rPr>
          <w:spacing w:val="-2"/>
        </w:rPr>
        <w:t>receptors</w:t>
      </w:r>
    </w:p>
    <w:p>
      <w:pPr>
        <w:pStyle w:val="ListParagraph"/>
        <w:numPr>
          <w:ilvl w:val="3"/>
          <w:numId w:val="10"/>
        </w:numPr>
        <w:tabs>
          <w:tab w:pos="1404" w:val="left" w:leader="none"/>
        </w:tabs>
        <w:spacing w:line="240" w:lineRule="auto" w:before="271" w:after="0"/>
        <w:ind w:left="1404" w:right="0" w:hanging="723"/>
        <w:jc w:val="left"/>
        <w:rPr>
          <w:i/>
          <w:sz w:val="24"/>
        </w:rPr>
      </w:pPr>
      <w:r>
        <w:rPr>
          <w:i/>
          <w:sz w:val="24"/>
        </w:rPr>
        <w:t>Ionotropic</w:t>
      </w:r>
      <w:r>
        <w:rPr>
          <w:i/>
          <w:spacing w:val="-2"/>
          <w:sz w:val="24"/>
        </w:rPr>
        <w:t> </w:t>
      </w:r>
      <w:r>
        <w:rPr>
          <w:i/>
          <w:sz w:val="24"/>
        </w:rPr>
        <w:t>glutamate</w:t>
      </w:r>
      <w:r>
        <w:rPr>
          <w:i/>
          <w:spacing w:val="-2"/>
          <w:sz w:val="24"/>
        </w:rPr>
        <w:t> receptors</w:t>
      </w:r>
    </w:p>
    <w:p>
      <w:pPr>
        <w:pStyle w:val="BodyText"/>
        <w:spacing w:before="1"/>
        <w:rPr>
          <w:i/>
        </w:rPr>
      </w:pPr>
    </w:p>
    <w:p>
      <w:pPr>
        <w:pStyle w:val="BodyText"/>
        <w:spacing w:line="480" w:lineRule="auto"/>
        <w:ind w:left="681" w:right="275"/>
        <w:jc w:val="both"/>
      </w:pPr>
      <w:r>
        <w:rPr/>
        <w:t>These include the NMDA, AMPA, and KA subtypes (Dingledine, </w:t>
      </w:r>
      <w:r>
        <w:rPr>
          <w:i/>
        </w:rPr>
        <w:t>et al</w:t>
      </w:r>
      <w:r>
        <w:rPr/>
        <w:t>., 1999). AMPA and KA receptors mediate fast excitatory signaling as they exhibit rapid activation and desensitization. NMDA receptors play a more modulatory role, as their activation</w:t>
      </w:r>
      <w:r>
        <w:rPr>
          <w:spacing w:val="40"/>
        </w:rPr>
        <w:t> </w:t>
      </w:r>
      <w:r>
        <w:rPr/>
        <w:t>requires</w:t>
      </w:r>
      <w:r>
        <w:rPr>
          <w:spacing w:val="-4"/>
        </w:rPr>
        <w:t> </w:t>
      </w:r>
      <w:r>
        <w:rPr/>
        <w:t>concurrent glutamate</w:t>
      </w:r>
      <w:r>
        <w:rPr>
          <w:spacing w:val="-3"/>
        </w:rPr>
        <w:t> </w:t>
      </w:r>
      <w:r>
        <w:rPr/>
        <w:t>binding</w:t>
      </w:r>
      <w:r>
        <w:rPr>
          <w:spacing w:val="-2"/>
        </w:rPr>
        <w:t> </w:t>
      </w:r>
      <w:r>
        <w:rPr/>
        <w:t>and membrane</w:t>
      </w:r>
      <w:r>
        <w:rPr>
          <w:spacing w:val="-3"/>
        </w:rPr>
        <w:t> </w:t>
      </w:r>
      <w:r>
        <w:rPr/>
        <w:t>depolarization</w:t>
      </w:r>
      <w:r>
        <w:rPr>
          <w:spacing w:val="-2"/>
        </w:rPr>
        <w:t> </w:t>
      </w:r>
      <w:r>
        <w:rPr/>
        <w:t>and</w:t>
      </w:r>
      <w:r>
        <w:rPr>
          <w:spacing w:val="-2"/>
        </w:rPr>
        <w:t> </w:t>
      </w:r>
      <w:r>
        <w:rPr/>
        <w:t>results in slower and longer-lasting excitation. NMDA-receptor channels are highly permeable to Ca</w:t>
      </w:r>
      <w:r>
        <w:rPr>
          <w:vertAlign w:val="superscript"/>
        </w:rPr>
        <w:t>2+</w:t>
      </w:r>
      <w:r>
        <w:rPr>
          <w:vertAlign w:val="baseline"/>
        </w:rPr>
        <w:t>; in addition to Na</w:t>
      </w:r>
      <w:r>
        <w:rPr>
          <w:vertAlign w:val="superscript"/>
        </w:rPr>
        <w:t>+</w:t>
      </w:r>
      <w:r>
        <w:rPr>
          <w:vertAlign w:val="baseline"/>
        </w:rPr>
        <w:t> and K</w:t>
      </w:r>
      <w:r>
        <w:rPr>
          <w:vertAlign w:val="superscript"/>
        </w:rPr>
        <w:t>+</w:t>
      </w:r>
      <w:r>
        <w:rPr>
          <w:spacing w:val="-9"/>
          <w:vertAlign w:val="baseline"/>
        </w:rPr>
        <w:t> </w:t>
      </w:r>
      <w:r>
        <w:rPr>
          <w:vertAlign w:val="baseline"/>
        </w:rPr>
        <w:t>(Aamodi and Constantine-paton, 1999).</w:t>
      </w:r>
    </w:p>
    <w:p>
      <w:pPr>
        <w:pStyle w:val="BodyText"/>
      </w:pPr>
    </w:p>
    <w:p>
      <w:pPr>
        <w:pStyle w:val="BodyText"/>
        <w:spacing w:before="1"/>
      </w:pPr>
    </w:p>
    <w:p>
      <w:pPr>
        <w:pStyle w:val="ListParagraph"/>
        <w:numPr>
          <w:ilvl w:val="2"/>
          <w:numId w:val="11"/>
        </w:numPr>
        <w:tabs>
          <w:tab w:pos="1222" w:val="left" w:leader="none"/>
        </w:tabs>
        <w:spacing w:line="240" w:lineRule="auto" w:before="0" w:after="0"/>
        <w:ind w:left="1222" w:right="0" w:hanging="541"/>
        <w:jc w:val="both"/>
        <w:rPr>
          <w:i/>
          <w:sz w:val="24"/>
        </w:rPr>
      </w:pPr>
      <w:r>
        <w:rPr>
          <w:i/>
          <w:sz w:val="24"/>
        </w:rPr>
        <w:t>.2</w:t>
      </w:r>
      <w:r>
        <w:rPr>
          <w:i/>
          <w:spacing w:val="-4"/>
          <w:sz w:val="24"/>
        </w:rPr>
        <w:t> </w:t>
      </w:r>
      <w:r>
        <w:rPr>
          <w:i/>
          <w:sz w:val="24"/>
        </w:rPr>
        <w:t>Metabotropic</w:t>
      </w:r>
      <w:r>
        <w:rPr>
          <w:i/>
          <w:spacing w:val="1"/>
          <w:sz w:val="24"/>
        </w:rPr>
        <w:t> </w:t>
      </w:r>
      <w:r>
        <w:rPr>
          <w:i/>
          <w:sz w:val="24"/>
        </w:rPr>
        <w:t>glutamate</w:t>
      </w:r>
      <w:r>
        <w:rPr>
          <w:i/>
          <w:spacing w:val="1"/>
          <w:sz w:val="24"/>
        </w:rPr>
        <w:t> </w:t>
      </w:r>
      <w:r>
        <w:rPr>
          <w:i/>
          <w:spacing w:val="-2"/>
          <w:sz w:val="24"/>
        </w:rPr>
        <w:t>receptors</w:t>
      </w:r>
    </w:p>
    <w:p>
      <w:pPr>
        <w:pStyle w:val="BodyText"/>
        <w:rPr>
          <w:i/>
        </w:rPr>
      </w:pPr>
    </w:p>
    <w:p>
      <w:pPr>
        <w:pStyle w:val="BodyText"/>
        <w:spacing w:line="480" w:lineRule="auto"/>
        <w:ind w:left="681" w:right="271"/>
        <w:jc w:val="both"/>
      </w:pPr>
      <w:r>
        <w:rPr/>
        <w:t>There are at least eight cloned metabotropic glutamate receptors: mGluR1, mGluR2, mGluR3, mGluR4, mGluR5, mGluR6, mGluR7 and mGluR8 (Conn and Pin, 1997). These have been classified into three groups based on sequence homology, coupling to second-messenger systems and pharmacological sensitivities. Group 1 receptors are coupled to phosphoinositide (PI) hydrolysis that leads to Ca</w:t>
      </w:r>
      <w:r>
        <w:rPr>
          <w:vertAlign w:val="superscript"/>
        </w:rPr>
        <w:t>2+</w:t>
      </w:r>
      <w:r>
        <w:rPr>
          <w:vertAlign w:val="baseline"/>
        </w:rPr>
        <w:t> mobilization from intracellular stores, whereas Groups 2 and 3 receptors are negatively coupled to adenylyl cyclase</w:t>
      </w:r>
      <w:r>
        <w:rPr>
          <w:spacing w:val="23"/>
          <w:vertAlign w:val="baseline"/>
        </w:rPr>
        <w:t> </w:t>
      </w:r>
      <w:r>
        <w:rPr>
          <w:vertAlign w:val="baseline"/>
        </w:rPr>
        <w:t>(AC)</w:t>
      </w:r>
      <w:r>
        <w:rPr>
          <w:spacing w:val="25"/>
          <w:vertAlign w:val="baseline"/>
        </w:rPr>
        <w:t> </w:t>
      </w:r>
      <w:r>
        <w:rPr>
          <w:vertAlign w:val="baseline"/>
        </w:rPr>
        <w:t>activity.</w:t>
      </w:r>
      <w:r>
        <w:rPr>
          <w:spacing w:val="30"/>
          <w:vertAlign w:val="baseline"/>
        </w:rPr>
        <w:t> </w:t>
      </w:r>
      <w:r>
        <w:rPr>
          <w:vertAlign w:val="baseline"/>
        </w:rPr>
        <w:t>Although the</w:t>
      </w:r>
      <w:r>
        <w:rPr>
          <w:spacing w:val="23"/>
          <w:vertAlign w:val="baseline"/>
        </w:rPr>
        <w:t> </w:t>
      </w:r>
      <w:r>
        <w:rPr>
          <w:vertAlign w:val="baseline"/>
        </w:rPr>
        <w:t>consequences</w:t>
      </w:r>
      <w:r>
        <w:rPr>
          <w:spacing w:val="22"/>
          <w:vertAlign w:val="baseline"/>
        </w:rPr>
        <w:t> </w:t>
      </w:r>
      <w:r>
        <w:rPr>
          <w:vertAlign w:val="baseline"/>
        </w:rPr>
        <w:t>of</w:t>
      </w:r>
      <w:r>
        <w:rPr>
          <w:spacing w:val="21"/>
          <w:vertAlign w:val="baseline"/>
        </w:rPr>
        <w:t> </w:t>
      </w:r>
      <w:r>
        <w:rPr>
          <w:vertAlign w:val="baseline"/>
        </w:rPr>
        <w:t>mGluR</w:t>
      </w:r>
      <w:r>
        <w:rPr>
          <w:spacing w:val="22"/>
          <w:vertAlign w:val="baseline"/>
        </w:rPr>
        <w:t> </w:t>
      </w:r>
      <w:r>
        <w:rPr>
          <w:vertAlign w:val="baseline"/>
        </w:rPr>
        <w:t>activation</w:t>
      </w:r>
      <w:r>
        <w:rPr>
          <w:spacing w:val="24"/>
          <w:vertAlign w:val="baseline"/>
        </w:rPr>
        <w:t> </w:t>
      </w:r>
      <w:r>
        <w:rPr>
          <w:vertAlign w:val="baseline"/>
        </w:rPr>
        <w:t>vary depending</w:t>
      </w:r>
    </w:p>
    <w:p>
      <w:pPr>
        <w:spacing w:after="0" w:line="480" w:lineRule="auto"/>
        <w:jc w:val="both"/>
        <w:sectPr>
          <w:pgSz w:w="12240" w:h="15840"/>
          <w:pgMar w:header="0" w:footer="1066" w:top="1360" w:bottom="1260" w:left="1480" w:right="1160"/>
        </w:sectPr>
      </w:pPr>
    </w:p>
    <w:p>
      <w:pPr>
        <w:pStyle w:val="BodyText"/>
        <w:spacing w:line="480" w:lineRule="auto" w:before="72"/>
        <w:ind w:left="681" w:right="272"/>
        <w:jc w:val="both"/>
      </w:pPr>
      <w:r>
        <w:rPr/>
        <w:t>on receptor type, neuronal type, or brain region, some general principles regarding the effects of mGluR activation in relation to seizures have emerged (Wong,</w:t>
      </w:r>
      <w:r>
        <w:rPr>
          <w:spacing w:val="39"/>
        </w:rPr>
        <w:t> </w:t>
      </w:r>
      <w:r>
        <w:rPr>
          <w:i/>
        </w:rPr>
        <w:t>et al</w:t>
      </w:r>
      <w:r>
        <w:rPr/>
        <w:t>., 1999). For instance, postsynaptic group 1 mGluR activation causes an increase in the intrinsic excitability of principal neurons (particularly in hippocampal CA1 and CA3 subfields), mainly by down modulation of voltage-gated potassium channels (Gerber and Gahwiler, 1994), and therefore, activation of PI-coupled mGluRs is likely to promote seizure activity. Conversely, presynaptic Groups 2 and 3 receptor activation tends to depress excitatory synaptic transmission by inhibiting glutamate release (Glaum and Miller, 1994), and therefore, activation of AC-coupled mGluRs is likely to inhibit seizure </w:t>
      </w:r>
      <w:r>
        <w:rPr>
          <w:spacing w:val="-2"/>
        </w:rPr>
        <w:t>activity.</w:t>
      </w:r>
    </w:p>
    <w:p>
      <w:pPr>
        <w:pStyle w:val="BodyText"/>
      </w:pPr>
    </w:p>
    <w:p>
      <w:pPr>
        <w:pStyle w:val="BodyText"/>
        <w:spacing w:before="7"/>
      </w:pPr>
    </w:p>
    <w:p>
      <w:pPr>
        <w:pStyle w:val="Heading2"/>
        <w:numPr>
          <w:ilvl w:val="1"/>
          <w:numId w:val="10"/>
        </w:numPr>
        <w:tabs>
          <w:tab w:pos="1165" w:val="left" w:leader="none"/>
        </w:tabs>
        <w:spacing w:line="240" w:lineRule="auto" w:before="0" w:after="0"/>
        <w:ind w:left="1165" w:right="0" w:hanging="484"/>
        <w:jc w:val="both"/>
      </w:pPr>
      <w:bookmarkStart w:name="_TOC_250056" w:id="28"/>
      <w:r>
        <w:rPr/>
        <w:t>Neuromodulators</w:t>
      </w:r>
      <w:r>
        <w:rPr>
          <w:spacing w:val="-7"/>
        </w:rPr>
        <w:t> </w:t>
      </w:r>
      <w:r>
        <w:rPr/>
        <w:t>(neuropeptide</w:t>
      </w:r>
      <w:r>
        <w:rPr>
          <w:spacing w:val="-3"/>
        </w:rPr>
        <w:t> </w:t>
      </w:r>
      <w:r>
        <w:rPr/>
        <w:t>Y</w:t>
      </w:r>
      <w:r>
        <w:rPr>
          <w:spacing w:val="-4"/>
        </w:rPr>
        <w:t> </w:t>
      </w:r>
      <w:r>
        <w:rPr/>
        <w:t>and</w:t>
      </w:r>
      <w:r>
        <w:rPr>
          <w:spacing w:val="-6"/>
        </w:rPr>
        <w:t> </w:t>
      </w:r>
      <w:r>
        <w:rPr/>
        <w:t>corticotropin-releasing</w:t>
      </w:r>
      <w:bookmarkEnd w:id="28"/>
      <w:r>
        <w:rPr>
          <w:spacing w:val="-2"/>
        </w:rPr>
        <w:t> hormone)</w:t>
      </w:r>
    </w:p>
    <w:p>
      <w:pPr>
        <w:pStyle w:val="BodyText"/>
        <w:rPr>
          <w:b/>
        </w:rPr>
      </w:pPr>
    </w:p>
    <w:p>
      <w:pPr>
        <w:pStyle w:val="Heading2"/>
        <w:numPr>
          <w:ilvl w:val="2"/>
          <w:numId w:val="10"/>
        </w:numPr>
        <w:tabs>
          <w:tab w:pos="1524" w:val="left" w:leader="none"/>
        </w:tabs>
        <w:spacing w:line="240" w:lineRule="auto" w:before="0" w:after="0"/>
        <w:ind w:left="1524" w:right="0" w:hanging="843"/>
        <w:jc w:val="both"/>
      </w:pPr>
      <w:bookmarkStart w:name="_TOC_250055" w:id="29"/>
      <w:r>
        <w:rPr/>
        <w:t>Neuropeptide</w:t>
      </w:r>
      <w:r>
        <w:rPr>
          <w:spacing w:val="-5"/>
        </w:rPr>
        <w:t> </w:t>
      </w:r>
      <w:r>
        <w:rPr/>
        <w:t>Y</w:t>
      </w:r>
      <w:r>
        <w:rPr>
          <w:spacing w:val="-6"/>
        </w:rPr>
        <w:t> </w:t>
      </w:r>
      <w:bookmarkEnd w:id="29"/>
      <w:r>
        <w:rPr>
          <w:spacing w:val="-4"/>
        </w:rPr>
        <w:t>(NPY)</w:t>
      </w:r>
    </w:p>
    <w:p>
      <w:pPr>
        <w:pStyle w:val="BodyText"/>
        <w:spacing w:line="480" w:lineRule="auto" w:before="272"/>
        <w:ind w:left="681" w:right="282"/>
        <w:jc w:val="both"/>
      </w:pPr>
      <w:r>
        <w:rPr/>
        <w:t>This is a neuromodulatory substance that appears to be of central importance in the regulation of neuronal excitability, particularly tuning interneuron discharge propensity (Baraban and Tallent, 2004). NPY is able to decrease synaptic transmission by reducing presynaptic calcium influx and can suppress epileptiform activity via Y2 receptor activation (Avoli-massimo, 2005). According to Tu, </w:t>
      </w:r>
      <w:r>
        <w:rPr>
          <w:i/>
        </w:rPr>
        <w:t>et al</w:t>
      </w:r>
      <w:r>
        <w:rPr/>
        <w:t>., (2005), tonically released, endogenous NPY may decrease excitability in recurrent mossy fibre projections in a limbic epilepsy model.</w:t>
      </w:r>
    </w:p>
    <w:p>
      <w:pPr>
        <w:spacing w:after="0" w:line="480" w:lineRule="auto"/>
        <w:jc w:val="both"/>
        <w:sectPr>
          <w:pgSz w:w="12240" w:h="15840"/>
          <w:pgMar w:header="0" w:footer="1066" w:top="1360" w:bottom="1260" w:left="1480" w:right="1160"/>
        </w:sectPr>
      </w:pPr>
    </w:p>
    <w:p>
      <w:pPr>
        <w:pStyle w:val="Heading2"/>
        <w:numPr>
          <w:ilvl w:val="2"/>
          <w:numId w:val="10"/>
        </w:numPr>
        <w:tabs>
          <w:tab w:pos="1342" w:val="left" w:leader="none"/>
        </w:tabs>
        <w:spacing w:line="240" w:lineRule="auto" w:before="77" w:after="0"/>
        <w:ind w:left="1342" w:right="0" w:hanging="661"/>
        <w:jc w:val="both"/>
      </w:pPr>
      <w:bookmarkStart w:name="_TOC_250054" w:id="30"/>
      <w:r>
        <w:rPr/>
        <w:t>Neuropeptide</w:t>
      </w:r>
      <w:r>
        <w:rPr>
          <w:spacing w:val="-7"/>
        </w:rPr>
        <w:t> </w:t>
      </w:r>
      <w:r>
        <w:rPr/>
        <w:t>corticotrophin-releasing</w:t>
      </w:r>
      <w:r>
        <w:rPr>
          <w:spacing w:val="-6"/>
        </w:rPr>
        <w:t> </w:t>
      </w:r>
      <w:r>
        <w:rPr/>
        <w:t>hormone</w:t>
      </w:r>
      <w:r>
        <w:rPr>
          <w:spacing w:val="-6"/>
        </w:rPr>
        <w:t> </w:t>
      </w:r>
      <w:bookmarkEnd w:id="30"/>
      <w:r>
        <w:rPr>
          <w:spacing w:val="-2"/>
        </w:rPr>
        <w:t>(CRH)</w:t>
      </w:r>
    </w:p>
    <w:p>
      <w:pPr>
        <w:pStyle w:val="BodyText"/>
        <w:spacing w:line="480" w:lineRule="auto" w:before="271"/>
        <w:ind w:left="681" w:right="287"/>
        <w:jc w:val="both"/>
      </w:pPr>
      <w:r>
        <w:rPr/>
        <w:t>The</w:t>
      </w:r>
      <w:r>
        <w:rPr>
          <w:spacing w:val="-4"/>
        </w:rPr>
        <w:t> </w:t>
      </w:r>
      <w:r>
        <w:rPr/>
        <w:t>excitatory</w:t>
      </w:r>
      <w:r>
        <w:rPr>
          <w:spacing w:val="-8"/>
        </w:rPr>
        <w:t> </w:t>
      </w:r>
      <w:r>
        <w:rPr/>
        <w:t>neuropeptide</w:t>
      </w:r>
      <w:r>
        <w:rPr>
          <w:spacing w:val="-4"/>
        </w:rPr>
        <w:t> </w:t>
      </w:r>
      <w:r>
        <w:rPr/>
        <w:t>CRH, is</w:t>
      </w:r>
      <w:r>
        <w:rPr>
          <w:spacing w:val="-5"/>
        </w:rPr>
        <w:t> </w:t>
      </w:r>
      <w:r>
        <w:rPr/>
        <w:t>the most potent epileptogenic</w:t>
      </w:r>
      <w:r>
        <w:rPr>
          <w:spacing w:val="-4"/>
        </w:rPr>
        <w:t> </w:t>
      </w:r>
      <w:r>
        <w:rPr/>
        <w:t>peptide,</w:t>
      </w:r>
      <w:r>
        <w:rPr>
          <w:spacing w:val="-1"/>
        </w:rPr>
        <w:t> </w:t>
      </w:r>
      <w:r>
        <w:rPr/>
        <w:t>and may</w:t>
      </w:r>
      <w:r>
        <w:rPr>
          <w:spacing w:val="-8"/>
        </w:rPr>
        <w:t> </w:t>
      </w:r>
      <w:r>
        <w:rPr/>
        <w:t>play a critical role in the triggering of seizures (Wasterlin and Mazarati, 1997).</w:t>
      </w:r>
    </w:p>
    <w:p>
      <w:pPr>
        <w:pStyle w:val="BodyText"/>
      </w:pPr>
    </w:p>
    <w:p>
      <w:pPr>
        <w:pStyle w:val="BodyText"/>
        <w:spacing w:before="5"/>
      </w:pPr>
    </w:p>
    <w:p>
      <w:pPr>
        <w:pStyle w:val="Heading2"/>
        <w:numPr>
          <w:ilvl w:val="1"/>
          <w:numId w:val="10"/>
        </w:numPr>
        <w:tabs>
          <w:tab w:pos="1165" w:val="left" w:leader="none"/>
        </w:tabs>
        <w:spacing w:line="240" w:lineRule="auto" w:before="1" w:after="0"/>
        <w:ind w:left="1165" w:right="0" w:hanging="484"/>
        <w:jc w:val="both"/>
      </w:pPr>
      <w:bookmarkStart w:name="_TOC_250053" w:id="31"/>
      <w:r>
        <w:rPr/>
        <w:t>Other</w:t>
      </w:r>
      <w:r>
        <w:rPr>
          <w:spacing w:val="-8"/>
        </w:rPr>
        <w:t> </w:t>
      </w:r>
      <w:bookmarkEnd w:id="31"/>
      <w:r>
        <w:rPr>
          <w:spacing w:val="-2"/>
        </w:rPr>
        <w:t>Modulators</w:t>
      </w:r>
    </w:p>
    <w:p>
      <w:pPr>
        <w:pStyle w:val="BodyText"/>
        <w:rPr>
          <w:b/>
        </w:rPr>
      </w:pPr>
    </w:p>
    <w:p>
      <w:pPr>
        <w:pStyle w:val="Heading2"/>
        <w:numPr>
          <w:ilvl w:val="2"/>
          <w:numId w:val="10"/>
        </w:numPr>
        <w:tabs>
          <w:tab w:pos="1342" w:val="left" w:leader="none"/>
        </w:tabs>
        <w:spacing w:line="240" w:lineRule="auto" w:before="0" w:after="0"/>
        <w:ind w:left="1342" w:right="0" w:hanging="661"/>
        <w:jc w:val="both"/>
      </w:pPr>
      <w:bookmarkStart w:name="_TOC_250052" w:id="32"/>
      <w:r>
        <w:rPr/>
        <w:t>GABA</w:t>
      </w:r>
      <w:bookmarkEnd w:id="32"/>
      <w:r>
        <w:rPr>
          <w:spacing w:val="-2"/>
        </w:rPr>
        <w:t> transporters</w:t>
      </w:r>
    </w:p>
    <w:p>
      <w:pPr>
        <w:pStyle w:val="BodyText"/>
        <w:spacing w:line="480" w:lineRule="auto" w:before="271"/>
        <w:ind w:left="681" w:right="279"/>
        <w:jc w:val="both"/>
      </w:pPr>
      <w:r>
        <w:rPr/>
        <w:t>GABA transporters may be altered in epilepsy as seen in human epileptogenic tissue</w:t>
      </w:r>
      <w:r>
        <w:rPr>
          <w:spacing w:val="40"/>
        </w:rPr>
        <w:t> </w:t>
      </w:r>
      <w:r>
        <w:rPr/>
        <w:t>from</w:t>
      </w:r>
      <w:r>
        <w:rPr>
          <w:spacing w:val="-2"/>
        </w:rPr>
        <w:t> </w:t>
      </w:r>
      <w:r>
        <w:rPr/>
        <w:t>mesial</w:t>
      </w:r>
      <w:r>
        <w:rPr>
          <w:spacing w:val="-7"/>
        </w:rPr>
        <w:t> </w:t>
      </w:r>
      <w:r>
        <w:rPr/>
        <w:t>temporal</w:t>
      </w:r>
      <w:r>
        <w:rPr>
          <w:spacing w:val="-3"/>
        </w:rPr>
        <w:t> </w:t>
      </w:r>
      <w:r>
        <w:rPr/>
        <w:t>lobe epilepsy</w:t>
      </w:r>
      <w:r>
        <w:rPr>
          <w:spacing w:val="-3"/>
        </w:rPr>
        <w:t> </w:t>
      </w:r>
      <w:r>
        <w:rPr/>
        <w:t>(MTLE),</w:t>
      </w:r>
      <w:r>
        <w:rPr>
          <w:spacing w:val="-1"/>
        </w:rPr>
        <w:t> </w:t>
      </w:r>
      <w:r>
        <w:rPr/>
        <w:t>the research</w:t>
      </w:r>
      <w:r>
        <w:rPr>
          <w:spacing w:val="-3"/>
        </w:rPr>
        <w:t> </w:t>
      </w:r>
      <w:r>
        <w:rPr/>
        <w:t>reveals the presence of</w:t>
      </w:r>
      <w:r>
        <w:rPr>
          <w:spacing w:val="-6"/>
        </w:rPr>
        <w:t> </w:t>
      </w:r>
      <w:r>
        <w:rPr/>
        <w:t>reduced level of GABA transporters. The K</w:t>
      </w:r>
      <w:r>
        <w:rPr>
          <w:vertAlign w:val="superscript"/>
        </w:rPr>
        <w:t>+</w:t>
      </w:r>
      <w:r>
        <w:rPr>
          <w:vertAlign w:val="baseline"/>
        </w:rPr>
        <w:t> stimulated release of GABA is increased and glutamate induced Ca</w:t>
      </w:r>
      <w:r>
        <w:rPr>
          <w:vertAlign w:val="superscript"/>
        </w:rPr>
        <w:t>2+</w:t>
      </w:r>
      <w:r>
        <w:rPr>
          <w:vertAlign w:val="baseline"/>
        </w:rPr>
        <w:t> independent release of GABA is decreased in the epileptogenic hippocampus (Avoli, </w:t>
      </w:r>
      <w:r>
        <w:rPr>
          <w:i/>
          <w:vertAlign w:val="baseline"/>
        </w:rPr>
        <w:t>et al</w:t>
      </w:r>
      <w:r>
        <w:rPr>
          <w:vertAlign w:val="baseline"/>
        </w:rPr>
        <w:t>., 2005).</w:t>
      </w:r>
    </w:p>
    <w:p>
      <w:pPr>
        <w:pStyle w:val="BodyText"/>
      </w:pPr>
    </w:p>
    <w:p>
      <w:pPr>
        <w:pStyle w:val="BodyText"/>
        <w:spacing w:before="6"/>
      </w:pPr>
    </w:p>
    <w:p>
      <w:pPr>
        <w:pStyle w:val="Heading2"/>
        <w:numPr>
          <w:ilvl w:val="2"/>
          <w:numId w:val="10"/>
        </w:numPr>
        <w:tabs>
          <w:tab w:pos="1342" w:val="left" w:leader="none"/>
        </w:tabs>
        <w:spacing w:line="240" w:lineRule="auto" w:before="0" w:after="0"/>
        <w:ind w:left="1342" w:right="0" w:hanging="661"/>
        <w:jc w:val="both"/>
      </w:pPr>
      <w:bookmarkStart w:name="_TOC_250051" w:id="33"/>
      <w:r>
        <w:rPr/>
        <w:t>Gene</w:t>
      </w:r>
      <w:r>
        <w:rPr>
          <w:spacing w:val="-7"/>
        </w:rPr>
        <w:t> </w:t>
      </w:r>
      <w:r>
        <w:rPr/>
        <w:t>expression</w:t>
      </w:r>
      <w:r>
        <w:rPr>
          <w:spacing w:val="-4"/>
        </w:rPr>
        <w:t> </w:t>
      </w:r>
      <w:bookmarkEnd w:id="33"/>
      <w:r>
        <w:rPr>
          <w:spacing w:val="-2"/>
        </w:rPr>
        <w:t>patterns</w:t>
      </w:r>
    </w:p>
    <w:p>
      <w:pPr>
        <w:pStyle w:val="BodyText"/>
        <w:spacing w:line="480" w:lineRule="auto" w:before="272"/>
        <w:ind w:left="681" w:right="272"/>
        <w:jc w:val="both"/>
      </w:pPr>
      <w:r>
        <w:rPr/>
        <w:t>Widespread changes of gene expression patterns do occur in human epileptic hippocampus, some of which overlap with changes found in pilocarpine-induced chronic MTLE condition. These include protein involved in, cell-matrix interactions, cell growth and differentiation, transcriptional</w:t>
      </w:r>
      <w:r>
        <w:rPr>
          <w:spacing w:val="-5"/>
        </w:rPr>
        <w:t> </w:t>
      </w:r>
      <w:r>
        <w:rPr/>
        <w:t>regulation</w:t>
      </w:r>
      <w:r>
        <w:rPr>
          <w:spacing w:val="-5"/>
        </w:rPr>
        <w:t> </w:t>
      </w:r>
      <w:r>
        <w:rPr/>
        <w:t>and cellular signaling (Becker, </w:t>
      </w:r>
      <w:r>
        <w:rPr>
          <w:i/>
        </w:rPr>
        <w:t>et al</w:t>
      </w:r>
      <w:r>
        <w:rPr/>
        <w:t>.,</w:t>
      </w:r>
      <w:r>
        <w:rPr>
          <w:spacing w:val="-3"/>
        </w:rPr>
        <w:t> </w:t>
      </w:r>
      <w:r>
        <w:rPr/>
        <w:t>2003).</w:t>
      </w:r>
    </w:p>
    <w:p>
      <w:pPr>
        <w:pStyle w:val="BodyText"/>
      </w:pPr>
    </w:p>
    <w:p>
      <w:pPr>
        <w:pStyle w:val="BodyText"/>
        <w:spacing w:before="5"/>
      </w:pPr>
    </w:p>
    <w:p>
      <w:pPr>
        <w:pStyle w:val="Heading2"/>
        <w:numPr>
          <w:ilvl w:val="2"/>
          <w:numId w:val="10"/>
        </w:numPr>
        <w:tabs>
          <w:tab w:pos="1342" w:val="left" w:leader="none"/>
        </w:tabs>
        <w:spacing w:line="240" w:lineRule="auto" w:before="1" w:after="0"/>
        <w:ind w:left="1342" w:right="0" w:hanging="661"/>
        <w:jc w:val="both"/>
      </w:pPr>
      <w:bookmarkStart w:name="_TOC_250050" w:id="34"/>
      <w:r>
        <w:rPr/>
        <w:t>Gap</w:t>
      </w:r>
      <w:bookmarkEnd w:id="34"/>
      <w:r>
        <w:rPr>
          <w:spacing w:val="-2"/>
        </w:rPr>
        <w:t> junction</w:t>
      </w:r>
    </w:p>
    <w:p>
      <w:pPr>
        <w:pStyle w:val="BodyText"/>
        <w:spacing w:line="480" w:lineRule="auto" w:before="271"/>
        <w:ind w:left="681" w:right="282"/>
        <w:jc w:val="both"/>
      </w:pPr>
      <w:r>
        <w:rPr/>
        <w:t>Gap junctions play an important role in synchronizing neuronal networks under physiological and pathological conditions such as epileptic seizures (Nakese and Naus, 2004). They</w:t>
      </w:r>
      <w:r>
        <w:rPr>
          <w:spacing w:val="-6"/>
        </w:rPr>
        <w:t> </w:t>
      </w:r>
      <w:r>
        <w:rPr/>
        <w:t>allow flow</w:t>
      </w:r>
      <w:r>
        <w:rPr>
          <w:spacing w:val="-2"/>
        </w:rPr>
        <w:t> </w:t>
      </w:r>
      <w:r>
        <w:rPr/>
        <w:t>of</w:t>
      </w:r>
      <w:r>
        <w:rPr>
          <w:spacing w:val="-4"/>
        </w:rPr>
        <w:t> </w:t>
      </w:r>
      <w:r>
        <w:rPr/>
        <w:t>electrical</w:t>
      </w:r>
      <w:r>
        <w:rPr>
          <w:spacing w:val="-6"/>
        </w:rPr>
        <w:t> </w:t>
      </w:r>
      <w:r>
        <w:rPr/>
        <w:t>signals and small molecules including</w:t>
      </w:r>
      <w:r>
        <w:rPr>
          <w:spacing w:val="-1"/>
        </w:rPr>
        <w:t> </w:t>
      </w:r>
      <w:r>
        <w:rPr/>
        <w:t>dyes, between cells,</w:t>
      </w:r>
      <w:r>
        <w:rPr>
          <w:spacing w:val="19"/>
        </w:rPr>
        <w:t> </w:t>
      </w:r>
      <w:r>
        <w:rPr/>
        <w:t>thus</w:t>
      </w:r>
      <w:r>
        <w:rPr>
          <w:spacing w:val="17"/>
        </w:rPr>
        <w:t> </w:t>
      </w:r>
      <w:r>
        <w:rPr/>
        <w:t>promoting</w:t>
      </w:r>
      <w:r>
        <w:rPr>
          <w:spacing w:val="24"/>
        </w:rPr>
        <w:t> </w:t>
      </w:r>
      <w:r>
        <w:rPr/>
        <w:t>neuronal</w:t>
      </w:r>
      <w:r>
        <w:rPr>
          <w:spacing w:val="15"/>
        </w:rPr>
        <w:t> </w:t>
      </w:r>
      <w:r>
        <w:rPr/>
        <w:t>synchrony.</w:t>
      </w:r>
      <w:r>
        <w:rPr>
          <w:spacing w:val="21"/>
        </w:rPr>
        <w:t> </w:t>
      </w:r>
      <w:r>
        <w:rPr/>
        <w:t>Procedures</w:t>
      </w:r>
      <w:r>
        <w:rPr>
          <w:spacing w:val="17"/>
        </w:rPr>
        <w:t> </w:t>
      </w:r>
      <w:r>
        <w:rPr/>
        <w:t>capable</w:t>
      </w:r>
      <w:r>
        <w:rPr>
          <w:spacing w:val="18"/>
        </w:rPr>
        <w:t> </w:t>
      </w:r>
      <w:r>
        <w:rPr/>
        <w:t>of</w:t>
      </w:r>
      <w:r>
        <w:rPr>
          <w:spacing w:val="11"/>
        </w:rPr>
        <w:t> </w:t>
      </w:r>
      <w:r>
        <w:rPr/>
        <w:t>enhancing</w:t>
      </w:r>
      <w:r>
        <w:rPr>
          <w:spacing w:val="19"/>
        </w:rPr>
        <w:t> </w:t>
      </w:r>
      <w:r>
        <w:rPr/>
        <w:t>or</w:t>
      </w:r>
      <w:r>
        <w:rPr>
          <w:spacing w:val="21"/>
        </w:rPr>
        <w:t> </w:t>
      </w:r>
      <w:r>
        <w:rPr>
          <w:spacing w:val="-2"/>
        </w:rPr>
        <w:t>blocking</w:t>
      </w:r>
    </w:p>
    <w:p>
      <w:pPr>
        <w:spacing w:after="0" w:line="480" w:lineRule="auto"/>
        <w:jc w:val="both"/>
        <w:sectPr>
          <w:pgSz w:w="12240" w:h="15840"/>
          <w:pgMar w:header="0" w:footer="1066" w:top="1360" w:bottom="1260" w:left="1480" w:right="1160"/>
        </w:sectPr>
      </w:pPr>
    </w:p>
    <w:p>
      <w:pPr>
        <w:pStyle w:val="BodyText"/>
        <w:spacing w:line="480" w:lineRule="auto" w:before="72"/>
        <w:ind w:left="681" w:right="288"/>
        <w:jc w:val="both"/>
      </w:pPr>
      <w:r>
        <w:rPr/>
        <w:t>the function of gap junction increase or decrease epileptiform synchronization, respectively (Carlen, </w:t>
      </w:r>
      <w:r>
        <w:rPr>
          <w:i/>
        </w:rPr>
        <w:t>et al</w:t>
      </w:r>
      <w:r>
        <w:rPr/>
        <w:t>., 2000). It is important to note that, the constituent of gap junctions are proteins called </w:t>
      </w:r>
      <w:r>
        <w:rPr>
          <w:i/>
        </w:rPr>
        <w:t>connexins </w:t>
      </w:r>
      <w:r>
        <w:rPr/>
        <w:t>(Hormuzdi, </w:t>
      </w:r>
      <w:r>
        <w:rPr>
          <w:i/>
        </w:rPr>
        <w:t>et al</w:t>
      </w:r>
      <w:r>
        <w:rPr/>
        <w:t>., 2004).</w:t>
      </w:r>
    </w:p>
    <w:p>
      <w:pPr>
        <w:pStyle w:val="BodyText"/>
      </w:pPr>
    </w:p>
    <w:p>
      <w:pPr>
        <w:pStyle w:val="BodyText"/>
        <w:spacing w:before="5"/>
      </w:pPr>
    </w:p>
    <w:p>
      <w:pPr>
        <w:pStyle w:val="Heading2"/>
        <w:numPr>
          <w:ilvl w:val="1"/>
          <w:numId w:val="10"/>
        </w:numPr>
        <w:tabs>
          <w:tab w:pos="1165" w:val="left" w:leader="none"/>
        </w:tabs>
        <w:spacing w:line="240" w:lineRule="auto" w:before="1" w:after="0"/>
        <w:ind w:left="1165" w:right="0" w:hanging="484"/>
        <w:jc w:val="both"/>
      </w:pPr>
      <w:bookmarkStart w:name="_TOC_250049" w:id="35"/>
      <w:r>
        <w:rPr/>
        <w:t>Structure</w:t>
      </w:r>
      <w:r>
        <w:rPr>
          <w:spacing w:val="-5"/>
        </w:rPr>
        <w:t> </w:t>
      </w:r>
      <w:r>
        <w:rPr/>
        <w:t>Activity</w:t>
      </w:r>
      <w:r>
        <w:rPr>
          <w:spacing w:val="-2"/>
        </w:rPr>
        <w:t> </w:t>
      </w:r>
      <w:r>
        <w:rPr/>
        <w:t>Relationship</w:t>
      </w:r>
      <w:r>
        <w:rPr>
          <w:spacing w:val="-1"/>
        </w:rPr>
        <w:t> </w:t>
      </w:r>
      <w:r>
        <w:rPr/>
        <w:t>of</w:t>
      </w:r>
      <w:r>
        <w:rPr>
          <w:spacing w:val="-5"/>
        </w:rPr>
        <w:t> </w:t>
      </w:r>
      <w:r>
        <w:rPr/>
        <w:t>Sodium</w:t>
      </w:r>
      <w:r>
        <w:rPr>
          <w:spacing w:val="-9"/>
        </w:rPr>
        <w:t> </w:t>
      </w:r>
      <w:r>
        <w:rPr/>
        <w:t>Channel</w:t>
      </w:r>
      <w:r>
        <w:rPr>
          <w:spacing w:val="-6"/>
        </w:rPr>
        <w:t> </w:t>
      </w:r>
      <w:bookmarkEnd w:id="35"/>
      <w:r>
        <w:rPr>
          <w:spacing w:val="-2"/>
        </w:rPr>
        <w:t>Blockers</w:t>
      </w:r>
    </w:p>
    <w:p>
      <w:pPr>
        <w:pStyle w:val="BodyText"/>
        <w:spacing w:line="480" w:lineRule="auto" w:before="271"/>
        <w:ind w:left="681" w:right="273"/>
        <w:jc w:val="both"/>
      </w:pPr>
      <w:r>
        <w:rPr/>
        <w:t>According to Tasso </w:t>
      </w:r>
      <w:r>
        <w:rPr>
          <w:i/>
        </w:rPr>
        <w:t>et al., </w:t>
      </w:r>
      <w:r>
        <w:rPr/>
        <w:t>(2001), there are two different approaches in the field of rational drug design that allow searching for new structures with improved biological activity, targeting not only an increase in the potency, but also the simultaneous decrease of adverse side effects. New structures can be modeled on the basis of knowledge of the characteristics of the receptor site, or by means of comparison of different ligands, selected from those that interact with the receptor. For the applicability of the latter approach, all the molecules should be assumed to bind to the same domain of a given</w:t>
      </w:r>
      <w:r>
        <w:rPr>
          <w:spacing w:val="40"/>
        </w:rPr>
        <w:t> </w:t>
      </w:r>
      <w:r>
        <w:rPr/>
        <w:t>type of receptor protein. Within this framework, the complexity of the study is partially determined by the flexibility of the molecules, which defines many energetically accessible conformations that can coexist in equilibrium. When designing from the</w:t>
      </w:r>
      <w:r>
        <w:rPr>
          <w:spacing w:val="40"/>
        </w:rPr>
        <w:t> </w:t>
      </w:r>
      <w:r>
        <w:rPr/>
        <w:t>ligand, the goal is to identify the geometric and electronic features that, being shared by all the molecules, are most likely involved in receptor recognition and activation. Under these conditions, a comparative analysis, which should include active and non-active compounds, leads to the identification of the minimal requirements associated with the pharmacophoric pattern for a manifested activity. For the majority of antiepileptic drugs (AED) that are presently in clinical use, the mechanism of action responsible of the</w:t>
      </w:r>
      <w:r>
        <w:rPr>
          <w:spacing w:val="80"/>
        </w:rPr>
        <w:t> </w:t>
      </w:r>
      <w:r>
        <w:rPr/>
        <w:t>whole biological</w:t>
      </w:r>
      <w:r>
        <w:rPr>
          <w:spacing w:val="-1"/>
        </w:rPr>
        <w:t> </w:t>
      </w:r>
      <w:r>
        <w:rPr/>
        <w:t>response remains unknown, mainly</w:t>
      </w:r>
      <w:r>
        <w:rPr>
          <w:spacing w:val="-1"/>
        </w:rPr>
        <w:t> </w:t>
      </w:r>
      <w:r>
        <w:rPr/>
        <w:t>due to</w:t>
      </w:r>
      <w:r>
        <w:rPr>
          <w:spacing w:val="-1"/>
        </w:rPr>
        <w:t> </w:t>
      </w:r>
      <w:r>
        <w:rPr/>
        <w:t>the fact that one receptor site can not be uniquely associated with a given action.</w:t>
      </w:r>
    </w:p>
    <w:p>
      <w:pPr>
        <w:spacing w:after="0" w:line="480" w:lineRule="auto"/>
        <w:jc w:val="both"/>
        <w:sectPr>
          <w:pgSz w:w="12240" w:h="15840"/>
          <w:pgMar w:header="0" w:footer="1066" w:top="1360" w:bottom="1260" w:left="1480" w:right="1160"/>
        </w:sectPr>
      </w:pPr>
    </w:p>
    <w:p>
      <w:pPr>
        <w:pStyle w:val="BodyText"/>
        <w:spacing w:line="480" w:lineRule="auto" w:before="72"/>
        <w:ind w:left="681" w:right="275"/>
        <w:jc w:val="both"/>
      </w:pPr>
      <w:r>
        <w:rPr/>
        <w:t>Anticonvulsant drugs typically have a tricyclic structure, with a polar amide in the</w:t>
      </w:r>
      <w:r>
        <w:rPr>
          <w:spacing w:val="40"/>
        </w:rPr>
        <w:t> </w:t>
      </w:r>
      <w:r>
        <w:rPr/>
        <w:t>middle. These molecules are wider and more rigid than local anesthetics. Although structurally different, anticonvulsant drugs interact with some of the same amino acid residues in the Na channel’s inner pore and have similar overall open/inactivated state affinity (Tarnawa </w:t>
      </w:r>
      <w:r>
        <w:rPr>
          <w:i/>
        </w:rPr>
        <w:t>et al</w:t>
      </w:r>
      <w:r>
        <w:rPr/>
        <w:t>., 2007).</w:t>
      </w:r>
    </w:p>
    <w:p>
      <w:pPr>
        <w:pStyle w:val="BodyText"/>
      </w:pPr>
    </w:p>
    <w:p>
      <w:pPr>
        <w:pStyle w:val="BodyText"/>
        <w:spacing w:before="1"/>
      </w:pPr>
    </w:p>
    <w:p>
      <w:pPr>
        <w:pStyle w:val="BodyText"/>
        <w:spacing w:line="480" w:lineRule="auto"/>
        <w:ind w:left="681" w:right="274"/>
        <w:jc w:val="both"/>
      </w:pPr>
      <w:r>
        <w:rPr/>
        <w:t>The anticonvulsant drugs with similar affinity are neutral and have different therapeutic effects. Neutral</w:t>
      </w:r>
      <w:r>
        <w:rPr>
          <w:spacing w:val="-6"/>
        </w:rPr>
        <w:t> </w:t>
      </w:r>
      <w:r>
        <w:rPr/>
        <w:t>anticonvulsant drugs also seem</w:t>
      </w:r>
      <w:r>
        <w:rPr>
          <w:spacing w:val="-6"/>
        </w:rPr>
        <w:t> </w:t>
      </w:r>
      <w:r>
        <w:rPr/>
        <w:t>to have rapid off-rates because they</w:t>
      </w:r>
      <w:r>
        <w:rPr>
          <w:spacing w:val="-1"/>
        </w:rPr>
        <w:t> </w:t>
      </w:r>
      <w:r>
        <w:rPr/>
        <w:t>show little frequency dependent block at moderate concentrations and allow normal neuronal firing rates in the presence of the drugs (Lipkind and Fozzard, 2010).</w:t>
      </w:r>
    </w:p>
    <w:p>
      <w:pPr>
        <w:pStyle w:val="BodyText"/>
      </w:pPr>
    </w:p>
    <w:p>
      <w:pPr>
        <w:pStyle w:val="BodyText"/>
        <w:spacing w:before="1"/>
      </w:pPr>
    </w:p>
    <w:p>
      <w:pPr>
        <w:pStyle w:val="BodyText"/>
        <w:spacing w:line="480" w:lineRule="auto" w:before="1"/>
        <w:ind w:left="681" w:right="270"/>
        <w:jc w:val="both"/>
      </w:pPr>
      <w:r>
        <w:rPr/>
        <w:t>In the closed state the four S6 helices at their C-ends form the so-called S6-crossing, producing an inner cavity of restricted size below the selectivity filter. Voluminous phenytoin practically fills this space in the closed channel, excluding water and making direct contacts with the walls of this cavity. Such low-affinity interactions would</w:t>
      </w:r>
      <w:r>
        <w:rPr>
          <w:spacing w:val="28"/>
        </w:rPr>
        <w:t> </w:t>
      </w:r>
      <w:r>
        <w:rPr/>
        <w:t>likely</w:t>
      </w:r>
      <w:r>
        <w:rPr>
          <w:spacing w:val="40"/>
        </w:rPr>
        <w:t> </w:t>
      </w:r>
      <w:r>
        <w:rPr/>
        <w:t>be only non bonded van der Waals interactions. In this case the interface between nonpolar surfaces of the drug and bulk water is lacking, and therefore the additional stabilizing effect of hydrophobic interactions is absent. This comparative analysis by binding of phenytoin in the open and closed states could explain why even neutral molecules of anticonvulsants show low affinities of binding in the rested state relative to the high affinity with the open/inactivated state of the Na channel (Lipkind and Fozzard, </w:t>
      </w:r>
      <w:r>
        <w:rPr>
          <w:spacing w:val="-2"/>
        </w:rPr>
        <w:t>2010).</w:t>
      </w:r>
    </w:p>
    <w:p>
      <w:pPr>
        <w:spacing w:after="0" w:line="480" w:lineRule="auto"/>
        <w:jc w:val="both"/>
        <w:sectPr>
          <w:pgSz w:w="12240" w:h="15840"/>
          <w:pgMar w:header="0" w:footer="1066" w:top="1360" w:bottom="1260" w:left="1480" w:right="1160"/>
        </w:sectPr>
      </w:pPr>
    </w:p>
    <w:p>
      <w:pPr>
        <w:pStyle w:val="BodyText"/>
        <w:spacing w:line="480" w:lineRule="auto" w:before="72"/>
        <w:ind w:left="681" w:right="279"/>
        <w:jc w:val="both"/>
      </w:pPr>
      <w:r>
        <w:rPr/>
        <w:t>Three typical anticonvulsant drugs, phenytoin, carbamazepine, and lamotrigine, share a common binding site in neuronal Na channels. Despite the differences in their chemical structure, it is likely that their mechanisms of block and pharmacological action seem to be similar (Lipkind and Fozzard, 2010).</w:t>
      </w:r>
    </w:p>
    <w:p>
      <w:pPr>
        <w:pStyle w:val="BodyText"/>
      </w:pPr>
    </w:p>
    <w:p>
      <w:pPr>
        <w:pStyle w:val="BodyText"/>
        <w:spacing w:before="1"/>
      </w:pPr>
    </w:p>
    <w:p>
      <w:pPr>
        <w:pStyle w:val="BodyText"/>
        <w:spacing w:line="480" w:lineRule="auto"/>
        <w:ind w:left="681" w:right="278"/>
        <w:jc w:val="both"/>
      </w:pPr>
      <w:r>
        <w:rPr/>
        <w:t>Sodium channel activity of several mono- and bicyclic phenytoin analogues was investigated and thus established that, a free imide group, and a specific aromatic orientation are optimal for high binding affinity to the sodium channel. Five well known and structurally different compounds with anticonvulsant activity, carbamazepine, phenytoin, lamotrigine, zonisamide and rufinamide; have at least one aryl ring (R), one electron donor atom (D), and a second donor atom in close proximity to the NH group forming a hydrogen bond acceptor/donor unit (HAD); in most cases this is an amide bond. Most compounds (with exception of phenytoin) are able to realize two alternative conformational orientations of the HAD unit, the one with the H acceptor functions, the other with the H donor function cannot point to the aryl ring because of missing flexibility. If this HAD unit should be essential for sodium channel-blocking activity,</w:t>
      </w:r>
      <w:r>
        <w:rPr>
          <w:spacing w:val="40"/>
        </w:rPr>
        <w:t> </w:t>
      </w:r>
      <w:r>
        <w:rPr/>
        <w:t>then the receptor site for this group seems to be rather flexible (Unverferth </w:t>
      </w:r>
      <w:r>
        <w:rPr>
          <w:i/>
        </w:rPr>
        <w:t>et al</w:t>
      </w:r>
      <w:r>
        <w:rPr/>
        <w:t>., 1998).</w:t>
      </w:r>
    </w:p>
    <w:p>
      <w:pPr>
        <w:pStyle w:val="BodyText"/>
      </w:pPr>
    </w:p>
    <w:p>
      <w:pPr>
        <w:pStyle w:val="BodyText"/>
        <w:spacing w:before="3"/>
      </w:pPr>
    </w:p>
    <w:p>
      <w:pPr>
        <w:pStyle w:val="BodyText"/>
        <w:spacing w:line="480" w:lineRule="auto"/>
        <w:ind w:left="681" w:right="276"/>
        <w:jc w:val="both"/>
      </w:pPr>
      <w:r>
        <w:rPr/>
        <w:t>Phenytoin (diphenylhydantoin) contains a hydantoin ring and two phenyl substitutions at C5 of the hydantoin, but the second aromatic ring is not obligatory. 5-alkyl-5-phenyl- hydantoins also have a comparable affinity for Na channels (Brown</w:t>
      </w:r>
      <w:r>
        <w:rPr>
          <w:spacing w:val="-1"/>
        </w:rPr>
        <w:t> </w:t>
      </w:r>
      <w:r>
        <w:rPr>
          <w:i/>
        </w:rPr>
        <w:t>et al., </w:t>
      </w:r>
      <w:r>
        <w:rPr/>
        <w:t>1999), with</w:t>
      </w:r>
      <w:r>
        <w:rPr>
          <w:spacing w:val="-1"/>
        </w:rPr>
        <w:t> </w:t>
      </w:r>
      <w:r>
        <w:rPr/>
        <w:t>an optimal length of the aliphatic chain corresponding to pentyl, hexyl, and heptyl. Most likely,</w:t>
      </w:r>
      <w:r>
        <w:rPr>
          <w:spacing w:val="3"/>
        </w:rPr>
        <w:t> </w:t>
      </w:r>
      <w:r>
        <w:rPr/>
        <w:t>this aliphatic</w:t>
      </w:r>
      <w:r>
        <w:rPr>
          <w:spacing w:val="3"/>
        </w:rPr>
        <w:t> </w:t>
      </w:r>
      <w:r>
        <w:rPr/>
        <w:t>chain</w:t>
      </w:r>
      <w:r>
        <w:rPr>
          <w:spacing w:val="-1"/>
        </w:rPr>
        <w:t> </w:t>
      </w:r>
      <w:r>
        <w:rPr/>
        <w:t>and</w:t>
      </w:r>
      <w:r>
        <w:rPr>
          <w:spacing w:val="2"/>
        </w:rPr>
        <w:t> </w:t>
      </w:r>
      <w:r>
        <w:rPr/>
        <w:t>the</w:t>
      </w:r>
      <w:r>
        <w:rPr>
          <w:spacing w:val="3"/>
        </w:rPr>
        <w:t> </w:t>
      </w:r>
      <w:r>
        <w:rPr/>
        <w:t>corresponding</w:t>
      </w:r>
      <w:r>
        <w:rPr>
          <w:spacing w:val="2"/>
        </w:rPr>
        <w:t> </w:t>
      </w:r>
      <w:r>
        <w:rPr/>
        <w:t>aromatic</w:t>
      </w:r>
      <w:r>
        <w:rPr>
          <w:spacing w:val="3"/>
        </w:rPr>
        <w:t> </w:t>
      </w:r>
      <w:r>
        <w:rPr/>
        <w:t>ring</w:t>
      </w:r>
      <w:r>
        <w:rPr>
          <w:spacing w:val="2"/>
        </w:rPr>
        <w:t> </w:t>
      </w:r>
      <w:r>
        <w:rPr/>
        <w:t>participate</w:t>
      </w:r>
      <w:r>
        <w:rPr>
          <w:spacing w:val="7"/>
        </w:rPr>
        <w:t> </w:t>
      </w:r>
      <w:r>
        <w:rPr/>
        <w:t>in</w:t>
      </w:r>
      <w:r>
        <w:rPr>
          <w:spacing w:val="2"/>
        </w:rPr>
        <w:t> </w:t>
      </w:r>
      <w:r>
        <w:rPr/>
        <w:t>less</w:t>
      </w:r>
      <w:r>
        <w:rPr>
          <w:spacing w:val="6"/>
        </w:rPr>
        <w:t> </w:t>
      </w:r>
      <w:r>
        <w:rPr>
          <w:spacing w:val="-2"/>
        </w:rPr>
        <w:t>specific</w:t>
      </w:r>
    </w:p>
    <w:p>
      <w:pPr>
        <w:spacing w:after="0" w:line="480" w:lineRule="auto"/>
        <w:jc w:val="both"/>
        <w:sectPr>
          <w:pgSz w:w="12240" w:h="15840"/>
          <w:pgMar w:header="0" w:footer="1066" w:top="1360" w:bottom="1260" w:left="1480" w:right="1160"/>
        </w:sectPr>
      </w:pPr>
    </w:p>
    <w:p>
      <w:pPr>
        <w:pStyle w:val="BodyText"/>
        <w:spacing w:line="480" w:lineRule="auto" w:before="72"/>
        <w:ind w:left="681" w:right="278"/>
        <w:jc w:val="both"/>
      </w:pPr>
      <w:r>
        <w:rPr/>
        <w:t>hydrophobic interactions, whereas the second aromatic ring has specific aromatic- aromatic interactions. Methyl (or alkyl) substitutions of the amide nitrogens of the hydantoin ring reduced binding significantly (Brown </w:t>
      </w:r>
      <w:r>
        <w:rPr>
          <w:i/>
        </w:rPr>
        <w:t>et al., </w:t>
      </w:r>
      <w:r>
        <w:rPr/>
        <w:t>1999), which underlines the importance of these hydrogens for binding. It has been proposed that one aromatic ring and one amide group of the hydantoin form the pharmacophore core of phenytoin (Unverferth </w:t>
      </w:r>
      <w:r>
        <w:rPr>
          <w:i/>
        </w:rPr>
        <w:t>et al., </w:t>
      </w:r>
      <w:r>
        <w:rPr/>
        <w:t>1998; Brown </w:t>
      </w:r>
      <w:r>
        <w:rPr>
          <w:i/>
        </w:rPr>
        <w:t>et al</w:t>
      </w:r>
      <w:r>
        <w:rPr/>
        <w:t>., 1999).</w:t>
      </w:r>
    </w:p>
    <w:p>
      <w:pPr>
        <w:pStyle w:val="BodyText"/>
      </w:pPr>
    </w:p>
    <w:p>
      <w:pPr>
        <w:pStyle w:val="BodyText"/>
        <w:spacing w:before="1"/>
      </w:pPr>
    </w:p>
    <w:p>
      <w:pPr>
        <w:pStyle w:val="BodyText"/>
        <w:spacing w:line="480" w:lineRule="auto"/>
        <w:ind w:left="681" w:right="272"/>
        <w:jc w:val="both"/>
      </w:pPr>
      <w:r>
        <w:rPr/>
        <w:t>Substitutions of the second aromatic ring of phenytoin by aliphatic hydrophobic chains produced derivatives with high affinity</w:t>
      </w:r>
      <w:r>
        <w:rPr>
          <w:spacing w:val="-1"/>
        </w:rPr>
        <w:t> </w:t>
      </w:r>
      <w:r>
        <w:rPr/>
        <w:t>of binding with</w:t>
      </w:r>
      <w:r>
        <w:rPr>
          <w:spacing w:val="-1"/>
        </w:rPr>
        <w:t> </w:t>
      </w:r>
      <w:r>
        <w:rPr/>
        <w:t>the Na</w:t>
      </w:r>
      <w:r>
        <w:rPr>
          <w:vertAlign w:val="superscript"/>
        </w:rPr>
        <w:t>+</w:t>
      </w:r>
      <w:r>
        <w:rPr>
          <w:vertAlign w:val="baseline"/>
        </w:rPr>
        <w:t> channel. Improvement of binding of the derivatives of phenytoin with increase in</w:t>
      </w:r>
      <w:r>
        <w:rPr>
          <w:spacing w:val="22"/>
          <w:vertAlign w:val="baseline"/>
        </w:rPr>
        <w:t> </w:t>
      </w:r>
      <w:r>
        <w:rPr>
          <w:vertAlign w:val="baseline"/>
        </w:rPr>
        <w:t>size of the 5-alkyl chains (from</w:t>
      </w:r>
      <w:r>
        <w:rPr>
          <w:spacing w:val="40"/>
          <w:vertAlign w:val="baseline"/>
        </w:rPr>
        <w:t> </w:t>
      </w:r>
      <w:r>
        <w:rPr>
          <w:i/>
          <w:vertAlign w:val="baseline"/>
        </w:rPr>
        <w:t>n</w:t>
      </w:r>
      <w:r>
        <w:rPr>
          <w:vertAlign w:val="baseline"/>
        </w:rPr>
        <w:t>-propyl to </w:t>
      </w:r>
      <w:r>
        <w:rPr>
          <w:i/>
          <w:vertAlign w:val="baseline"/>
        </w:rPr>
        <w:t>n</w:t>
      </w:r>
      <w:r>
        <w:rPr>
          <w:vertAlign w:val="baseline"/>
        </w:rPr>
        <w:t>-nonyl;) certainly reinforces the hydrophobic nature of their interactions</w:t>
      </w:r>
      <w:r>
        <w:rPr>
          <w:spacing w:val="40"/>
          <w:vertAlign w:val="baseline"/>
        </w:rPr>
        <w:t> </w:t>
      </w:r>
      <w:r>
        <w:rPr>
          <w:vertAlign w:val="baseline"/>
        </w:rPr>
        <w:t>with the inner pore in the open/inactivated state, where the wide opening fills the pore with bulky water (Brown </w:t>
      </w:r>
      <w:r>
        <w:rPr>
          <w:i/>
          <w:vertAlign w:val="baseline"/>
        </w:rPr>
        <w:t>et al., </w:t>
      </w:r>
      <w:r>
        <w:rPr>
          <w:vertAlign w:val="baseline"/>
        </w:rPr>
        <w:t>1999).</w:t>
      </w:r>
    </w:p>
    <w:p>
      <w:pPr>
        <w:pStyle w:val="BodyText"/>
      </w:pPr>
    </w:p>
    <w:p>
      <w:pPr>
        <w:pStyle w:val="BodyText"/>
        <w:spacing w:before="2"/>
      </w:pPr>
    </w:p>
    <w:p>
      <w:pPr>
        <w:pStyle w:val="BodyText"/>
        <w:spacing w:line="480" w:lineRule="auto"/>
        <w:ind w:left="681" w:right="277"/>
        <w:jc w:val="both"/>
      </w:pPr>
      <w:r>
        <w:rPr/>
        <w:t>4-amino moiety</w:t>
      </w:r>
      <w:r>
        <w:rPr>
          <w:spacing w:val="-11"/>
        </w:rPr>
        <w:t> </w:t>
      </w:r>
      <w:r>
        <w:rPr/>
        <w:t>played</w:t>
      </w:r>
      <w:r>
        <w:rPr>
          <w:spacing w:val="-2"/>
        </w:rPr>
        <w:t> </w:t>
      </w:r>
      <w:r>
        <w:rPr/>
        <w:t>an</w:t>
      </w:r>
      <w:r>
        <w:rPr>
          <w:spacing w:val="-2"/>
        </w:rPr>
        <w:t> </w:t>
      </w:r>
      <w:r>
        <w:rPr/>
        <w:t>important role in</w:t>
      </w:r>
      <w:r>
        <w:rPr>
          <w:spacing w:val="-2"/>
        </w:rPr>
        <w:t> </w:t>
      </w:r>
      <w:r>
        <w:rPr/>
        <w:t>the molecular</w:t>
      </w:r>
      <w:r>
        <w:rPr>
          <w:spacing w:val="-1"/>
        </w:rPr>
        <w:t> </w:t>
      </w:r>
      <w:r>
        <w:rPr/>
        <w:t>recognition</w:t>
      </w:r>
      <w:r>
        <w:rPr>
          <w:spacing w:val="-7"/>
        </w:rPr>
        <w:t> </w:t>
      </w:r>
      <w:r>
        <w:rPr/>
        <w:t>process</w:t>
      </w:r>
      <w:r>
        <w:rPr>
          <w:spacing w:val="-4"/>
        </w:rPr>
        <w:t> </w:t>
      </w:r>
      <w:r>
        <w:rPr/>
        <w:t>at the level of</w:t>
      </w:r>
      <w:r>
        <w:rPr>
          <w:spacing w:val="-3"/>
        </w:rPr>
        <w:t> </w:t>
      </w:r>
      <w:r>
        <w:rPr/>
        <w:t>the receptor modulating the voltage-dependent sodium channel status, this was proved using batrachotoxin affinity assay. This moiety was therefore preserved in most pharmacomodulations (Vamecq </w:t>
      </w:r>
      <w:r>
        <w:rPr>
          <w:i/>
        </w:rPr>
        <w:t>et al</w:t>
      </w:r>
      <w:r>
        <w:rPr/>
        <w:t>., 2000). Also, amides of substituted benzoic acids including some aminohalobenzamides have been reported to possess anticonvulsant activity. Series of 4-aminobenzanilides derived from ring-alkylated anilines have also known to exhibit anticonvulsant activity (Clark, 1985).</w:t>
      </w:r>
    </w:p>
    <w:p>
      <w:pPr>
        <w:spacing w:after="0" w:line="480" w:lineRule="auto"/>
        <w:jc w:val="both"/>
        <w:sectPr>
          <w:pgSz w:w="12240" w:h="15840"/>
          <w:pgMar w:header="0" w:footer="1066" w:top="1360" w:bottom="1260" w:left="1480" w:right="1160"/>
        </w:sectPr>
      </w:pPr>
    </w:p>
    <w:p>
      <w:pPr>
        <w:pStyle w:val="BodyText"/>
        <w:spacing w:line="480" w:lineRule="auto" w:before="72"/>
        <w:ind w:left="681" w:right="274"/>
        <w:jc w:val="both"/>
      </w:pPr>
      <w:r>
        <w:rPr/>
        <w:t>Anticonvulsant activity of 4-amino-N-cyclopropyl-3,5 dichloro benzamide and 4-amino- N-cyclopropyl-3,5-dibromobenzamide have been reported against strychnine, pentylenetetrazole and electroshock. Dihalogenation of the 2,6 positions produces effective antagonists to electroshock, while dihalagenation in the 3,5- positions increases the antipentamethylenetetrazole activity</w:t>
      </w:r>
      <w:r>
        <w:rPr>
          <w:spacing w:val="-3"/>
        </w:rPr>
        <w:t> </w:t>
      </w:r>
      <w:r>
        <w:rPr/>
        <w:t>(Horrom, and Lynes, 1962). 4-aminobenzamides represent a fertile series for the discovery of anticonvulsant agents (Robertson </w:t>
      </w:r>
      <w:r>
        <w:rPr>
          <w:i/>
        </w:rPr>
        <w:t>et al</w:t>
      </w:r>
      <w:r>
        <w:rPr/>
        <w:t>., </w:t>
      </w:r>
      <w:r>
        <w:rPr>
          <w:spacing w:val="-2"/>
        </w:rPr>
        <w:t>1987).</w:t>
      </w:r>
    </w:p>
    <w:p>
      <w:pPr>
        <w:pStyle w:val="BodyText"/>
      </w:pPr>
    </w:p>
    <w:p>
      <w:pPr>
        <w:pStyle w:val="BodyText"/>
        <w:spacing w:before="2"/>
      </w:pPr>
    </w:p>
    <w:p>
      <w:pPr>
        <w:pStyle w:val="BodyText"/>
        <w:spacing w:line="480" w:lineRule="auto"/>
        <w:ind w:left="681" w:right="273"/>
        <w:jc w:val="both"/>
      </w:pPr>
      <w:r>
        <w:rPr/>
        <w:t>Clark and coworkers demonstrated significant anticonvulsant potential for the amino- substituted benzamides derived from alkyl-, arylalkyl-, and arylamines. Optimal antiepileptic activity was found in those amides having primary amine in the 4-position</w:t>
      </w:r>
      <w:r>
        <w:rPr>
          <w:spacing w:val="80"/>
        </w:rPr>
        <w:t> </w:t>
      </w:r>
      <w:r>
        <w:rPr/>
        <w:t>of the benzamide moiety and an aromatic N-substitution of the 4-aminobenzamide pharmacophore. From this work emerged ameltolide which exhibits a phenytoin-like profile. Also, N-phenylpthlamide derivatives were shown to possess a similar degree of anticonvulsant potency</w:t>
      </w:r>
      <w:r>
        <w:rPr>
          <w:spacing w:val="-12"/>
        </w:rPr>
        <w:t> </w:t>
      </w:r>
      <w:r>
        <w:rPr/>
        <w:t>also associated</w:t>
      </w:r>
      <w:r>
        <w:rPr>
          <w:spacing w:val="-3"/>
        </w:rPr>
        <w:t> </w:t>
      </w:r>
      <w:r>
        <w:rPr/>
        <w:t>with</w:t>
      </w:r>
      <w:r>
        <w:rPr>
          <w:spacing w:val="-7"/>
        </w:rPr>
        <w:t> </w:t>
      </w:r>
      <w:r>
        <w:rPr/>
        <w:t>a</w:t>
      </w:r>
      <w:r>
        <w:rPr>
          <w:spacing w:val="-4"/>
        </w:rPr>
        <w:t> </w:t>
      </w:r>
      <w:r>
        <w:rPr/>
        <w:t>phenytoin-like</w:t>
      </w:r>
      <w:r>
        <w:rPr>
          <w:spacing w:val="-4"/>
        </w:rPr>
        <w:t> </w:t>
      </w:r>
      <w:r>
        <w:rPr/>
        <w:t>profile, leading</w:t>
      </w:r>
      <w:r>
        <w:rPr>
          <w:spacing w:val="-3"/>
        </w:rPr>
        <w:t> </w:t>
      </w:r>
      <w:r>
        <w:rPr/>
        <w:t>to</w:t>
      </w:r>
      <w:r>
        <w:rPr>
          <w:spacing w:val="-7"/>
        </w:rPr>
        <w:t> </w:t>
      </w:r>
      <w:r>
        <w:rPr/>
        <w:t>the</w:t>
      </w:r>
      <w:r>
        <w:rPr>
          <w:spacing w:val="-4"/>
        </w:rPr>
        <w:t> </w:t>
      </w:r>
      <w:r>
        <w:rPr/>
        <w:t>design of the phthalamide counterpart of ameltolide known as 4-amino-N-(2,6-dimethylphenyl) phthalamide (Vamecq </w:t>
      </w:r>
      <w:r>
        <w:rPr>
          <w:i/>
        </w:rPr>
        <w:t>et al</w:t>
      </w:r>
      <w:r>
        <w:rPr/>
        <w:t>., 2000).</w:t>
      </w:r>
    </w:p>
    <w:p>
      <w:pPr>
        <w:pStyle w:val="BodyText"/>
      </w:pPr>
    </w:p>
    <w:p>
      <w:pPr>
        <w:pStyle w:val="BodyText"/>
        <w:spacing w:before="2"/>
      </w:pPr>
    </w:p>
    <w:p>
      <w:pPr>
        <w:pStyle w:val="BodyText"/>
        <w:spacing w:line="480" w:lineRule="auto"/>
        <w:ind w:left="681" w:right="271"/>
        <w:jc w:val="both"/>
      </w:pPr>
      <w:r>
        <w:rPr/>
        <w:t>Several works had been conducted on series of carboxamides (3-anilinopropanamides) and were reported</w:t>
      </w:r>
      <w:r>
        <w:rPr>
          <w:spacing w:val="-1"/>
        </w:rPr>
        <w:t> </w:t>
      </w:r>
      <w:r>
        <w:rPr/>
        <w:t>to possess promising anticonvulsant activity;</w:t>
      </w:r>
      <w:r>
        <w:rPr>
          <w:spacing w:val="-1"/>
        </w:rPr>
        <w:t> </w:t>
      </w:r>
      <w:r>
        <w:rPr/>
        <w:t>3-anisidinopropanamides (Idris </w:t>
      </w:r>
      <w:r>
        <w:rPr>
          <w:i/>
        </w:rPr>
        <w:t>et al</w:t>
      </w:r>
      <w:r>
        <w:rPr/>
        <w:t>., 2008a), Chloro-3-anilinopropanamides (Idris </w:t>
      </w:r>
      <w:r>
        <w:rPr>
          <w:i/>
        </w:rPr>
        <w:t>et al</w:t>
      </w:r>
      <w:r>
        <w:rPr/>
        <w:t>., 2008b), 3- toluidinopropanamides (Idris </w:t>
      </w:r>
      <w:r>
        <w:rPr>
          <w:i/>
        </w:rPr>
        <w:t>et al</w:t>
      </w:r>
      <w:r>
        <w:rPr/>
        <w:t>., 2008c) and (N-benzyl-3-[(methoxyphenyl) amino] propanamides (Idris </w:t>
      </w:r>
      <w:r>
        <w:rPr>
          <w:i/>
        </w:rPr>
        <w:t>et al</w:t>
      </w:r>
      <w:r>
        <w:rPr/>
        <w:t>., 2009).</w:t>
      </w:r>
    </w:p>
    <w:p>
      <w:pPr>
        <w:spacing w:after="0" w:line="480" w:lineRule="auto"/>
        <w:jc w:val="both"/>
        <w:sectPr>
          <w:pgSz w:w="12240" w:h="15840"/>
          <w:pgMar w:header="0" w:footer="1066" w:top="1360" w:bottom="1260" w:left="1480" w:right="1160"/>
        </w:sectPr>
      </w:pPr>
    </w:p>
    <w:p>
      <w:pPr>
        <w:pStyle w:val="Heading2"/>
        <w:numPr>
          <w:ilvl w:val="1"/>
          <w:numId w:val="10"/>
        </w:numPr>
        <w:tabs>
          <w:tab w:pos="1160" w:val="left" w:leader="none"/>
        </w:tabs>
        <w:spacing w:line="240" w:lineRule="auto" w:before="77" w:after="0"/>
        <w:ind w:left="1160" w:right="0" w:hanging="479"/>
        <w:jc w:val="both"/>
      </w:pPr>
      <w:bookmarkStart w:name="_TOC_250048" w:id="36"/>
      <w:r>
        <w:rPr/>
        <w:t>Michael </w:t>
      </w:r>
      <w:bookmarkEnd w:id="36"/>
      <w:r>
        <w:rPr>
          <w:spacing w:val="-2"/>
        </w:rPr>
        <w:t>Reaction</w:t>
      </w:r>
    </w:p>
    <w:p>
      <w:pPr>
        <w:pStyle w:val="BodyText"/>
        <w:spacing w:line="480" w:lineRule="auto" w:before="271"/>
        <w:ind w:left="681" w:right="279"/>
        <w:jc w:val="both"/>
      </w:pPr>
      <w:r>
        <w:rPr/>
        <w:t>This is a nucleophilic addition reaction involving variety of reagents, in form of HZ, combined</w:t>
      </w:r>
      <w:r>
        <w:rPr>
          <w:spacing w:val="-3"/>
        </w:rPr>
        <w:t> </w:t>
      </w:r>
      <w:r>
        <w:rPr/>
        <w:t>to</w:t>
      </w:r>
      <w:r>
        <w:rPr>
          <w:spacing w:val="-3"/>
        </w:rPr>
        <w:t> </w:t>
      </w:r>
      <w:r>
        <w:rPr/>
        <w:t>activated</w:t>
      </w:r>
      <w:r>
        <w:rPr>
          <w:spacing w:val="-3"/>
        </w:rPr>
        <w:t> </w:t>
      </w:r>
      <w:r>
        <w:rPr/>
        <w:t>alkene</w:t>
      </w:r>
      <w:r>
        <w:rPr>
          <w:spacing w:val="-4"/>
        </w:rPr>
        <w:t> </w:t>
      </w:r>
      <w:r>
        <w:rPr/>
        <w:t>of</w:t>
      </w:r>
      <w:r>
        <w:rPr>
          <w:spacing w:val="-10"/>
        </w:rPr>
        <w:t> </w:t>
      </w:r>
      <w:r>
        <w:rPr/>
        <w:t>type</w:t>
      </w:r>
      <w:r>
        <w:rPr>
          <w:spacing w:val="-4"/>
        </w:rPr>
        <w:t> </w:t>
      </w:r>
      <w:r>
        <w:rPr/>
        <w:t>CH</w:t>
      </w:r>
      <w:r>
        <w:rPr>
          <w:vertAlign w:val="subscript"/>
        </w:rPr>
        <w:t>2</w:t>
      </w:r>
      <w:r>
        <w:rPr>
          <w:vertAlign w:val="baseline"/>
        </w:rPr>
        <w:t>=CH-X</w:t>
      </w:r>
      <w:r>
        <w:rPr>
          <w:spacing w:val="-4"/>
          <w:vertAlign w:val="baseline"/>
        </w:rPr>
        <w:t> </w:t>
      </w:r>
      <w:r>
        <w:rPr>
          <w:vertAlign w:val="baseline"/>
        </w:rPr>
        <w:t>to form</w:t>
      </w:r>
      <w:r>
        <w:rPr>
          <w:spacing w:val="-11"/>
          <w:vertAlign w:val="baseline"/>
        </w:rPr>
        <w:t> </w:t>
      </w:r>
      <w:r>
        <w:rPr>
          <w:vertAlign w:val="baseline"/>
        </w:rPr>
        <w:t>Z-CH</w:t>
      </w:r>
      <w:r>
        <w:rPr>
          <w:vertAlign w:val="subscript"/>
        </w:rPr>
        <w:t>2</w:t>
      </w:r>
      <w:r>
        <w:rPr>
          <w:vertAlign w:val="baseline"/>
        </w:rPr>
        <w:t>-CH</w:t>
      </w:r>
      <w:r>
        <w:rPr>
          <w:vertAlign w:val="subscript"/>
        </w:rPr>
        <w:t>2</w:t>
      </w:r>
      <w:r>
        <w:rPr>
          <w:vertAlign w:val="baseline"/>
        </w:rPr>
        <w:t>-X.</w:t>
      </w:r>
      <w:r>
        <w:rPr>
          <w:spacing w:val="-2"/>
          <w:vertAlign w:val="baseline"/>
        </w:rPr>
        <w:t> </w:t>
      </w:r>
      <w:r>
        <w:rPr>
          <w:vertAlign w:val="baseline"/>
        </w:rPr>
        <w:t>The</w:t>
      </w:r>
      <w:r>
        <w:rPr>
          <w:spacing w:val="-4"/>
          <w:vertAlign w:val="baseline"/>
        </w:rPr>
        <w:t> </w:t>
      </w:r>
      <w:r>
        <w:rPr>
          <w:vertAlign w:val="baseline"/>
        </w:rPr>
        <w:t>prerequisite for this mode of addition to the alkenes is that X be an electron-attracting group such as aldehyde, ketone, carboxylic acid, ester, amide, nitrile, nitro or sulphonyl group. The expectation is that the carboxamide group in acrylamide would stimulate and direct the addition of nucleophilic reagents to the alkene. Apart from active methylene, HZ could include others moieties like acetophenone, certain hydrocarbon such as cyclopentadiene, and indenes that contain sufficiently reactive hydrogen atoms. Thus, the reaction of HZ with acrylamide would yields the β-propanamide derivative; Z- CH</w:t>
      </w:r>
      <w:r>
        <w:rPr>
          <w:vertAlign w:val="subscript"/>
        </w:rPr>
        <w:t>2</w:t>
      </w:r>
      <w:r>
        <w:rPr>
          <w:vertAlign w:val="baseline"/>
        </w:rPr>
        <w:t>-CH</w:t>
      </w:r>
      <w:r>
        <w:rPr>
          <w:vertAlign w:val="subscript"/>
        </w:rPr>
        <w:t>2</w:t>
      </w:r>
      <w:r>
        <w:rPr>
          <w:spacing w:val="-10"/>
          <w:vertAlign w:val="baseline"/>
        </w:rPr>
        <w:t> </w:t>
      </w:r>
      <w:r>
        <w:rPr>
          <w:vertAlign w:val="baseline"/>
        </w:rPr>
        <w:t>CONH</w:t>
      </w:r>
      <w:r>
        <w:rPr>
          <w:vertAlign w:val="subscript"/>
        </w:rPr>
        <w:t>2</w:t>
      </w:r>
      <w:r>
        <w:rPr>
          <w:vertAlign w:val="baseline"/>
        </w:rPr>
        <w:t> (Idris, 2008, unpublished Dissertation).</w:t>
      </w:r>
    </w:p>
    <w:p>
      <w:pPr>
        <w:pStyle w:val="BodyText"/>
      </w:pPr>
    </w:p>
    <w:p>
      <w:pPr>
        <w:pStyle w:val="BodyText"/>
        <w:spacing w:before="7"/>
      </w:pPr>
    </w:p>
    <w:p>
      <w:pPr>
        <w:pStyle w:val="Heading2"/>
        <w:numPr>
          <w:ilvl w:val="1"/>
          <w:numId w:val="10"/>
        </w:numPr>
        <w:tabs>
          <w:tab w:pos="1179" w:val="left" w:leader="none"/>
        </w:tabs>
        <w:spacing w:line="480" w:lineRule="auto" w:before="0" w:after="0"/>
        <w:ind w:left="681" w:right="280" w:firstLine="0"/>
        <w:jc w:val="both"/>
      </w:pPr>
      <w:bookmarkStart w:name="_TOC_250047" w:id="37"/>
      <w:bookmarkEnd w:id="37"/>
      <w:r>
        <w:rPr/>
        <w:t>Pharmacophoric Units for Clinically Available Antiepileptic Agents Acting via Sodium Channels</w:t>
      </w:r>
    </w:p>
    <w:p>
      <w:pPr>
        <w:pStyle w:val="BodyText"/>
        <w:spacing w:line="480" w:lineRule="auto"/>
        <w:ind w:left="681" w:right="277"/>
        <w:jc w:val="both"/>
      </w:pPr>
      <w:r>
        <w:rPr/>
        <w:t>According to Tasso </w:t>
      </w:r>
      <w:r>
        <w:rPr>
          <w:i/>
        </w:rPr>
        <w:t>et al., </w:t>
      </w:r>
      <w:r>
        <w:rPr/>
        <w:t>2001; the structural and electronic requirements imposed by</w:t>
      </w:r>
      <w:r>
        <w:rPr>
          <w:spacing w:val="40"/>
        </w:rPr>
        <w:t> </w:t>
      </w:r>
      <w:r>
        <w:rPr/>
        <w:t>the pharmacophore involve:</w:t>
      </w:r>
    </w:p>
    <w:p>
      <w:pPr>
        <w:pStyle w:val="BodyText"/>
        <w:spacing w:before="273"/>
      </w:pPr>
    </w:p>
    <w:p>
      <w:pPr>
        <w:pStyle w:val="ListParagraph"/>
        <w:numPr>
          <w:ilvl w:val="0"/>
          <w:numId w:val="12"/>
        </w:numPr>
        <w:tabs>
          <w:tab w:pos="948" w:val="left" w:leader="none"/>
        </w:tabs>
        <w:spacing w:line="480" w:lineRule="auto" w:before="0" w:after="0"/>
        <w:ind w:left="681" w:right="273" w:firstLine="57"/>
        <w:jc w:val="both"/>
        <w:rPr>
          <w:sz w:val="24"/>
        </w:rPr>
      </w:pPr>
      <w:r>
        <w:rPr>
          <w:sz w:val="24"/>
        </w:rPr>
        <w:t>A 3-atom portion characterized by a large polarization of the interatomic bonds (negative charge on atoms 1 and 3, positive charge on atom 2), bonded to a </w:t>
      </w:r>
      <w:r>
        <w:rPr>
          <w:i/>
          <w:sz w:val="24"/>
        </w:rPr>
        <w:t>sp</w:t>
      </w:r>
      <w:r>
        <w:rPr>
          <w:sz w:val="24"/>
        </w:rPr>
        <w:t>3 hybridized atom, that can be nitrogen (carbamazepine), carbon (sodium valproate, zonisamide, lamotrigine, phenytoin), or oxygen (topiramate, felbamate).</w:t>
      </w:r>
    </w:p>
    <w:p>
      <w:pPr>
        <w:spacing w:after="0" w:line="480" w:lineRule="auto"/>
        <w:jc w:val="both"/>
        <w:rPr>
          <w:sz w:val="24"/>
        </w:rPr>
        <w:sectPr>
          <w:pgSz w:w="12240" w:h="15840"/>
          <w:pgMar w:header="0" w:footer="1066" w:top="1360" w:bottom="1260" w:left="1480" w:right="1160"/>
        </w:sectPr>
      </w:pPr>
    </w:p>
    <w:p>
      <w:pPr>
        <w:pStyle w:val="ListParagraph"/>
        <w:numPr>
          <w:ilvl w:val="0"/>
          <w:numId w:val="12"/>
        </w:numPr>
        <w:tabs>
          <w:tab w:pos="862" w:val="left" w:leader="none"/>
        </w:tabs>
        <w:spacing w:line="480" w:lineRule="auto" w:before="72" w:after="0"/>
        <w:ind w:left="681" w:right="272" w:firstLine="0"/>
        <w:jc w:val="both"/>
        <w:rPr>
          <w:sz w:val="24"/>
        </w:rPr>
      </w:pPr>
      <w:r>
        <w:rPr>
          <w:sz w:val="24"/>
        </w:rPr>
        <w:t>A hydrophobic portion coordinated through atom 4 to the positive end of the polar group, which comprises at least three atoms, which can belong to aromatic (phenytoin, carbamazepine, zonisamide, lamotrigine) or aliphatic moieties (sodium valproate, felbamate, topiramate).</w:t>
      </w:r>
    </w:p>
    <w:p>
      <w:pPr>
        <w:spacing w:after="0" w:line="480" w:lineRule="auto"/>
        <w:jc w:val="both"/>
        <w:rPr>
          <w:sz w:val="24"/>
        </w:rPr>
        <w:sectPr>
          <w:pgSz w:w="12240" w:h="15840"/>
          <w:pgMar w:header="0" w:footer="1066" w:top="1360" w:bottom="1260" w:left="1480" w:right="1160"/>
        </w:sectPr>
      </w:pPr>
    </w:p>
    <w:p>
      <w:pPr>
        <w:pStyle w:val="Heading1"/>
        <w:spacing w:before="77"/>
        <w:ind w:left="400"/>
      </w:pPr>
      <w:r>
        <w:rPr/>
        <w:t>CHAPTER</w:t>
      </w:r>
      <w:r>
        <w:rPr>
          <w:spacing w:val="-9"/>
        </w:rPr>
        <w:t> </w:t>
      </w:r>
      <w:r>
        <w:rPr>
          <w:spacing w:val="-4"/>
        </w:rPr>
        <w:t>THREE</w:t>
      </w:r>
    </w:p>
    <w:p>
      <w:pPr>
        <w:pStyle w:val="BodyText"/>
        <w:rPr>
          <w:b/>
        </w:rPr>
      </w:pPr>
    </w:p>
    <w:p>
      <w:pPr>
        <w:pStyle w:val="Heading1"/>
        <w:numPr>
          <w:ilvl w:val="1"/>
          <w:numId w:val="13"/>
        </w:numPr>
        <w:tabs>
          <w:tab w:pos="3201" w:val="left" w:leader="none"/>
        </w:tabs>
        <w:spacing w:line="240" w:lineRule="auto" w:before="0" w:after="0"/>
        <w:ind w:left="3201" w:right="0" w:hanging="480"/>
        <w:jc w:val="left"/>
      </w:pPr>
      <w:bookmarkStart w:name="_TOC_250046" w:id="38"/>
      <w:r>
        <w:rPr/>
        <w:t>MATERIALS</w:t>
      </w:r>
      <w:r>
        <w:rPr>
          <w:spacing w:val="-3"/>
        </w:rPr>
        <w:t> </w:t>
      </w:r>
      <w:r>
        <w:rPr/>
        <w:t>AND</w:t>
      </w:r>
      <w:bookmarkEnd w:id="38"/>
      <w:r>
        <w:rPr>
          <w:spacing w:val="-2"/>
        </w:rPr>
        <w:t> METHODOLOGY</w:t>
      </w:r>
    </w:p>
    <w:p>
      <w:pPr>
        <w:pStyle w:val="BodyText"/>
        <w:rPr>
          <w:b/>
        </w:rPr>
      </w:pPr>
    </w:p>
    <w:p>
      <w:pPr>
        <w:pStyle w:val="Heading2"/>
        <w:numPr>
          <w:ilvl w:val="1"/>
          <w:numId w:val="13"/>
        </w:numPr>
        <w:tabs>
          <w:tab w:pos="1040" w:val="left" w:leader="none"/>
        </w:tabs>
        <w:spacing w:line="240" w:lineRule="auto" w:before="1" w:after="0"/>
        <w:ind w:left="1040" w:right="0" w:hanging="359"/>
        <w:jc w:val="both"/>
      </w:pPr>
      <w:bookmarkStart w:name="_TOC_250045" w:id="39"/>
      <w:r>
        <w:rPr/>
        <w:t>Materials, Equipment, Chemicals</w:t>
      </w:r>
      <w:r>
        <w:rPr>
          <w:spacing w:val="-4"/>
        </w:rPr>
        <w:t> </w:t>
      </w:r>
      <w:r>
        <w:rPr/>
        <w:t>and</w:t>
      </w:r>
      <w:r>
        <w:rPr>
          <w:spacing w:val="-1"/>
        </w:rPr>
        <w:t> </w:t>
      </w:r>
      <w:bookmarkEnd w:id="39"/>
      <w:r>
        <w:rPr>
          <w:spacing w:val="-2"/>
        </w:rPr>
        <w:t>Animals</w:t>
      </w:r>
    </w:p>
    <w:p>
      <w:pPr>
        <w:pStyle w:val="Heading2"/>
        <w:numPr>
          <w:ilvl w:val="2"/>
          <w:numId w:val="13"/>
        </w:numPr>
        <w:tabs>
          <w:tab w:pos="1222" w:val="left" w:leader="none"/>
        </w:tabs>
        <w:spacing w:line="240" w:lineRule="auto" w:before="276" w:after="0"/>
        <w:ind w:left="1222" w:right="0" w:hanging="541"/>
        <w:jc w:val="both"/>
      </w:pPr>
      <w:bookmarkStart w:name="_TOC_250044" w:id="40"/>
      <w:r>
        <w:rPr/>
        <w:t>Materials</w:t>
      </w:r>
      <w:r>
        <w:rPr>
          <w:spacing w:val="-4"/>
        </w:rPr>
        <w:t> </w:t>
      </w:r>
      <w:r>
        <w:rPr/>
        <w:t>and</w:t>
      </w:r>
      <w:bookmarkEnd w:id="40"/>
      <w:r>
        <w:rPr>
          <w:spacing w:val="-2"/>
        </w:rPr>
        <w:t> equipment</w:t>
      </w:r>
    </w:p>
    <w:p>
      <w:pPr>
        <w:pStyle w:val="BodyText"/>
        <w:spacing w:line="480" w:lineRule="auto" w:before="271"/>
        <w:ind w:left="681" w:right="275"/>
        <w:jc w:val="both"/>
      </w:pPr>
      <w:r>
        <w:rPr/>
        <w:t>Electroconvulsive machine (Ugo Basile, model no. 7801)</w:t>
      </w:r>
      <w:r>
        <w:rPr>
          <w:b/>
        </w:rPr>
        <w:t>, </w:t>
      </w:r>
      <w:r>
        <w:rPr/>
        <w:t>Evaporation</w:t>
      </w:r>
      <w:r>
        <w:rPr>
          <w:spacing w:val="-1"/>
        </w:rPr>
        <w:t> </w:t>
      </w:r>
      <w:r>
        <w:rPr/>
        <w:t>disc</w:t>
      </w:r>
      <w:r>
        <w:rPr>
          <w:b/>
        </w:rPr>
        <w:t>, </w:t>
      </w:r>
      <w:r>
        <w:rPr/>
        <w:t>Filter paper, Beam walking apparatus- Flat ruler (80 × 3 cm) and Wooden beam rod (8 mm × 60 cm), Funnel</w:t>
      </w:r>
      <w:r>
        <w:rPr>
          <w:b/>
        </w:rPr>
        <w:t>, </w:t>
      </w:r>
      <w:r>
        <w:rPr/>
        <w:t>Metler balance (P162 Gallen Kamp, UK)</w:t>
      </w:r>
      <w:r>
        <w:rPr>
          <w:b/>
        </w:rPr>
        <w:t>, </w:t>
      </w:r>
      <w:r>
        <w:rPr/>
        <w:t>Mortar and Pestle, Plastic animal cages</w:t>
      </w:r>
      <w:r>
        <w:rPr>
          <w:b/>
        </w:rPr>
        <w:t>, </w:t>
      </w:r>
      <w:r>
        <w:rPr/>
        <w:t>Spatula</w:t>
      </w:r>
      <w:r>
        <w:rPr>
          <w:b/>
        </w:rPr>
        <w:t>, </w:t>
      </w:r>
      <w:r>
        <w:rPr/>
        <w:t>Stop watch</w:t>
      </w:r>
      <w:r>
        <w:rPr>
          <w:b/>
        </w:rPr>
        <w:t>, </w:t>
      </w:r>
      <w:r>
        <w:rPr/>
        <w:t>Syringes (10, 5, 2 and 1 mls)</w:t>
      </w:r>
      <w:r>
        <w:rPr>
          <w:b/>
        </w:rPr>
        <w:t>, </w:t>
      </w:r>
      <w:r>
        <w:rPr/>
        <w:t>Micropippette, Water bath (Gallenkamp)</w:t>
      </w:r>
      <w:r>
        <w:rPr>
          <w:b/>
        </w:rPr>
        <w:t>, </w:t>
      </w:r>
      <w:r>
        <w:rPr/>
        <w:t>Weighing balance (Ohio, New York, USA)</w:t>
      </w:r>
      <w:r>
        <w:rPr>
          <w:b/>
        </w:rPr>
        <w:t>, </w:t>
      </w:r>
      <w:r>
        <w:rPr/>
        <w:t>Glass wares ( measuring cylinders, conical flasks, beakers, pipette, thermometer), Oven (BS model OV33 Gallenkamp)</w:t>
      </w:r>
      <w:r>
        <w:rPr>
          <w:b/>
        </w:rPr>
        <w:t>, </w:t>
      </w:r>
      <w:r>
        <w:rPr/>
        <w:t>Microcapillary tubes (Drumen Scientific Company, USA)</w:t>
      </w:r>
      <w:r>
        <w:rPr>
          <w:b/>
        </w:rPr>
        <w:t>, </w:t>
      </w:r>
      <w:r>
        <w:rPr/>
        <w:t>Thin Layer Chromatographic Plates (5 × 20 CM)</w:t>
      </w:r>
      <w:r>
        <w:rPr>
          <w:b/>
        </w:rPr>
        <w:t>, </w:t>
      </w:r>
      <w:r>
        <w:rPr/>
        <w:t>Whatman filter paper, Melting Point Apparatus (Gallenkamp)</w:t>
      </w:r>
      <w:r>
        <w:rPr>
          <w:b/>
        </w:rPr>
        <w:t>, </w:t>
      </w:r>
      <w:r>
        <w:rPr/>
        <w:t>Axopatch 200 amplifier (Molecular Devices, Sunnyvale, CA)</w:t>
      </w:r>
      <w:r>
        <w:rPr>
          <w:b/>
        </w:rPr>
        <w:t>, </w:t>
      </w:r>
      <w:r>
        <w:rPr/>
        <w:t>pClamp 9 software and a Digidata 1322A</w:t>
      </w:r>
      <w:r>
        <w:rPr>
          <w:spacing w:val="40"/>
        </w:rPr>
        <w:t> </w:t>
      </w:r>
      <w:r>
        <w:rPr/>
        <w:t>(Molecular Devices), Microscope</w:t>
      </w:r>
      <w:r>
        <w:rPr>
          <w:b/>
        </w:rPr>
        <w:t>, </w:t>
      </w:r>
      <w:r>
        <w:rPr/>
        <w:t>Borosilicate glass pipettes, effendoff pipettes and tubes, Brown-Flaming puller (model P97; Sutter Instruments Company, Novato, CA)</w:t>
      </w:r>
      <w:r>
        <w:rPr>
          <w:b/>
        </w:rPr>
        <w:t>, </w:t>
      </w:r>
      <w:r>
        <w:rPr/>
        <w:t>Incubator</w:t>
      </w:r>
      <w:r>
        <w:rPr>
          <w:b/>
        </w:rPr>
        <w:t>, </w:t>
      </w:r>
      <w:r>
        <w:rPr/>
        <w:t>Hood with air lamina flow and UV light</w:t>
      </w:r>
    </w:p>
    <w:p>
      <w:pPr>
        <w:pStyle w:val="BodyText"/>
      </w:pPr>
    </w:p>
    <w:p>
      <w:pPr>
        <w:pStyle w:val="BodyText"/>
        <w:spacing w:before="7"/>
      </w:pPr>
    </w:p>
    <w:p>
      <w:pPr>
        <w:pStyle w:val="Heading2"/>
        <w:numPr>
          <w:ilvl w:val="2"/>
          <w:numId w:val="13"/>
        </w:numPr>
        <w:tabs>
          <w:tab w:pos="1222" w:val="left" w:leader="none"/>
        </w:tabs>
        <w:spacing w:line="240" w:lineRule="auto" w:before="1" w:after="0"/>
        <w:ind w:left="1222" w:right="0" w:hanging="541"/>
        <w:jc w:val="both"/>
      </w:pPr>
      <w:bookmarkStart w:name="_TOC_250043" w:id="41"/>
      <w:bookmarkEnd w:id="41"/>
      <w:r>
        <w:rPr>
          <w:spacing w:val="-2"/>
        </w:rPr>
        <w:t>Chemicals</w:t>
      </w:r>
    </w:p>
    <w:p>
      <w:pPr>
        <w:pStyle w:val="ListParagraph"/>
        <w:numPr>
          <w:ilvl w:val="0"/>
          <w:numId w:val="14"/>
        </w:numPr>
        <w:tabs>
          <w:tab w:pos="881" w:val="left" w:leader="none"/>
        </w:tabs>
        <w:spacing w:line="480" w:lineRule="auto" w:before="271" w:after="0"/>
        <w:ind w:left="681" w:right="279" w:firstLine="0"/>
        <w:jc w:val="both"/>
        <w:rPr>
          <w:sz w:val="24"/>
        </w:rPr>
      </w:pPr>
      <w:r>
        <w:rPr>
          <w:sz w:val="24"/>
        </w:rPr>
        <w:t>aminopyridine (Sigma Chemical Company, Louis Mo, USA)</w:t>
      </w:r>
      <w:r>
        <w:rPr>
          <w:b/>
          <w:sz w:val="24"/>
        </w:rPr>
        <w:t>, </w:t>
      </w:r>
      <w:r>
        <w:rPr>
          <w:sz w:val="24"/>
        </w:rPr>
        <w:t>Diazepam (Roche Product</w:t>
      </w:r>
      <w:r>
        <w:rPr>
          <w:spacing w:val="-4"/>
          <w:sz w:val="24"/>
        </w:rPr>
        <w:t> </w:t>
      </w:r>
      <w:r>
        <w:rPr>
          <w:sz w:val="24"/>
        </w:rPr>
        <w:t>Ltd.</w:t>
      </w:r>
      <w:r>
        <w:rPr>
          <w:spacing w:val="-2"/>
          <w:sz w:val="24"/>
        </w:rPr>
        <w:t> </w:t>
      </w:r>
      <w:r>
        <w:rPr>
          <w:sz w:val="24"/>
        </w:rPr>
        <w:t>Welnyn</w:t>
      </w:r>
      <w:r>
        <w:rPr>
          <w:spacing w:val="-4"/>
          <w:sz w:val="24"/>
        </w:rPr>
        <w:t> </w:t>
      </w:r>
      <w:r>
        <w:rPr>
          <w:sz w:val="24"/>
        </w:rPr>
        <w:t>Garden</w:t>
      </w:r>
      <w:r>
        <w:rPr>
          <w:spacing w:val="-4"/>
          <w:sz w:val="24"/>
        </w:rPr>
        <w:t> </w:t>
      </w:r>
      <w:r>
        <w:rPr>
          <w:sz w:val="24"/>
        </w:rPr>
        <w:t>City)</w:t>
      </w:r>
      <w:r>
        <w:rPr>
          <w:b/>
          <w:sz w:val="24"/>
        </w:rPr>
        <w:t>,</w:t>
      </w:r>
      <w:r>
        <w:rPr>
          <w:b/>
          <w:spacing w:val="-2"/>
          <w:sz w:val="24"/>
        </w:rPr>
        <w:t> </w:t>
      </w:r>
      <w:r>
        <w:rPr>
          <w:sz w:val="24"/>
        </w:rPr>
        <w:t>Pentylenetetrazole</w:t>
      </w:r>
      <w:r>
        <w:rPr>
          <w:spacing w:val="-5"/>
          <w:sz w:val="24"/>
        </w:rPr>
        <w:t> </w:t>
      </w:r>
      <w:r>
        <w:rPr>
          <w:sz w:val="24"/>
        </w:rPr>
        <w:t>(Sigma Chemical</w:t>
      </w:r>
      <w:r>
        <w:rPr>
          <w:spacing w:val="-8"/>
          <w:sz w:val="24"/>
        </w:rPr>
        <w:t> </w:t>
      </w:r>
      <w:r>
        <w:rPr>
          <w:sz w:val="24"/>
        </w:rPr>
        <w:t>Company,</w:t>
      </w:r>
      <w:r>
        <w:rPr>
          <w:spacing w:val="-2"/>
          <w:sz w:val="24"/>
        </w:rPr>
        <w:t> </w:t>
      </w:r>
      <w:r>
        <w:rPr>
          <w:sz w:val="24"/>
        </w:rPr>
        <w:t>Louis Mo, USA)</w:t>
      </w:r>
      <w:r>
        <w:rPr>
          <w:b/>
          <w:sz w:val="24"/>
        </w:rPr>
        <w:t>, </w:t>
      </w:r>
      <w:r>
        <w:rPr>
          <w:sz w:val="24"/>
        </w:rPr>
        <w:t>Strychnine (Sigma Chemical Company, Louis Mo, USA)</w:t>
      </w:r>
      <w:r>
        <w:rPr>
          <w:b/>
          <w:sz w:val="24"/>
        </w:rPr>
        <w:t>, </w:t>
      </w:r>
      <w:r>
        <w:rPr>
          <w:sz w:val="24"/>
        </w:rPr>
        <w:t>Phenobarbitone (Sigma Chemical Company, Louis Mo, USA)</w:t>
      </w:r>
      <w:r>
        <w:rPr>
          <w:b/>
          <w:sz w:val="24"/>
        </w:rPr>
        <w:t>, </w:t>
      </w:r>
      <w:r>
        <w:rPr>
          <w:sz w:val="24"/>
        </w:rPr>
        <w:t>Phenytoin sodium (Sigma Chemical Company,</w:t>
      </w:r>
      <w:r>
        <w:rPr>
          <w:spacing w:val="28"/>
          <w:sz w:val="24"/>
        </w:rPr>
        <w:t> </w:t>
      </w:r>
      <w:r>
        <w:rPr>
          <w:sz w:val="24"/>
        </w:rPr>
        <w:t>Louis</w:t>
      </w:r>
      <w:r>
        <w:rPr>
          <w:spacing w:val="23"/>
          <w:sz w:val="24"/>
        </w:rPr>
        <w:t> </w:t>
      </w:r>
      <w:r>
        <w:rPr>
          <w:sz w:val="24"/>
        </w:rPr>
        <w:t>Mo,</w:t>
      </w:r>
      <w:r>
        <w:rPr>
          <w:spacing w:val="23"/>
          <w:sz w:val="24"/>
        </w:rPr>
        <w:t> </w:t>
      </w:r>
      <w:r>
        <w:rPr>
          <w:sz w:val="24"/>
        </w:rPr>
        <w:t>USA)</w:t>
      </w:r>
      <w:r>
        <w:rPr>
          <w:b/>
          <w:sz w:val="24"/>
        </w:rPr>
        <w:t>,</w:t>
      </w:r>
      <w:r>
        <w:rPr>
          <w:b/>
          <w:spacing w:val="28"/>
          <w:sz w:val="24"/>
        </w:rPr>
        <w:t> </w:t>
      </w:r>
      <w:r>
        <w:rPr>
          <w:sz w:val="24"/>
        </w:rPr>
        <w:t>Fluphenamic</w:t>
      </w:r>
      <w:r>
        <w:rPr>
          <w:spacing w:val="25"/>
          <w:sz w:val="24"/>
        </w:rPr>
        <w:t> </w:t>
      </w:r>
      <w:r>
        <w:rPr>
          <w:sz w:val="24"/>
        </w:rPr>
        <w:t>acid</w:t>
      </w:r>
      <w:r>
        <w:rPr>
          <w:spacing w:val="21"/>
          <w:sz w:val="24"/>
        </w:rPr>
        <w:t> </w:t>
      </w:r>
      <w:r>
        <w:rPr>
          <w:sz w:val="24"/>
        </w:rPr>
        <w:t>(Sigma</w:t>
      </w:r>
      <w:r>
        <w:rPr>
          <w:spacing w:val="25"/>
          <w:sz w:val="24"/>
        </w:rPr>
        <w:t> </w:t>
      </w:r>
      <w:r>
        <w:rPr>
          <w:sz w:val="24"/>
        </w:rPr>
        <w:t>Chemical</w:t>
      </w:r>
      <w:r>
        <w:rPr>
          <w:spacing w:val="21"/>
          <w:sz w:val="24"/>
        </w:rPr>
        <w:t> </w:t>
      </w:r>
      <w:r>
        <w:rPr>
          <w:sz w:val="24"/>
        </w:rPr>
        <w:t>Company,</w:t>
      </w:r>
      <w:r>
        <w:rPr>
          <w:spacing w:val="28"/>
          <w:sz w:val="24"/>
        </w:rPr>
        <w:t> </w:t>
      </w:r>
      <w:r>
        <w:rPr>
          <w:sz w:val="24"/>
        </w:rPr>
        <w:t>Louis</w:t>
      </w:r>
      <w:r>
        <w:rPr>
          <w:spacing w:val="23"/>
          <w:sz w:val="24"/>
        </w:rPr>
        <w:t> </w:t>
      </w:r>
      <w:r>
        <w:rPr>
          <w:sz w:val="24"/>
        </w:rPr>
        <w:t>Mo,</w:t>
      </w:r>
    </w:p>
    <w:p>
      <w:pPr>
        <w:spacing w:after="0" w:line="480" w:lineRule="auto"/>
        <w:jc w:val="both"/>
        <w:rPr>
          <w:sz w:val="24"/>
        </w:rPr>
        <w:sectPr>
          <w:pgSz w:w="12240" w:h="15840"/>
          <w:pgMar w:header="0" w:footer="1066" w:top="1360" w:bottom="1260" w:left="1480" w:right="1160"/>
        </w:sectPr>
      </w:pPr>
    </w:p>
    <w:p>
      <w:pPr>
        <w:pStyle w:val="BodyText"/>
        <w:spacing w:line="480" w:lineRule="auto" w:before="72"/>
        <w:ind w:left="681" w:right="271"/>
        <w:jc w:val="both"/>
      </w:pPr>
      <w:r>
        <w:rPr/>
        <w:t>USA)</w:t>
      </w:r>
      <w:r>
        <w:rPr>
          <w:b/>
        </w:rPr>
        <w:t>, </w:t>
      </w:r>
      <w:r>
        <w:rPr/>
        <w:t>Nickel chloride (Sigma Chemical Company, Louis Mo, USA)</w:t>
      </w:r>
      <w:r>
        <w:rPr>
          <w:b/>
        </w:rPr>
        <w:t>, </w:t>
      </w:r>
      <w:r>
        <w:rPr/>
        <w:t>Cyproheptadine (PT Kalbe Pharma, Bekasi, Indonesia)</w:t>
      </w:r>
      <w:r>
        <w:rPr>
          <w:b/>
        </w:rPr>
        <w:t>, </w:t>
      </w:r>
      <w:r>
        <w:rPr/>
        <w:t>Sodium chloride (Fisher Scientific Co. USA)</w:t>
      </w:r>
      <w:r>
        <w:rPr>
          <w:b/>
        </w:rPr>
        <w:t>, </w:t>
      </w:r>
      <w:r>
        <w:rPr/>
        <w:t>Sodium valproate (Epillim</w:t>
      </w:r>
      <w:r>
        <w:rPr>
          <w:vertAlign w:val="superscript"/>
        </w:rPr>
        <w:t>R</w:t>
      </w:r>
      <w:r>
        <w:rPr>
          <w:vertAlign w:val="baseline"/>
        </w:rPr>
        <w:t>)</w:t>
      </w:r>
      <w:r>
        <w:rPr>
          <w:b/>
          <w:vertAlign w:val="baseline"/>
        </w:rPr>
        <w:t>, </w:t>
      </w:r>
      <w:r>
        <w:rPr>
          <w:vertAlign w:val="baseline"/>
        </w:rPr>
        <w:t>Analytical grade of 2,3-, 2,5- and 3,4- dichloroanilines (BDH Chemicals Co.)</w:t>
      </w:r>
      <w:r>
        <w:rPr>
          <w:b/>
          <w:vertAlign w:val="baseline"/>
        </w:rPr>
        <w:t>, </w:t>
      </w:r>
      <w:r>
        <w:rPr>
          <w:vertAlign w:val="baseline"/>
        </w:rPr>
        <w:t>Iodine crystals (BDH Chemicals Co.)</w:t>
      </w:r>
      <w:r>
        <w:rPr>
          <w:b/>
          <w:vertAlign w:val="baseline"/>
        </w:rPr>
        <w:t>, </w:t>
      </w:r>
      <w:r>
        <w:rPr>
          <w:vertAlign w:val="baseline"/>
        </w:rPr>
        <w:t>Solvents – ethyl acetate, benzene, chloroform (BDH Chemicals Co.)</w:t>
      </w:r>
      <w:r>
        <w:rPr>
          <w:b/>
          <w:vertAlign w:val="baseline"/>
        </w:rPr>
        <w:t>, </w:t>
      </w:r>
      <w:r>
        <w:rPr>
          <w:vertAlign w:val="baseline"/>
        </w:rPr>
        <w:t>Dulbecco’s modified Eagle’s medium/F-12 media (Invitrogen, Carlsbad, CA), 10% fetal bovine serum and Geneticin (Sigma Aldrich), Humam Embryonic Kidney Cells (HEK Cell 293) stably expressing voltage- gated sodium channels (Na</w:t>
      </w:r>
      <w:r>
        <w:rPr>
          <w:vertAlign w:val="subscript"/>
        </w:rPr>
        <w:t>v</w:t>
      </w:r>
      <w:r>
        <w:rPr>
          <w:vertAlign w:val="baseline"/>
        </w:rPr>
        <w:t> 1.6), Dulbecco’s modified Eagle’s medium/F-12 media (Invitrogen, Carlsbad, CA) supplemented with 10% fetal bovine serum and Geneticin (G418, 500 mg/ml (2.5 ml/500 ml media); Sigma Aldrich).</w:t>
      </w:r>
    </w:p>
    <w:p>
      <w:pPr>
        <w:pStyle w:val="BodyText"/>
      </w:pPr>
    </w:p>
    <w:p>
      <w:pPr>
        <w:pStyle w:val="BodyText"/>
        <w:spacing w:before="7"/>
      </w:pPr>
    </w:p>
    <w:p>
      <w:pPr>
        <w:pStyle w:val="Heading2"/>
        <w:numPr>
          <w:ilvl w:val="1"/>
          <w:numId w:val="13"/>
        </w:numPr>
        <w:tabs>
          <w:tab w:pos="1164" w:val="left" w:leader="none"/>
        </w:tabs>
        <w:spacing w:line="240" w:lineRule="auto" w:before="0" w:after="0"/>
        <w:ind w:left="1164" w:right="0" w:hanging="483"/>
        <w:jc w:val="left"/>
      </w:pPr>
      <w:bookmarkStart w:name="_TOC_250042" w:id="42"/>
      <w:r>
        <w:rPr/>
        <w:t>Synthesis</w:t>
      </w:r>
      <w:r>
        <w:rPr>
          <w:spacing w:val="-4"/>
        </w:rPr>
        <w:t> </w:t>
      </w:r>
      <w:r>
        <w:rPr/>
        <w:t>and</w:t>
      </w:r>
      <w:r>
        <w:rPr>
          <w:spacing w:val="-2"/>
        </w:rPr>
        <w:t> </w:t>
      </w:r>
      <w:r>
        <w:rPr/>
        <w:t>Chemical</w:t>
      </w:r>
      <w:r>
        <w:rPr>
          <w:spacing w:val="-6"/>
        </w:rPr>
        <w:t> </w:t>
      </w:r>
      <w:bookmarkEnd w:id="42"/>
      <w:r>
        <w:rPr>
          <w:spacing w:val="-2"/>
        </w:rPr>
        <w:t>Analysis</w:t>
      </w:r>
    </w:p>
    <w:p>
      <w:pPr>
        <w:pStyle w:val="ListParagraph"/>
        <w:numPr>
          <w:ilvl w:val="2"/>
          <w:numId w:val="13"/>
        </w:numPr>
        <w:tabs>
          <w:tab w:pos="1222" w:val="left" w:leader="none"/>
        </w:tabs>
        <w:spacing w:line="240" w:lineRule="auto" w:before="272" w:after="0"/>
        <w:ind w:left="1222" w:right="0" w:hanging="541"/>
        <w:jc w:val="left"/>
        <w:rPr>
          <w:sz w:val="24"/>
        </w:rPr>
      </w:pPr>
      <w:r>
        <w:rPr>
          <w:spacing w:val="-2"/>
          <w:sz w:val="24"/>
        </w:rPr>
        <w:t>Synthesis</w:t>
      </w:r>
    </w:p>
    <w:p>
      <w:pPr>
        <w:pStyle w:val="BodyText"/>
        <w:spacing w:line="480" w:lineRule="auto" w:before="276"/>
        <w:ind w:left="681" w:right="279"/>
        <w:jc w:val="both"/>
      </w:pPr>
      <w:r>
        <w:rPr/>
        <w:t>All</w:t>
      </w:r>
      <w:r>
        <w:rPr>
          <w:spacing w:val="-7"/>
        </w:rPr>
        <w:t> </w:t>
      </w:r>
      <w:r>
        <w:rPr/>
        <w:t>the protocols involved in</w:t>
      </w:r>
      <w:r>
        <w:rPr>
          <w:spacing w:val="-2"/>
        </w:rPr>
        <w:t> </w:t>
      </w:r>
      <w:r>
        <w:rPr/>
        <w:t>the synthesis were carried out at the Research</w:t>
      </w:r>
      <w:r>
        <w:rPr>
          <w:spacing w:val="-2"/>
        </w:rPr>
        <w:t> </w:t>
      </w:r>
      <w:r>
        <w:rPr/>
        <w:t>Laboratory</w:t>
      </w:r>
      <w:r>
        <w:rPr>
          <w:spacing w:val="-2"/>
        </w:rPr>
        <w:t> </w:t>
      </w:r>
      <w:r>
        <w:rPr/>
        <w:t>in the Department of Pharmaceutical and Medicinal Chemistry, Ahmadu Bello University, </w:t>
      </w:r>
      <w:r>
        <w:rPr>
          <w:spacing w:val="-2"/>
        </w:rPr>
        <w:t>Zaria.</w:t>
      </w:r>
    </w:p>
    <w:p>
      <w:pPr>
        <w:pStyle w:val="BodyText"/>
      </w:pPr>
    </w:p>
    <w:p>
      <w:pPr>
        <w:pStyle w:val="BodyText"/>
        <w:spacing w:before="1"/>
      </w:pPr>
    </w:p>
    <w:p>
      <w:pPr>
        <w:pStyle w:val="BodyText"/>
        <w:spacing w:line="480" w:lineRule="auto"/>
        <w:ind w:left="681" w:right="275"/>
        <w:jc w:val="both"/>
      </w:pPr>
      <w:r>
        <w:rPr/>
        <w:t>The reactants were 2,3- dichloroaniline,</w:t>
      </w:r>
      <w:r>
        <w:rPr>
          <w:spacing w:val="40"/>
        </w:rPr>
        <w:t> </w:t>
      </w:r>
      <w:r>
        <w:rPr/>
        <w:t>2,5- dichloroaniline, and 3,4- dichloroaniline. Each of these compounds was reacted with pure acrylamide (a 3-carbon atom compound containing an amide moeity). This is a Michael – type Addition</w:t>
      </w:r>
      <w:r>
        <w:rPr>
          <w:spacing w:val="-2"/>
        </w:rPr>
        <w:t> </w:t>
      </w:r>
      <w:r>
        <w:rPr/>
        <w:t>reaction, as described by Idris </w:t>
      </w:r>
      <w:r>
        <w:rPr>
          <w:i/>
        </w:rPr>
        <w:t>et al</w:t>
      </w:r>
      <w:r>
        <w:rPr/>
        <w:t>., (2008).</w:t>
      </w:r>
    </w:p>
    <w:p>
      <w:pPr>
        <w:spacing w:after="0" w:line="480" w:lineRule="auto"/>
        <w:jc w:val="both"/>
        <w:sectPr>
          <w:pgSz w:w="12240" w:h="15840"/>
          <w:pgMar w:header="0" w:footer="1066" w:top="1360" w:bottom="1260" w:left="1480" w:right="1160"/>
        </w:sectPr>
      </w:pPr>
    </w:p>
    <w:p>
      <w:pPr>
        <w:pStyle w:val="BodyText"/>
        <w:spacing w:line="480" w:lineRule="auto" w:before="72"/>
        <w:ind w:left="681" w:right="273"/>
        <w:jc w:val="both"/>
      </w:pPr>
      <w:r>
        <w:rPr/>
        <w:t>Progress of all the reactions was monitored by Thin Layer Chromatography (TLC) using ethylacetate as development solvent. The TLC was performed on Merck aluminium</w:t>
      </w:r>
      <w:r>
        <w:rPr>
          <w:spacing w:val="-1"/>
        </w:rPr>
        <w:t> </w:t>
      </w:r>
      <w:r>
        <w:rPr/>
        <w:t>plate precoated with</w:t>
      </w:r>
      <w:r>
        <w:rPr>
          <w:spacing w:val="-1"/>
        </w:rPr>
        <w:t> </w:t>
      </w:r>
      <w:r>
        <w:rPr/>
        <w:t>0.2 mm silica gel. Iodine vapour (from</w:t>
      </w:r>
      <w:r>
        <w:rPr>
          <w:spacing w:val="-1"/>
        </w:rPr>
        <w:t> </w:t>
      </w:r>
      <w:r>
        <w:rPr/>
        <w:t>iodine crystals) was used to locate the spot on the chromatograms to aid the clear appearance of the spot.</w:t>
      </w:r>
    </w:p>
    <w:p>
      <w:pPr>
        <w:pStyle w:val="BodyText"/>
      </w:pPr>
    </w:p>
    <w:p>
      <w:pPr>
        <w:pStyle w:val="BodyText"/>
        <w:spacing w:before="1"/>
      </w:pPr>
    </w:p>
    <w:p>
      <w:pPr>
        <w:spacing w:before="0"/>
        <w:ind w:left="681" w:right="0" w:firstLine="0"/>
        <w:jc w:val="left"/>
        <w:rPr>
          <w:i/>
          <w:sz w:val="24"/>
        </w:rPr>
      </w:pPr>
      <w:r>
        <w:rPr>
          <w:i/>
          <w:sz w:val="24"/>
        </w:rPr>
        <w:t>3.1.1.1</w:t>
      </w:r>
      <w:r>
        <w:rPr>
          <w:i/>
          <w:spacing w:val="3"/>
          <w:sz w:val="24"/>
        </w:rPr>
        <w:t> </w:t>
      </w:r>
      <w:r>
        <w:rPr>
          <w:i/>
          <w:spacing w:val="-2"/>
          <w:sz w:val="24"/>
        </w:rPr>
        <w:t>Procedure</w:t>
      </w:r>
    </w:p>
    <w:p>
      <w:pPr>
        <w:pStyle w:val="BodyText"/>
        <w:rPr>
          <w:i/>
        </w:rPr>
      </w:pPr>
    </w:p>
    <w:p>
      <w:pPr>
        <w:pStyle w:val="BodyText"/>
        <w:spacing w:line="480" w:lineRule="auto"/>
        <w:ind w:left="681" w:right="271"/>
        <w:jc w:val="both"/>
      </w:pPr>
      <w:r>
        <w:rPr>
          <w:b/>
        </w:rPr>
        <w:t>2,5- and 3,4- Substituted Isomers: </w:t>
      </w:r>
      <w:r>
        <w:rPr/>
        <w:t>A portion of each isomer (32.4 g, 0.2 mol) was</w:t>
      </w:r>
      <w:r>
        <w:rPr>
          <w:spacing w:val="40"/>
        </w:rPr>
        <w:t> </w:t>
      </w:r>
      <w:r>
        <w:rPr/>
        <w:t>mixed with pure</w:t>
      </w:r>
      <w:r>
        <w:rPr>
          <w:spacing w:val="-1"/>
        </w:rPr>
        <w:t> </w:t>
      </w:r>
      <w:r>
        <w:rPr/>
        <w:t>acrylamide</w:t>
      </w:r>
      <w:r>
        <w:rPr>
          <w:spacing w:val="-1"/>
        </w:rPr>
        <w:t> </w:t>
      </w:r>
      <w:r>
        <w:rPr/>
        <w:t>(14.2 g, 0.2 mol) in separate</w:t>
      </w:r>
      <w:r>
        <w:rPr>
          <w:spacing w:val="-1"/>
        </w:rPr>
        <w:t> </w:t>
      </w:r>
      <w:r>
        <w:rPr/>
        <w:t>beakers of</w:t>
      </w:r>
      <w:r>
        <w:rPr>
          <w:spacing w:val="-3"/>
        </w:rPr>
        <w:t> </w:t>
      </w:r>
      <w:r>
        <w:rPr/>
        <w:t>250 ml</w:t>
      </w:r>
      <w:r>
        <w:rPr>
          <w:spacing w:val="-4"/>
        </w:rPr>
        <w:t> </w:t>
      </w:r>
      <w:r>
        <w:rPr/>
        <w:t>capacity, and heated on a water bath (maintained at about 85</w:t>
      </w:r>
      <w:r>
        <w:rPr>
          <w:vertAlign w:val="superscript"/>
        </w:rPr>
        <w:t>0</w:t>
      </w:r>
      <w:r>
        <w:rPr>
          <w:vertAlign w:val="baseline"/>
        </w:rPr>
        <w:t>C) for about 30 minutes until</w:t>
      </w:r>
      <w:r>
        <w:rPr>
          <w:spacing w:val="40"/>
          <w:vertAlign w:val="baseline"/>
        </w:rPr>
        <w:t> </w:t>
      </w:r>
      <w:r>
        <w:rPr>
          <w:vertAlign w:val="baseline"/>
        </w:rPr>
        <w:t>homogenous mixture</w:t>
      </w:r>
      <w:r>
        <w:rPr>
          <w:spacing w:val="-3"/>
          <w:vertAlign w:val="baseline"/>
        </w:rPr>
        <w:t> </w:t>
      </w:r>
      <w:r>
        <w:rPr>
          <w:vertAlign w:val="baseline"/>
        </w:rPr>
        <w:t>was</w:t>
      </w:r>
      <w:r>
        <w:rPr>
          <w:spacing w:val="-4"/>
          <w:vertAlign w:val="baseline"/>
        </w:rPr>
        <w:t> </w:t>
      </w:r>
      <w:r>
        <w:rPr>
          <w:vertAlign w:val="baseline"/>
        </w:rPr>
        <w:t>obtained. The mixture</w:t>
      </w:r>
      <w:r>
        <w:rPr>
          <w:spacing w:val="-3"/>
          <w:vertAlign w:val="baseline"/>
        </w:rPr>
        <w:t> </w:t>
      </w:r>
      <w:r>
        <w:rPr>
          <w:vertAlign w:val="baseline"/>
        </w:rPr>
        <w:t>was left to</w:t>
      </w:r>
      <w:r>
        <w:rPr>
          <w:spacing w:val="-2"/>
          <w:vertAlign w:val="baseline"/>
        </w:rPr>
        <w:t> </w:t>
      </w:r>
      <w:r>
        <w:rPr>
          <w:vertAlign w:val="baseline"/>
        </w:rPr>
        <w:t>stand</w:t>
      </w:r>
      <w:r>
        <w:rPr>
          <w:spacing w:val="-2"/>
          <w:vertAlign w:val="baseline"/>
        </w:rPr>
        <w:t> </w:t>
      </w:r>
      <w:r>
        <w:rPr>
          <w:vertAlign w:val="baseline"/>
        </w:rPr>
        <w:t>at</w:t>
      </w:r>
      <w:r>
        <w:rPr>
          <w:spacing w:val="-2"/>
          <w:vertAlign w:val="baseline"/>
        </w:rPr>
        <w:t> </w:t>
      </w:r>
      <w:r>
        <w:rPr>
          <w:vertAlign w:val="baseline"/>
        </w:rPr>
        <w:t>room</w:t>
      </w:r>
      <w:r>
        <w:rPr>
          <w:spacing w:val="-10"/>
          <w:vertAlign w:val="baseline"/>
        </w:rPr>
        <w:t> </w:t>
      </w:r>
      <w:r>
        <w:rPr>
          <w:vertAlign w:val="baseline"/>
        </w:rPr>
        <w:t>temperature</w:t>
      </w:r>
      <w:r>
        <w:rPr>
          <w:spacing w:val="-3"/>
          <w:vertAlign w:val="baseline"/>
        </w:rPr>
        <w:t> </w:t>
      </w:r>
      <w:r>
        <w:rPr>
          <w:vertAlign w:val="baseline"/>
        </w:rPr>
        <w:t>for 2 weeks. Benzene was used for recrystalization of each of the products. The residue was washed several times with benzene until a single spot on TLC was obtained for each.</w:t>
      </w:r>
    </w:p>
    <w:p>
      <w:pPr>
        <w:pStyle w:val="BodyText"/>
      </w:pPr>
    </w:p>
    <w:p>
      <w:pPr>
        <w:pStyle w:val="BodyText"/>
        <w:spacing w:before="1"/>
      </w:pPr>
    </w:p>
    <w:p>
      <w:pPr>
        <w:pStyle w:val="BodyText"/>
        <w:spacing w:line="480" w:lineRule="auto" w:before="1"/>
        <w:ind w:left="681" w:right="271"/>
        <w:jc w:val="both"/>
      </w:pPr>
      <w:r>
        <w:rPr>
          <w:b/>
        </w:rPr>
        <w:t>2,3- Substituted</w:t>
      </w:r>
      <w:r>
        <w:rPr>
          <w:b/>
          <w:spacing w:val="-1"/>
        </w:rPr>
        <w:t> </w:t>
      </w:r>
      <w:r>
        <w:rPr>
          <w:b/>
        </w:rPr>
        <w:t>Isomer: </w:t>
      </w:r>
      <w:r>
        <w:rPr/>
        <w:t>An</w:t>
      </w:r>
      <w:r>
        <w:rPr>
          <w:spacing w:val="-7"/>
        </w:rPr>
        <w:t> </w:t>
      </w:r>
      <w:r>
        <w:rPr/>
        <w:t>equivalent volume based</w:t>
      </w:r>
      <w:r>
        <w:rPr>
          <w:spacing w:val="-1"/>
        </w:rPr>
        <w:t> </w:t>
      </w:r>
      <w:r>
        <w:rPr/>
        <w:t>on</w:t>
      </w:r>
      <w:r>
        <w:rPr>
          <w:spacing w:val="-1"/>
        </w:rPr>
        <w:t> </w:t>
      </w:r>
      <w:r>
        <w:rPr/>
        <w:t>its</w:t>
      </w:r>
      <w:r>
        <w:rPr>
          <w:spacing w:val="-3"/>
        </w:rPr>
        <w:t> </w:t>
      </w:r>
      <w:r>
        <w:rPr/>
        <w:t>density</w:t>
      </w:r>
      <w:r>
        <w:rPr>
          <w:spacing w:val="-6"/>
        </w:rPr>
        <w:t> </w:t>
      </w:r>
      <w:r>
        <w:rPr/>
        <w:t>was measured</w:t>
      </w:r>
      <w:r>
        <w:rPr>
          <w:spacing w:val="-1"/>
        </w:rPr>
        <w:t> </w:t>
      </w:r>
      <w:r>
        <w:rPr/>
        <w:t>using pipette and mixed with 0.2 mol (14.2 g) of acrylamide in a 250 ml beaker. The flask containing the two reactants were heated on a water bath (maintained at about 85</w:t>
      </w:r>
      <w:r>
        <w:rPr>
          <w:vertAlign w:val="superscript"/>
        </w:rPr>
        <w:t>0</w:t>
      </w:r>
      <w:r>
        <w:rPr>
          <w:vertAlign w:val="baseline"/>
        </w:rPr>
        <w:t>C) for about 25 minutes until homogenous solution was obtained. The mixture was left to stand at room</w:t>
      </w:r>
      <w:r>
        <w:rPr>
          <w:spacing w:val="-1"/>
          <w:vertAlign w:val="baseline"/>
        </w:rPr>
        <w:t> </w:t>
      </w:r>
      <w:r>
        <w:rPr>
          <w:vertAlign w:val="baseline"/>
        </w:rPr>
        <w:t>temperature; on cooling, traces of crystals were beginning to form. This was left to stand for 3 weeks when the formed crystals had completely dissolved to form homogenous semi – solid. TLC profile of the product gave a single spot.</w:t>
      </w:r>
    </w:p>
    <w:p>
      <w:pPr>
        <w:spacing w:after="0" w:line="480" w:lineRule="auto"/>
        <w:jc w:val="both"/>
        <w:sectPr>
          <w:pgSz w:w="12240" w:h="15840"/>
          <w:pgMar w:header="0" w:footer="1066" w:top="1360" w:bottom="1260" w:left="1480" w:right="1160"/>
        </w:sectPr>
      </w:pPr>
    </w:p>
    <w:p>
      <w:pPr>
        <w:spacing w:before="72"/>
        <w:ind w:left="681" w:right="0" w:firstLine="0"/>
        <w:jc w:val="left"/>
        <w:rPr>
          <w:b/>
          <w:sz w:val="24"/>
        </w:rPr>
      </w:pPr>
      <w:r>
        <w:rPr>
          <w:b/>
          <w:sz w:val="24"/>
        </w:rPr>
        <w:t>Scheme</w:t>
      </w:r>
      <w:r>
        <w:rPr>
          <w:b/>
          <w:spacing w:val="-4"/>
          <w:sz w:val="24"/>
        </w:rPr>
        <w:t> </w:t>
      </w:r>
      <w:r>
        <w:rPr>
          <w:b/>
          <w:sz w:val="24"/>
        </w:rPr>
        <w:t>1</w:t>
      </w:r>
      <w:r>
        <w:rPr>
          <w:b/>
          <w:spacing w:val="-2"/>
          <w:sz w:val="24"/>
        </w:rPr>
        <w:t> </w:t>
      </w:r>
      <w:r>
        <w:rPr>
          <w:sz w:val="24"/>
        </w:rPr>
        <w:t>(Figure</w:t>
      </w:r>
      <w:r>
        <w:rPr>
          <w:spacing w:val="-3"/>
          <w:sz w:val="24"/>
        </w:rPr>
        <w:t> </w:t>
      </w:r>
      <w:r>
        <w:rPr>
          <w:spacing w:val="-5"/>
          <w:sz w:val="24"/>
        </w:rPr>
        <w:t>2</w:t>
      </w:r>
      <w:r>
        <w:rPr>
          <w:b/>
          <w:spacing w:val="-5"/>
          <w:sz w:val="24"/>
        </w:rPr>
        <w:t>):</w:t>
      </w:r>
    </w:p>
    <w:p>
      <w:pPr>
        <w:pStyle w:val="BodyText"/>
        <w:spacing w:before="90"/>
        <w:rPr>
          <w:b/>
          <w:sz w:val="15"/>
        </w:rPr>
      </w:pPr>
    </w:p>
    <w:p>
      <w:pPr>
        <w:tabs>
          <w:tab w:pos="4300" w:val="left" w:leader="none"/>
          <w:tab w:pos="4897" w:val="left" w:leader="none"/>
        </w:tabs>
        <w:spacing w:before="1"/>
        <w:ind w:left="3698" w:right="0" w:firstLine="0"/>
        <w:jc w:val="left"/>
        <w:rPr>
          <w:rFonts w:ascii="Arial MT"/>
          <w:sz w:val="15"/>
        </w:rPr>
      </w:pPr>
      <w:r>
        <w:rPr/>
        <mc:AlternateContent>
          <mc:Choice Requires="wps">
            <w:drawing>
              <wp:anchor distT="0" distB="0" distL="0" distR="0" allowOverlap="1" layoutInCell="1" locked="0" behindDoc="0" simplePos="0" relativeHeight="15736832">
                <wp:simplePos x="0" y="0"/>
                <wp:positionH relativeFrom="page">
                  <wp:posOffset>1562353</wp:posOffset>
                </wp:positionH>
                <wp:positionV relativeFrom="paragraph">
                  <wp:posOffset>108421</wp:posOffset>
                </wp:positionV>
                <wp:extent cx="1194435" cy="81153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194435" cy="811530"/>
                          <a:chExt cx="1194435" cy="811530"/>
                        </a:xfrm>
                      </wpg:grpSpPr>
                      <wps:wsp>
                        <wps:cNvPr id="18" name="Graphic 18"/>
                        <wps:cNvSpPr/>
                        <wps:spPr>
                          <a:xfrm>
                            <a:off x="106952" y="5769"/>
                            <a:ext cx="1087755" cy="706120"/>
                          </a:xfrm>
                          <a:custGeom>
                            <a:avLst/>
                            <a:gdLst/>
                            <a:ahLst/>
                            <a:cxnLst/>
                            <a:rect l="l" t="t" r="r" b="b"/>
                            <a:pathLst>
                              <a:path w="1087755" h="706120">
                                <a:moveTo>
                                  <a:pt x="571912" y="0"/>
                                </a:moveTo>
                                <a:lnTo>
                                  <a:pt x="189787" y="0"/>
                                </a:lnTo>
                              </a:path>
                              <a:path w="1087755" h="706120">
                                <a:moveTo>
                                  <a:pt x="545920" y="34507"/>
                                </a:moveTo>
                                <a:lnTo>
                                  <a:pt x="217167" y="34507"/>
                                </a:lnTo>
                              </a:path>
                              <a:path w="1087755" h="706120">
                                <a:moveTo>
                                  <a:pt x="189787" y="0"/>
                                </a:moveTo>
                                <a:lnTo>
                                  <a:pt x="0" y="248562"/>
                                </a:lnTo>
                              </a:path>
                              <a:path w="1087755" h="706120">
                                <a:moveTo>
                                  <a:pt x="0" y="248562"/>
                                </a:moveTo>
                                <a:lnTo>
                                  <a:pt x="191176" y="498325"/>
                                </a:lnTo>
                              </a:path>
                              <a:path w="1087755" h="706120">
                                <a:moveTo>
                                  <a:pt x="51973" y="248562"/>
                                </a:moveTo>
                                <a:lnTo>
                                  <a:pt x="217167" y="463817"/>
                                </a:lnTo>
                              </a:path>
                              <a:path w="1087755" h="706120">
                                <a:moveTo>
                                  <a:pt x="191176" y="498325"/>
                                </a:moveTo>
                                <a:lnTo>
                                  <a:pt x="573528" y="498325"/>
                                </a:lnTo>
                              </a:path>
                              <a:path w="1087755" h="706120">
                                <a:moveTo>
                                  <a:pt x="573528" y="498325"/>
                                </a:moveTo>
                                <a:lnTo>
                                  <a:pt x="763078" y="248562"/>
                                </a:lnTo>
                              </a:path>
                              <a:path w="1087755" h="706120">
                                <a:moveTo>
                                  <a:pt x="545920" y="463817"/>
                                </a:moveTo>
                                <a:lnTo>
                                  <a:pt x="711114" y="248562"/>
                                </a:lnTo>
                              </a:path>
                              <a:path w="1087755" h="706120">
                                <a:moveTo>
                                  <a:pt x="763078" y="248562"/>
                                </a:moveTo>
                                <a:lnTo>
                                  <a:pt x="571912" y="0"/>
                                </a:lnTo>
                              </a:path>
                              <a:path w="1087755" h="706120">
                                <a:moveTo>
                                  <a:pt x="763078" y="248562"/>
                                </a:moveTo>
                                <a:lnTo>
                                  <a:pt x="1087161" y="248562"/>
                                </a:lnTo>
                              </a:path>
                              <a:path w="1087755" h="706120">
                                <a:moveTo>
                                  <a:pt x="573528" y="498325"/>
                                </a:moveTo>
                                <a:lnTo>
                                  <a:pt x="795100" y="665305"/>
                                </a:lnTo>
                              </a:path>
                              <a:path w="1087755" h="706120">
                                <a:moveTo>
                                  <a:pt x="191176" y="498325"/>
                                </a:moveTo>
                                <a:lnTo>
                                  <a:pt x="32249" y="705564"/>
                                </a:lnTo>
                              </a:path>
                            </a:pathLst>
                          </a:custGeom>
                          <a:ln w="10767">
                            <a:solidFill>
                              <a:srgbClr val="000000"/>
                            </a:solidFill>
                            <a:prstDash val="solid"/>
                          </a:ln>
                        </wps:spPr>
                        <wps:bodyPr wrap="square" lIns="0" tIns="0" rIns="0" bIns="0" rtlCol="0">
                          <a:prstTxWarp prst="textNoShape">
                            <a:avLst/>
                          </a:prstTxWarp>
                          <a:noAutofit/>
                        </wps:bodyPr>
                      </wps:wsp>
                      <wps:wsp>
                        <wps:cNvPr id="19" name="Textbox 19"/>
                        <wps:cNvSpPr txBox="1"/>
                        <wps:spPr>
                          <a:xfrm>
                            <a:off x="325737" y="1055"/>
                            <a:ext cx="116839" cy="127635"/>
                          </a:xfrm>
                          <a:prstGeom prst="rect">
                            <a:avLst/>
                          </a:prstGeom>
                        </wps:spPr>
                        <wps:txbx>
                          <w:txbxContent>
                            <w:p>
                              <w:pPr>
                                <w:spacing w:line="200" w:lineRule="exact" w:before="0"/>
                                <w:ind w:left="0" w:right="0" w:firstLine="0"/>
                                <w:jc w:val="left"/>
                                <w:rPr>
                                  <w:sz w:val="18"/>
                                </w:rPr>
                              </w:pPr>
                              <w:r>
                                <w:rPr>
                                  <w:spacing w:val="-5"/>
                                  <w:w w:val="135"/>
                                  <w:sz w:val="18"/>
                                </w:rPr>
                                <w:t>5'</w:t>
                              </w:r>
                            </w:p>
                          </w:txbxContent>
                        </wps:txbx>
                        <wps:bodyPr wrap="square" lIns="0" tIns="0" rIns="0" bIns="0" rtlCol="0">
                          <a:noAutofit/>
                        </wps:bodyPr>
                      </wps:wsp>
                      <wps:wsp>
                        <wps:cNvPr id="20" name="Textbox 20"/>
                        <wps:cNvSpPr txBox="1"/>
                        <wps:spPr>
                          <a:xfrm>
                            <a:off x="210900" y="145023"/>
                            <a:ext cx="117475" cy="127635"/>
                          </a:xfrm>
                          <a:prstGeom prst="rect">
                            <a:avLst/>
                          </a:prstGeom>
                        </wps:spPr>
                        <wps:txbx>
                          <w:txbxContent>
                            <w:p>
                              <w:pPr>
                                <w:spacing w:line="200" w:lineRule="exact" w:before="0"/>
                                <w:ind w:left="0" w:right="0" w:firstLine="0"/>
                                <w:jc w:val="left"/>
                                <w:rPr>
                                  <w:sz w:val="18"/>
                                </w:rPr>
                              </w:pPr>
                              <w:r>
                                <w:rPr>
                                  <w:spacing w:val="-5"/>
                                  <w:w w:val="135"/>
                                  <w:sz w:val="18"/>
                                </w:rPr>
                                <w:t>4'</w:t>
                              </w:r>
                            </w:p>
                          </w:txbxContent>
                        </wps:txbx>
                        <wps:bodyPr wrap="square" lIns="0" tIns="0" rIns="0" bIns="0" rtlCol="0">
                          <a:noAutofit/>
                        </wps:bodyPr>
                      </wps:wsp>
                      <wps:wsp>
                        <wps:cNvPr id="21" name="Textbox 21"/>
                        <wps:cNvSpPr txBox="1"/>
                        <wps:spPr>
                          <a:xfrm>
                            <a:off x="345462" y="303808"/>
                            <a:ext cx="117475" cy="127635"/>
                          </a:xfrm>
                          <a:prstGeom prst="rect">
                            <a:avLst/>
                          </a:prstGeom>
                        </wps:spPr>
                        <wps:txbx>
                          <w:txbxContent>
                            <w:p>
                              <w:pPr>
                                <w:spacing w:line="200" w:lineRule="exact" w:before="0"/>
                                <w:ind w:left="0" w:right="0" w:firstLine="0"/>
                                <w:jc w:val="left"/>
                                <w:rPr>
                                  <w:sz w:val="18"/>
                                </w:rPr>
                              </w:pPr>
                              <w:r>
                                <w:rPr>
                                  <w:spacing w:val="-5"/>
                                  <w:w w:val="135"/>
                                  <w:sz w:val="18"/>
                                </w:rPr>
                                <w:t>3'</w:t>
                              </w:r>
                            </w:p>
                          </w:txbxContent>
                        </wps:txbx>
                        <wps:bodyPr wrap="square" lIns="0" tIns="0" rIns="0" bIns="0" rtlCol="0">
                          <a:noAutofit/>
                        </wps:bodyPr>
                      </wps:wsp>
                      <wps:wsp>
                        <wps:cNvPr id="22" name="Textbox 22"/>
                        <wps:cNvSpPr txBox="1"/>
                        <wps:spPr>
                          <a:xfrm>
                            <a:off x="565635" y="1055"/>
                            <a:ext cx="269875" cy="459105"/>
                          </a:xfrm>
                          <a:prstGeom prst="rect">
                            <a:avLst/>
                          </a:prstGeom>
                        </wps:spPr>
                        <wps:txbx>
                          <w:txbxContent>
                            <w:p>
                              <w:pPr>
                                <w:spacing w:line="200" w:lineRule="exact" w:before="0"/>
                                <w:ind w:left="103" w:right="0" w:firstLine="0"/>
                                <w:jc w:val="left"/>
                                <w:rPr>
                                  <w:sz w:val="18"/>
                                </w:rPr>
                              </w:pPr>
                              <w:r>
                                <w:rPr>
                                  <w:spacing w:val="-5"/>
                                  <w:w w:val="135"/>
                                  <w:sz w:val="18"/>
                                </w:rPr>
                                <w:t>6'</w:t>
                              </w:r>
                            </w:p>
                            <w:p>
                              <w:pPr>
                                <w:spacing w:before="30"/>
                                <w:ind w:left="240" w:right="0" w:firstLine="0"/>
                                <w:jc w:val="left"/>
                                <w:rPr>
                                  <w:sz w:val="18"/>
                                </w:rPr>
                              </w:pPr>
                              <w:r>
                                <w:rPr>
                                  <w:spacing w:val="-5"/>
                                  <w:w w:val="135"/>
                                  <w:sz w:val="18"/>
                                </w:rPr>
                                <w:t>1'</w:t>
                              </w:r>
                            </w:p>
                            <w:p>
                              <w:pPr>
                                <w:spacing w:before="78"/>
                                <w:ind w:left="0" w:right="0" w:firstLine="0"/>
                                <w:jc w:val="left"/>
                                <w:rPr>
                                  <w:sz w:val="18"/>
                                </w:rPr>
                              </w:pPr>
                              <w:r>
                                <w:rPr>
                                  <w:spacing w:val="-5"/>
                                  <w:w w:val="135"/>
                                  <w:sz w:val="18"/>
                                </w:rPr>
                                <w:t>2'</w:t>
                              </w:r>
                            </w:p>
                          </w:txbxContent>
                        </wps:txbx>
                        <wps:bodyPr wrap="square" lIns="0" tIns="0" rIns="0" bIns="0" rtlCol="0">
                          <a:noAutofit/>
                        </wps:bodyPr>
                      </wps:wsp>
                      <wps:wsp>
                        <wps:cNvPr id="23" name="Textbox 23"/>
                        <wps:cNvSpPr txBox="1"/>
                        <wps:spPr>
                          <a:xfrm>
                            <a:off x="0" y="703406"/>
                            <a:ext cx="133350" cy="107950"/>
                          </a:xfrm>
                          <a:prstGeom prst="rect">
                            <a:avLst/>
                          </a:prstGeom>
                        </wps:spPr>
                        <wps:txbx>
                          <w:txbxContent>
                            <w:p>
                              <w:pPr>
                                <w:spacing w:line="169" w:lineRule="exact" w:before="0"/>
                                <w:ind w:left="0" w:right="0" w:firstLine="0"/>
                                <w:jc w:val="left"/>
                                <w:rPr>
                                  <w:rFonts w:ascii="Arial MT"/>
                                  <w:sz w:val="15"/>
                                </w:rPr>
                              </w:pPr>
                              <w:r>
                                <w:rPr>
                                  <w:rFonts w:ascii="Arial MT"/>
                                  <w:spacing w:val="-5"/>
                                  <w:w w:val="135"/>
                                  <w:sz w:val="15"/>
                                </w:rPr>
                                <w:t>Cl</w:t>
                              </w:r>
                            </w:p>
                          </w:txbxContent>
                        </wps:txbx>
                        <wps:bodyPr wrap="square" lIns="0" tIns="0" rIns="0" bIns="0" rtlCol="0">
                          <a:noAutofit/>
                        </wps:bodyPr>
                      </wps:wsp>
                      <wps:wsp>
                        <wps:cNvPr id="24" name="Textbox 24"/>
                        <wps:cNvSpPr txBox="1"/>
                        <wps:spPr>
                          <a:xfrm>
                            <a:off x="903679" y="657392"/>
                            <a:ext cx="133350" cy="107950"/>
                          </a:xfrm>
                          <a:prstGeom prst="rect">
                            <a:avLst/>
                          </a:prstGeom>
                        </wps:spPr>
                        <wps:txbx>
                          <w:txbxContent>
                            <w:p>
                              <w:pPr>
                                <w:spacing w:line="169" w:lineRule="exact" w:before="0"/>
                                <w:ind w:left="0" w:right="0" w:firstLine="0"/>
                                <w:jc w:val="left"/>
                                <w:rPr>
                                  <w:rFonts w:ascii="Arial MT"/>
                                  <w:sz w:val="15"/>
                                </w:rPr>
                              </w:pPr>
                              <w:r>
                                <w:rPr>
                                  <w:rFonts w:ascii="Arial MT"/>
                                  <w:spacing w:val="-5"/>
                                  <w:w w:val="135"/>
                                  <w:sz w:val="15"/>
                                </w:rPr>
                                <w:t>Cl</w:t>
                              </w:r>
                            </w:p>
                          </w:txbxContent>
                        </wps:txbx>
                        <wps:bodyPr wrap="square" lIns="0" tIns="0" rIns="0" bIns="0" rtlCol="0">
                          <a:noAutofit/>
                        </wps:bodyPr>
                      </wps:wsp>
                    </wpg:wgp>
                  </a:graphicData>
                </a:graphic>
              </wp:anchor>
            </w:drawing>
          </mc:Choice>
          <mc:Fallback>
            <w:pict>
              <v:group style="position:absolute;margin-left:123.019997pt;margin-top:8.537142pt;width:94.05pt;height:63.9pt;mso-position-horizontal-relative:page;mso-position-vertical-relative:paragraph;z-index:15736832" id="docshapegroup16" coordorigin="2460,171" coordsize="1881,1278">
                <v:shape style="position:absolute;left:2628;top:179;width:1713;height:1112" id="docshape17" coordorigin="2629,180" coordsize="1713,1112" path="m3529,180l2928,180m3489,234l2971,234m2928,180l2629,571m2629,571l2930,965m2711,571l2971,910m2930,965l3532,965m3532,965l3831,571m3489,910l3749,571m3831,571l3529,180m3831,571l4341,571m3532,965l3881,1228m2930,965l2680,1291e" filled="false" stroked="true" strokeweight=".847819pt" strokecolor="#000000">
                  <v:path arrowok="t"/>
                  <v:stroke dashstyle="solid"/>
                </v:shape>
                <v:shape style="position:absolute;left:2973;top:172;width:184;height:201" type="#_x0000_t202" id="docshape18" filled="false" stroked="false">
                  <v:textbox inset="0,0,0,0">
                    <w:txbxContent>
                      <w:p>
                        <w:pPr>
                          <w:spacing w:line="200" w:lineRule="exact" w:before="0"/>
                          <w:ind w:left="0" w:right="0" w:firstLine="0"/>
                          <w:jc w:val="left"/>
                          <w:rPr>
                            <w:sz w:val="18"/>
                          </w:rPr>
                        </w:pPr>
                        <w:r>
                          <w:rPr>
                            <w:spacing w:val="-5"/>
                            <w:w w:val="135"/>
                            <w:sz w:val="18"/>
                          </w:rPr>
                          <w:t>5'</w:t>
                        </w:r>
                      </w:p>
                    </w:txbxContent>
                  </v:textbox>
                  <w10:wrap type="none"/>
                </v:shape>
                <v:shape style="position:absolute;left:2792;top:399;width:185;height:201" type="#_x0000_t202" id="docshape19" filled="false" stroked="false">
                  <v:textbox inset="0,0,0,0">
                    <w:txbxContent>
                      <w:p>
                        <w:pPr>
                          <w:spacing w:line="200" w:lineRule="exact" w:before="0"/>
                          <w:ind w:left="0" w:right="0" w:firstLine="0"/>
                          <w:jc w:val="left"/>
                          <w:rPr>
                            <w:sz w:val="18"/>
                          </w:rPr>
                        </w:pPr>
                        <w:r>
                          <w:rPr>
                            <w:spacing w:val="-5"/>
                            <w:w w:val="135"/>
                            <w:sz w:val="18"/>
                          </w:rPr>
                          <w:t>4'</w:t>
                        </w:r>
                      </w:p>
                    </w:txbxContent>
                  </v:textbox>
                  <w10:wrap type="none"/>
                </v:shape>
                <v:shape style="position:absolute;left:3004;top:649;width:185;height:201" type="#_x0000_t202" id="docshape20" filled="false" stroked="false">
                  <v:textbox inset="0,0,0,0">
                    <w:txbxContent>
                      <w:p>
                        <w:pPr>
                          <w:spacing w:line="200" w:lineRule="exact" w:before="0"/>
                          <w:ind w:left="0" w:right="0" w:firstLine="0"/>
                          <w:jc w:val="left"/>
                          <w:rPr>
                            <w:sz w:val="18"/>
                          </w:rPr>
                        </w:pPr>
                        <w:r>
                          <w:rPr>
                            <w:spacing w:val="-5"/>
                            <w:w w:val="135"/>
                            <w:sz w:val="18"/>
                          </w:rPr>
                          <w:t>3'</w:t>
                        </w:r>
                      </w:p>
                    </w:txbxContent>
                  </v:textbox>
                  <w10:wrap type="none"/>
                </v:shape>
                <v:shape style="position:absolute;left:3351;top:172;width:425;height:723" type="#_x0000_t202" id="docshape21" filled="false" stroked="false">
                  <v:textbox inset="0,0,0,0">
                    <w:txbxContent>
                      <w:p>
                        <w:pPr>
                          <w:spacing w:line="200" w:lineRule="exact" w:before="0"/>
                          <w:ind w:left="103" w:right="0" w:firstLine="0"/>
                          <w:jc w:val="left"/>
                          <w:rPr>
                            <w:sz w:val="18"/>
                          </w:rPr>
                        </w:pPr>
                        <w:r>
                          <w:rPr>
                            <w:spacing w:val="-5"/>
                            <w:w w:val="135"/>
                            <w:sz w:val="18"/>
                          </w:rPr>
                          <w:t>6'</w:t>
                        </w:r>
                      </w:p>
                      <w:p>
                        <w:pPr>
                          <w:spacing w:before="30"/>
                          <w:ind w:left="240" w:right="0" w:firstLine="0"/>
                          <w:jc w:val="left"/>
                          <w:rPr>
                            <w:sz w:val="18"/>
                          </w:rPr>
                        </w:pPr>
                        <w:r>
                          <w:rPr>
                            <w:spacing w:val="-5"/>
                            <w:w w:val="135"/>
                            <w:sz w:val="18"/>
                          </w:rPr>
                          <w:t>1'</w:t>
                        </w:r>
                      </w:p>
                      <w:p>
                        <w:pPr>
                          <w:spacing w:before="78"/>
                          <w:ind w:left="0" w:right="0" w:firstLine="0"/>
                          <w:jc w:val="left"/>
                          <w:rPr>
                            <w:sz w:val="18"/>
                          </w:rPr>
                        </w:pPr>
                        <w:r>
                          <w:rPr>
                            <w:spacing w:val="-5"/>
                            <w:w w:val="135"/>
                            <w:sz w:val="18"/>
                          </w:rPr>
                          <w:t>2'</w:t>
                        </w:r>
                      </w:p>
                    </w:txbxContent>
                  </v:textbox>
                  <w10:wrap type="none"/>
                </v:shape>
                <v:shape style="position:absolute;left:2460;top:1278;width:210;height:170" type="#_x0000_t202" id="docshape22" filled="false" stroked="false">
                  <v:textbox inset="0,0,0,0">
                    <w:txbxContent>
                      <w:p>
                        <w:pPr>
                          <w:spacing w:line="169" w:lineRule="exact" w:before="0"/>
                          <w:ind w:left="0" w:right="0" w:firstLine="0"/>
                          <w:jc w:val="left"/>
                          <w:rPr>
                            <w:rFonts w:ascii="Arial MT"/>
                            <w:sz w:val="15"/>
                          </w:rPr>
                        </w:pPr>
                        <w:r>
                          <w:rPr>
                            <w:rFonts w:ascii="Arial MT"/>
                            <w:spacing w:val="-5"/>
                            <w:w w:val="135"/>
                            <w:sz w:val="15"/>
                          </w:rPr>
                          <w:t>Cl</w:t>
                        </w:r>
                      </w:p>
                    </w:txbxContent>
                  </v:textbox>
                  <w10:wrap type="none"/>
                </v:shape>
                <v:shape style="position:absolute;left:3883;top:1206;width:210;height:170" type="#_x0000_t202" id="docshape23" filled="false" stroked="false">
                  <v:textbox inset="0,0,0,0">
                    <w:txbxContent>
                      <w:p>
                        <w:pPr>
                          <w:spacing w:line="169" w:lineRule="exact" w:before="0"/>
                          <w:ind w:left="0" w:right="0" w:firstLine="0"/>
                          <w:jc w:val="left"/>
                          <w:rPr>
                            <w:rFonts w:ascii="Arial MT"/>
                            <w:sz w:val="15"/>
                          </w:rPr>
                        </w:pPr>
                        <w:r>
                          <w:rPr>
                            <w:rFonts w:ascii="Arial MT"/>
                            <w:spacing w:val="-5"/>
                            <w:w w:val="135"/>
                            <w:sz w:val="15"/>
                          </w:rPr>
                          <w:t>Cl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3334410</wp:posOffset>
                </wp:positionH>
                <wp:positionV relativeFrom="paragraph">
                  <wp:posOffset>107261</wp:posOffset>
                </wp:positionV>
                <wp:extent cx="1270" cy="18097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270" cy="180975"/>
                        </a:xfrm>
                        <a:custGeom>
                          <a:avLst/>
                          <a:gdLst/>
                          <a:ahLst/>
                          <a:cxnLst/>
                          <a:rect l="l" t="t" r="r" b="b"/>
                          <a:pathLst>
                            <a:path w="0" h="180975">
                              <a:moveTo>
                                <a:pt x="0" y="180718"/>
                              </a:moveTo>
                              <a:lnTo>
                                <a:pt x="0" y="0"/>
                              </a:lnTo>
                            </a:path>
                          </a:pathLst>
                        </a:custGeom>
                        <a:ln w="122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262.551971pt,22.675607pt" to="262.551971pt,8.445776pt" stroked="true" strokeweight=".968254pt" strokecolor="#000000">
                <v:stroke dashstyle="solid"/>
                <w10:wrap type="none"/>
              </v:line>
            </w:pict>
          </mc:Fallback>
        </mc:AlternateContent>
      </w:r>
      <w:r>
        <w:rPr/>
        <mc:AlternateContent>
          <mc:Choice Requires="wps">
            <w:drawing>
              <wp:anchor distT="0" distB="0" distL="0" distR="0" allowOverlap="1" layoutInCell="1" locked="0" behindDoc="0" simplePos="0" relativeHeight="15738368">
                <wp:simplePos x="0" y="0"/>
                <wp:positionH relativeFrom="page">
                  <wp:posOffset>3716819</wp:posOffset>
                </wp:positionH>
                <wp:positionV relativeFrom="paragraph">
                  <wp:posOffset>107261</wp:posOffset>
                </wp:positionV>
                <wp:extent cx="1270" cy="18097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270" cy="180975"/>
                        </a:xfrm>
                        <a:custGeom>
                          <a:avLst/>
                          <a:gdLst/>
                          <a:ahLst/>
                          <a:cxnLst/>
                          <a:rect l="l" t="t" r="r" b="b"/>
                          <a:pathLst>
                            <a:path w="0" h="180975">
                              <a:moveTo>
                                <a:pt x="0" y="180718"/>
                              </a:moveTo>
                              <a:lnTo>
                                <a:pt x="0" y="0"/>
                              </a:lnTo>
                            </a:path>
                          </a:pathLst>
                        </a:custGeom>
                        <a:ln w="122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292.662964pt,22.675607pt" to="292.662964pt,8.445776pt" stroked="true" strokeweight=".968254pt" strokecolor="#000000">
                <v:stroke dashstyle="solid"/>
                <w10:wrap type="none"/>
              </v:line>
            </w:pict>
          </mc:Fallback>
        </mc:AlternateContent>
      </w:r>
      <w:r>
        <w:rPr/>
        <mc:AlternateContent>
          <mc:Choice Requires="wps">
            <w:drawing>
              <wp:anchor distT="0" distB="0" distL="0" distR="0" allowOverlap="1" layoutInCell="1" locked="0" behindDoc="0" simplePos="0" relativeHeight="15739392">
                <wp:simplePos x="0" y="0"/>
                <wp:positionH relativeFrom="page">
                  <wp:posOffset>4076214</wp:posOffset>
                </wp:positionH>
                <wp:positionV relativeFrom="paragraph">
                  <wp:posOffset>108475</wp:posOffset>
                </wp:positionV>
                <wp:extent cx="45720" cy="17970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45720" cy="179705"/>
                        </a:xfrm>
                        <a:custGeom>
                          <a:avLst/>
                          <a:gdLst/>
                          <a:ahLst/>
                          <a:cxnLst/>
                          <a:rect l="l" t="t" r="r" b="b"/>
                          <a:pathLst>
                            <a:path w="45720" h="179705">
                              <a:moveTo>
                                <a:pt x="0" y="179504"/>
                              </a:moveTo>
                              <a:lnTo>
                                <a:pt x="0" y="0"/>
                              </a:lnTo>
                            </a:path>
                            <a:path w="45720" h="179705">
                              <a:moveTo>
                                <a:pt x="45649" y="179504"/>
                              </a:moveTo>
                              <a:lnTo>
                                <a:pt x="45649" y="0"/>
                              </a:lnTo>
                            </a:path>
                          </a:pathLst>
                        </a:custGeom>
                        <a:ln w="1076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0.961761pt;margin-top:8.541409pt;width:3.6pt;height:14.15pt;mso-position-horizontal-relative:page;mso-position-vertical-relative:paragraph;z-index:15739392" id="docshape24" coordorigin="6419,171" coordsize="72,283" path="m6419,454l6419,171m6491,454l6491,171e" filled="false" stroked="true" strokeweight=".847819pt" strokecolor="#000000">
                <v:path arrowok="t"/>
                <v:stroke dashstyle="solid"/>
                <w10:wrap type="none"/>
              </v:shape>
            </w:pict>
          </mc:Fallback>
        </mc:AlternateContent>
      </w:r>
      <w:r>
        <w:rPr>
          <w:rFonts w:ascii="Arial MT"/>
          <w:spacing w:val="-10"/>
          <w:w w:val="135"/>
          <w:sz w:val="15"/>
        </w:rPr>
        <w:t>H</w:t>
      </w:r>
      <w:r>
        <w:rPr>
          <w:rFonts w:ascii="Arial MT"/>
          <w:sz w:val="15"/>
        </w:rPr>
        <w:tab/>
      </w:r>
      <w:r>
        <w:rPr>
          <w:rFonts w:ascii="Arial MT"/>
          <w:spacing w:val="-10"/>
          <w:w w:val="135"/>
          <w:sz w:val="15"/>
        </w:rPr>
        <w:t>H</w:t>
      </w:r>
      <w:r>
        <w:rPr>
          <w:rFonts w:ascii="Arial MT"/>
          <w:sz w:val="15"/>
        </w:rPr>
        <w:tab/>
      </w:r>
      <w:r>
        <w:rPr>
          <w:rFonts w:ascii="Arial MT"/>
          <w:spacing w:val="-10"/>
          <w:w w:val="135"/>
          <w:sz w:val="15"/>
        </w:rPr>
        <w:t>O</w:t>
      </w:r>
    </w:p>
    <w:p>
      <w:pPr>
        <w:tabs>
          <w:tab w:pos="4902" w:val="left" w:leader="none"/>
          <w:tab w:pos="5507" w:val="left" w:leader="none"/>
          <w:tab w:pos="6087" w:val="left" w:leader="none"/>
        </w:tabs>
        <w:spacing w:line="292" w:lineRule="auto" w:before="54"/>
        <w:ind w:left="2882" w:right="3364" w:firstLine="3144"/>
        <w:jc w:val="left"/>
        <w:rPr>
          <w:rFonts w:ascii="Arial MT"/>
          <w:sz w:val="15"/>
        </w:rPr>
      </w:pPr>
      <w:r>
        <w:rPr/>
        <mc:AlternateContent>
          <mc:Choice Requires="wps">
            <w:drawing>
              <wp:anchor distT="0" distB="0" distL="0" distR="0" allowOverlap="1" layoutInCell="1" locked="0" behindDoc="1" simplePos="0" relativeHeight="483919360">
                <wp:simplePos x="0" y="0"/>
                <wp:positionH relativeFrom="page">
                  <wp:posOffset>3334410</wp:posOffset>
                </wp:positionH>
                <wp:positionV relativeFrom="paragraph">
                  <wp:posOffset>294071</wp:posOffset>
                </wp:positionV>
                <wp:extent cx="1270" cy="173355"/>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270" cy="173355"/>
                        </a:xfrm>
                        <a:custGeom>
                          <a:avLst/>
                          <a:gdLst/>
                          <a:ahLst/>
                          <a:cxnLst/>
                          <a:rect l="l" t="t" r="r" b="b"/>
                          <a:pathLst>
                            <a:path w="0" h="173355">
                              <a:moveTo>
                                <a:pt x="0" y="0"/>
                              </a:moveTo>
                              <a:lnTo>
                                <a:pt x="0" y="172731"/>
                              </a:lnTo>
                            </a:path>
                          </a:pathLst>
                        </a:custGeom>
                        <a:ln w="122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97120" from="262.551971pt,23.155235pt" to="262.551971pt,36.756129pt" stroked="true" strokeweight=".968254pt" strokecolor="#000000">
                <v:stroke dashstyle="solid"/>
                <w10:wrap type="none"/>
              </v:line>
            </w:pict>
          </mc:Fallback>
        </mc:AlternateContent>
      </w:r>
      <w:r>
        <w:rPr/>
        <mc:AlternateContent>
          <mc:Choice Requires="wps">
            <w:drawing>
              <wp:anchor distT="0" distB="0" distL="0" distR="0" allowOverlap="1" layoutInCell="1" locked="0" behindDoc="1" simplePos="0" relativeHeight="483920896">
                <wp:simplePos x="0" y="0"/>
                <wp:positionH relativeFrom="page">
                  <wp:posOffset>3781109</wp:posOffset>
                </wp:positionH>
                <wp:positionV relativeFrom="paragraph">
                  <wp:posOffset>229578</wp:posOffset>
                </wp:positionV>
                <wp:extent cx="252729"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252729" cy="1270"/>
                        </a:xfrm>
                        <a:custGeom>
                          <a:avLst/>
                          <a:gdLst/>
                          <a:ahLst/>
                          <a:cxnLst/>
                          <a:rect l="l" t="t" r="r" b="b"/>
                          <a:pathLst>
                            <a:path w="252729" h="0">
                              <a:moveTo>
                                <a:pt x="0" y="0"/>
                              </a:moveTo>
                              <a:lnTo>
                                <a:pt x="252118" y="0"/>
                              </a:lnTo>
                            </a:path>
                          </a:pathLst>
                        </a:custGeom>
                        <a:ln w="92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95584" from="297.725159pt,18.077049pt" to="317.576996pt,18.077049pt" stroked="true" strokeweight=".727384pt" strokecolor="#000000">
                <v:stroke dashstyle="solid"/>
                <w10:wrap type="none"/>
              </v:line>
            </w:pict>
          </mc:Fallback>
        </mc:AlternateContent>
      </w:r>
      <w:r>
        <w:rPr/>
        <mc:AlternateContent>
          <mc:Choice Requires="wps">
            <w:drawing>
              <wp:anchor distT="0" distB="0" distL="0" distR="0" allowOverlap="1" layoutInCell="1" locked="0" behindDoc="1" simplePos="0" relativeHeight="483921920">
                <wp:simplePos x="0" y="0"/>
                <wp:positionH relativeFrom="page">
                  <wp:posOffset>4163138</wp:posOffset>
                </wp:positionH>
                <wp:positionV relativeFrom="paragraph">
                  <wp:posOffset>229578</wp:posOffset>
                </wp:positionV>
                <wp:extent cx="259079"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259079" cy="1270"/>
                        </a:xfrm>
                        <a:custGeom>
                          <a:avLst/>
                          <a:gdLst/>
                          <a:ahLst/>
                          <a:cxnLst/>
                          <a:rect l="l" t="t" r="r" b="b"/>
                          <a:pathLst>
                            <a:path w="259079" h="0">
                              <a:moveTo>
                                <a:pt x="0" y="0"/>
                              </a:moveTo>
                              <a:lnTo>
                                <a:pt x="258490" y="0"/>
                              </a:lnTo>
                            </a:path>
                          </a:pathLst>
                        </a:custGeom>
                        <a:ln w="92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94560" from="327.806183pt,18.077049pt" to="348.159746pt,18.077049pt" stroked="true" strokeweight=".727384pt" strokecolor="#000000">
                <v:stroke dashstyle="solid"/>
                <w10:wrap type="none"/>
              </v:line>
            </w:pict>
          </mc:Fallback>
        </mc:AlternateContent>
      </w:r>
      <w:r>
        <w:rPr/>
        <mc:AlternateContent>
          <mc:Choice Requires="wps">
            <w:drawing>
              <wp:anchor distT="0" distB="0" distL="0" distR="0" allowOverlap="1" layoutInCell="1" locked="0" behindDoc="1" simplePos="0" relativeHeight="483922432">
                <wp:simplePos x="0" y="0"/>
                <wp:positionH relativeFrom="page">
                  <wp:posOffset>4548591</wp:posOffset>
                </wp:positionH>
                <wp:positionV relativeFrom="paragraph">
                  <wp:posOffset>115760</wp:posOffset>
                </wp:positionV>
                <wp:extent cx="234315" cy="17526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234315" cy="175260"/>
                        </a:xfrm>
                        <a:custGeom>
                          <a:avLst/>
                          <a:gdLst/>
                          <a:ahLst/>
                          <a:cxnLst/>
                          <a:rect l="l" t="t" r="r" b="b"/>
                          <a:pathLst>
                            <a:path w="234315" h="175260">
                              <a:moveTo>
                                <a:pt x="0" y="85061"/>
                              </a:moveTo>
                              <a:lnTo>
                                <a:pt x="195817" y="0"/>
                              </a:lnTo>
                            </a:path>
                            <a:path w="234315" h="175260">
                              <a:moveTo>
                                <a:pt x="1616" y="127764"/>
                              </a:moveTo>
                              <a:lnTo>
                                <a:pt x="233858" y="174824"/>
                              </a:lnTo>
                            </a:path>
                          </a:pathLst>
                        </a:custGeom>
                        <a:ln w="1076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8.15683pt;margin-top:9.114985pt;width:18.45pt;height:13.8pt;mso-position-horizontal-relative:page;mso-position-vertical-relative:paragraph;z-index:-19394048" id="docshape25" coordorigin="7163,182" coordsize="369,276" path="m7163,316l7472,182m7166,384l7531,458e" filled="false" stroked="true" strokeweight=".847819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40928">
                <wp:simplePos x="0" y="0"/>
                <wp:positionH relativeFrom="page">
                  <wp:posOffset>4927672</wp:posOffset>
                </wp:positionH>
                <wp:positionV relativeFrom="paragraph">
                  <wp:posOffset>126048</wp:posOffset>
                </wp:positionV>
                <wp:extent cx="1309370" cy="10985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1309370" cy="109855"/>
                          <a:chExt cx="1309370" cy="109855"/>
                        </a:xfrm>
                      </wpg:grpSpPr>
                      <wps:wsp>
                        <wps:cNvPr id="33" name="Graphic 33"/>
                        <wps:cNvSpPr/>
                        <wps:spPr>
                          <a:xfrm>
                            <a:off x="7988" y="57605"/>
                            <a:ext cx="538480" cy="1270"/>
                          </a:xfrm>
                          <a:custGeom>
                            <a:avLst/>
                            <a:gdLst/>
                            <a:ahLst/>
                            <a:cxnLst/>
                            <a:rect l="l" t="t" r="r" b="b"/>
                            <a:pathLst>
                              <a:path w="538480" h="0">
                                <a:moveTo>
                                  <a:pt x="537998" y="0"/>
                                </a:moveTo>
                                <a:lnTo>
                                  <a:pt x="0" y="0"/>
                                </a:lnTo>
                              </a:path>
                            </a:pathLst>
                          </a:custGeom>
                          <a:ln w="1220">
                            <a:solidFill>
                              <a:srgbClr val="000000"/>
                            </a:solidFill>
                            <a:prstDash val="solid"/>
                          </a:ln>
                        </wps:spPr>
                        <wps:bodyPr wrap="square" lIns="0" tIns="0" rIns="0" bIns="0" rtlCol="0">
                          <a:prstTxWarp prst="textNoShape">
                            <a:avLst/>
                          </a:prstTxWarp>
                          <a:noAutofit/>
                        </wps:bodyPr>
                      </wps:wsp>
                      <wps:wsp>
                        <wps:cNvPr id="34" name="Graphic 34"/>
                        <wps:cNvSpPr/>
                        <wps:spPr>
                          <a:xfrm>
                            <a:off x="-8" y="6"/>
                            <a:ext cx="1309370" cy="109855"/>
                          </a:xfrm>
                          <a:custGeom>
                            <a:avLst/>
                            <a:gdLst/>
                            <a:ahLst/>
                            <a:cxnLst/>
                            <a:rect l="l" t="t" r="r" b="b"/>
                            <a:pathLst>
                              <a:path w="1309370" h="109855">
                                <a:moveTo>
                                  <a:pt x="544525" y="50723"/>
                                </a:moveTo>
                                <a:lnTo>
                                  <a:pt x="0" y="50723"/>
                                </a:lnTo>
                                <a:lnTo>
                                  <a:pt x="0" y="59778"/>
                                </a:lnTo>
                                <a:lnTo>
                                  <a:pt x="544525" y="59778"/>
                                </a:lnTo>
                                <a:lnTo>
                                  <a:pt x="544525" y="50723"/>
                                </a:lnTo>
                                <a:close/>
                              </a:path>
                              <a:path w="1309370" h="109855">
                                <a:moveTo>
                                  <a:pt x="1309001" y="55245"/>
                                </a:moveTo>
                                <a:lnTo>
                                  <a:pt x="1022934" y="0"/>
                                </a:lnTo>
                                <a:lnTo>
                                  <a:pt x="1058214" y="55245"/>
                                </a:lnTo>
                                <a:lnTo>
                                  <a:pt x="1022934" y="109283"/>
                                </a:lnTo>
                                <a:lnTo>
                                  <a:pt x="1309001" y="55245"/>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552263" y="57605"/>
                            <a:ext cx="508000" cy="1270"/>
                          </a:xfrm>
                          <a:custGeom>
                            <a:avLst/>
                            <a:gdLst/>
                            <a:ahLst/>
                            <a:cxnLst/>
                            <a:rect l="l" t="t" r="r" b="b"/>
                            <a:pathLst>
                              <a:path w="508000" h="0">
                                <a:moveTo>
                                  <a:pt x="507660" y="0"/>
                                </a:moveTo>
                                <a:lnTo>
                                  <a:pt x="0" y="0"/>
                                </a:lnTo>
                              </a:path>
                            </a:pathLst>
                          </a:custGeom>
                          <a:ln w="1220">
                            <a:solidFill>
                              <a:srgbClr val="000000"/>
                            </a:solidFill>
                            <a:prstDash val="solid"/>
                          </a:ln>
                        </wps:spPr>
                        <wps:bodyPr wrap="square" lIns="0" tIns="0" rIns="0" bIns="0" rtlCol="0">
                          <a:prstTxWarp prst="textNoShape">
                            <a:avLst/>
                          </a:prstTxWarp>
                          <a:noAutofit/>
                        </wps:bodyPr>
                      </wps:wsp>
                      <wps:wsp>
                        <wps:cNvPr id="36" name="Graphic 36"/>
                        <wps:cNvSpPr/>
                        <wps:spPr>
                          <a:xfrm>
                            <a:off x="544465" y="50721"/>
                            <a:ext cx="513715" cy="9525"/>
                          </a:xfrm>
                          <a:custGeom>
                            <a:avLst/>
                            <a:gdLst/>
                            <a:ahLst/>
                            <a:cxnLst/>
                            <a:rect l="l" t="t" r="r" b="b"/>
                            <a:pathLst>
                              <a:path w="513715" h="9525">
                                <a:moveTo>
                                  <a:pt x="513670" y="0"/>
                                </a:moveTo>
                                <a:lnTo>
                                  <a:pt x="0" y="0"/>
                                </a:lnTo>
                                <a:lnTo>
                                  <a:pt x="0" y="9063"/>
                                </a:lnTo>
                                <a:lnTo>
                                  <a:pt x="513670" y="9063"/>
                                </a:lnTo>
                                <a:lnTo>
                                  <a:pt x="513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88.005707pt;margin-top:9.925064pt;width:103.1pt;height:8.65pt;mso-position-horizontal-relative:page;mso-position-vertical-relative:paragraph;z-index:15740928" id="docshapegroup26" coordorigin="7760,199" coordsize="2062,173">
                <v:line style="position:absolute" from="8620,289" to="7773,289" stroked="true" strokeweight=".096068pt" strokecolor="#000000">
                  <v:stroke dashstyle="solid"/>
                </v:line>
                <v:shape style="position:absolute;left:7760;top:198;width:2062;height:173" id="docshape27" coordorigin="7760,199" coordsize="2062,173" path="m8618,278l7760,278,7760,293,8618,293,8618,278xm9822,286l9371,199,9427,286,9371,371,9822,286xe" filled="true" fillcolor="#000000" stroked="false">
                  <v:path arrowok="t"/>
                  <v:fill type="solid"/>
                </v:shape>
                <v:line style="position:absolute" from="9429,289" to="8630,289" stroked="true" strokeweight=".096068pt" strokecolor="#000000">
                  <v:stroke dashstyle="solid"/>
                </v:line>
                <v:rect style="position:absolute;left:8617;top:278;width:809;height:15" id="docshape28" filled="true" fillcolor="#000000" stroked="false">
                  <v:fill type="solid"/>
                </v:rect>
                <w10:wrap type="none"/>
              </v:group>
            </w:pict>
          </mc:Fallback>
        </mc:AlternateContent>
      </w:r>
      <w:r>
        <w:rPr>
          <w:rFonts w:ascii="Arial MT"/>
          <w:spacing w:val="-10"/>
          <w:w w:val="135"/>
          <w:sz w:val="15"/>
        </w:rPr>
        <w:t>H </w:t>
      </w:r>
      <w:r>
        <w:rPr>
          <w:rFonts w:ascii="Arial MT"/>
          <w:w w:val="135"/>
          <w:position w:val="-2"/>
          <w:sz w:val="15"/>
        </w:rPr>
        <w:t>NH</w:t>
      </w:r>
      <w:r>
        <w:rPr>
          <w:rFonts w:ascii="Arial MT"/>
          <w:w w:val="135"/>
          <w:position w:val="-5"/>
          <w:sz w:val="12"/>
        </w:rPr>
        <w:t>2</w:t>
      </w:r>
      <w:r>
        <w:rPr>
          <w:rFonts w:ascii="Arial MT"/>
          <w:spacing w:val="45"/>
          <w:w w:val="135"/>
          <w:position w:val="-5"/>
          <w:sz w:val="12"/>
        </w:rPr>
        <w:t>  </w:t>
      </w:r>
      <w:r>
        <w:rPr>
          <w:w w:val="135"/>
          <w:position w:val="-1"/>
          <w:sz w:val="18"/>
        </w:rPr>
        <w:t>+</w:t>
      </w:r>
      <w:r>
        <w:rPr>
          <w:spacing w:val="40"/>
          <w:w w:val="135"/>
          <w:position w:val="-1"/>
          <w:sz w:val="18"/>
        </w:rPr>
        <w:t> </w:t>
      </w:r>
      <w:r>
        <w:rPr>
          <w:w w:val="135"/>
          <w:sz w:val="18"/>
        </w:rPr>
        <w:t>C</w:t>
      </w:r>
      <w:r>
        <w:rPr>
          <w:spacing w:val="-38"/>
          <w:w w:val="135"/>
          <w:sz w:val="18"/>
        </w:rPr>
        <w:t> </w:t>
      </w:r>
      <w:r>
        <w:rPr>
          <w:spacing w:val="-23"/>
          <w:position w:val="6"/>
          <w:sz w:val="18"/>
        </w:rPr>
        <w:drawing>
          <wp:inline distT="0" distB="0" distL="0" distR="0">
            <wp:extent cx="250596" cy="43745"/>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8" cstate="print"/>
                    <a:stretch>
                      <a:fillRect/>
                    </a:stretch>
                  </pic:blipFill>
                  <pic:spPr>
                    <a:xfrm>
                      <a:off x="0" y="0"/>
                      <a:ext cx="250596" cy="43745"/>
                    </a:xfrm>
                    <a:prstGeom prst="rect">
                      <a:avLst/>
                    </a:prstGeom>
                  </pic:spPr>
                </pic:pic>
              </a:graphicData>
            </a:graphic>
          </wp:inline>
        </w:drawing>
      </w:r>
      <w:r>
        <w:rPr>
          <w:spacing w:val="-23"/>
          <w:position w:val="6"/>
          <w:sz w:val="18"/>
        </w:rPr>
      </w:r>
      <w:r>
        <w:rPr>
          <w:spacing w:val="-7"/>
          <w:w w:val="135"/>
          <w:position w:val="1"/>
          <w:sz w:val="18"/>
        </w:rPr>
        <w:t> </w:t>
      </w:r>
      <w:r>
        <w:rPr>
          <w:rFonts w:ascii="Arial MT"/>
          <w:spacing w:val="-10"/>
          <w:w w:val="135"/>
          <w:position w:val="1"/>
          <w:sz w:val="15"/>
        </w:rPr>
        <w:t>C</w:t>
      </w:r>
      <w:r>
        <w:rPr>
          <w:rFonts w:ascii="Arial MT"/>
          <w:position w:val="1"/>
          <w:sz w:val="15"/>
        </w:rPr>
        <w:tab/>
      </w:r>
      <w:r>
        <w:rPr>
          <w:rFonts w:ascii="Arial MT"/>
          <w:spacing w:val="-10"/>
          <w:w w:val="135"/>
          <w:position w:val="1"/>
          <w:sz w:val="15"/>
        </w:rPr>
        <w:t>C</w:t>
      </w:r>
      <w:r>
        <w:rPr>
          <w:rFonts w:ascii="Arial MT"/>
          <w:position w:val="1"/>
          <w:sz w:val="15"/>
        </w:rPr>
        <w:tab/>
      </w:r>
      <w:r>
        <w:rPr>
          <w:rFonts w:ascii="Arial MT"/>
          <w:spacing w:val="-10"/>
          <w:w w:val="135"/>
          <w:position w:val="1"/>
          <w:sz w:val="15"/>
        </w:rPr>
        <w:t>N</w:t>
      </w:r>
      <w:r>
        <w:rPr>
          <w:rFonts w:ascii="Arial MT"/>
          <w:position w:val="1"/>
          <w:sz w:val="15"/>
        </w:rPr>
        <w:tab/>
      </w:r>
      <w:r>
        <w:rPr>
          <w:rFonts w:ascii="Arial MT"/>
          <w:spacing w:val="-10"/>
          <w:w w:val="135"/>
          <w:position w:val="-10"/>
          <w:sz w:val="15"/>
        </w:rPr>
        <w:t>H</w:t>
      </w:r>
    </w:p>
    <w:p>
      <w:pPr>
        <w:spacing w:before="114"/>
        <w:ind w:left="3698" w:right="0" w:firstLine="0"/>
        <w:jc w:val="left"/>
        <w:rPr>
          <w:rFonts w:ascii="Arial MT"/>
          <w:sz w:val="15"/>
        </w:rPr>
      </w:pPr>
      <w:r>
        <w:rPr>
          <w:rFonts w:ascii="Arial MT"/>
          <w:spacing w:val="-10"/>
          <w:w w:val="135"/>
          <w:sz w:val="15"/>
        </w:rPr>
        <w:t>H</w:t>
      </w:r>
    </w:p>
    <w:p>
      <w:pPr>
        <w:pStyle w:val="BodyText"/>
        <w:rPr>
          <w:rFonts w:ascii="Arial MT"/>
        </w:rPr>
      </w:pPr>
    </w:p>
    <w:p>
      <w:pPr>
        <w:pStyle w:val="BodyText"/>
        <w:spacing w:before="53"/>
        <w:rPr>
          <w:rFonts w:ascii="Arial MT"/>
        </w:rPr>
      </w:pPr>
    </w:p>
    <w:p>
      <w:pPr>
        <w:pStyle w:val="BodyText"/>
        <w:tabs>
          <w:tab w:pos="4281" w:val="left" w:leader="none"/>
        </w:tabs>
        <w:ind w:left="681"/>
      </w:pPr>
      <w:r>
        <w:rPr/>
        <w:t>2,3-</w:t>
      </w:r>
      <w:r>
        <w:rPr>
          <w:spacing w:val="-2"/>
        </w:rPr>
        <w:t>dichloroaniline</w:t>
      </w:r>
      <w:r>
        <w:rPr/>
        <w:tab/>
      </w:r>
      <w:r>
        <w:rPr>
          <w:spacing w:val="-2"/>
        </w:rPr>
        <w:t>acrylamide</w:t>
      </w:r>
    </w:p>
    <w:p>
      <w:pPr>
        <w:pStyle w:val="BodyText"/>
        <w:spacing w:before="92"/>
        <w:rPr>
          <w:sz w:val="15"/>
        </w:rPr>
      </w:pPr>
    </w:p>
    <w:p>
      <w:pPr>
        <w:spacing w:line="151" w:lineRule="exact" w:before="1"/>
        <w:ind w:left="0" w:right="1213" w:firstLine="0"/>
        <w:jc w:val="center"/>
        <w:rPr>
          <w:rFonts w:ascii="Arial MT"/>
          <w:sz w:val="15"/>
        </w:rPr>
      </w:pPr>
      <w:r>
        <w:rPr>
          <w:rFonts w:ascii="Arial MT"/>
          <w:spacing w:val="-10"/>
          <w:w w:val="135"/>
          <w:sz w:val="15"/>
        </w:rPr>
        <w:t>H</w:t>
      </w:r>
    </w:p>
    <w:p>
      <w:pPr>
        <w:tabs>
          <w:tab w:pos="1415" w:val="left" w:leader="none"/>
        </w:tabs>
        <w:spacing w:line="151" w:lineRule="exact" w:before="0"/>
        <w:ind w:left="0" w:right="1434" w:firstLine="0"/>
        <w:jc w:val="center"/>
        <w:rPr>
          <w:rFonts w:ascii="Arial MT"/>
          <w:sz w:val="15"/>
        </w:rPr>
      </w:pPr>
      <w:r>
        <w:rPr/>
        <mc:AlternateContent>
          <mc:Choice Requires="wps">
            <w:drawing>
              <wp:anchor distT="0" distB="0" distL="0" distR="0" allowOverlap="1" layoutInCell="1" locked="0" behindDoc="0" simplePos="0" relativeHeight="15741440">
                <wp:simplePos x="0" y="0"/>
                <wp:positionH relativeFrom="page">
                  <wp:posOffset>1513577</wp:posOffset>
                </wp:positionH>
                <wp:positionV relativeFrom="paragraph">
                  <wp:posOffset>70977</wp:posOffset>
                </wp:positionV>
                <wp:extent cx="1125220" cy="69913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125220" cy="699135"/>
                          <a:chExt cx="1125220" cy="699135"/>
                        </a:xfrm>
                      </wpg:grpSpPr>
                      <wps:wsp>
                        <wps:cNvPr id="39" name="Graphic 39"/>
                        <wps:cNvSpPr/>
                        <wps:spPr>
                          <a:xfrm>
                            <a:off x="5428" y="5786"/>
                            <a:ext cx="1119505" cy="687705"/>
                          </a:xfrm>
                          <a:custGeom>
                            <a:avLst/>
                            <a:gdLst/>
                            <a:ahLst/>
                            <a:cxnLst/>
                            <a:rect l="l" t="t" r="r" b="b"/>
                            <a:pathLst>
                              <a:path w="1119505" h="687705">
                                <a:moveTo>
                                  <a:pt x="608311" y="0"/>
                                </a:moveTo>
                                <a:lnTo>
                                  <a:pt x="228092" y="0"/>
                                </a:lnTo>
                              </a:path>
                              <a:path w="1119505" h="687705">
                                <a:moveTo>
                                  <a:pt x="580993" y="35515"/>
                                </a:moveTo>
                                <a:lnTo>
                                  <a:pt x="254024" y="35515"/>
                                </a:lnTo>
                              </a:path>
                              <a:path w="1119505" h="687705">
                                <a:moveTo>
                                  <a:pt x="228092" y="0"/>
                                </a:moveTo>
                                <a:lnTo>
                                  <a:pt x="38205" y="255988"/>
                                </a:lnTo>
                              </a:path>
                              <a:path w="1119505" h="687705">
                                <a:moveTo>
                                  <a:pt x="38205" y="255988"/>
                                </a:moveTo>
                                <a:lnTo>
                                  <a:pt x="228092" y="510726"/>
                                </a:lnTo>
                              </a:path>
                              <a:path w="1119505" h="687705">
                                <a:moveTo>
                                  <a:pt x="89850" y="255988"/>
                                </a:moveTo>
                                <a:lnTo>
                                  <a:pt x="254024" y="475224"/>
                                </a:lnTo>
                              </a:path>
                              <a:path w="1119505" h="687705">
                                <a:moveTo>
                                  <a:pt x="228092" y="510726"/>
                                </a:moveTo>
                                <a:lnTo>
                                  <a:pt x="608311" y="510726"/>
                                </a:lnTo>
                              </a:path>
                              <a:path w="1119505" h="687705">
                                <a:moveTo>
                                  <a:pt x="608311" y="510726"/>
                                </a:moveTo>
                                <a:lnTo>
                                  <a:pt x="798426" y="254744"/>
                                </a:lnTo>
                              </a:path>
                              <a:path w="1119505" h="687705">
                                <a:moveTo>
                                  <a:pt x="582379" y="475224"/>
                                </a:moveTo>
                                <a:lnTo>
                                  <a:pt x="745166" y="254744"/>
                                </a:lnTo>
                              </a:path>
                              <a:path w="1119505" h="687705">
                                <a:moveTo>
                                  <a:pt x="798426" y="254744"/>
                                </a:moveTo>
                                <a:lnTo>
                                  <a:pt x="608311" y="0"/>
                                </a:lnTo>
                              </a:path>
                              <a:path w="1119505" h="687705">
                                <a:moveTo>
                                  <a:pt x="798426" y="254744"/>
                                </a:moveTo>
                                <a:lnTo>
                                  <a:pt x="1119397" y="254744"/>
                                </a:lnTo>
                              </a:path>
                              <a:path w="1119505" h="687705">
                                <a:moveTo>
                                  <a:pt x="608311" y="510726"/>
                                </a:moveTo>
                                <a:lnTo>
                                  <a:pt x="828753" y="681672"/>
                                </a:lnTo>
                              </a:path>
                              <a:path w="1119505" h="687705">
                                <a:moveTo>
                                  <a:pt x="228092" y="510726"/>
                                </a:moveTo>
                                <a:lnTo>
                                  <a:pt x="0" y="687530"/>
                                </a:lnTo>
                              </a:path>
                            </a:pathLst>
                          </a:custGeom>
                          <a:ln w="10840">
                            <a:solidFill>
                              <a:srgbClr val="000000"/>
                            </a:solidFill>
                            <a:prstDash val="solid"/>
                          </a:ln>
                        </wps:spPr>
                        <wps:bodyPr wrap="square" lIns="0" tIns="0" rIns="0" bIns="0" rtlCol="0">
                          <a:prstTxWarp prst="textNoShape">
                            <a:avLst/>
                          </a:prstTxWarp>
                          <a:noAutofit/>
                        </wps:bodyPr>
                      </wps:wsp>
                      <wps:wsp>
                        <wps:cNvPr id="40" name="Textbox 40"/>
                        <wps:cNvSpPr txBox="1"/>
                        <wps:spPr>
                          <a:xfrm>
                            <a:off x="262461" y="1063"/>
                            <a:ext cx="116839" cy="130810"/>
                          </a:xfrm>
                          <a:prstGeom prst="rect">
                            <a:avLst/>
                          </a:prstGeom>
                        </wps:spPr>
                        <wps:txbx>
                          <w:txbxContent>
                            <w:p>
                              <w:pPr>
                                <w:spacing w:line="204" w:lineRule="exact" w:before="0"/>
                                <w:ind w:left="0" w:right="0" w:firstLine="0"/>
                                <w:jc w:val="left"/>
                                <w:rPr>
                                  <w:sz w:val="18"/>
                                </w:rPr>
                              </w:pPr>
                              <w:r>
                                <w:rPr>
                                  <w:spacing w:val="-5"/>
                                  <w:w w:val="135"/>
                                  <w:sz w:val="18"/>
                                </w:rPr>
                                <w:t>5'</w:t>
                              </w:r>
                            </w:p>
                          </w:txbxContent>
                        </wps:txbx>
                        <wps:bodyPr wrap="square" lIns="0" tIns="0" rIns="0" bIns="0" rtlCol="0">
                          <a:noAutofit/>
                        </wps:bodyPr>
                      </wps:wsp>
                      <wps:wsp>
                        <wps:cNvPr id="41" name="Textbox 41"/>
                        <wps:cNvSpPr txBox="1"/>
                        <wps:spPr>
                          <a:xfrm>
                            <a:off x="148538" y="148401"/>
                            <a:ext cx="116839" cy="130810"/>
                          </a:xfrm>
                          <a:prstGeom prst="rect">
                            <a:avLst/>
                          </a:prstGeom>
                        </wps:spPr>
                        <wps:txbx>
                          <w:txbxContent>
                            <w:p>
                              <w:pPr>
                                <w:spacing w:line="204" w:lineRule="exact" w:before="0"/>
                                <w:ind w:left="0" w:right="0" w:firstLine="0"/>
                                <w:jc w:val="left"/>
                                <w:rPr>
                                  <w:sz w:val="18"/>
                                </w:rPr>
                              </w:pPr>
                              <w:r>
                                <w:rPr>
                                  <w:spacing w:val="-5"/>
                                  <w:w w:val="135"/>
                                  <w:sz w:val="18"/>
                                </w:rPr>
                                <w:t>4'</w:t>
                              </w:r>
                            </w:p>
                          </w:txbxContent>
                        </wps:txbx>
                        <wps:bodyPr wrap="square" lIns="0" tIns="0" rIns="0" bIns="0" rtlCol="0">
                          <a:noAutofit/>
                        </wps:bodyPr>
                      </wps:wsp>
                      <wps:wsp>
                        <wps:cNvPr id="42" name="Textbox 42"/>
                        <wps:cNvSpPr txBox="1"/>
                        <wps:spPr>
                          <a:xfrm>
                            <a:off x="280761" y="311180"/>
                            <a:ext cx="116839" cy="130810"/>
                          </a:xfrm>
                          <a:prstGeom prst="rect">
                            <a:avLst/>
                          </a:prstGeom>
                        </wps:spPr>
                        <wps:txbx>
                          <w:txbxContent>
                            <w:p>
                              <w:pPr>
                                <w:spacing w:line="204" w:lineRule="exact" w:before="0"/>
                                <w:ind w:left="0" w:right="0" w:firstLine="0"/>
                                <w:jc w:val="left"/>
                                <w:rPr>
                                  <w:sz w:val="18"/>
                                </w:rPr>
                              </w:pPr>
                              <w:r>
                                <w:rPr>
                                  <w:spacing w:val="-5"/>
                                  <w:w w:val="135"/>
                                  <w:sz w:val="18"/>
                                </w:rPr>
                                <w:t>3'</w:t>
                              </w:r>
                            </w:p>
                          </w:txbxContent>
                        </wps:txbx>
                        <wps:bodyPr wrap="square" lIns="0" tIns="0" rIns="0" bIns="0" rtlCol="0">
                          <a:noAutofit/>
                        </wps:bodyPr>
                      </wps:wsp>
                      <wps:wsp>
                        <wps:cNvPr id="43" name="Textbox 43"/>
                        <wps:cNvSpPr txBox="1"/>
                        <wps:spPr>
                          <a:xfrm>
                            <a:off x="499817" y="1063"/>
                            <a:ext cx="268605" cy="470534"/>
                          </a:xfrm>
                          <a:prstGeom prst="rect">
                            <a:avLst/>
                          </a:prstGeom>
                        </wps:spPr>
                        <wps:txbx>
                          <w:txbxContent>
                            <w:p>
                              <w:pPr>
                                <w:spacing w:line="204" w:lineRule="exact" w:before="0"/>
                                <w:ind w:left="105" w:right="0" w:firstLine="0"/>
                                <w:jc w:val="left"/>
                                <w:rPr>
                                  <w:sz w:val="18"/>
                                </w:rPr>
                              </w:pPr>
                              <w:r>
                                <w:rPr>
                                  <w:spacing w:val="-5"/>
                                  <w:w w:val="135"/>
                                  <w:sz w:val="18"/>
                                </w:rPr>
                                <w:t>6'</w:t>
                              </w:r>
                            </w:p>
                            <w:p>
                              <w:pPr>
                                <w:spacing w:before="36"/>
                                <w:ind w:left="239" w:right="0" w:firstLine="0"/>
                                <w:jc w:val="left"/>
                                <w:rPr>
                                  <w:sz w:val="18"/>
                                </w:rPr>
                              </w:pPr>
                              <w:r>
                                <w:rPr>
                                  <w:spacing w:val="-5"/>
                                  <w:w w:val="135"/>
                                  <w:sz w:val="18"/>
                                </w:rPr>
                                <w:t>1'</w:t>
                              </w:r>
                            </w:p>
                            <w:p>
                              <w:pPr>
                                <w:spacing w:before="85"/>
                                <w:ind w:left="0" w:right="0" w:firstLine="0"/>
                                <w:jc w:val="left"/>
                                <w:rPr>
                                  <w:sz w:val="18"/>
                                </w:rPr>
                              </w:pPr>
                              <w:r>
                                <w:rPr>
                                  <w:spacing w:val="-5"/>
                                  <w:w w:val="135"/>
                                  <w:sz w:val="18"/>
                                </w:rPr>
                                <w:t>2'</w:t>
                              </w:r>
                            </w:p>
                          </w:txbxContent>
                        </wps:txbx>
                        <wps:bodyPr wrap="square" lIns="0" tIns="0" rIns="0" bIns="0" rtlCol="0">
                          <a:noAutofit/>
                        </wps:bodyPr>
                      </wps:wsp>
                    </wpg:wgp>
                  </a:graphicData>
                </a:graphic>
              </wp:anchor>
            </w:drawing>
          </mc:Choice>
          <mc:Fallback>
            <w:pict>
              <v:group style="position:absolute;margin-left:119.179352pt;margin-top:5.588801pt;width:88.6pt;height:55.05pt;mso-position-horizontal-relative:page;mso-position-vertical-relative:paragraph;z-index:15741440" id="docshapegroup29" coordorigin="2384,112" coordsize="1772,1101">
                <v:shape style="position:absolute;left:2392;top:120;width:1763;height:1083" id="docshape30" coordorigin="2392,121" coordsize="1763,1083" path="m3350,121l2751,121m3307,177l2792,177m2751,121l2452,524m2452,524l2751,925m2534,524l2792,869m2751,925l3350,925m3350,925l3650,522m3309,869l3566,522m3650,522l3350,121m3650,522l4155,522m3350,925l3697,1194m2751,925l2392,1204e" filled="false" stroked="true" strokeweight=".853599pt" strokecolor="#000000">
                  <v:path arrowok="t"/>
                  <v:stroke dashstyle="solid"/>
                </v:shape>
                <v:shape style="position:absolute;left:2796;top:113;width:184;height:206" type="#_x0000_t202" id="docshape31" filled="false" stroked="false">
                  <v:textbox inset="0,0,0,0">
                    <w:txbxContent>
                      <w:p>
                        <w:pPr>
                          <w:spacing w:line="204" w:lineRule="exact" w:before="0"/>
                          <w:ind w:left="0" w:right="0" w:firstLine="0"/>
                          <w:jc w:val="left"/>
                          <w:rPr>
                            <w:sz w:val="18"/>
                          </w:rPr>
                        </w:pPr>
                        <w:r>
                          <w:rPr>
                            <w:spacing w:val="-5"/>
                            <w:w w:val="135"/>
                            <w:sz w:val="18"/>
                          </w:rPr>
                          <w:t>5'</w:t>
                        </w:r>
                      </w:p>
                    </w:txbxContent>
                  </v:textbox>
                  <w10:wrap type="none"/>
                </v:shape>
                <v:shape style="position:absolute;left:2617;top:345;width:184;height:206" type="#_x0000_t202" id="docshape32" filled="false" stroked="false">
                  <v:textbox inset="0,0,0,0">
                    <w:txbxContent>
                      <w:p>
                        <w:pPr>
                          <w:spacing w:line="204" w:lineRule="exact" w:before="0"/>
                          <w:ind w:left="0" w:right="0" w:firstLine="0"/>
                          <w:jc w:val="left"/>
                          <w:rPr>
                            <w:sz w:val="18"/>
                          </w:rPr>
                        </w:pPr>
                        <w:r>
                          <w:rPr>
                            <w:spacing w:val="-5"/>
                            <w:w w:val="135"/>
                            <w:sz w:val="18"/>
                          </w:rPr>
                          <w:t>4'</w:t>
                        </w:r>
                      </w:p>
                    </w:txbxContent>
                  </v:textbox>
                  <w10:wrap type="none"/>
                </v:shape>
                <v:shape style="position:absolute;left:2825;top:601;width:184;height:206" type="#_x0000_t202" id="docshape33" filled="false" stroked="false">
                  <v:textbox inset="0,0,0,0">
                    <w:txbxContent>
                      <w:p>
                        <w:pPr>
                          <w:spacing w:line="204" w:lineRule="exact" w:before="0"/>
                          <w:ind w:left="0" w:right="0" w:firstLine="0"/>
                          <w:jc w:val="left"/>
                          <w:rPr>
                            <w:sz w:val="18"/>
                          </w:rPr>
                        </w:pPr>
                        <w:r>
                          <w:rPr>
                            <w:spacing w:val="-5"/>
                            <w:w w:val="135"/>
                            <w:sz w:val="18"/>
                          </w:rPr>
                          <w:t>3'</w:t>
                        </w:r>
                      </w:p>
                    </w:txbxContent>
                  </v:textbox>
                  <w10:wrap type="none"/>
                </v:shape>
                <v:shape style="position:absolute;left:3170;top:113;width:423;height:741" type="#_x0000_t202" id="docshape34" filled="false" stroked="false">
                  <v:textbox inset="0,0,0,0">
                    <w:txbxContent>
                      <w:p>
                        <w:pPr>
                          <w:spacing w:line="204" w:lineRule="exact" w:before="0"/>
                          <w:ind w:left="105" w:right="0" w:firstLine="0"/>
                          <w:jc w:val="left"/>
                          <w:rPr>
                            <w:sz w:val="18"/>
                          </w:rPr>
                        </w:pPr>
                        <w:r>
                          <w:rPr>
                            <w:spacing w:val="-5"/>
                            <w:w w:val="135"/>
                            <w:sz w:val="18"/>
                          </w:rPr>
                          <w:t>6'</w:t>
                        </w:r>
                      </w:p>
                      <w:p>
                        <w:pPr>
                          <w:spacing w:before="36"/>
                          <w:ind w:left="239" w:right="0" w:firstLine="0"/>
                          <w:jc w:val="left"/>
                          <w:rPr>
                            <w:sz w:val="18"/>
                          </w:rPr>
                        </w:pPr>
                        <w:r>
                          <w:rPr>
                            <w:spacing w:val="-5"/>
                            <w:w w:val="135"/>
                            <w:sz w:val="18"/>
                          </w:rPr>
                          <w:t>1'</w:t>
                        </w:r>
                      </w:p>
                      <w:p>
                        <w:pPr>
                          <w:spacing w:before="85"/>
                          <w:ind w:left="0" w:right="0" w:firstLine="0"/>
                          <w:jc w:val="left"/>
                          <w:rPr>
                            <w:sz w:val="18"/>
                          </w:rPr>
                        </w:pPr>
                        <w:r>
                          <w:rPr>
                            <w:spacing w:val="-5"/>
                            <w:w w:val="135"/>
                            <w:sz w:val="18"/>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924480">
                <wp:simplePos x="0" y="0"/>
                <wp:positionH relativeFrom="page">
                  <wp:posOffset>3599370</wp:posOffset>
                </wp:positionH>
                <wp:positionV relativeFrom="paragraph">
                  <wp:posOffset>12004</wp:posOffset>
                </wp:positionV>
                <wp:extent cx="1270" cy="26670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270" cy="266700"/>
                        </a:xfrm>
                        <a:custGeom>
                          <a:avLst/>
                          <a:gdLst/>
                          <a:ahLst/>
                          <a:cxnLst/>
                          <a:rect l="l" t="t" r="r" b="b"/>
                          <a:pathLst>
                            <a:path w="0" h="266700">
                              <a:moveTo>
                                <a:pt x="0" y="266430"/>
                              </a:moveTo>
                              <a:lnTo>
                                <a:pt x="0" y="0"/>
                              </a:lnTo>
                            </a:path>
                          </a:pathLst>
                        </a:custGeom>
                        <a:ln w="1227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92000" from="283.414978pt,21.924041pt" to="283.414978pt,.94527pt" stroked="true" strokeweight=".966387pt" strokecolor="#000000">
                <v:stroke dashstyle="solid"/>
                <w10:wrap type="none"/>
              </v:line>
            </w:pict>
          </mc:Fallback>
        </mc:AlternateContent>
      </w:r>
      <w:r>
        <w:rPr/>
        <mc:AlternateContent>
          <mc:Choice Requires="wps">
            <w:drawing>
              <wp:anchor distT="0" distB="0" distL="0" distR="0" allowOverlap="1" layoutInCell="1" locked="0" behindDoc="0" simplePos="0" relativeHeight="15743488">
                <wp:simplePos x="0" y="0"/>
                <wp:positionH relativeFrom="page">
                  <wp:posOffset>3958071</wp:posOffset>
                </wp:positionH>
                <wp:positionV relativeFrom="paragraph">
                  <wp:posOffset>94518</wp:posOffset>
                </wp:positionV>
                <wp:extent cx="45720" cy="18415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45720" cy="184150"/>
                        </a:xfrm>
                        <a:custGeom>
                          <a:avLst/>
                          <a:gdLst/>
                          <a:ahLst/>
                          <a:cxnLst/>
                          <a:rect l="l" t="t" r="r" b="b"/>
                          <a:pathLst>
                            <a:path w="45720" h="184150">
                              <a:moveTo>
                                <a:pt x="0" y="183916"/>
                              </a:moveTo>
                              <a:lnTo>
                                <a:pt x="0" y="0"/>
                              </a:lnTo>
                            </a:path>
                            <a:path w="45720" h="184150">
                              <a:moveTo>
                                <a:pt x="45561" y="183916"/>
                              </a:moveTo>
                              <a:lnTo>
                                <a:pt x="45561" y="0"/>
                              </a:lnTo>
                            </a:path>
                          </a:pathLst>
                        </a:custGeom>
                        <a:ln w="1084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65918pt;margin-top:7.44241pt;width:3.6pt;height:14.5pt;mso-position-horizontal-relative:page;mso-position-vertical-relative:paragraph;z-index:15743488" id="docshape35" coordorigin="6233,149" coordsize="72,290" path="m6233,438l6233,149m6305,438l6305,149e" filled="false" stroked="true" strokeweight=".853599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3077691</wp:posOffset>
                </wp:positionH>
                <wp:positionV relativeFrom="paragraph">
                  <wp:posOffset>93281</wp:posOffset>
                </wp:positionV>
                <wp:extent cx="1270" cy="18542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270" cy="185420"/>
                        </a:xfrm>
                        <a:custGeom>
                          <a:avLst/>
                          <a:gdLst/>
                          <a:ahLst/>
                          <a:cxnLst/>
                          <a:rect l="l" t="t" r="r" b="b"/>
                          <a:pathLst>
                            <a:path w="0" h="185420">
                              <a:moveTo>
                                <a:pt x="0" y="185153"/>
                              </a:moveTo>
                              <a:lnTo>
                                <a:pt x="0" y="0"/>
                              </a:lnTo>
                            </a:path>
                          </a:pathLst>
                        </a:custGeom>
                        <a:ln w="1227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242.337936pt,21.924041pt" to="242.337936pt,7.34501pt" stroked="true" strokeweight=".966387pt" strokecolor="#000000">
                <v:stroke dashstyle="solid"/>
                <w10:wrap type="none"/>
              </v:line>
            </w:pict>
          </mc:Fallback>
        </mc:AlternateContent>
      </w:r>
      <w:r>
        <w:rPr>
          <w:rFonts w:ascii="Arial MT"/>
          <w:spacing w:val="-10"/>
          <w:w w:val="135"/>
          <w:sz w:val="15"/>
        </w:rPr>
        <w:t>H</w:t>
      </w:r>
      <w:r>
        <w:rPr>
          <w:rFonts w:ascii="Arial MT"/>
          <w:sz w:val="15"/>
        </w:rPr>
        <w:tab/>
      </w:r>
      <w:r>
        <w:rPr>
          <w:rFonts w:ascii="Arial MT"/>
          <w:spacing w:val="-10"/>
          <w:w w:val="135"/>
          <w:sz w:val="15"/>
        </w:rPr>
        <w:t>O</w:t>
      </w:r>
    </w:p>
    <w:p>
      <w:pPr>
        <w:spacing w:before="59"/>
        <w:ind w:left="2500" w:right="0" w:firstLine="0"/>
        <w:jc w:val="center"/>
        <w:rPr>
          <w:rFonts w:ascii="Arial MT"/>
          <w:sz w:val="15"/>
        </w:rPr>
      </w:pPr>
      <w:r>
        <w:rPr/>
        <mc:AlternateContent>
          <mc:Choice Requires="wps">
            <w:drawing>
              <wp:anchor distT="0" distB="0" distL="0" distR="0" allowOverlap="1" layoutInCell="1" locked="0" behindDoc="0" simplePos="0" relativeHeight="15744512">
                <wp:simplePos x="0" y="0"/>
                <wp:positionH relativeFrom="page">
                  <wp:posOffset>4517718</wp:posOffset>
                </wp:positionH>
                <wp:positionV relativeFrom="paragraph">
                  <wp:posOffset>118826</wp:posOffset>
                </wp:positionV>
                <wp:extent cx="233045" cy="17970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233045" cy="179705"/>
                        </a:xfrm>
                        <a:custGeom>
                          <a:avLst/>
                          <a:gdLst/>
                          <a:ahLst/>
                          <a:cxnLst/>
                          <a:rect l="l" t="t" r="r" b="b"/>
                          <a:pathLst>
                            <a:path w="233045" h="179705">
                              <a:moveTo>
                                <a:pt x="0" y="87163"/>
                              </a:moveTo>
                              <a:lnTo>
                                <a:pt x="193161" y="0"/>
                              </a:lnTo>
                            </a:path>
                            <a:path w="233045" h="179705">
                              <a:moveTo>
                                <a:pt x="1613" y="130828"/>
                              </a:moveTo>
                              <a:lnTo>
                                <a:pt x="232743" y="179114"/>
                              </a:lnTo>
                            </a:path>
                          </a:pathLst>
                        </a:custGeom>
                        <a:ln w="1084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5.72583pt;margin-top:9.356415pt;width:18.350pt;height:14.15pt;mso-position-horizontal-relative:page;mso-position-vertical-relative:paragraph;z-index:15744512" id="docshape36" coordorigin="7115,187" coordsize="367,283" path="m7115,324l7419,187m7117,393l7481,469e" filled="false" stroked="true" strokeweight=".853599pt" strokecolor="#000000">
                <v:path arrowok="t"/>
                <v:stroke dashstyle="solid"/>
                <w10:wrap type="none"/>
              </v:shape>
            </w:pict>
          </mc:Fallback>
        </mc:AlternateContent>
      </w:r>
      <w:r>
        <w:rPr>
          <w:rFonts w:ascii="Arial MT"/>
          <w:spacing w:val="-10"/>
          <w:w w:val="135"/>
          <w:sz w:val="15"/>
        </w:rPr>
        <w:t>H</w:t>
      </w:r>
    </w:p>
    <w:p>
      <w:pPr>
        <w:spacing w:after="0"/>
        <w:jc w:val="center"/>
        <w:rPr>
          <w:rFonts w:ascii="Arial MT"/>
          <w:sz w:val="15"/>
        </w:rPr>
        <w:sectPr>
          <w:pgSz w:w="12240" w:h="15840"/>
          <w:pgMar w:header="0" w:footer="1066" w:top="1360" w:bottom="1260" w:left="1480" w:right="1160"/>
        </w:sectPr>
      </w:pPr>
    </w:p>
    <w:p>
      <w:pPr>
        <w:tabs>
          <w:tab w:pos="3292" w:val="left" w:leader="none"/>
        </w:tabs>
        <w:spacing w:before="60"/>
        <w:ind w:left="2698" w:right="0" w:firstLine="0"/>
        <w:jc w:val="left"/>
        <w:rPr>
          <w:rFonts w:ascii="Arial MT"/>
          <w:sz w:val="15"/>
        </w:rPr>
      </w:pPr>
      <w:r>
        <w:rPr/>
        <mc:AlternateContent>
          <mc:Choice Requires="wps">
            <w:drawing>
              <wp:anchor distT="0" distB="0" distL="0" distR="0" allowOverlap="1" layoutInCell="1" locked="0" behindDoc="1" simplePos="0" relativeHeight="483927040">
                <wp:simplePos x="0" y="0"/>
                <wp:positionH relativeFrom="page">
                  <wp:posOffset>2758286</wp:posOffset>
                </wp:positionH>
                <wp:positionV relativeFrom="paragraph">
                  <wp:posOffset>88458</wp:posOffset>
                </wp:positionV>
                <wp:extent cx="254635"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254635" cy="1270"/>
                        </a:xfrm>
                        <a:custGeom>
                          <a:avLst/>
                          <a:gdLst/>
                          <a:ahLst/>
                          <a:cxnLst/>
                          <a:rect l="l" t="t" r="r" b="b"/>
                          <a:pathLst>
                            <a:path w="254635" h="0">
                              <a:moveTo>
                                <a:pt x="0" y="0"/>
                              </a:moveTo>
                              <a:lnTo>
                                <a:pt x="254099" y="0"/>
                              </a:lnTo>
                            </a:path>
                          </a:pathLst>
                        </a:custGeom>
                        <a:ln w="940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9440" from="217.187943pt,6.96523pt" to="237.195816pt,6.96523pt" stroked="true" strokeweight=".740811pt" strokecolor="#000000">
                <v:stroke dashstyle="solid"/>
                <w10:wrap type="none"/>
              </v:line>
            </w:pict>
          </mc:Fallback>
        </mc:AlternateContent>
      </w:r>
      <w:r>
        <w:rPr>
          <w:rFonts w:ascii="Arial MT"/>
          <w:spacing w:val="-10"/>
          <w:w w:val="135"/>
          <w:sz w:val="15"/>
        </w:rPr>
        <w:t>N</w:t>
      </w:r>
      <w:r>
        <w:rPr>
          <w:rFonts w:ascii="Arial MT"/>
          <w:sz w:val="15"/>
        </w:rPr>
        <w:tab/>
      </w:r>
      <w:r>
        <w:rPr>
          <w:rFonts w:ascii="Arial MT"/>
          <w:spacing w:val="-10"/>
          <w:w w:val="135"/>
          <w:sz w:val="15"/>
        </w:rPr>
        <w:t>C</w:t>
      </w:r>
    </w:p>
    <w:p>
      <w:pPr>
        <w:tabs>
          <w:tab w:pos="3366" w:val="left" w:leader="none"/>
        </w:tabs>
        <w:spacing w:line="240" w:lineRule="auto"/>
        <w:ind w:left="2768" w:right="0" w:firstLine="0"/>
        <w:rPr>
          <w:rFonts w:ascii="Arial MT"/>
          <w:sz w:val="20"/>
        </w:rPr>
      </w:pPr>
      <w:r>
        <w:rPr>
          <w:rFonts w:ascii="Arial MT"/>
          <w:sz w:val="20"/>
        </w:rPr>
        <mc:AlternateContent>
          <mc:Choice Requires="wps">
            <w:drawing>
              <wp:inline distT="0" distB="0" distL="0" distR="0">
                <wp:extent cx="12700" cy="186690"/>
                <wp:effectExtent l="0" t="0" r="0" b="13335"/>
                <wp:docPr id="49" name="Group 49"/>
                <wp:cNvGraphicFramePr>
                  <a:graphicFrameLocks/>
                </wp:cNvGraphicFramePr>
                <a:graphic>
                  <a:graphicData uri="http://schemas.microsoft.com/office/word/2010/wordprocessingGroup">
                    <wpg:wgp>
                      <wpg:cNvPr id="49" name="Group 49"/>
                      <wpg:cNvGrpSpPr/>
                      <wpg:grpSpPr>
                        <a:xfrm>
                          <a:off x="0" y="0"/>
                          <a:ext cx="12700" cy="186690"/>
                          <a:chExt cx="12700" cy="186690"/>
                        </a:xfrm>
                      </wpg:grpSpPr>
                      <wps:wsp>
                        <wps:cNvPr id="50" name="Graphic 50"/>
                        <wps:cNvSpPr/>
                        <wps:spPr>
                          <a:xfrm>
                            <a:off x="6136" y="0"/>
                            <a:ext cx="1270" cy="186690"/>
                          </a:xfrm>
                          <a:custGeom>
                            <a:avLst/>
                            <a:gdLst/>
                            <a:ahLst/>
                            <a:cxnLst/>
                            <a:rect l="l" t="t" r="r" b="b"/>
                            <a:pathLst>
                              <a:path w="0" h="186690">
                                <a:moveTo>
                                  <a:pt x="0" y="0"/>
                                </a:moveTo>
                                <a:lnTo>
                                  <a:pt x="0" y="186216"/>
                                </a:lnTo>
                              </a:path>
                            </a:pathLst>
                          </a:custGeom>
                          <a:ln w="1227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pt;height:14.7pt;mso-position-horizontal-relative:char;mso-position-vertical-relative:line" id="docshapegroup37" coordorigin="0,0" coordsize="20,294">
                <v:line style="position:absolute" from="10,0" to="10,293" stroked="true" strokeweight=".966387pt" strokecolor="#000000">
                  <v:stroke dashstyle="solid"/>
                </v:line>
              </v:group>
            </w:pict>
          </mc:Fallback>
        </mc:AlternateContent>
      </w:r>
      <w:r>
        <w:rPr>
          <w:rFonts w:ascii="Arial MT"/>
          <w:sz w:val="20"/>
        </w:rPr>
      </w:r>
      <w:r>
        <w:rPr>
          <w:rFonts w:ascii="Arial MT"/>
          <w:sz w:val="20"/>
        </w:rPr>
        <w:tab/>
      </w:r>
      <w:r>
        <w:rPr>
          <w:rFonts w:ascii="Arial MT"/>
          <w:sz w:val="20"/>
        </w:rPr>
        <mc:AlternateContent>
          <mc:Choice Requires="wps">
            <w:drawing>
              <wp:inline distT="0" distB="0" distL="0" distR="0">
                <wp:extent cx="12700" cy="185420"/>
                <wp:effectExtent l="0" t="0" r="0" b="14605"/>
                <wp:docPr id="51" name="Group 51"/>
                <wp:cNvGraphicFramePr>
                  <a:graphicFrameLocks/>
                </wp:cNvGraphicFramePr>
                <a:graphic>
                  <a:graphicData uri="http://schemas.microsoft.com/office/word/2010/wordprocessingGroup">
                    <wpg:wgp>
                      <wpg:cNvPr id="51" name="Group 51"/>
                      <wpg:cNvGrpSpPr/>
                      <wpg:grpSpPr>
                        <a:xfrm>
                          <a:off x="0" y="0"/>
                          <a:ext cx="12700" cy="185420"/>
                          <a:chExt cx="12700" cy="185420"/>
                        </a:xfrm>
                      </wpg:grpSpPr>
                      <wps:wsp>
                        <wps:cNvPr id="52" name="Graphic 52"/>
                        <wps:cNvSpPr/>
                        <wps:spPr>
                          <a:xfrm>
                            <a:off x="6136" y="0"/>
                            <a:ext cx="1270" cy="185420"/>
                          </a:xfrm>
                          <a:custGeom>
                            <a:avLst/>
                            <a:gdLst/>
                            <a:ahLst/>
                            <a:cxnLst/>
                            <a:rect l="l" t="t" r="r" b="b"/>
                            <a:pathLst>
                              <a:path w="0" h="185420">
                                <a:moveTo>
                                  <a:pt x="0" y="0"/>
                                </a:moveTo>
                                <a:lnTo>
                                  <a:pt x="0" y="184971"/>
                                </a:lnTo>
                              </a:path>
                            </a:pathLst>
                          </a:custGeom>
                          <a:ln w="1227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pt;height:14.6pt;mso-position-horizontal-relative:char;mso-position-vertical-relative:line" id="docshapegroup38" coordorigin="0,0" coordsize="20,292">
                <v:line style="position:absolute" from="10,0" to="10,291" stroked="true" strokeweight=".966387pt" strokecolor="#000000">
                  <v:stroke dashstyle="solid"/>
                </v:line>
              </v:group>
            </w:pict>
          </mc:Fallback>
        </mc:AlternateContent>
      </w:r>
      <w:r>
        <w:rPr>
          <w:rFonts w:ascii="Arial MT"/>
          <w:sz w:val="20"/>
        </w:rPr>
      </w:r>
    </w:p>
    <w:p>
      <w:pPr>
        <w:tabs>
          <w:tab w:pos="3294" w:val="left" w:leader="none"/>
        </w:tabs>
        <w:spacing w:before="0"/>
        <w:ind w:left="2696" w:right="0" w:firstLine="0"/>
        <w:jc w:val="left"/>
        <w:rPr>
          <w:rFonts w:ascii="Arial MT"/>
          <w:sz w:val="15"/>
        </w:rPr>
      </w:pPr>
      <w:r>
        <w:rPr>
          <w:rFonts w:ascii="Arial MT"/>
          <w:spacing w:val="-10"/>
          <w:w w:val="135"/>
          <w:sz w:val="15"/>
        </w:rPr>
        <w:t>H</w:t>
      </w:r>
      <w:r>
        <w:rPr>
          <w:rFonts w:ascii="Arial MT"/>
          <w:sz w:val="15"/>
        </w:rPr>
        <w:tab/>
      </w:r>
      <w:r>
        <w:rPr>
          <w:rFonts w:ascii="Arial MT"/>
          <w:spacing w:val="-10"/>
          <w:w w:val="135"/>
          <w:sz w:val="15"/>
        </w:rPr>
        <w:t>H</w:t>
      </w:r>
    </w:p>
    <w:p>
      <w:pPr>
        <w:tabs>
          <w:tab w:pos="2219" w:val="left" w:leader="none"/>
        </w:tabs>
        <w:spacing w:before="69"/>
        <w:ind w:left="682" w:right="0" w:firstLine="0"/>
        <w:jc w:val="left"/>
        <w:rPr>
          <w:rFonts w:ascii="Arial MT"/>
          <w:sz w:val="15"/>
        </w:rPr>
      </w:pPr>
      <w:r>
        <w:rPr>
          <w:rFonts w:ascii="Arial MT"/>
          <w:spacing w:val="-5"/>
          <w:w w:val="135"/>
          <w:sz w:val="15"/>
        </w:rPr>
        <w:t>Cl</w:t>
      </w:r>
      <w:r>
        <w:rPr>
          <w:rFonts w:ascii="Arial MT"/>
          <w:sz w:val="15"/>
        </w:rPr>
        <w:tab/>
      </w:r>
      <w:r>
        <w:rPr>
          <w:rFonts w:ascii="Arial MT"/>
          <w:spacing w:val="-5"/>
          <w:w w:val="135"/>
          <w:sz w:val="15"/>
        </w:rPr>
        <w:t>Cl</w:t>
      </w:r>
    </w:p>
    <w:p>
      <w:pPr>
        <w:tabs>
          <w:tab w:pos="1233" w:val="left" w:leader="none"/>
          <w:tab w:pos="1978" w:val="left" w:leader="none"/>
        </w:tabs>
        <w:spacing w:line="146" w:lineRule="exact" w:before="60"/>
        <w:ind w:left="634" w:right="0" w:firstLine="0"/>
        <w:jc w:val="left"/>
        <w:rPr>
          <w:rFonts w:ascii="Arial MT"/>
          <w:sz w:val="15"/>
        </w:rPr>
      </w:pPr>
      <w:r>
        <w:rPr/>
        <w:br w:type="column"/>
      </w:r>
      <w:r>
        <w:rPr>
          <w:rFonts w:ascii="Arial MT"/>
          <w:spacing w:val="-10"/>
          <w:w w:val="135"/>
          <w:sz w:val="15"/>
        </w:rPr>
        <w:t>C</w:t>
      </w:r>
      <w:r>
        <w:rPr>
          <w:rFonts w:ascii="Arial MT"/>
          <w:sz w:val="15"/>
        </w:rPr>
        <w:tab/>
      </w:r>
      <w:r>
        <w:rPr>
          <w:rFonts w:ascii="Arial MT"/>
          <w:spacing w:val="-10"/>
          <w:w w:val="135"/>
          <w:sz w:val="15"/>
        </w:rPr>
        <w:t>C</w:t>
      </w:r>
      <w:r>
        <w:rPr>
          <w:rFonts w:ascii="Arial MT"/>
          <w:sz w:val="15"/>
        </w:rPr>
        <w:tab/>
      </w:r>
      <w:r>
        <w:rPr>
          <w:rFonts w:ascii="Arial MT"/>
          <w:spacing w:val="-10"/>
          <w:w w:val="135"/>
          <w:sz w:val="15"/>
        </w:rPr>
        <w:t>N</w:t>
      </w:r>
    </w:p>
    <w:p>
      <w:pPr>
        <w:spacing w:line="146" w:lineRule="exact" w:before="0"/>
        <w:ind w:left="0" w:right="859" w:firstLine="0"/>
        <w:jc w:val="center"/>
        <w:rPr>
          <w:rFonts w:ascii="Arial MT"/>
          <w:sz w:val="15"/>
        </w:rPr>
      </w:pPr>
      <w:r>
        <w:rPr/>
        <mc:AlternateContent>
          <mc:Choice Requires="wps">
            <w:drawing>
              <wp:anchor distT="0" distB="0" distL="0" distR="0" allowOverlap="1" layoutInCell="1" locked="0" behindDoc="1" simplePos="0" relativeHeight="483923968">
                <wp:simplePos x="0" y="0"/>
                <wp:positionH relativeFrom="page">
                  <wp:posOffset>3664675</wp:posOffset>
                </wp:positionH>
                <wp:positionV relativeFrom="paragraph">
                  <wp:posOffset>-42129</wp:posOffset>
                </wp:positionV>
                <wp:extent cx="249554"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249554" cy="1270"/>
                        </a:xfrm>
                        <a:custGeom>
                          <a:avLst/>
                          <a:gdLst/>
                          <a:ahLst/>
                          <a:cxnLst/>
                          <a:rect l="l" t="t" r="r" b="b"/>
                          <a:pathLst>
                            <a:path w="249554" h="0">
                              <a:moveTo>
                                <a:pt x="0" y="0"/>
                              </a:moveTo>
                              <a:lnTo>
                                <a:pt x="249354" y="0"/>
                              </a:lnTo>
                            </a:path>
                          </a:pathLst>
                        </a:custGeom>
                        <a:ln w="940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92512" from="288.557098pt,-3.317302pt" to="308.191273pt,-3.317302pt" stroked="true" strokeweight=".740811pt" strokecolor="#000000">
                <v:stroke dashstyle="solid"/>
                <w10:wrap type="none"/>
              </v:line>
            </w:pict>
          </mc:Fallback>
        </mc:AlternateContent>
      </w:r>
      <w:r>
        <w:rPr/>
        <mc:AlternateContent>
          <mc:Choice Requires="wps">
            <w:drawing>
              <wp:anchor distT="0" distB="0" distL="0" distR="0" allowOverlap="1" layoutInCell="1" locked="0" behindDoc="0" simplePos="0" relativeHeight="15742976">
                <wp:simplePos x="0" y="0"/>
                <wp:positionH relativeFrom="page">
                  <wp:posOffset>3599370</wp:posOffset>
                </wp:positionH>
                <wp:positionV relativeFrom="paragraph">
                  <wp:posOffset>15746</wp:posOffset>
                </wp:positionV>
                <wp:extent cx="1270" cy="18542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270" cy="185420"/>
                        </a:xfrm>
                        <a:custGeom>
                          <a:avLst/>
                          <a:gdLst/>
                          <a:ahLst/>
                          <a:cxnLst/>
                          <a:rect l="l" t="t" r="r" b="b"/>
                          <a:pathLst>
                            <a:path w="0" h="185420">
                              <a:moveTo>
                                <a:pt x="0" y="0"/>
                              </a:moveTo>
                              <a:lnTo>
                                <a:pt x="0" y="184971"/>
                              </a:lnTo>
                            </a:path>
                          </a:pathLst>
                        </a:custGeom>
                        <a:ln w="1227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283.414978pt,1.239862pt" to="283.414978pt,15.80457pt" stroked="true" strokeweight=".966387pt" strokecolor="#000000">
                <v:stroke dashstyle="solid"/>
                <w10:wrap type="none"/>
              </v:line>
            </w:pict>
          </mc:Fallback>
        </mc:AlternateContent>
      </w:r>
      <w:r>
        <w:rPr/>
        <mc:AlternateContent>
          <mc:Choice Requires="wps">
            <w:drawing>
              <wp:anchor distT="0" distB="0" distL="0" distR="0" allowOverlap="1" layoutInCell="1" locked="0" behindDoc="1" simplePos="0" relativeHeight="483926016">
                <wp:simplePos x="0" y="0"/>
                <wp:positionH relativeFrom="page">
                  <wp:posOffset>4044923</wp:posOffset>
                </wp:positionH>
                <wp:positionV relativeFrom="paragraph">
                  <wp:posOffset>-42129</wp:posOffset>
                </wp:positionV>
                <wp:extent cx="346710"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346710" cy="1270"/>
                        </a:xfrm>
                        <a:custGeom>
                          <a:avLst/>
                          <a:gdLst/>
                          <a:ahLst/>
                          <a:cxnLst/>
                          <a:rect l="l" t="t" r="r" b="b"/>
                          <a:pathLst>
                            <a:path w="346710" h="0">
                              <a:moveTo>
                                <a:pt x="0" y="0"/>
                              </a:moveTo>
                              <a:lnTo>
                                <a:pt x="346646" y="0"/>
                              </a:lnTo>
                            </a:path>
                          </a:pathLst>
                        </a:custGeom>
                        <a:ln w="940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90464" from="318.497894pt,-3.317302pt" to="345.792909pt,-3.317302pt" stroked="true" strokeweight=".740811pt" strokecolor="#000000">
                <v:stroke dashstyle="solid"/>
                <w10:wrap type="none"/>
              </v:line>
            </w:pict>
          </mc:Fallback>
        </mc:AlternateContent>
      </w:r>
      <w:r>
        <w:rPr/>
        <mc:AlternateContent>
          <mc:Choice Requires="wps">
            <w:drawing>
              <wp:anchor distT="0" distB="0" distL="0" distR="0" allowOverlap="1" layoutInCell="1" locked="0" behindDoc="0" simplePos="0" relativeHeight="15745536">
                <wp:simplePos x="0" y="0"/>
                <wp:positionH relativeFrom="page">
                  <wp:posOffset>3141572</wp:posOffset>
                </wp:positionH>
                <wp:positionV relativeFrom="paragraph">
                  <wp:posOffset>-42129</wp:posOffset>
                </wp:positionV>
                <wp:extent cx="392430"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392430" cy="1270"/>
                        </a:xfrm>
                        <a:custGeom>
                          <a:avLst/>
                          <a:gdLst/>
                          <a:ahLst/>
                          <a:cxnLst/>
                          <a:rect l="l" t="t" r="r" b="b"/>
                          <a:pathLst>
                            <a:path w="392430" h="0">
                              <a:moveTo>
                                <a:pt x="0" y="0"/>
                              </a:moveTo>
                              <a:lnTo>
                                <a:pt x="392303" y="0"/>
                              </a:lnTo>
                            </a:path>
                          </a:pathLst>
                        </a:custGeom>
                        <a:ln w="940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247.36792pt,-3.317302pt" to="278.257924pt,-3.317302pt" stroked="true" strokeweight=".740811pt" strokecolor="#000000">
                <v:stroke dashstyle="solid"/>
                <w10:wrap type="none"/>
              </v:line>
            </w:pict>
          </mc:Fallback>
        </mc:AlternateContent>
      </w:r>
      <w:r>
        <w:rPr>
          <w:rFonts w:ascii="Arial MT"/>
          <w:spacing w:val="-10"/>
          <w:w w:val="135"/>
          <w:sz w:val="15"/>
        </w:rPr>
        <w:t>H</w:t>
      </w:r>
    </w:p>
    <w:p>
      <w:pPr>
        <w:pStyle w:val="BodyText"/>
        <w:rPr>
          <w:rFonts w:ascii="Arial MT"/>
          <w:sz w:val="15"/>
        </w:rPr>
      </w:pPr>
    </w:p>
    <w:p>
      <w:pPr>
        <w:spacing w:before="0"/>
        <w:ind w:left="636" w:right="0" w:firstLine="0"/>
        <w:jc w:val="left"/>
        <w:rPr>
          <w:rFonts w:ascii="Arial MT"/>
          <w:sz w:val="15"/>
        </w:rPr>
      </w:pPr>
      <w:r>
        <w:rPr>
          <w:rFonts w:ascii="Arial MT"/>
          <w:spacing w:val="-10"/>
          <w:w w:val="135"/>
          <w:sz w:val="15"/>
        </w:rPr>
        <w:t>H</w:t>
      </w:r>
    </w:p>
    <w:p>
      <w:pPr>
        <w:spacing w:after="0"/>
        <w:jc w:val="left"/>
        <w:rPr>
          <w:rFonts w:ascii="Arial MT"/>
          <w:sz w:val="15"/>
        </w:rPr>
        <w:sectPr>
          <w:type w:val="continuous"/>
          <w:pgSz w:w="12240" w:h="15840"/>
          <w:pgMar w:header="0" w:footer="1066" w:top="1320" w:bottom="960" w:left="1480" w:right="1160"/>
          <w:cols w:num="2" w:equalWidth="0">
            <w:col w:w="3442" w:space="40"/>
            <w:col w:w="6118"/>
          </w:cols>
        </w:sectPr>
      </w:pPr>
    </w:p>
    <w:p>
      <w:pPr>
        <w:pStyle w:val="BodyText"/>
        <w:spacing w:before="229"/>
        <w:ind w:left="681"/>
      </w:pPr>
      <w:r>
        <w:rPr/>
        <w:t>3-[(2,3-</w:t>
      </w:r>
      <w:r>
        <w:rPr>
          <w:spacing w:val="-2"/>
        </w:rPr>
        <w:t>dichlorophenyl)amino]propanamide</w:t>
      </w:r>
    </w:p>
    <w:p>
      <w:pPr>
        <w:pStyle w:val="BodyText"/>
      </w:pPr>
    </w:p>
    <w:p>
      <w:pPr>
        <w:spacing w:before="0"/>
        <w:ind w:left="681" w:right="0" w:firstLine="0"/>
        <w:jc w:val="left"/>
        <w:rPr>
          <w:b/>
          <w:sz w:val="24"/>
        </w:rPr>
      </w:pPr>
      <w:r>
        <w:rPr>
          <w:b/>
          <w:sz w:val="24"/>
        </w:rPr>
        <w:t>Scheme</w:t>
      </w:r>
      <w:r>
        <w:rPr>
          <w:b/>
          <w:spacing w:val="-4"/>
          <w:sz w:val="24"/>
        </w:rPr>
        <w:t> </w:t>
      </w:r>
      <w:r>
        <w:rPr>
          <w:b/>
          <w:sz w:val="24"/>
        </w:rPr>
        <w:t>2</w:t>
      </w:r>
      <w:r>
        <w:rPr>
          <w:b/>
          <w:spacing w:val="-2"/>
          <w:sz w:val="24"/>
        </w:rPr>
        <w:t> </w:t>
      </w:r>
      <w:r>
        <w:rPr>
          <w:sz w:val="24"/>
        </w:rPr>
        <w:t>(Figure</w:t>
      </w:r>
      <w:r>
        <w:rPr>
          <w:spacing w:val="-3"/>
          <w:sz w:val="24"/>
        </w:rPr>
        <w:t> </w:t>
      </w:r>
      <w:r>
        <w:rPr>
          <w:spacing w:val="-5"/>
          <w:sz w:val="24"/>
        </w:rPr>
        <w:t>3</w:t>
      </w:r>
      <w:r>
        <w:rPr>
          <w:b/>
          <w:spacing w:val="-5"/>
          <w:sz w:val="24"/>
        </w:rPr>
        <w:t>):</w:t>
      </w:r>
    </w:p>
    <w:p>
      <w:pPr>
        <w:pStyle w:val="BodyText"/>
        <w:spacing w:before="8"/>
        <w:rPr>
          <w:b/>
          <w:sz w:val="13"/>
        </w:rPr>
      </w:pPr>
    </w:p>
    <w:p>
      <w:pPr>
        <w:spacing w:after="0"/>
        <w:rPr>
          <w:sz w:val="13"/>
        </w:rPr>
        <w:sectPr>
          <w:type w:val="continuous"/>
          <w:pgSz w:w="12240" w:h="15840"/>
          <w:pgMar w:header="0" w:footer="1066" w:top="1320" w:bottom="960" w:left="1480" w:right="1160"/>
        </w:sectPr>
      </w:pPr>
    </w:p>
    <w:p>
      <w:pPr>
        <w:spacing w:before="96"/>
        <w:ind w:left="0" w:right="0" w:firstLine="0"/>
        <w:jc w:val="right"/>
        <w:rPr>
          <w:rFonts w:ascii="Arial MT"/>
          <w:sz w:val="20"/>
        </w:rPr>
      </w:pPr>
      <w:r>
        <w:rPr/>
        <mc:AlternateContent>
          <mc:Choice Requires="wps">
            <w:drawing>
              <wp:anchor distT="0" distB="0" distL="0" distR="0" allowOverlap="1" layoutInCell="1" locked="0" behindDoc="1" simplePos="0" relativeHeight="483928576">
                <wp:simplePos x="0" y="0"/>
                <wp:positionH relativeFrom="page">
                  <wp:posOffset>1675522</wp:posOffset>
                </wp:positionH>
                <wp:positionV relativeFrom="paragraph">
                  <wp:posOffset>186248</wp:posOffset>
                </wp:positionV>
                <wp:extent cx="803910" cy="116776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803910" cy="1167765"/>
                          <a:chExt cx="803910" cy="1167765"/>
                        </a:xfrm>
                      </wpg:grpSpPr>
                      <wps:wsp>
                        <wps:cNvPr id="58" name="Graphic 58"/>
                        <wps:cNvSpPr/>
                        <wps:spPr>
                          <a:xfrm>
                            <a:off x="4823" y="4823"/>
                            <a:ext cx="799465" cy="1158240"/>
                          </a:xfrm>
                          <a:custGeom>
                            <a:avLst/>
                            <a:gdLst/>
                            <a:ahLst/>
                            <a:cxnLst/>
                            <a:rect l="l" t="t" r="r" b="b"/>
                            <a:pathLst>
                              <a:path w="799465" h="1158240">
                                <a:moveTo>
                                  <a:pt x="420421" y="271443"/>
                                </a:moveTo>
                                <a:lnTo>
                                  <a:pt x="139348" y="271443"/>
                                </a:lnTo>
                              </a:path>
                              <a:path w="799465" h="1158240">
                                <a:moveTo>
                                  <a:pt x="401314" y="317430"/>
                                </a:moveTo>
                                <a:lnTo>
                                  <a:pt x="159643" y="317430"/>
                                </a:lnTo>
                              </a:path>
                              <a:path w="799465" h="1158240">
                                <a:moveTo>
                                  <a:pt x="139348" y="271443"/>
                                </a:moveTo>
                                <a:lnTo>
                                  <a:pt x="0" y="602522"/>
                                </a:lnTo>
                              </a:path>
                              <a:path w="799465" h="1158240">
                                <a:moveTo>
                                  <a:pt x="0" y="602522"/>
                                </a:moveTo>
                                <a:lnTo>
                                  <a:pt x="140536" y="935258"/>
                                </a:lnTo>
                              </a:path>
                              <a:path w="799465" h="1158240">
                                <a:moveTo>
                                  <a:pt x="38206" y="602522"/>
                                </a:moveTo>
                                <a:lnTo>
                                  <a:pt x="159643" y="889244"/>
                                </a:lnTo>
                              </a:path>
                              <a:path w="799465" h="1158240">
                                <a:moveTo>
                                  <a:pt x="140536" y="935258"/>
                                </a:moveTo>
                                <a:lnTo>
                                  <a:pt x="421441" y="935258"/>
                                </a:lnTo>
                              </a:path>
                              <a:path w="799465" h="1158240">
                                <a:moveTo>
                                  <a:pt x="421441" y="935258"/>
                                </a:moveTo>
                                <a:lnTo>
                                  <a:pt x="560782" y="602522"/>
                                </a:lnTo>
                              </a:path>
                              <a:path w="799465" h="1158240">
                                <a:moveTo>
                                  <a:pt x="401314" y="889244"/>
                                </a:moveTo>
                                <a:lnTo>
                                  <a:pt x="522575" y="602522"/>
                                </a:lnTo>
                              </a:path>
                              <a:path w="799465" h="1158240">
                                <a:moveTo>
                                  <a:pt x="560782" y="602522"/>
                                </a:moveTo>
                                <a:lnTo>
                                  <a:pt x="420421" y="271443"/>
                                </a:lnTo>
                              </a:path>
                              <a:path w="799465" h="1158240">
                                <a:moveTo>
                                  <a:pt x="560782" y="602522"/>
                                </a:moveTo>
                                <a:lnTo>
                                  <a:pt x="799048" y="602522"/>
                                </a:lnTo>
                              </a:path>
                              <a:path w="799465" h="1158240">
                                <a:moveTo>
                                  <a:pt x="421441" y="935258"/>
                                </a:moveTo>
                                <a:lnTo>
                                  <a:pt x="584489" y="1157690"/>
                                </a:lnTo>
                              </a:path>
                              <a:path w="799465" h="1158240">
                                <a:moveTo>
                                  <a:pt x="139348" y="271443"/>
                                </a:moveTo>
                                <a:lnTo>
                                  <a:pt x="24734" y="0"/>
                                </a:lnTo>
                              </a:path>
                            </a:pathLst>
                          </a:custGeom>
                          <a:ln w="10446">
                            <a:solidFill>
                              <a:srgbClr val="000000"/>
                            </a:solidFill>
                            <a:prstDash val="solid"/>
                          </a:ln>
                        </wps:spPr>
                        <wps:bodyPr wrap="square" lIns="0" tIns="0" rIns="0" bIns="0" rtlCol="0">
                          <a:prstTxWarp prst="textNoShape">
                            <a:avLst/>
                          </a:prstTxWarp>
                          <a:noAutofit/>
                        </wps:bodyPr>
                      </wps:wsp>
                      <wps:wsp>
                        <wps:cNvPr id="59" name="Textbox 59"/>
                        <wps:cNvSpPr txBox="1"/>
                        <wps:spPr>
                          <a:xfrm>
                            <a:off x="0" y="0"/>
                            <a:ext cx="803910" cy="1167765"/>
                          </a:xfrm>
                          <a:prstGeom prst="rect">
                            <a:avLst/>
                          </a:prstGeom>
                        </wps:spPr>
                        <wps:txbx>
                          <w:txbxContent>
                            <w:p>
                              <w:pPr>
                                <w:spacing w:line="240" w:lineRule="auto" w:before="140"/>
                                <w:rPr>
                                  <w:sz w:val="24"/>
                                </w:rPr>
                              </w:pPr>
                            </w:p>
                            <w:p>
                              <w:pPr>
                                <w:tabs>
                                  <w:tab w:pos="614" w:val="left" w:leader="none"/>
                                </w:tabs>
                                <w:spacing w:before="0"/>
                                <w:ind w:left="260" w:right="0" w:firstLine="0"/>
                                <w:jc w:val="left"/>
                                <w:rPr>
                                  <w:sz w:val="24"/>
                                </w:rPr>
                              </w:pPr>
                              <w:r>
                                <w:rPr>
                                  <w:spacing w:val="-5"/>
                                  <w:w w:val="85"/>
                                  <w:sz w:val="24"/>
                                </w:rPr>
                                <w:t>5'</w:t>
                              </w:r>
                              <w:r>
                                <w:rPr>
                                  <w:sz w:val="24"/>
                                </w:rPr>
                                <w:tab/>
                              </w:r>
                              <w:r>
                                <w:rPr>
                                  <w:spacing w:val="-7"/>
                                  <w:w w:val="85"/>
                                  <w:sz w:val="24"/>
                                </w:rPr>
                                <w:t>6'</w:t>
                              </w:r>
                            </w:p>
                            <w:p>
                              <w:pPr>
                                <w:tabs>
                                  <w:tab w:pos="715" w:val="left" w:leader="none"/>
                                </w:tabs>
                                <w:spacing w:before="30"/>
                                <w:ind w:left="127" w:right="0" w:firstLine="0"/>
                                <w:jc w:val="left"/>
                                <w:rPr>
                                  <w:sz w:val="24"/>
                                </w:rPr>
                              </w:pPr>
                              <w:r>
                                <w:rPr>
                                  <w:spacing w:val="-5"/>
                                  <w:w w:val="85"/>
                                  <w:position w:val="1"/>
                                  <w:sz w:val="24"/>
                                </w:rPr>
                                <w:t>4'</w:t>
                              </w:r>
                              <w:r>
                                <w:rPr>
                                  <w:position w:val="1"/>
                                  <w:sz w:val="24"/>
                                </w:rPr>
                                <w:tab/>
                              </w:r>
                              <w:r>
                                <w:rPr>
                                  <w:spacing w:val="-7"/>
                                  <w:w w:val="85"/>
                                  <w:sz w:val="24"/>
                                </w:rPr>
                                <w:t>1'</w:t>
                              </w:r>
                            </w:p>
                            <w:p>
                              <w:pPr>
                                <w:spacing w:before="43"/>
                                <w:ind w:left="283" w:right="0" w:firstLine="0"/>
                                <w:jc w:val="left"/>
                                <w:rPr>
                                  <w:sz w:val="24"/>
                                </w:rPr>
                              </w:pPr>
                              <w:r>
                                <w:rPr>
                                  <w:w w:val="85"/>
                                  <w:sz w:val="24"/>
                                </w:rPr>
                                <w:t>3'</w:t>
                              </w:r>
                              <w:r>
                                <w:rPr>
                                  <w:spacing w:val="55"/>
                                  <w:sz w:val="24"/>
                                </w:rPr>
                                <w:t> </w:t>
                              </w:r>
                              <w:r>
                                <w:rPr>
                                  <w:spacing w:val="-5"/>
                                  <w:w w:val="85"/>
                                  <w:position w:val="-5"/>
                                  <w:sz w:val="24"/>
                                </w:rPr>
                                <w:t>2'</w:t>
                              </w:r>
                            </w:p>
                          </w:txbxContent>
                        </wps:txbx>
                        <wps:bodyPr wrap="square" lIns="0" tIns="0" rIns="0" bIns="0" rtlCol="0">
                          <a:noAutofit/>
                        </wps:bodyPr>
                      </wps:wsp>
                    </wpg:wgp>
                  </a:graphicData>
                </a:graphic>
              </wp:anchor>
            </w:drawing>
          </mc:Choice>
          <mc:Fallback>
            <w:pict>
              <v:group style="position:absolute;margin-left:131.930923pt;margin-top:14.665224pt;width:63.3pt;height:91.95pt;mso-position-horizontal-relative:page;mso-position-vertical-relative:paragraph;z-index:-19387904" id="docshapegroup39" coordorigin="2639,293" coordsize="1266,1839">
                <v:shape style="position:absolute;left:2646;top:300;width:1259;height:1824" id="docshape40" coordorigin="2646,301" coordsize="1259,1824" path="m3308,728l2866,728m3278,801l2898,801m2866,728l2646,1250m2646,1250l2868,1774m2706,1250l2898,1701m2868,1774l3310,1774m3310,1774l3529,1250m3278,1701l3469,1250m3529,1250l3308,728m3529,1250l3905,1250m3310,1774l3567,2124m2866,728l2685,301e" filled="false" stroked="true" strokeweight=".82254pt" strokecolor="#000000">
                  <v:path arrowok="t"/>
                  <v:stroke dashstyle="solid"/>
                </v:shape>
                <v:shape style="position:absolute;left:2638;top:293;width:1266;height:1839" type="#_x0000_t202" id="docshape41" filled="false" stroked="false">
                  <v:textbox inset="0,0,0,0">
                    <w:txbxContent>
                      <w:p>
                        <w:pPr>
                          <w:spacing w:line="240" w:lineRule="auto" w:before="140"/>
                          <w:rPr>
                            <w:sz w:val="24"/>
                          </w:rPr>
                        </w:pPr>
                      </w:p>
                      <w:p>
                        <w:pPr>
                          <w:tabs>
                            <w:tab w:pos="614" w:val="left" w:leader="none"/>
                          </w:tabs>
                          <w:spacing w:before="0"/>
                          <w:ind w:left="260" w:right="0" w:firstLine="0"/>
                          <w:jc w:val="left"/>
                          <w:rPr>
                            <w:sz w:val="24"/>
                          </w:rPr>
                        </w:pPr>
                        <w:r>
                          <w:rPr>
                            <w:spacing w:val="-5"/>
                            <w:w w:val="85"/>
                            <w:sz w:val="24"/>
                          </w:rPr>
                          <w:t>5'</w:t>
                        </w:r>
                        <w:r>
                          <w:rPr>
                            <w:sz w:val="24"/>
                          </w:rPr>
                          <w:tab/>
                        </w:r>
                        <w:r>
                          <w:rPr>
                            <w:spacing w:val="-7"/>
                            <w:w w:val="85"/>
                            <w:sz w:val="24"/>
                          </w:rPr>
                          <w:t>6'</w:t>
                        </w:r>
                      </w:p>
                      <w:p>
                        <w:pPr>
                          <w:tabs>
                            <w:tab w:pos="715" w:val="left" w:leader="none"/>
                          </w:tabs>
                          <w:spacing w:before="30"/>
                          <w:ind w:left="127" w:right="0" w:firstLine="0"/>
                          <w:jc w:val="left"/>
                          <w:rPr>
                            <w:sz w:val="24"/>
                          </w:rPr>
                        </w:pPr>
                        <w:r>
                          <w:rPr>
                            <w:spacing w:val="-5"/>
                            <w:w w:val="85"/>
                            <w:position w:val="1"/>
                            <w:sz w:val="24"/>
                          </w:rPr>
                          <w:t>4'</w:t>
                        </w:r>
                        <w:r>
                          <w:rPr>
                            <w:position w:val="1"/>
                            <w:sz w:val="24"/>
                          </w:rPr>
                          <w:tab/>
                        </w:r>
                        <w:r>
                          <w:rPr>
                            <w:spacing w:val="-7"/>
                            <w:w w:val="85"/>
                            <w:sz w:val="24"/>
                          </w:rPr>
                          <w:t>1'</w:t>
                        </w:r>
                      </w:p>
                      <w:p>
                        <w:pPr>
                          <w:spacing w:before="43"/>
                          <w:ind w:left="283" w:right="0" w:firstLine="0"/>
                          <w:jc w:val="left"/>
                          <w:rPr>
                            <w:sz w:val="24"/>
                          </w:rPr>
                        </w:pPr>
                        <w:r>
                          <w:rPr>
                            <w:w w:val="85"/>
                            <w:sz w:val="24"/>
                          </w:rPr>
                          <w:t>3'</w:t>
                        </w:r>
                        <w:r>
                          <w:rPr>
                            <w:spacing w:val="55"/>
                            <w:sz w:val="24"/>
                          </w:rPr>
                          <w:t> </w:t>
                        </w:r>
                        <w:r>
                          <w:rPr>
                            <w:spacing w:val="-5"/>
                            <w:w w:val="85"/>
                            <w:position w:val="-5"/>
                            <w:sz w:val="24"/>
                          </w:rPr>
                          <w:t>2'</w:t>
                        </w:r>
                      </w:p>
                    </w:txbxContent>
                  </v:textbox>
                  <w10:wrap type="none"/>
                </v:shape>
                <w10:wrap type="none"/>
              </v:group>
            </w:pict>
          </mc:Fallback>
        </mc:AlternateContent>
      </w:r>
      <w:r>
        <w:rPr>
          <w:rFonts w:ascii="Arial MT"/>
          <w:spacing w:val="-5"/>
          <w:w w:val="85"/>
          <w:sz w:val="20"/>
        </w:rPr>
        <w:t>Cl</w:t>
      </w:r>
    </w:p>
    <w:p>
      <w:pPr>
        <w:spacing w:line="240" w:lineRule="auto" w:before="0"/>
        <w:rPr>
          <w:rFonts w:ascii="Arial MT"/>
          <w:sz w:val="20"/>
        </w:rPr>
      </w:pPr>
      <w:r>
        <w:rPr/>
        <w:br w:type="column"/>
      </w:r>
      <w:r>
        <w:rPr>
          <w:rFonts w:ascii="Arial MT"/>
          <w:sz w:val="20"/>
        </w:rPr>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21"/>
        <w:rPr>
          <w:rFonts w:ascii="Arial MT"/>
          <w:sz w:val="20"/>
        </w:rPr>
      </w:pPr>
    </w:p>
    <w:p>
      <w:pPr>
        <w:spacing w:before="0"/>
        <w:ind w:left="0" w:right="0" w:firstLine="0"/>
        <w:jc w:val="right"/>
        <w:rPr>
          <w:rFonts w:ascii="Arial MT"/>
          <w:sz w:val="20"/>
        </w:rPr>
      </w:pPr>
      <w:r>
        <w:rPr>
          <w:rFonts w:ascii="Arial MT"/>
          <w:spacing w:val="-5"/>
          <w:w w:val="85"/>
          <w:sz w:val="20"/>
        </w:rPr>
        <w:t>Cl</w:t>
      </w:r>
    </w:p>
    <w:p>
      <w:pPr>
        <w:spacing w:line="240" w:lineRule="auto" w:before="0"/>
        <w:rPr>
          <w:rFonts w:ascii="Arial MT"/>
          <w:sz w:val="20"/>
        </w:rPr>
      </w:pPr>
      <w:r>
        <w:rPr/>
        <w:br w:type="column"/>
      </w:r>
      <w:r>
        <w:rPr>
          <w:rFonts w:ascii="Arial MT"/>
          <w:sz w:val="20"/>
        </w:rPr>
      </w:r>
    </w:p>
    <w:p>
      <w:pPr>
        <w:pStyle w:val="BodyText"/>
        <w:spacing w:before="30"/>
        <w:rPr>
          <w:rFonts w:ascii="Arial MT"/>
          <w:sz w:val="20"/>
        </w:rPr>
      </w:pPr>
    </w:p>
    <w:p>
      <w:pPr>
        <w:tabs>
          <w:tab w:pos="1215" w:val="left" w:leader="none"/>
          <w:tab w:pos="1653" w:val="left" w:leader="none"/>
        </w:tabs>
        <w:spacing w:before="0"/>
        <w:ind w:left="772" w:right="0" w:firstLine="0"/>
        <w:jc w:val="left"/>
        <w:rPr>
          <w:rFonts w:ascii="Arial MT"/>
          <w:sz w:val="20"/>
        </w:rPr>
      </w:pPr>
      <w:r>
        <w:rPr>
          <w:rFonts w:ascii="Arial MT"/>
          <w:spacing w:val="-10"/>
          <w:w w:val="85"/>
          <w:sz w:val="20"/>
        </w:rPr>
        <w:t>H</w:t>
      </w:r>
      <w:r>
        <w:rPr>
          <w:rFonts w:ascii="Arial MT"/>
          <w:sz w:val="20"/>
        </w:rPr>
        <w:tab/>
      </w:r>
      <w:r>
        <w:rPr>
          <w:rFonts w:ascii="Arial MT"/>
          <w:spacing w:val="-10"/>
          <w:w w:val="85"/>
          <w:sz w:val="20"/>
        </w:rPr>
        <w:t>H</w:t>
      </w:r>
      <w:r>
        <w:rPr>
          <w:rFonts w:ascii="Arial MT"/>
          <w:sz w:val="20"/>
        </w:rPr>
        <w:tab/>
      </w:r>
      <w:r>
        <w:rPr>
          <w:rFonts w:ascii="Arial MT"/>
          <w:spacing w:val="-10"/>
          <w:w w:val="85"/>
          <w:sz w:val="20"/>
        </w:rPr>
        <w:t>O</w:t>
      </w:r>
    </w:p>
    <w:p>
      <w:pPr>
        <w:tabs>
          <w:tab w:pos="1215" w:val="left" w:leader="none"/>
          <w:tab w:pos="1657" w:val="left" w:leader="none"/>
          <w:tab w:pos="2101" w:val="left" w:leader="none"/>
        </w:tabs>
        <w:spacing w:line="292" w:lineRule="auto" w:before="72"/>
        <w:ind w:left="172" w:right="4693" w:firstLine="2311"/>
        <w:jc w:val="left"/>
        <w:rPr>
          <w:rFonts w:ascii="Arial MT"/>
          <w:sz w:val="20"/>
        </w:rPr>
      </w:pPr>
      <w:r>
        <w:rPr/>
        <mc:AlternateContent>
          <mc:Choice Requires="wps">
            <w:drawing>
              <wp:anchor distT="0" distB="0" distL="0" distR="0" allowOverlap="1" layoutInCell="1" locked="0" behindDoc="1" simplePos="0" relativeHeight="483929088">
                <wp:simplePos x="0" y="0"/>
                <wp:positionH relativeFrom="page">
                  <wp:posOffset>2904248</wp:posOffset>
                </wp:positionH>
                <wp:positionV relativeFrom="paragraph">
                  <wp:posOffset>391696</wp:posOffset>
                </wp:positionV>
                <wp:extent cx="1270" cy="230504"/>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270" cy="230504"/>
                        </a:xfrm>
                        <a:custGeom>
                          <a:avLst/>
                          <a:gdLst/>
                          <a:ahLst/>
                          <a:cxnLst/>
                          <a:rect l="l" t="t" r="r" b="b"/>
                          <a:pathLst>
                            <a:path w="0" h="230504">
                              <a:moveTo>
                                <a:pt x="0" y="0"/>
                              </a:moveTo>
                              <a:lnTo>
                                <a:pt x="0" y="230063"/>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7392" from="228.681015pt,30.842232pt" to="228.681015pt,48.957496pt" stroked="true" strokeweight=".698346pt" strokecolor="#000000">
                <v:stroke dashstyle="solid"/>
                <w10:wrap type="none"/>
              </v:line>
            </w:pict>
          </mc:Fallback>
        </mc:AlternateContent>
      </w:r>
      <w:r>
        <w:rPr/>
        <mc:AlternateContent>
          <mc:Choice Requires="wps">
            <w:drawing>
              <wp:anchor distT="0" distB="0" distL="0" distR="0" allowOverlap="1" layoutInCell="1" locked="0" behindDoc="1" simplePos="0" relativeHeight="483929600">
                <wp:simplePos x="0" y="0"/>
                <wp:positionH relativeFrom="page">
                  <wp:posOffset>2904248</wp:posOffset>
                </wp:positionH>
                <wp:positionV relativeFrom="paragraph">
                  <wp:posOffset>-3935</wp:posOffset>
                </wp:positionV>
                <wp:extent cx="799465" cy="30988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799465" cy="309880"/>
                        </a:xfrm>
                        <a:custGeom>
                          <a:avLst/>
                          <a:gdLst/>
                          <a:ahLst/>
                          <a:cxnLst/>
                          <a:rect l="l" t="t" r="r" b="b"/>
                          <a:pathLst>
                            <a:path w="799465" h="309880">
                              <a:moveTo>
                                <a:pt x="0" y="240716"/>
                              </a:moveTo>
                              <a:lnTo>
                                <a:pt x="0" y="0"/>
                              </a:lnTo>
                            </a:path>
                            <a:path w="799465" h="309880">
                              <a:moveTo>
                                <a:pt x="48239" y="309847"/>
                              </a:moveTo>
                              <a:lnTo>
                                <a:pt x="232596" y="309847"/>
                              </a:lnTo>
                            </a:path>
                            <a:path w="799465" h="309880">
                              <a:moveTo>
                                <a:pt x="48239" y="263833"/>
                              </a:moveTo>
                              <a:lnTo>
                                <a:pt x="232596" y="263833"/>
                              </a:lnTo>
                            </a:path>
                            <a:path w="799465" h="309880">
                              <a:moveTo>
                                <a:pt x="280905" y="240716"/>
                              </a:moveTo>
                              <a:lnTo>
                                <a:pt x="280905" y="0"/>
                              </a:lnTo>
                            </a:path>
                            <a:path w="799465" h="309880">
                              <a:moveTo>
                                <a:pt x="328165" y="309847"/>
                              </a:moveTo>
                              <a:lnTo>
                                <a:pt x="513501" y="309847"/>
                              </a:lnTo>
                            </a:path>
                            <a:path w="799465" h="309880">
                              <a:moveTo>
                                <a:pt x="545101" y="240716"/>
                              </a:moveTo>
                              <a:lnTo>
                                <a:pt x="545101" y="1611"/>
                              </a:lnTo>
                            </a:path>
                            <a:path w="799465" h="309880">
                              <a:moveTo>
                                <a:pt x="578659" y="240716"/>
                              </a:moveTo>
                              <a:lnTo>
                                <a:pt x="578659" y="1611"/>
                              </a:lnTo>
                            </a:path>
                            <a:path w="799465" h="309880">
                              <a:moveTo>
                                <a:pt x="609070" y="309847"/>
                              </a:moveTo>
                              <a:lnTo>
                                <a:pt x="799020" y="309847"/>
                              </a:lnTo>
                            </a:path>
                          </a:pathLst>
                        </a:custGeom>
                        <a:ln w="1044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8.681015pt;margin-top:-.309844pt;width:62.95pt;height:24.4pt;mso-position-horizontal-relative:page;mso-position-vertical-relative:paragraph;z-index:-19386880" id="docshape42" coordorigin="4574,-6" coordsize="1259,488" path="m4574,373l4574,-6m4650,482l4940,482m4650,409l4940,409m5016,373l5016,-6m5090,482l5382,482m5432,373l5432,-4m5485,373l5485,-4m5533,482l5832,482e" filled="false" stroked="true" strokeweight=".82254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3796601</wp:posOffset>
                </wp:positionH>
                <wp:positionV relativeFrom="paragraph">
                  <wp:posOffset>154002</wp:posOffset>
                </wp:positionV>
                <wp:extent cx="144145" cy="113664"/>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44145" cy="113664"/>
                        </a:xfrm>
                        <a:custGeom>
                          <a:avLst/>
                          <a:gdLst/>
                          <a:ahLst/>
                          <a:cxnLst/>
                          <a:rect l="l" t="t" r="r" b="b"/>
                          <a:pathLst>
                            <a:path w="144145" h="113664">
                              <a:moveTo>
                                <a:pt x="0" y="113524"/>
                              </a:moveTo>
                              <a:lnTo>
                                <a:pt x="143738" y="0"/>
                              </a:lnTo>
                            </a:path>
                          </a:pathLst>
                        </a:custGeom>
                        <a:ln w="108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298.945038pt,21.065183pt" to="310.263027pt,12.126209pt" stroked="true" strokeweight=".851315pt" strokecolor="#000000">
                <v:stroke dashstyle="solid"/>
                <w10:wrap type="none"/>
              </v:line>
            </w:pict>
          </mc:Fallback>
        </mc:AlternateContent>
      </w:r>
      <w:r>
        <w:rPr/>
        <mc:AlternateContent>
          <mc:Choice Requires="wps">
            <w:drawing>
              <wp:anchor distT="0" distB="0" distL="0" distR="0" allowOverlap="1" layoutInCell="1" locked="0" behindDoc="0" simplePos="0" relativeHeight="15748608">
                <wp:simplePos x="0" y="0"/>
                <wp:positionH relativeFrom="page">
                  <wp:posOffset>4075269</wp:posOffset>
                </wp:positionH>
                <wp:positionV relativeFrom="paragraph">
                  <wp:posOffset>167868</wp:posOffset>
                </wp:positionV>
                <wp:extent cx="962025" cy="14605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962025" cy="146050"/>
                          <a:chExt cx="962025" cy="146050"/>
                        </a:xfrm>
                      </wpg:grpSpPr>
                      <wps:wsp>
                        <wps:cNvPr id="64" name="Graphic 64"/>
                        <wps:cNvSpPr/>
                        <wps:spPr>
                          <a:xfrm>
                            <a:off x="5732" y="76656"/>
                            <a:ext cx="395605" cy="1270"/>
                          </a:xfrm>
                          <a:custGeom>
                            <a:avLst/>
                            <a:gdLst/>
                            <a:ahLst/>
                            <a:cxnLst/>
                            <a:rect l="l" t="t" r="r" b="b"/>
                            <a:pathLst>
                              <a:path w="395605" h="0">
                                <a:moveTo>
                                  <a:pt x="395490" y="0"/>
                                </a:moveTo>
                                <a:lnTo>
                                  <a:pt x="0" y="0"/>
                                </a:lnTo>
                              </a:path>
                            </a:pathLst>
                          </a:custGeom>
                          <a:ln w="1387">
                            <a:solidFill>
                              <a:srgbClr val="000000"/>
                            </a:solidFill>
                            <a:prstDash val="solid"/>
                          </a:ln>
                        </wps:spPr>
                        <wps:bodyPr wrap="square" lIns="0" tIns="0" rIns="0" bIns="0" rtlCol="0">
                          <a:prstTxWarp prst="textNoShape">
                            <a:avLst/>
                          </a:prstTxWarp>
                          <a:noAutofit/>
                        </wps:bodyPr>
                      </wps:wsp>
                      <wps:wsp>
                        <wps:cNvPr id="65" name="Graphic 65"/>
                        <wps:cNvSpPr/>
                        <wps:spPr>
                          <a:xfrm>
                            <a:off x="-4" y="9"/>
                            <a:ext cx="962025" cy="146050"/>
                          </a:xfrm>
                          <a:custGeom>
                            <a:avLst/>
                            <a:gdLst/>
                            <a:ahLst/>
                            <a:cxnLst/>
                            <a:rect l="l" t="t" r="r" b="b"/>
                            <a:pathLst>
                              <a:path w="962025" h="146050">
                                <a:moveTo>
                                  <a:pt x="400113" y="67513"/>
                                </a:moveTo>
                                <a:lnTo>
                                  <a:pt x="0" y="67513"/>
                                </a:lnTo>
                                <a:lnTo>
                                  <a:pt x="0" y="79768"/>
                                </a:lnTo>
                                <a:lnTo>
                                  <a:pt x="400113" y="79768"/>
                                </a:lnTo>
                                <a:lnTo>
                                  <a:pt x="400113" y="67513"/>
                                </a:lnTo>
                                <a:close/>
                              </a:path>
                              <a:path w="962025" h="146050">
                                <a:moveTo>
                                  <a:pt x="961910" y="73520"/>
                                </a:moveTo>
                                <a:lnTo>
                                  <a:pt x="751827" y="0"/>
                                </a:lnTo>
                                <a:lnTo>
                                  <a:pt x="777697" y="73520"/>
                                </a:lnTo>
                                <a:lnTo>
                                  <a:pt x="751827" y="145669"/>
                                </a:lnTo>
                                <a:lnTo>
                                  <a:pt x="961910" y="7352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405837" y="76656"/>
                            <a:ext cx="373380" cy="1270"/>
                          </a:xfrm>
                          <a:custGeom>
                            <a:avLst/>
                            <a:gdLst/>
                            <a:ahLst/>
                            <a:cxnLst/>
                            <a:rect l="l" t="t" r="r" b="b"/>
                            <a:pathLst>
                              <a:path w="373380" h="0">
                                <a:moveTo>
                                  <a:pt x="372978" y="0"/>
                                </a:moveTo>
                                <a:lnTo>
                                  <a:pt x="0" y="0"/>
                                </a:lnTo>
                              </a:path>
                            </a:pathLst>
                          </a:custGeom>
                          <a:ln w="1387">
                            <a:solidFill>
                              <a:srgbClr val="000000"/>
                            </a:solidFill>
                            <a:prstDash val="solid"/>
                          </a:ln>
                        </wps:spPr>
                        <wps:bodyPr wrap="square" lIns="0" tIns="0" rIns="0" bIns="0" rtlCol="0">
                          <a:prstTxWarp prst="textNoShape">
                            <a:avLst/>
                          </a:prstTxWarp>
                          <a:noAutofit/>
                        </wps:bodyPr>
                      </wps:wsp>
                      <wps:wsp>
                        <wps:cNvPr id="67" name="Graphic 67"/>
                        <wps:cNvSpPr/>
                        <wps:spPr>
                          <a:xfrm>
                            <a:off x="400104" y="67519"/>
                            <a:ext cx="377825" cy="12700"/>
                          </a:xfrm>
                          <a:custGeom>
                            <a:avLst/>
                            <a:gdLst/>
                            <a:ahLst/>
                            <a:cxnLst/>
                            <a:rect l="l" t="t" r="r" b="b"/>
                            <a:pathLst>
                              <a:path w="377825" h="12700">
                                <a:moveTo>
                                  <a:pt x="377607" y="0"/>
                                </a:moveTo>
                                <a:lnTo>
                                  <a:pt x="0" y="0"/>
                                </a:lnTo>
                                <a:lnTo>
                                  <a:pt x="0" y="12254"/>
                                </a:lnTo>
                                <a:lnTo>
                                  <a:pt x="377607" y="12254"/>
                                </a:lnTo>
                                <a:lnTo>
                                  <a:pt x="3776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0.88739pt;margin-top:13.21802pt;width:75.75pt;height:11.5pt;mso-position-horizontal-relative:page;mso-position-vertical-relative:paragraph;z-index:15748608" id="docshapegroup43" coordorigin="6418,264" coordsize="1515,230">
                <v:line style="position:absolute" from="7050,385" to="6427,385" stroked="true" strokeweight=".109233pt" strokecolor="#000000">
                  <v:stroke dashstyle="solid"/>
                </v:line>
                <v:shape style="position:absolute;left:6417;top:264;width:1515;height:230" id="docshape44" coordorigin="6418,264" coordsize="1515,230" path="m7048,371l6418,371,6418,390,7048,390,7048,371xm7933,380l7602,264,7642,380,7602,494,7933,380xe" filled="true" fillcolor="#000000" stroked="false">
                  <v:path arrowok="t"/>
                  <v:fill type="solid"/>
                </v:shape>
                <v:line style="position:absolute" from="7644,385" to="7057,385" stroked="true" strokeweight=".109233pt" strokecolor="#000000">
                  <v:stroke dashstyle="solid"/>
                </v:line>
                <v:rect style="position:absolute;left:7047;top:370;width:595;height:20" id="docshape45" filled="true" fillcolor="#000000" stroked="false">
                  <v:fill type="solid"/>
                </v:rect>
                <w10:wrap type="none"/>
              </v:group>
            </w:pict>
          </mc:Fallback>
        </mc:AlternateContent>
      </w:r>
      <w:r>
        <w:rPr>
          <w:rFonts w:ascii="Arial MT"/>
          <w:spacing w:val="-10"/>
          <w:w w:val="85"/>
          <w:sz w:val="20"/>
        </w:rPr>
        <w:t>H</w:t>
      </w:r>
      <w:r>
        <w:rPr>
          <w:rFonts w:ascii="Arial MT"/>
          <w:w w:val="85"/>
          <w:sz w:val="20"/>
        </w:rPr>
        <w:t> </w:t>
      </w:r>
      <w:r>
        <w:rPr>
          <w:rFonts w:ascii="Arial MT"/>
          <w:w w:val="85"/>
          <w:position w:val="-2"/>
          <w:sz w:val="20"/>
        </w:rPr>
        <w:t>NH</w:t>
      </w:r>
      <w:r>
        <w:rPr>
          <w:rFonts w:ascii="Arial MT"/>
          <w:w w:val="85"/>
          <w:position w:val="-7"/>
          <w:sz w:val="16"/>
        </w:rPr>
        <w:t>2</w:t>
      </w:r>
      <w:r>
        <w:rPr>
          <w:rFonts w:ascii="Arial MT"/>
          <w:spacing w:val="54"/>
          <w:position w:val="-7"/>
          <w:sz w:val="16"/>
        </w:rPr>
        <w:t> </w:t>
      </w:r>
      <w:r>
        <w:rPr>
          <w:w w:val="85"/>
          <w:position w:val="-2"/>
          <w:sz w:val="24"/>
        </w:rPr>
        <w:t>+</w:t>
      </w:r>
      <w:r>
        <w:rPr>
          <w:spacing w:val="-6"/>
          <w:position w:val="-2"/>
          <w:sz w:val="24"/>
        </w:rPr>
        <w:t> </w:t>
      </w:r>
      <w:r>
        <w:rPr>
          <w:spacing w:val="-10"/>
          <w:w w:val="80"/>
          <w:sz w:val="24"/>
        </w:rPr>
        <w:t>C</w:t>
      </w:r>
      <w:r>
        <w:rPr>
          <w:sz w:val="24"/>
        </w:rPr>
        <w:tab/>
      </w:r>
      <w:r>
        <w:rPr>
          <w:rFonts w:ascii="Arial MT"/>
          <w:spacing w:val="-10"/>
          <w:w w:val="85"/>
          <w:position w:val="1"/>
          <w:sz w:val="20"/>
        </w:rPr>
        <w:t>C</w:t>
      </w:r>
      <w:r>
        <w:rPr>
          <w:rFonts w:ascii="Arial MT"/>
          <w:position w:val="1"/>
          <w:sz w:val="20"/>
        </w:rPr>
        <w:tab/>
      </w:r>
      <w:r>
        <w:rPr>
          <w:rFonts w:ascii="Arial MT"/>
          <w:spacing w:val="-10"/>
          <w:w w:val="85"/>
          <w:position w:val="1"/>
          <w:sz w:val="20"/>
        </w:rPr>
        <w:t>C</w:t>
      </w:r>
      <w:r>
        <w:rPr>
          <w:rFonts w:ascii="Arial MT"/>
          <w:position w:val="1"/>
          <w:sz w:val="20"/>
        </w:rPr>
        <w:tab/>
      </w:r>
      <w:r>
        <w:rPr>
          <w:rFonts w:ascii="Arial MT"/>
          <w:spacing w:val="13"/>
          <w:w w:val="70"/>
          <w:position w:val="1"/>
          <w:sz w:val="20"/>
        </w:rPr>
        <w:t>N</w:t>
      </w:r>
      <w:r>
        <w:rPr>
          <w:rFonts w:ascii="Arial MT"/>
          <w:spacing w:val="13"/>
          <w:position w:val="-3"/>
          <w:sz w:val="20"/>
        </w:rPr>
        <w:drawing>
          <wp:inline distT="0" distB="0" distL="0" distR="0">
            <wp:extent cx="182741" cy="74701"/>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9" cstate="print"/>
                    <a:stretch>
                      <a:fillRect/>
                    </a:stretch>
                  </pic:blipFill>
                  <pic:spPr>
                    <a:xfrm>
                      <a:off x="0" y="0"/>
                      <a:ext cx="182741" cy="74701"/>
                    </a:xfrm>
                    <a:prstGeom prst="rect">
                      <a:avLst/>
                    </a:prstGeom>
                  </pic:spPr>
                </pic:pic>
              </a:graphicData>
            </a:graphic>
          </wp:inline>
        </w:drawing>
      </w:r>
      <w:r>
        <w:rPr>
          <w:rFonts w:ascii="Arial MT"/>
          <w:spacing w:val="13"/>
          <w:position w:val="-3"/>
          <w:sz w:val="20"/>
        </w:rPr>
      </w:r>
      <w:r>
        <w:rPr>
          <w:rFonts w:ascii="Arial MT"/>
          <w:spacing w:val="-10"/>
          <w:w w:val="85"/>
          <w:position w:val="-13"/>
          <w:sz w:val="20"/>
        </w:rPr>
        <w:t>H</w:t>
      </w:r>
    </w:p>
    <w:p>
      <w:pPr>
        <w:spacing w:before="157"/>
        <w:ind w:left="772" w:right="0" w:firstLine="0"/>
        <w:jc w:val="left"/>
        <w:rPr>
          <w:rFonts w:ascii="Arial MT"/>
          <w:sz w:val="20"/>
        </w:rPr>
      </w:pPr>
      <w:r>
        <w:rPr>
          <w:rFonts w:ascii="Arial MT"/>
          <w:spacing w:val="-10"/>
          <w:w w:val="85"/>
          <w:sz w:val="20"/>
        </w:rPr>
        <w:t>H</w:t>
      </w:r>
    </w:p>
    <w:p>
      <w:pPr>
        <w:spacing w:after="0"/>
        <w:jc w:val="left"/>
        <w:rPr>
          <w:rFonts w:ascii="Arial MT"/>
          <w:sz w:val="20"/>
        </w:rPr>
        <w:sectPr>
          <w:type w:val="continuous"/>
          <w:pgSz w:w="12240" w:h="15840"/>
          <w:pgMar w:header="0" w:footer="1066" w:top="1320" w:bottom="960" w:left="1480" w:right="1160"/>
          <w:cols w:num="3" w:equalWidth="0">
            <w:col w:w="1182" w:space="40"/>
            <w:col w:w="1007" w:space="39"/>
            <w:col w:w="7332"/>
          </w:cols>
        </w:sectPr>
      </w:pPr>
    </w:p>
    <w:p>
      <w:pPr>
        <w:pStyle w:val="BodyText"/>
        <w:tabs>
          <w:tab w:pos="4281" w:val="left" w:leader="none"/>
        </w:tabs>
        <w:spacing w:before="222"/>
        <w:ind w:left="681"/>
      </w:pPr>
      <w:r>
        <w:rPr/>
        <w:t>2,5-</w:t>
      </w:r>
      <w:r>
        <w:rPr>
          <w:spacing w:val="-2"/>
        </w:rPr>
        <w:t>dichloroaniline</w:t>
      </w:r>
      <w:r>
        <w:rPr/>
        <w:tab/>
      </w:r>
      <w:r>
        <w:rPr>
          <w:spacing w:val="-2"/>
        </w:rPr>
        <w:t>acrylamide</w:t>
      </w:r>
    </w:p>
    <w:p>
      <w:pPr>
        <w:pStyle w:val="BodyText"/>
        <w:spacing w:before="90"/>
        <w:rPr>
          <w:sz w:val="15"/>
        </w:rPr>
      </w:pPr>
    </w:p>
    <w:p>
      <w:pPr>
        <w:spacing w:line="153" w:lineRule="exact" w:before="0"/>
        <w:ind w:left="0" w:right="8036" w:firstLine="0"/>
        <w:jc w:val="center"/>
        <w:rPr>
          <w:rFonts w:ascii="Arial MT"/>
          <w:sz w:val="15"/>
        </w:rPr>
      </w:pPr>
      <w:r>
        <w:rPr/>
        <mc:AlternateContent>
          <mc:Choice Requires="wps">
            <w:drawing>
              <wp:anchor distT="0" distB="0" distL="0" distR="0" allowOverlap="1" layoutInCell="1" locked="0" behindDoc="0" simplePos="0" relativeHeight="15749120">
                <wp:simplePos x="0" y="0"/>
                <wp:positionH relativeFrom="page">
                  <wp:posOffset>1523397</wp:posOffset>
                </wp:positionH>
                <wp:positionV relativeFrom="paragraph">
                  <wp:posOffset>79506</wp:posOffset>
                </wp:positionV>
                <wp:extent cx="1172845" cy="85725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172845" cy="857250"/>
                          <a:chExt cx="1172845" cy="857250"/>
                        </a:xfrm>
                      </wpg:grpSpPr>
                      <wps:wsp>
                        <wps:cNvPr id="70" name="Graphic 70"/>
                        <wps:cNvSpPr/>
                        <wps:spPr>
                          <a:xfrm>
                            <a:off x="5454" y="5454"/>
                            <a:ext cx="1167765" cy="846455"/>
                          </a:xfrm>
                          <a:custGeom>
                            <a:avLst/>
                            <a:gdLst/>
                            <a:ahLst/>
                            <a:cxnLst/>
                            <a:rect l="l" t="t" r="r" b="b"/>
                            <a:pathLst>
                              <a:path w="1167765" h="846455">
                                <a:moveTo>
                                  <a:pt x="632860" y="172442"/>
                                </a:moveTo>
                                <a:lnTo>
                                  <a:pt x="235418" y="172442"/>
                                </a:lnTo>
                              </a:path>
                              <a:path w="1167765" h="846455">
                                <a:moveTo>
                                  <a:pt x="604278" y="207367"/>
                                </a:moveTo>
                                <a:lnTo>
                                  <a:pt x="262541" y="207367"/>
                                </a:lnTo>
                              </a:path>
                              <a:path w="1167765" h="846455">
                                <a:moveTo>
                                  <a:pt x="235418" y="172442"/>
                                </a:moveTo>
                                <a:lnTo>
                                  <a:pt x="36574" y="425341"/>
                                </a:lnTo>
                              </a:path>
                              <a:path w="1167765" h="846455">
                                <a:moveTo>
                                  <a:pt x="36574" y="425341"/>
                                </a:moveTo>
                                <a:lnTo>
                                  <a:pt x="235418" y="677011"/>
                                </a:lnTo>
                              </a:path>
                              <a:path w="1167765" h="846455">
                                <a:moveTo>
                                  <a:pt x="90829" y="425341"/>
                                </a:moveTo>
                                <a:lnTo>
                                  <a:pt x="262541" y="642072"/>
                                </a:lnTo>
                              </a:path>
                              <a:path w="1167765" h="846455">
                                <a:moveTo>
                                  <a:pt x="235418" y="677011"/>
                                </a:moveTo>
                                <a:lnTo>
                                  <a:pt x="632860" y="677011"/>
                                </a:lnTo>
                              </a:path>
                              <a:path w="1167765" h="846455">
                                <a:moveTo>
                                  <a:pt x="632860" y="677011"/>
                                </a:moveTo>
                                <a:lnTo>
                                  <a:pt x="831705" y="424272"/>
                                </a:lnTo>
                              </a:path>
                              <a:path w="1167765" h="846455">
                                <a:moveTo>
                                  <a:pt x="605975" y="642072"/>
                                </a:moveTo>
                                <a:lnTo>
                                  <a:pt x="775999" y="424272"/>
                                </a:lnTo>
                              </a:path>
                              <a:path w="1167765" h="846455">
                                <a:moveTo>
                                  <a:pt x="831705" y="424272"/>
                                </a:moveTo>
                                <a:lnTo>
                                  <a:pt x="632860" y="172442"/>
                                </a:lnTo>
                              </a:path>
                              <a:path w="1167765" h="846455">
                                <a:moveTo>
                                  <a:pt x="831705" y="424272"/>
                                </a:moveTo>
                                <a:lnTo>
                                  <a:pt x="1167157" y="424272"/>
                                </a:lnTo>
                              </a:path>
                              <a:path w="1167765" h="846455">
                                <a:moveTo>
                                  <a:pt x="632860" y="677011"/>
                                </a:moveTo>
                                <a:lnTo>
                                  <a:pt x="863464" y="846036"/>
                                </a:lnTo>
                              </a:path>
                              <a:path w="1167765" h="846455">
                                <a:moveTo>
                                  <a:pt x="235418" y="172442"/>
                                </a:moveTo>
                                <a:lnTo>
                                  <a:pt x="0" y="0"/>
                                </a:lnTo>
                              </a:path>
                            </a:pathLst>
                          </a:custGeom>
                          <a:ln w="10908">
                            <a:solidFill>
                              <a:srgbClr val="000000"/>
                            </a:solidFill>
                            <a:prstDash val="solid"/>
                          </a:ln>
                        </wps:spPr>
                        <wps:bodyPr wrap="square" lIns="0" tIns="0" rIns="0" bIns="0" rtlCol="0">
                          <a:prstTxWarp prst="textNoShape">
                            <a:avLst/>
                          </a:prstTxWarp>
                          <a:noAutofit/>
                        </wps:bodyPr>
                      </wps:wsp>
                      <wps:wsp>
                        <wps:cNvPr id="71" name="Textbox 71"/>
                        <wps:cNvSpPr txBox="1"/>
                        <wps:spPr>
                          <a:xfrm>
                            <a:off x="271143" y="173187"/>
                            <a:ext cx="121285" cy="129539"/>
                          </a:xfrm>
                          <a:prstGeom prst="rect">
                            <a:avLst/>
                          </a:prstGeom>
                        </wps:spPr>
                        <wps:txbx>
                          <w:txbxContent>
                            <w:p>
                              <w:pPr>
                                <w:spacing w:line="202" w:lineRule="exact" w:before="0"/>
                                <w:ind w:left="0" w:right="0" w:firstLine="0"/>
                                <w:jc w:val="left"/>
                                <w:rPr>
                                  <w:sz w:val="18"/>
                                </w:rPr>
                              </w:pPr>
                              <w:r>
                                <w:rPr>
                                  <w:spacing w:val="-5"/>
                                  <w:w w:val="140"/>
                                  <w:sz w:val="18"/>
                                </w:rPr>
                                <w:t>5'</w:t>
                              </w:r>
                            </w:p>
                          </w:txbxContent>
                        </wps:txbx>
                        <wps:bodyPr wrap="square" lIns="0" tIns="0" rIns="0" bIns="0" rtlCol="0">
                          <a:noAutofit/>
                        </wps:bodyPr>
                      </wps:wsp>
                      <wps:wsp>
                        <wps:cNvPr id="72" name="Textbox 72"/>
                        <wps:cNvSpPr txBox="1"/>
                        <wps:spPr>
                          <a:xfrm>
                            <a:off x="151741" y="318797"/>
                            <a:ext cx="121285" cy="129539"/>
                          </a:xfrm>
                          <a:prstGeom prst="rect">
                            <a:avLst/>
                          </a:prstGeom>
                        </wps:spPr>
                        <wps:txbx>
                          <w:txbxContent>
                            <w:p>
                              <w:pPr>
                                <w:spacing w:line="202" w:lineRule="exact" w:before="0"/>
                                <w:ind w:left="0" w:right="0" w:firstLine="0"/>
                                <w:jc w:val="left"/>
                                <w:rPr>
                                  <w:sz w:val="18"/>
                                </w:rPr>
                              </w:pPr>
                              <w:r>
                                <w:rPr>
                                  <w:spacing w:val="-5"/>
                                  <w:w w:val="140"/>
                                  <w:sz w:val="18"/>
                                </w:rPr>
                                <w:t>4'</w:t>
                              </w:r>
                            </w:p>
                          </w:txbxContent>
                        </wps:txbx>
                        <wps:bodyPr wrap="square" lIns="0" tIns="0" rIns="0" bIns="0" rtlCol="0">
                          <a:noAutofit/>
                        </wps:bodyPr>
                      </wps:wsp>
                      <wps:wsp>
                        <wps:cNvPr id="73" name="Textbox 73"/>
                        <wps:cNvSpPr txBox="1"/>
                        <wps:spPr>
                          <a:xfrm>
                            <a:off x="290284" y="479665"/>
                            <a:ext cx="121285" cy="129539"/>
                          </a:xfrm>
                          <a:prstGeom prst="rect">
                            <a:avLst/>
                          </a:prstGeom>
                        </wps:spPr>
                        <wps:txbx>
                          <w:txbxContent>
                            <w:p>
                              <w:pPr>
                                <w:spacing w:line="202" w:lineRule="exact" w:before="0"/>
                                <w:ind w:left="0" w:right="0" w:firstLine="0"/>
                                <w:jc w:val="left"/>
                                <w:rPr>
                                  <w:sz w:val="18"/>
                                </w:rPr>
                              </w:pPr>
                              <w:r>
                                <w:rPr>
                                  <w:spacing w:val="-5"/>
                                  <w:w w:val="140"/>
                                  <w:sz w:val="18"/>
                                </w:rPr>
                                <w:t>3'</w:t>
                              </w:r>
                            </w:p>
                          </w:txbxContent>
                        </wps:txbx>
                        <wps:bodyPr wrap="square" lIns="0" tIns="0" rIns="0" bIns="0" rtlCol="0">
                          <a:noAutofit/>
                        </wps:bodyPr>
                      </wps:wsp>
                      <wps:wsp>
                        <wps:cNvPr id="74" name="Textbox 74"/>
                        <wps:cNvSpPr txBox="1"/>
                        <wps:spPr>
                          <a:xfrm>
                            <a:off x="519150" y="173187"/>
                            <a:ext cx="280035" cy="464820"/>
                          </a:xfrm>
                          <a:prstGeom prst="rect">
                            <a:avLst/>
                          </a:prstGeom>
                        </wps:spPr>
                        <wps:txbx>
                          <w:txbxContent>
                            <w:p>
                              <w:pPr>
                                <w:spacing w:line="202" w:lineRule="exact" w:before="0"/>
                                <w:ind w:left="110" w:right="0" w:firstLine="0"/>
                                <w:jc w:val="left"/>
                                <w:rPr>
                                  <w:sz w:val="18"/>
                                </w:rPr>
                              </w:pPr>
                              <w:r>
                                <w:rPr>
                                  <w:spacing w:val="-5"/>
                                  <w:w w:val="140"/>
                                  <w:sz w:val="18"/>
                                </w:rPr>
                                <w:t>6'</w:t>
                              </w:r>
                            </w:p>
                            <w:p>
                              <w:pPr>
                                <w:spacing w:before="33"/>
                                <w:ind w:left="250" w:right="0" w:firstLine="0"/>
                                <w:jc w:val="left"/>
                                <w:rPr>
                                  <w:sz w:val="18"/>
                                </w:rPr>
                              </w:pPr>
                              <w:r>
                                <w:rPr>
                                  <w:spacing w:val="-5"/>
                                  <w:w w:val="140"/>
                                  <w:sz w:val="18"/>
                                </w:rPr>
                                <w:t>1'</w:t>
                              </w:r>
                            </w:p>
                            <w:p>
                              <w:pPr>
                                <w:spacing w:before="81"/>
                                <w:ind w:left="0" w:right="0" w:firstLine="0"/>
                                <w:jc w:val="left"/>
                                <w:rPr>
                                  <w:sz w:val="18"/>
                                </w:rPr>
                              </w:pPr>
                              <w:r>
                                <w:rPr>
                                  <w:spacing w:val="-5"/>
                                  <w:w w:val="140"/>
                                  <w:sz w:val="18"/>
                                </w:rPr>
                                <w:t>2'</w:t>
                              </w:r>
                            </w:p>
                          </w:txbxContent>
                        </wps:txbx>
                        <wps:bodyPr wrap="square" lIns="0" tIns="0" rIns="0" bIns="0" rtlCol="0">
                          <a:noAutofit/>
                        </wps:bodyPr>
                      </wps:wsp>
                    </wpg:wgp>
                  </a:graphicData>
                </a:graphic>
              </wp:anchor>
            </w:drawing>
          </mc:Choice>
          <mc:Fallback>
            <w:pict>
              <v:group style="position:absolute;margin-left:119.952568pt;margin-top:6.260393pt;width:92.35pt;height:67.5pt;mso-position-horizontal-relative:page;mso-position-vertical-relative:paragraph;z-index:15749120" id="docshapegroup46" coordorigin="2399,125" coordsize="1847,1350">
                <v:shape style="position:absolute;left:2407;top:133;width:1839;height:1333" id="docshape47" coordorigin="2408,134" coordsize="1839,1333" path="m3404,405l2778,405m3359,460l2821,460m2778,405l2465,804m2465,804l2778,1200m2551,804l2821,1145m2778,1200l3404,1200m3404,1200l3717,802m3362,1145l3630,802m3717,802l3404,405m3717,802l4246,802m3404,1200l3767,1466m2778,405l2408,134e" filled="false" stroked="true" strokeweight=".85894pt" strokecolor="#000000">
                  <v:path arrowok="t"/>
                  <v:stroke dashstyle="solid"/>
                </v:shape>
                <v:shape style="position:absolute;left:2826;top:397;width:191;height:204" type="#_x0000_t202" id="docshape48" filled="false" stroked="false">
                  <v:textbox inset="0,0,0,0">
                    <w:txbxContent>
                      <w:p>
                        <w:pPr>
                          <w:spacing w:line="202" w:lineRule="exact" w:before="0"/>
                          <w:ind w:left="0" w:right="0" w:firstLine="0"/>
                          <w:jc w:val="left"/>
                          <w:rPr>
                            <w:sz w:val="18"/>
                          </w:rPr>
                        </w:pPr>
                        <w:r>
                          <w:rPr>
                            <w:spacing w:val="-5"/>
                            <w:w w:val="140"/>
                            <w:sz w:val="18"/>
                          </w:rPr>
                          <w:t>5'</w:t>
                        </w:r>
                      </w:p>
                    </w:txbxContent>
                  </v:textbox>
                  <w10:wrap type="none"/>
                </v:shape>
                <v:shape style="position:absolute;left:2638;top:627;width:191;height:204" type="#_x0000_t202" id="docshape49" filled="false" stroked="false">
                  <v:textbox inset="0,0,0,0">
                    <w:txbxContent>
                      <w:p>
                        <w:pPr>
                          <w:spacing w:line="202" w:lineRule="exact" w:before="0"/>
                          <w:ind w:left="0" w:right="0" w:firstLine="0"/>
                          <w:jc w:val="left"/>
                          <w:rPr>
                            <w:sz w:val="18"/>
                          </w:rPr>
                        </w:pPr>
                        <w:r>
                          <w:rPr>
                            <w:spacing w:val="-5"/>
                            <w:w w:val="140"/>
                            <w:sz w:val="18"/>
                          </w:rPr>
                          <w:t>4'</w:t>
                        </w:r>
                      </w:p>
                    </w:txbxContent>
                  </v:textbox>
                  <w10:wrap type="none"/>
                </v:shape>
                <v:shape style="position:absolute;left:2856;top:880;width:191;height:204" type="#_x0000_t202" id="docshape50" filled="false" stroked="false">
                  <v:textbox inset="0,0,0,0">
                    <w:txbxContent>
                      <w:p>
                        <w:pPr>
                          <w:spacing w:line="202" w:lineRule="exact" w:before="0"/>
                          <w:ind w:left="0" w:right="0" w:firstLine="0"/>
                          <w:jc w:val="left"/>
                          <w:rPr>
                            <w:sz w:val="18"/>
                          </w:rPr>
                        </w:pPr>
                        <w:r>
                          <w:rPr>
                            <w:spacing w:val="-5"/>
                            <w:w w:val="140"/>
                            <w:sz w:val="18"/>
                          </w:rPr>
                          <w:t>3'</w:t>
                        </w:r>
                      </w:p>
                    </w:txbxContent>
                  </v:textbox>
                  <w10:wrap type="none"/>
                </v:shape>
                <v:shape style="position:absolute;left:3216;top:397;width:441;height:732" type="#_x0000_t202" id="docshape51" filled="false" stroked="false">
                  <v:textbox inset="0,0,0,0">
                    <w:txbxContent>
                      <w:p>
                        <w:pPr>
                          <w:spacing w:line="202" w:lineRule="exact" w:before="0"/>
                          <w:ind w:left="110" w:right="0" w:firstLine="0"/>
                          <w:jc w:val="left"/>
                          <w:rPr>
                            <w:sz w:val="18"/>
                          </w:rPr>
                        </w:pPr>
                        <w:r>
                          <w:rPr>
                            <w:spacing w:val="-5"/>
                            <w:w w:val="140"/>
                            <w:sz w:val="18"/>
                          </w:rPr>
                          <w:t>6'</w:t>
                        </w:r>
                      </w:p>
                      <w:p>
                        <w:pPr>
                          <w:spacing w:before="33"/>
                          <w:ind w:left="250" w:right="0" w:firstLine="0"/>
                          <w:jc w:val="left"/>
                          <w:rPr>
                            <w:sz w:val="18"/>
                          </w:rPr>
                        </w:pPr>
                        <w:r>
                          <w:rPr>
                            <w:spacing w:val="-5"/>
                            <w:w w:val="140"/>
                            <w:sz w:val="18"/>
                          </w:rPr>
                          <w:t>1'</w:t>
                        </w:r>
                      </w:p>
                      <w:p>
                        <w:pPr>
                          <w:spacing w:before="81"/>
                          <w:ind w:left="0" w:right="0" w:firstLine="0"/>
                          <w:jc w:val="left"/>
                          <w:rPr>
                            <w:sz w:val="18"/>
                          </w:rPr>
                        </w:pPr>
                        <w:r>
                          <w:rPr>
                            <w:spacing w:val="-5"/>
                            <w:w w:val="140"/>
                            <w:sz w:val="18"/>
                          </w:rPr>
                          <w:t>2'</w:t>
                        </w:r>
                      </w:p>
                    </w:txbxContent>
                  </v:textbox>
                  <w10:wrap type="none"/>
                </v:shape>
                <w10:wrap type="none"/>
              </v:group>
            </w:pict>
          </mc:Fallback>
        </mc:AlternateContent>
      </w:r>
      <w:r>
        <w:rPr>
          <w:rFonts w:ascii="Arial MT"/>
          <w:spacing w:val="-5"/>
          <w:w w:val="140"/>
          <w:sz w:val="15"/>
        </w:rPr>
        <w:t>Cl</w:t>
      </w:r>
    </w:p>
    <w:p>
      <w:pPr>
        <w:spacing w:line="131" w:lineRule="exact" w:before="0"/>
        <w:ind w:left="0" w:right="894" w:firstLine="0"/>
        <w:jc w:val="center"/>
        <w:rPr>
          <w:rFonts w:ascii="Arial MT"/>
          <w:sz w:val="15"/>
        </w:rPr>
      </w:pPr>
      <w:r>
        <w:rPr>
          <w:rFonts w:ascii="Arial MT"/>
          <w:spacing w:val="-10"/>
          <w:w w:val="140"/>
          <w:sz w:val="15"/>
        </w:rPr>
        <w:t>H</w:t>
      </w:r>
    </w:p>
    <w:p>
      <w:pPr>
        <w:tabs>
          <w:tab w:pos="1479" w:val="left" w:leader="none"/>
        </w:tabs>
        <w:spacing w:line="150" w:lineRule="exact" w:before="0"/>
        <w:ind w:left="0" w:right="1125" w:firstLine="0"/>
        <w:jc w:val="center"/>
        <w:rPr>
          <w:rFonts w:ascii="Arial MT"/>
          <w:sz w:val="15"/>
        </w:rPr>
      </w:pPr>
      <w:r>
        <w:rPr/>
        <mc:AlternateContent>
          <mc:Choice Requires="wps">
            <w:drawing>
              <wp:anchor distT="0" distB="0" distL="0" distR="0" allowOverlap="1" layoutInCell="1" locked="0" behindDoc="1" simplePos="0" relativeHeight="483932672">
                <wp:simplePos x="0" y="0"/>
                <wp:positionH relativeFrom="page">
                  <wp:posOffset>3700905</wp:posOffset>
                </wp:positionH>
                <wp:positionV relativeFrom="paragraph">
                  <wp:posOffset>12676</wp:posOffset>
                </wp:positionV>
                <wp:extent cx="1270" cy="2635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270" cy="263525"/>
                        </a:xfrm>
                        <a:custGeom>
                          <a:avLst/>
                          <a:gdLst/>
                          <a:ahLst/>
                          <a:cxnLst/>
                          <a:rect l="l" t="t" r="r" b="b"/>
                          <a:pathLst>
                            <a:path w="0" h="263525">
                              <a:moveTo>
                                <a:pt x="0" y="263381"/>
                              </a:moveTo>
                              <a:lnTo>
                                <a:pt x="0" y="0"/>
                              </a:lnTo>
                            </a:path>
                          </a:pathLst>
                        </a:custGeom>
                        <a:ln w="125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3808" from="291.409882pt,21.736916pt" to="291.409882pt,.998182pt" stroked="true" strokeweight=".99169pt" strokecolor="#000000">
                <v:stroke dashstyle="solid"/>
                <w10:wrap type="none"/>
              </v:line>
            </w:pict>
          </mc:Fallback>
        </mc:AlternateContent>
      </w:r>
      <w:r>
        <w:rPr/>
        <mc:AlternateContent>
          <mc:Choice Requires="wps">
            <w:drawing>
              <wp:anchor distT="0" distB="0" distL="0" distR="0" allowOverlap="1" layoutInCell="1" locked="0" behindDoc="0" simplePos="0" relativeHeight="15751680">
                <wp:simplePos x="0" y="0"/>
                <wp:positionH relativeFrom="page">
                  <wp:posOffset>4076277</wp:posOffset>
                </wp:positionH>
                <wp:positionV relativeFrom="paragraph">
                  <wp:posOffset>94245</wp:posOffset>
                </wp:positionV>
                <wp:extent cx="48260" cy="18224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48260" cy="182245"/>
                        </a:xfrm>
                        <a:custGeom>
                          <a:avLst/>
                          <a:gdLst/>
                          <a:ahLst/>
                          <a:cxnLst/>
                          <a:rect l="l" t="t" r="r" b="b"/>
                          <a:pathLst>
                            <a:path w="48260" h="182245">
                              <a:moveTo>
                                <a:pt x="0" y="181813"/>
                              </a:moveTo>
                              <a:lnTo>
                                <a:pt x="0" y="0"/>
                              </a:lnTo>
                            </a:path>
                            <a:path w="48260" h="182245">
                              <a:moveTo>
                                <a:pt x="47752" y="181813"/>
                              </a:moveTo>
                              <a:lnTo>
                                <a:pt x="47752" y="0"/>
                              </a:lnTo>
                            </a:path>
                          </a:pathLst>
                        </a:custGeom>
                        <a:ln w="109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0.966705pt;margin-top:7.420899pt;width:3.8pt;height:14.35pt;mso-position-horizontal-relative:page;mso-position-vertical-relative:paragraph;z-index:15751680" id="docshape52" coordorigin="6419,148" coordsize="76,287" path="m6419,435l6419,148m6495,435l6495,148e" filled="false" stroked="true" strokeweight=".85894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3155668</wp:posOffset>
                </wp:positionH>
                <wp:positionV relativeFrom="paragraph">
                  <wp:posOffset>93009</wp:posOffset>
                </wp:positionV>
                <wp:extent cx="1270" cy="18351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270" cy="183515"/>
                        </a:xfrm>
                        <a:custGeom>
                          <a:avLst/>
                          <a:gdLst/>
                          <a:ahLst/>
                          <a:cxnLst/>
                          <a:rect l="l" t="t" r="r" b="b"/>
                          <a:pathLst>
                            <a:path w="0" h="183515">
                              <a:moveTo>
                                <a:pt x="0" y="183049"/>
                              </a:moveTo>
                              <a:lnTo>
                                <a:pt x="0" y="0"/>
                              </a:lnTo>
                            </a:path>
                          </a:pathLst>
                        </a:custGeom>
                        <a:ln w="125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248.477829pt,21.736916pt" to="248.477829pt,7.323585pt" stroked="true" strokeweight=".99169pt" strokecolor="#000000">
                <v:stroke dashstyle="solid"/>
                <w10:wrap type="none"/>
              </v:line>
            </w:pict>
          </mc:Fallback>
        </mc:AlternateContent>
      </w:r>
      <w:r>
        <w:rPr>
          <w:rFonts w:ascii="Arial MT"/>
          <w:spacing w:val="-10"/>
          <w:w w:val="140"/>
          <w:sz w:val="15"/>
        </w:rPr>
        <w:t>H</w:t>
      </w:r>
      <w:r>
        <w:rPr>
          <w:rFonts w:ascii="Arial MT"/>
          <w:sz w:val="15"/>
        </w:rPr>
        <w:tab/>
      </w:r>
      <w:r>
        <w:rPr>
          <w:rFonts w:ascii="Arial MT"/>
          <w:spacing w:val="-10"/>
          <w:w w:val="140"/>
          <w:sz w:val="15"/>
        </w:rPr>
        <w:t>O</w:t>
      </w:r>
    </w:p>
    <w:p>
      <w:pPr>
        <w:spacing w:before="57"/>
        <w:ind w:left="2990" w:right="0" w:firstLine="0"/>
        <w:jc w:val="center"/>
        <w:rPr>
          <w:rFonts w:ascii="Arial MT"/>
          <w:sz w:val="15"/>
        </w:rPr>
      </w:pPr>
      <w:r>
        <w:rPr/>
        <mc:AlternateContent>
          <mc:Choice Requires="wps">
            <w:drawing>
              <wp:anchor distT="0" distB="0" distL="0" distR="0" allowOverlap="1" layoutInCell="1" locked="0" behindDoc="0" simplePos="0" relativeHeight="15752704">
                <wp:simplePos x="0" y="0"/>
                <wp:positionH relativeFrom="page">
                  <wp:posOffset>4661424</wp:posOffset>
                </wp:positionH>
                <wp:positionV relativeFrom="paragraph">
                  <wp:posOffset>117545</wp:posOffset>
                </wp:positionV>
                <wp:extent cx="243204" cy="17780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243204" cy="177800"/>
                        </a:xfrm>
                        <a:custGeom>
                          <a:avLst/>
                          <a:gdLst/>
                          <a:ahLst/>
                          <a:cxnLst/>
                          <a:rect l="l" t="t" r="r" b="b"/>
                          <a:pathLst>
                            <a:path w="243204" h="177800">
                              <a:moveTo>
                                <a:pt x="0" y="86199"/>
                              </a:moveTo>
                              <a:lnTo>
                                <a:pt x="201932" y="0"/>
                              </a:lnTo>
                            </a:path>
                            <a:path w="243204" h="177800">
                              <a:moveTo>
                                <a:pt x="1489" y="129295"/>
                              </a:moveTo>
                              <a:lnTo>
                                <a:pt x="243132" y="177182"/>
                              </a:lnTo>
                            </a:path>
                          </a:pathLst>
                        </a:custGeom>
                        <a:ln w="109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7.04129pt;margin-top:9.255576pt;width:19.150pt;height:14pt;mso-position-horizontal-relative:page;mso-position-vertical-relative:paragraph;z-index:15752704" id="docshape53" coordorigin="7341,185" coordsize="383,280" path="m7341,321l7659,185m7343,389l7724,464e" filled="false" stroked="true" strokeweight=".85894pt" strokecolor="#000000">
                <v:path arrowok="t"/>
                <v:stroke dashstyle="solid"/>
                <w10:wrap type="none"/>
              </v:shape>
            </w:pict>
          </mc:Fallback>
        </mc:AlternateContent>
      </w:r>
      <w:r>
        <w:rPr>
          <w:rFonts w:ascii="Arial MT"/>
          <w:spacing w:val="-10"/>
          <w:w w:val="140"/>
          <w:sz w:val="15"/>
        </w:rPr>
        <w:t>H</w:t>
      </w:r>
    </w:p>
    <w:p>
      <w:pPr>
        <w:tabs>
          <w:tab w:pos="3411" w:val="left" w:leader="none"/>
          <w:tab w:pos="4273" w:val="left" w:leader="none"/>
          <w:tab w:pos="4899" w:val="left" w:leader="none"/>
          <w:tab w:pos="5677" w:val="left" w:leader="none"/>
        </w:tabs>
        <w:spacing w:line="145" w:lineRule="exact" w:before="57"/>
        <w:ind w:left="2790" w:right="0" w:firstLine="0"/>
        <w:jc w:val="left"/>
        <w:rPr>
          <w:rFonts w:ascii="Arial MT"/>
          <w:sz w:val="15"/>
        </w:rPr>
      </w:pPr>
      <w:r>
        <w:rPr/>
        <mc:AlternateContent>
          <mc:Choice Requires="wps">
            <w:drawing>
              <wp:anchor distT="0" distB="0" distL="0" distR="0" allowOverlap="1" layoutInCell="1" locked="0" behindDoc="1" simplePos="0" relativeHeight="483932160">
                <wp:simplePos x="0" y="0"/>
                <wp:positionH relativeFrom="page">
                  <wp:posOffset>3769407</wp:posOffset>
                </wp:positionH>
                <wp:positionV relativeFrom="paragraph">
                  <wp:posOffset>87283</wp:posOffset>
                </wp:positionV>
                <wp:extent cx="260985"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260985" cy="1270"/>
                        </a:xfrm>
                        <a:custGeom>
                          <a:avLst/>
                          <a:gdLst/>
                          <a:ahLst/>
                          <a:cxnLst/>
                          <a:rect l="l" t="t" r="r" b="b"/>
                          <a:pathLst>
                            <a:path w="260985" h="0">
                              <a:moveTo>
                                <a:pt x="0" y="0"/>
                              </a:moveTo>
                              <a:lnTo>
                                <a:pt x="260605" y="0"/>
                              </a:lnTo>
                            </a:path>
                          </a:pathLst>
                        </a:custGeom>
                        <a:ln w="92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4320" from="296.803741pt,6.872715pt" to="317.323891pt,6.872715pt" stroked="true" strokeweight=".726191pt" strokecolor="#000000">
                <v:stroke dashstyle="solid"/>
                <w10:wrap type="none"/>
              </v:line>
            </w:pict>
          </mc:Fallback>
        </mc:AlternateContent>
      </w:r>
      <w:r>
        <w:rPr/>
        <mc:AlternateContent>
          <mc:Choice Requires="wps">
            <w:drawing>
              <wp:anchor distT="0" distB="0" distL="0" distR="0" allowOverlap="1" layoutInCell="1" locked="0" behindDoc="1" simplePos="0" relativeHeight="483934208">
                <wp:simplePos x="0" y="0"/>
                <wp:positionH relativeFrom="page">
                  <wp:posOffset>4166819</wp:posOffset>
                </wp:positionH>
                <wp:positionV relativeFrom="paragraph">
                  <wp:posOffset>87283</wp:posOffset>
                </wp:positionV>
                <wp:extent cx="362585"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362585" cy="1270"/>
                        </a:xfrm>
                        <a:custGeom>
                          <a:avLst/>
                          <a:gdLst/>
                          <a:ahLst/>
                          <a:cxnLst/>
                          <a:rect l="l" t="t" r="r" b="b"/>
                          <a:pathLst>
                            <a:path w="362585" h="0">
                              <a:moveTo>
                                <a:pt x="0" y="0"/>
                              </a:moveTo>
                              <a:lnTo>
                                <a:pt x="362564" y="0"/>
                              </a:lnTo>
                            </a:path>
                          </a:pathLst>
                        </a:custGeom>
                        <a:ln w="92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2272" from="328.096008pt,6.872715pt" to="356.644422pt,6.872715pt" stroked="true" strokeweight=".726191pt" strokecolor="#000000">
                <v:stroke dashstyle="solid"/>
                <w10:wrap type="none"/>
              </v:line>
            </w:pict>
          </mc:Fallback>
        </mc:AlternateContent>
      </w:r>
      <w:r>
        <w:rPr/>
        <mc:AlternateContent>
          <mc:Choice Requires="wps">
            <w:drawing>
              <wp:anchor distT="0" distB="0" distL="0" distR="0" allowOverlap="1" layoutInCell="1" locked="0" behindDoc="1" simplePos="0" relativeHeight="483935232">
                <wp:simplePos x="0" y="0"/>
                <wp:positionH relativeFrom="page">
                  <wp:posOffset>2821695</wp:posOffset>
                </wp:positionH>
                <wp:positionV relativeFrom="paragraph">
                  <wp:posOffset>87283</wp:posOffset>
                </wp:positionV>
                <wp:extent cx="266065" cy="12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266065" cy="1270"/>
                        </a:xfrm>
                        <a:custGeom>
                          <a:avLst/>
                          <a:gdLst/>
                          <a:ahLst/>
                          <a:cxnLst/>
                          <a:rect l="l" t="t" r="r" b="b"/>
                          <a:pathLst>
                            <a:path w="266065" h="0">
                              <a:moveTo>
                                <a:pt x="0" y="0"/>
                              </a:moveTo>
                              <a:lnTo>
                                <a:pt x="265470" y="0"/>
                              </a:lnTo>
                            </a:path>
                          </a:pathLst>
                        </a:custGeom>
                        <a:ln w="92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1248" from="222.180756pt,6.872715pt" to="243.083948pt,6.872715pt" stroked="true" strokeweight=".726191pt" strokecolor="#000000">
                <v:stroke dashstyle="solid"/>
                <w10:wrap type="none"/>
              </v:line>
            </w:pict>
          </mc:Fallback>
        </mc:AlternateContent>
      </w:r>
      <w:r>
        <w:rPr/>
        <mc:AlternateContent>
          <mc:Choice Requires="wps">
            <w:drawing>
              <wp:anchor distT="0" distB="0" distL="0" distR="0" allowOverlap="1" layoutInCell="1" locked="0" behindDoc="1" simplePos="0" relativeHeight="483935744">
                <wp:simplePos x="0" y="0"/>
                <wp:positionH relativeFrom="page">
                  <wp:posOffset>3222284</wp:posOffset>
                </wp:positionH>
                <wp:positionV relativeFrom="paragraph">
                  <wp:posOffset>87283</wp:posOffset>
                </wp:positionV>
                <wp:extent cx="410845" cy="127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410845" cy="1270"/>
                        </a:xfrm>
                        <a:custGeom>
                          <a:avLst/>
                          <a:gdLst/>
                          <a:ahLst/>
                          <a:cxnLst/>
                          <a:rect l="l" t="t" r="r" b="b"/>
                          <a:pathLst>
                            <a:path w="410845" h="0">
                              <a:moveTo>
                                <a:pt x="0" y="0"/>
                              </a:moveTo>
                              <a:lnTo>
                                <a:pt x="410317" y="0"/>
                              </a:lnTo>
                            </a:path>
                          </a:pathLst>
                        </a:custGeom>
                        <a:ln w="92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0736" from="253.72316pt,6.872715pt" to="286.031647pt,6.872715pt" stroked="true" strokeweight=".726191pt" strokecolor="#000000">
                <v:stroke dashstyle="solid"/>
                <w10:wrap type="none"/>
              </v:line>
            </w:pict>
          </mc:Fallback>
        </mc:AlternateContent>
      </w:r>
      <w:r>
        <w:rPr>
          <w:rFonts w:ascii="Arial MT"/>
          <w:spacing w:val="-10"/>
          <w:w w:val="140"/>
          <w:sz w:val="15"/>
        </w:rPr>
        <w:t>N</w:t>
      </w:r>
      <w:r>
        <w:rPr>
          <w:rFonts w:ascii="Arial MT"/>
          <w:sz w:val="15"/>
        </w:rPr>
        <w:tab/>
      </w:r>
      <w:r>
        <w:rPr>
          <w:rFonts w:ascii="Arial MT"/>
          <w:spacing w:val="-10"/>
          <w:w w:val="140"/>
          <w:sz w:val="15"/>
        </w:rPr>
        <w:t>C</w:t>
      </w:r>
      <w:r>
        <w:rPr>
          <w:rFonts w:ascii="Arial MT"/>
          <w:sz w:val="15"/>
        </w:rPr>
        <w:tab/>
      </w:r>
      <w:r>
        <w:rPr>
          <w:rFonts w:ascii="Arial MT"/>
          <w:spacing w:val="-10"/>
          <w:w w:val="140"/>
          <w:sz w:val="15"/>
        </w:rPr>
        <w:t>C</w:t>
      </w:r>
      <w:r>
        <w:rPr>
          <w:rFonts w:ascii="Arial MT"/>
          <w:sz w:val="15"/>
        </w:rPr>
        <w:tab/>
      </w:r>
      <w:r>
        <w:rPr>
          <w:rFonts w:ascii="Arial MT"/>
          <w:spacing w:val="-10"/>
          <w:w w:val="140"/>
          <w:sz w:val="15"/>
        </w:rPr>
        <w:t>C</w:t>
      </w:r>
      <w:r>
        <w:rPr>
          <w:rFonts w:ascii="Arial MT"/>
          <w:sz w:val="15"/>
        </w:rPr>
        <w:tab/>
      </w:r>
      <w:r>
        <w:rPr>
          <w:rFonts w:ascii="Arial MT"/>
          <w:spacing w:val="-10"/>
          <w:w w:val="140"/>
          <w:sz w:val="15"/>
        </w:rPr>
        <w:t>N</w:t>
      </w:r>
    </w:p>
    <w:p>
      <w:pPr>
        <w:spacing w:line="145" w:lineRule="exact" w:before="0"/>
        <w:ind w:left="6281" w:right="0" w:firstLine="0"/>
        <w:jc w:val="left"/>
        <w:rPr>
          <w:rFonts w:ascii="Arial MT"/>
          <w:sz w:val="15"/>
        </w:rPr>
      </w:pPr>
      <w:r>
        <w:rPr/>
        <mc:AlternateContent>
          <mc:Choice Requires="wps">
            <w:drawing>
              <wp:anchor distT="0" distB="0" distL="0" distR="0" allowOverlap="1" layoutInCell="1" locked="0" behindDoc="0" simplePos="0" relativeHeight="15749632">
                <wp:simplePos x="0" y="0"/>
                <wp:positionH relativeFrom="page">
                  <wp:posOffset>2757958</wp:posOffset>
                </wp:positionH>
                <wp:positionV relativeFrom="paragraph">
                  <wp:posOffset>14859</wp:posOffset>
                </wp:positionV>
                <wp:extent cx="1270" cy="18415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270" cy="184150"/>
                        </a:xfrm>
                        <a:custGeom>
                          <a:avLst/>
                          <a:gdLst/>
                          <a:ahLst/>
                          <a:cxnLst/>
                          <a:rect l="l" t="t" r="r" b="b"/>
                          <a:pathLst>
                            <a:path w="0" h="184150">
                              <a:moveTo>
                                <a:pt x="0" y="0"/>
                              </a:moveTo>
                              <a:lnTo>
                                <a:pt x="0" y="184096"/>
                              </a:lnTo>
                            </a:path>
                          </a:pathLst>
                        </a:custGeom>
                        <a:ln w="125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632" from="217.162125pt,1.170006pt" to="217.162125pt,15.665767pt" stroked="true" strokeweight=".99169pt" strokecolor="#000000">
                <v:stroke dashstyle="solid"/>
                <w10:wrap type="none"/>
              </v:line>
            </w:pict>
          </mc:Fallback>
        </mc:AlternateContent>
      </w:r>
      <w:r>
        <w:rPr/>
        <mc:AlternateContent>
          <mc:Choice Requires="wps">
            <w:drawing>
              <wp:anchor distT="0" distB="0" distL="0" distR="0" allowOverlap="1" layoutInCell="1" locked="0" behindDoc="0" simplePos="0" relativeHeight="15751168">
                <wp:simplePos x="0" y="0"/>
                <wp:positionH relativeFrom="page">
                  <wp:posOffset>3700905</wp:posOffset>
                </wp:positionH>
                <wp:positionV relativeFrom="paragraph">
                  <wp:posOffset>16102</wp:posOffset>
                </wp:positionV>
                <wp:extent cx="1270" cy="18288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270" cy="182880"/>
                        </a:xfrm>
                        <a:custGeom>
                          <a:avLst/>
                          <a:gdLst/>
                          <a:ahLst/>
                          <a:cxnLst/>
                          <a:rect l="l" t="t" r="r" b="b"/>
                          <a:pathLst>
                            <a:path w="0" h="182880">
                              <a:moveTo>
                                <a:pt x="0" y="0"/>
                              </a:moveTo>
                              <a:lnTo>
                                <a:pt x="0" y="182853"/>
                              </a:lnTo>
                            </a:path>
                          </a:pathLst>
                        </a:custGeom>
                        <a:ln w="125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168" from="291.409882pt,1.267892pt" to="291.409882pt,15.665767pt" stroked="true" strokeweight=".99169pt" strokecolor="#000000">
                <v:stroke dashstyle="solid"/>
                <w10:wrap type="none"/>
              </v:line>
            </w:pict>
          </mc:Fallback>
        </mc:AlternateContent>
      </w:r>
      <w:r>
        <w:rPr/>
        <mc:AlternateContent>
          <mc:Choice Requires="wps">
            <w:drawing>
              <wp:anchor distT="0" distB="0" distL="0" distR="0" allowOverlap="1" layoutInCell="1" locked="0" behindDoc="0" simplePos="0" relativeHeight="15754240">
                <wp:simplePos x="0" y="0"/>
                <wp:positionH relativeFrom="page">
                  <wp:posOffset>3155668</wp:posOffset>
                </wp:positionH>
                <wp:positionV relativeFrom="paragraph">
                  <wp:posOffset>16102</wp:posOffset>
                </wp:positionV>
                <wp:extent cx="1270" cy="18288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270" cy="182880"/>
                        </a:xfrm>
                        <a:custGeom>
                          <a:avLst/>
                          <a:gdLst/>
                          <a:ahLst/>
                          <a:cxnLst/>
                          <a:rect l="l" t="t" r="r" b="b"/>
                          <a:pathLst>
                            <a:path w="0" h="182880">
                              <a:moveTo>
                                <a:pt x="0" y="0"/>
                              </a:moveTo>
                              <a:lnTo>
                                <a:pt x="0" y="182853"/>
                              </a:lnTo>
                            </a:path>
                          </a:pathLst>
                        </a:custGeom>
                        <a:ln w="125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248.477829pt,1.267892pt" to="248.477829pt,15.665767pt" stroked="true" strokeweight=".99169pt" strokecolor="#000000">
                <v:stroke dashstyle="solid"/>
                <w10:wrap type="none"/>
              </v:line>
            </w:pict>
          </mc:Fallback>
        </mc:AlternateContent>
      </w:r>
      <w:r>
        <w:rPr>
          <w:rFonts w:ascii="Arial MT"/>
          <w:spacing w:val="-10"/>
          <w:w w:val="140"/>
          <w:sz w:val="15"/>
        </w:rPr>
        <w:t>H</w:t>
      </w:r>
    </w:p>
    <w:p>
      <w:pPr>
        <w:tabs>
          <w:tab w:pos="3414" w:val="left" w:leader="none"/>
          <w:tab w:pos="4275" w:val="left" w:leader="none"/>
        </w:tabs>
        <w:spacing w:before="169"/>
        <w:ind w:left="2788" w:right="0" w:firstLine="0"/>
        <w:jc w:val="left"/>
        <w:rPr>
          <w:rFonts w:ascii="Arial MT"/>
          <w:sz w:val="15"/>
        </w:rPr>
      </w:pPr>
      <w:r>
        <w:rPr>
          <w:rFonts w:ascii="Arial MT"/>
          <w:spacing w:val="-10"/>
          <w:w w:val="140"/>
          <w:sz w:val="15"/>
        </w:rPr>
        <w:t>H</w:t>
      </w:r>
      <w:r>
        <w:rPr>
          <w:rFonts w:ascii="Arial MT"/>
          <w:sz w:val="15"/>
        </w:rPr>
        <w:tab/>
      </w:r>
      <w:r>
        <w:rPr>
          <w:rFonts w:ascii="Arial MT"/>
          <w:spacing w:val="-10"/>
          <w:w w:val="140"/>
          <w:sz w:val="15"/>
        </w:rPr>
        <w:t>H</w:t>
      </w:r>
      <w:r>
        <w:rPr>
          <w:rFonts w:ascii="Arial MT"/>
          <w:sz w:val="15"/>
        </w:rPr>
        <w:tab/>
      </w:r>
      <w:r>
        <w:rPr>
          <w:rFonts w:ascii="Arial MT"/>
          <w:spacing w:val="-10"/>
          <w:w w:val="140"/>
          <w:sz w:val="15"/>
        </w:rPr>
        <w:t>H</w:t>
      </w:r>
    </w:p>
    <w:p>
      <w:pPr>
        <w:spacing w:before="90"/>
        <w:ind w:left="2290" w:right="0" w:firstLine="0"/>
        <w:jc w:val="left"/>
        <w:rPr>
          <w:rFonts w:ascii="Arial MT"/>
          <w:sz w:val="15"/>
        </w:rPr>
      </w:pPr>
      <w:r>
        <w:rPr>
          <w:rFonts w:ascii="Arial MT"/>
          <w:spacing w:val="-5"/>
          <w:w w:val="140"/>
          <w:sz w:val="15"/>
        </w:rPr>
        <w:t>Cl</w:t>
      </w:r>
    </w:p>
    <w:p>
      <w:pPr>
        <w:pStyle w:val="BodyText"/>
        <w:spacing w:before="247"/>
        <w:ind w:left="681"/>
      </w:pPr>
      <w:r>
        <w:rPr/>
        <w:t>3-[(2,5-</w:t>
      </w:r>
      <w:r>
        <w:rPr>
          <w:spacing w:val="-2"/>
        </w:rPr>
        <w:t>dichlorophenyl)amino]propanamide</w:t>
      </w:r>
    </w:p>
    <w:p>
      <w:pPr>
        <w:spacing w:after="0"/>
        <w:sectPr>
          <w:type w:val="continuous"/>
          <w:pgSz w:w="12240" w:h="15840"/>
          <w:pgMar w:header="0" w:footer="1066" w:top="1320" w:bottom="960" w:left="1480" w:right="1160"/>
        </w:sectPr>
      </w:pPr>
    </w:p>
    <w:p>
      <w:pPr>
        <w:spacing w:before="72"/>
        <w:ind w:left="681" w:right="0" w:firstLine="0"/>
        <w:jc w:val="left"/>
        <w:rPr>
          <w:b/>
          <w:sz w:val="24"/>
        </w:rPr>
      </w:pPr>
      <w:r>
        <w:rPr>
          <w:b/>
          <w:sz w:val="24"/>
        </w:rPr>
        <w:t>Scheme</w:t>
      </w:r>
      <w:r>
        <w:rPr>
          <w:b/>
          <w:spacing w:val="-4"/>
          <w:sz w:val="24"/>
        </w:rPr>
        <w:t> </w:t>
      </w:r>
      <w:r>
        <w:rPr>
          <w:b/>
          <w:sz w:val="24"/>
        </w:rPr>
        <w:t>3</w:t>
      </w:r>
      <w:r>
        <w:rPr>
          <w:b/>
          <w:spacing w:val="-2"/>
          <w:sz w:val="24"/>
        </w:rPr>
        <w:t> </w:t>
      </w:r>
      <w:r>
        <w:rPr>
          <w:sz w:val="24"/>
        </w:rPr>
        <w:t>(Figure</w:t>
      </w:r>
      <w:r>
        <w:rPr>
          <w:spacing w:val="-3"/>
          <w:sz w:val="24"/>
        </w:rPr>
        <w:t> </w:t>
      </w:r>
      <w:r>
        <w:rPr>
          <w:spacing w:val="-5"/>
          <w:sz w:val="24"/>
        </w:rPr>
        <w:t>4)</w:t>
      </w:r>
      <w:r>
        <w:rPr>
          <w:b/>
          <w:spacing w:val="-5"/>
          <w:sz w:val="24"/>
        </w:rPr>
        <w:t>:</w:t>
      </w:r>
    </w:p>
    <w:p>
      <w:pPr>
        <w:pStyle w:val="BodyText"/>
        <w:spacing w:before="2"/>
        <w:rPr>
          <w:b/>
          <w:sz w:val="14"/>
        </w:rPr>
      </w:pPr>
    </w:p>
    <w:p>
      <w:pPr>
        <w:spacing w:after="0"/>
        <w:rPr>
          <w:sz w:val="14"/>
        </w:rPr>
        <w:sectPr>
          <w:pgSz w:w="12240" w:h="15840"/>
          <w:pgMar w:header="0" w:footer="1066" w:top="1360" w:bottom="1260" w:left="1480" w:right="1160"/>
        </w:sectPr>
      </w:pPr>
    </w:p>
    <w:p>
      <w:pPr>
        <w:pStyle w:val="BodyText"/>
        <w:rPr>
          <w:b/>
          <w:sz w:val="17"/>
        </w:rPr>
      </w:pPr>
    </w:p>
    <w:p>
      <w:pPr>
        <w:pStyle w:val="BodyText"/>
        <w:rPr>
          <w:b/>
          <w:sz w:val="17"/>
        </w:rPr>
      </w:pPr>
    </w:p>
    <w:p>
      <w:pPr>
        <w:pStyle w:val="BodyText"/>
        <w:spacing w:before="68"/>
        <w:rPr>
          <w:b/>
          <w:sz w:val="17"/>
        </w:rPr>
      </w:pPr>
    </w:p>
    <w:p>
      <w:pPr>
        <w:spacing w:before="0"/>
        <w:ind w:left="0" w:right="38" w:firstLine="0"/>
        <w:jc w:val="right"/>
        <w:rPr>
          <w:rFonts w:ascii="Arial MT"/>
          <w:sz w:val="17"/>
        </w:rPr>
      </w:pPr>
      <w:r>
        <w:rPr>
          <w:rFonts w:ascii="Arial MT"/>
          <w:spacing w:val="-5"/>
          <w:sz w:val="17"/>
        </w:rPr>
        <w:t>Cl</w:t>
      </w:r>
    </w:p>
    <w:p>
      <w:pPr>
        <w:tabs>
          <w:tab w:pos="2214" w:val="left" w:leader="none"/>
          <w:tab w:pos="2705" w:val="left" w:leader="none"/>
        </w:tabs>
        <w:spacing w:before="98"/>
        <w:ind w:left="1717" w:right="0" w:firstLine="0"/>
        <w:jc w:val="left"/>
        <w:rPr>
          <w:rFonts w:ascii="Arial MT"/>
          <w:sz w:val="17"/>
        </w:rPr>
      </w:pPr>
      <w:r>
        <w:rPr/>
        <w:br w:type="column"/>
      </w:r>
      <w:r>
        <w:rPr>
          <w:rFonts w:ascii="Arial MT"/>
          <w:spacing w:val="-10"/>
          <w:sz w:val="17"/>
        </w:rPr>
        <w:t>H</w:t>
      </w:r>
      <w:r>
        <w:rPr>
          <w:rFonts w:ascii="Arial MT"/>
          <w:sz w:val="17"/>
        </w:rPr>
        <w:tab/>
      </w:r>
      <w:r>
        <w:rPr>
          <w:rFonts w:ascii="Arial MT"/>
          <w:spacing w:val="-10"/>
          <w:sz w:val="17"/>
        </w:rPr>
        <w:t>H</w:t>
      </w:r>
      <w:r>
        <w:rPr>
          <w:rFonts w:ascii="Arial MT"/>
          <w:sz w:val="17"/>
        </w:rPr>
        <w:tab/>
      </w:r>
      <w:r>
        <w:rPr>
          <w:rFonts w:ascii="Arial MT"/>
          <w:spacing w:val="-10"/>
          <w:sz w:val="17"/>
        </w:rPr>
        <w:t>O</w:t>
      </w:r>
    </w:p>
    <w:p>
      <w:pPr>
        <w:tabs>
          <w:tab w:pos="2709" w:val="left" w:leader="none"/>
          <w:tab w:pos="3208" w:val="left" w:leader="none"/>
          <w:tab w:pos="3686" w:val="left" w:leader="none"/>
        </w:tabs>
        <w:spacing w:line="297" w:lineRule="auto" w:before="62"/>
        <w:ind w:left="1042" w:right="3725" w:firstLine="2595"/>
        <w:jc w:val="left"/>
        <w:rPr>
          <w:rFonts w:ascii="Arial MT"/>
          <w:sz w:val="17"/>
        </w:rPr>
      </w:pPr>
      <w:r>
        <w:rPr/>
        <mc:AlternateContent>
          <mc:Choice Requires="wps">
            <w:drawing>
              <wp:anchor distT="0" distB="0" distL="0" distR="0" allowOverlap="1" layoutInCell="1" locked="0" behindDoc="0" simplePos="0" relativeHeight="15755264">
                <wp:simplePos x="0" y="0"/>
                <wp:positionH relativeFrom="page">
                  <wp:posOffset>1712784</wp:posOffset>
                </wp:positionH>
                <wp:positionV relativeFrom="paragraph">
                  <wp:posOffset>-767</wp:posOffset>
                </wp:positionV>
                <wp:extent cx="1188720" cy="813435"/>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1188720" cy="813435"/>
                          <a:chExt cx="1188720" cy="813435"/>
                        </a:xfrm>
                      </wpg:grpSpPr>
                      <wps:wsp>
                        <wps:cNvPr id="87" name="Graphic 87"/>
                        <wps:cNvSpPr/>
                        <wps:spPr>
                          <a:xfrm>
                            <a:off x="0" y="5361"/>
                            <a:ext cx="1188720" cy="802640"/>
                          </a:xfrm>
                          <a:custGeom>
                            <a:avLst/>
                            <a:gdLst/>
                            <a:ahLst/>
                            <a:cxnLst/>
                            <a:rect l="l" t="t" r="r" b="b"/>
                            <a:pathLst>
                              <a:path w="1188720" h="802640">
                                <a:moveTo>
                                  <a:pt x="764611" y="0"/>
                                </a:moveTo>
                                <a:lnTo>
                                  <a:pt x="449241" y="0"/>
                                </a:lnTo>
                              </a:path>
                              <a:path w="1188720" h="802640">
                                <a:moveTo>
                                  <a:pt x="741848" y="39251"/>
                                </a:moveTo>
                                <a:lnTo>
                                  <a:pt x="470685" y="39251"/>
                                </a:lnTo>
                              </a:path>
                              <a:path w="1188720" h="802640">
                                <a:moveTo>
                                  <a:pt x="449241" y="0"/>
                                </a:moveTo>
                                <a:lnTo>
                                  <a:pt x="291453" y="282731"/>
                                </a:lnTo>
                              </a:path>
                              <a:path w="1188720" h="802640">
                                <a:moveTo>
                                  <a:pt x="291453" y="282731"/>
                                </a:moveTo>
                                <a:lnTo>
                                  <a:pt x="449241" y="566827"/>
                                </a:lnTo>
                              </a:path>
                              <a:path w="1188720" h="802640">
                                <a:moveTo>
                                  <a:pt x="334342" y="282731"/>
                                </a:moveTo>
                                <a:lnTo>
                                  <a:pt x="470685" y="527576"/>
                                </a:lnTo>
                              </a:path>
                              <a:path w="1188720" h="802640">
                                <a:moveTo>
                                  <a:pt x="449241" y="566827"/>
                                </a:moveTo>
                                <a:lnTo>
                                  <a:pt x="764611" y="566827"/>
                                </a:lnTo>
                              </a:path>
                              <a:path w="1188720" h="802640">
                                <a:moveTo>
                                  <a:pt x="764611" y="566827"/>
                                </a:moveTo>
                                <a:lnTo>
                                  <a:pt x="922383" y="282731"/>
                                </a:lnTo>
                              </a:path>
                              <a:path w="1188720" h="802640">
                                <a:moveTo>
                                  <a:pt x="743182" y="527576"/>
                                </a:moveTo>
                                <a:lnTo>
                                  <a:pt x="878191" y="282731"/>
                                </a:lnTo>
                              </a:path>
                              <a:path w="1188720" h="802640">
                                <a:moveTo>
                                  <a:pt x="922383" y="282731"/>
                                </a:moveTo>
                                <a:lnTo>
                                  <a:pt x="764611" y="0"/>
                                </a:lnTo>
                              </a:path>
                              <a:path w="1188720" h="802640">
                                <a:moveTo>
                                  <a:pt x="922383" y="282731"/>
                                </a:moveTo>
                                <a:lnTo>
                                  <a:pt x="1188554" y="282731"/>
                                </a:lnTo>
                              </a:path>
                              <a:path w="1188720" h="802640">
                                <a:moveTo>
                                  <a:pt x="449241" y="566827"/>
                                </a:moveTo>
                                <a:lnTo>
                                  <a:pt x="317874" y="802554"/>
                                </a:lnTo>
                              </a:path>
                              <a:path w="1188720" h="802640">
                                <a:moveTo>
                                  <a:pt x="291453" y="282731"/>
                                </a:moveTo>
                                <a:lnTo>
                                  <a:pt x="0" y="282731"/>
                                </a:lnTo>
                              </a:path>
                            </a:pathLst>
                          </a:custGeom>
                          <a:ln w="10328">
                            <a:solidFill>
                              <a:srgbClr val="000000"/>
                            </a:solidFill>
                            <a:prstDash val="solid"/>
                          </a:ln>
                        </wps:spPr>
                        <wps:bodyPr wrap="square" lIns="0" tIns="0" rIns="0" bIns="0" rtlCol="0">
                          <a:prstTxWarp prst="textNoShape">
                            <a:avLst/>
                          </a:prstTxWarp>
                          <a:noAutofit/>
                        </wps:bodyPr>
                      </wps:wsp>
                      <wps:wsp>
                        <wps:cNvPr id="88" name="Textbox 88"/>
                        <wps:cNvSpPr txBox="1"/>
                        <wps:spPr>
                          <a:xfrm>
                            <a:off x="473173" y="0"/>
                            <a:ext cx="99060" cy="145415"/>
                          </a:xfrm>
                          <a:prstGeom prst="rect">
                            <a:avLst/>
                          </a:prstGeom>
                        </wps:spPr>
                        <wps:txbx>
                          <w:txbxContent>
                            <w:p>
                              <w:pPr>
                                <w:spacing w:line="227" w:lineRule="exact" w:before="0"/>
                                <w:ind w:left="0" w:right="0" w:firstLine="0"/>
                                <w:jc w:val="left"/>
                                <w:rPr>
                                  <w:sz w:val="20"/>
                                </w:rPr>
                              </w:pPr>
                              <w:r>
                                <w:rPr>
                                  <w:spacing w:val="-5"/>
                                  <w:sz w:val="20"/>
                                </w:rPr>
                                <w:t>5'</w:t>
                              </w:r>
                            </w:p>
                          </w:txbxContent>
                        </wps:txbx>
                        <wps:bodyPr wrap="square" lIns="0" tIns="0" rIns="0" bIns="0" rtlCol="0">
                          <a:noAutofit/>
                        </wps:bodyPr>
                      </wps:wsp>
                      <wps:wsp>
                        <wps:cNvPr id="89" name="Textbox 89"/>
                        <wps:cNvSpPr txBox="1"/>
                        <wps:spPr>
                          <a:xfrm>
                            <a:off x="378581" y="163758"/>
                            <a:ext cx="99060" cy="145415"/>
                          </a:xfrm>
                          <a:prstGeom prst="rect">
                            <a:avLst/>
                          </a:prstGeom>
                        </wps:spPr>
                        <wps:txbx>
                          <w:txbxContent>
                            <w:p>
                              <w:pPr>
                                <w:spacing w:line="227" w:lineRule="exact" w:before="0"/>
                                <w:ind w:left="0" w:right="0" w:firstLine="0"/>
                                <w:jc w:val="left"/>
                                <w:rPr>
                                  <w:sz w:val="20"/>
                                </w:rPr>
                              </w:pPr>
                              <w:r>
                                <w:rPr>
                                  <w:spacing w:val="-5"/>
                                  <w:sz w:val="20"/>
                                </w:rPr>
                                <w:t>4'</w:t>
                              </w:r>
                            </w:p>
                          </w:txbxContent>
                        </wps:txbx>
                        <wps:bodyPr wrap="square" lIns="0" tIns="0" rIns="0" bIns="0" rtlCol="0">
                          <a:noAutofit/>
                        </wps:bodyPr>
                      </wps:wsp>
                      <wps:wsp>
                        <wps:cNvPr id="90" name="Textbox 90"/>
                        <wps:cNvSpPr txBox="1"/>
                        <wps:spPr>
                          <a:xfrm>
                            <a:off x="488299" y="344371"/>
                            <a:ext cx="99060" cy="145415"/>
                          </a:xfrm>
                          <a:prstGeom prst="rect">
                            <a:avLst/>
                          </a:prstGeom>
                        </wps:spPr>
                        <wps:txbx>
                          <w:txbxContent>
                            <w:p>
                              <w:pPr>
                                <w:spacing w:line="227" w:lineRule="exact" w:before="0"/>
                                <w:ind w:left="0" w:right="0" w:firstLine="0"/>
                                <w:jc w:val="left"/>
                                <w:rPr>
                                  <w:sz w:val="20"/>
                                </w:rPr>
                              </w:pPr>
                              <w:r>
                                <w:rPr>
                                  <w:spacing w:val="-5"/>
                                  <w:sz w:val="20"/>
                                </w:rPr>
                                <w:t>3'</w:t>
                              </w:r>
                            </w:p>
                          </w:txbxContent>
                        </wps:txbx>
                        <wps:bodyPr wrap="square" lIns="0" tIns="0" rIns="0" bIns="0" rtlCol="0">
                          <a:noAutofit/>
                        </wps:bodyPr>
                      </wps:wsp>
                      <wps:wsp>
                        <wps:cNvPr id="91" name="Textbox 91"/>
                        <wps:cNvSpPr txBox="1"/>
                        <wps:spPr>
                          <a:xfrm>
                            <a:off x="670027" y="0"/>
                            <a:ext cx="224790" cy="522605"/>
                          </a:xfrm>
                          <a:prstGeom prst="rect">
                            <a:avLst/>
                          </a:prstGeom>
                        </wps:spPr>
                        <wps:txbx>
                          <w:txbxContent>
                            <w:p>
                              <w:pPr>
                                <w:spacing w:line="227" w:lineRule="exact" w:before="0"/>
                                <w:ind w:left="87" w:right="0" w:firstLine="0"/>
                                <w:jc w:val="left"/>
                                <w:rPr>
                                  <w:sz w:val="20"/>
                                </w:rPr>
                              </w:pPr>
                              <w:r>
                                <w:rPr>
                                  <w:spacing w:val="-5"/>
                                  <w:sz w:val="20"/>
                                </w:rPr>
                                <w:t>6'</w:t>
                              </w:r>
                            </w:p>
                            <w:p>
                              <w:pPr>
                                <w:spacing w:before="40"/>
                                <w:ind w:left="198" w:right="0" w:firstLine="0"/>
                                <w:jc w:val="left"/>
                                <w:rPr>
                                  <w:sz w:val="20"/>
                                </w:rPr>
                              </w:pPr>
                              <w:r>
                                <w:rPr>
                                  <w:spacing w:val="-5"/>
                                  <w:sz w:val="20"/>
                                </w:rPr>
                                <w:t>1'</w:t>
                              </w:r>
                            </w:p>
                            <w:p>
                              <w:pPr>
                                <w:spacing w:before="94"/>
                                <w:ind w:left="0" w:right="0" w:firstLine="0"/>
                                <w:jc w:val="left"/>
                                <w:rPr>
                                  <w:sz w:val="20"/>
                                </w:rPr>
                              </w:pPr>
                              <w:r>
                                <w:rPr>
                                  <w:spacing w:val="-5"/>
                                  <w:sz w:val="20"/>
                                </w:rPr>
                                <w:t>2'</w:t>
                              </w:r>
                            </w:p>
                          </w:txbxContent>
                        </wps:txbx>
                        <wps:bodyPr wrap="square" lIns="0" tIns="0" rIns="0" bIns="0" rtlCol="0">
                          <a:noAutofit/>
                        </wps:bodyPr>
                      </wps:wsp>
                    </wpg:wgp>
                  </a:graphicData>
                </a:graphic>
              </wp:anchor>
            </w:drawing>
          </mc:Choice>
          <mc:Fallback>
            <w:pict>
              <v:group style="position:absolute;margin-left:134.864899pt;margin-top:-.060405pt;width:93.6pt;height:64.05pt;mso-position-horizontal-relative:page;mso-position-vertical-relative:paragraph;z-index:15755264" id="docshapegroup54" coordorigin="2697,-1" coordsize="1872,1281">
                <v:shape style="position:absolute;left:2697;top:7;width:1872;height:1264" id="docshape55" coordorigin="2697,7" coordsize="1872,1264" path="m3901,7l3405,7m3866,69l3439,69m3405,7l3156,452m3156,452l3405,900m3224,452l3439,838m3405,900l3901,900m3901,900l4150,452m3868,838l4080,452m4150,452l3901,7m4150,452l4569,452m3405,900l3198,1271m3156,452l2697,452e" filled="false" stroked="true" strokeweight=".813261pt" strokecolor="#000000">
                  <v:path arrowok="t"/>
                  <v:stroke dashstyle="solid"/>
                </v:shape>
                <v:shape style="position:absolute;left:3442;top:-2;width:156;height:229" type="#_x0000_t202" id="docshape56" filled="false" stroked="false">
                  <v:textbox inset="0,0,0,0">
                    <w:txbxContent>
                      <w:p>
                        <w:pPr>
                          <w:spacing w:line="227" w:lineRule="exact" w:before="0"/>
                          <w:ind w:left="0" w:right="0" w:firstLine="0"/>
                          <w:jc w:val="left"/>
                          <w:rPr>
                            <w:sz w:val="20"/>
                          </w:rPr>
                        </w:pPr>
                        <w:r>
                          <w:rPr>
                            <w:spacing w:val="-5"/>
                            <w:sz w:val="20"/>
                          </w:rPr>
                          <w:t>5'</w:t>
                        </w:r>
                      </w:p>
                    </w:txbxContent>
                  </v:textbox>
                  <w10:wrap type="none"/>
                </v:shape>
                <v:shape style="position:absolute;left:3293;top:256;width:156;height:229" type="#_x0000_t202" id="docshape57" filled="false" stroked="false">
                  <v:textbox inset="0,0,0,0">
                    <w:txbxContent>
                      <w:p>
                        <w:pPr>
                          <w:spacing w:line="227" w:lineRule="exact" w:before="0"/>
                          <w:ind w:left="0" w:right="0" w:firstLine="0"/>
                          <w:jc w:val="left"/>
                          <w:rPr>
                            <w:sz w:val="20"/>
                          </w:rPr>
                        </w:pPr>
                        <w:r>
                          <w:rPr>
                            <w:spacing w:val="-5"/>
                            <w:sz w:val="20"/>
                          </w:rPr>
                          <w:t>4'</w:t>
                        </w:r>
                      </w:p>
                    </w:txbxContent>
                  </v:textbox>
                  <w10:wrap type="none"/>
                </v:shape>
                <v:shape style="position:absolute;left:3466;top:541;width:156;height:229" type="#_x0000_t202" id="docshape58" filled="false" stroked="false">
                  <v:textbox inset="0,0,0,0">
                    <w:txbxContent>
                      <w:p>
                        <w:pPr>
                          <w:spacing w:line="227" w:lineRule="exact" w:before="0"/>
                          <w:ind w:left="0" w:right="0" w:firstLine="0"/>
                          <w:jc w:val="left"/>
                          <w:rPr>
                            <w:sz w:val="20"/>
                          </w:rPr>
                        </w:pPr>
                        <w:r>
                          <w:rPr>
                            <w:spacing w:val="-5"/>
                            <w:sz w:val="20"/>
                          </w:rPr>
                          <w:t>3'</w:t>
                        </w:r>
                      </w:p>
                    </w:txbxContent>
                  </v:textbox>
                  <w10:wrap type="none"/>
                </v:shape>
                <v:shape style="position:absolute;left:3752;top:-2;width:354;height:823" type="#_x0000_t202" id="docshape59" filled="false" stroked="false">
                  <v:textbox inset="0,0,0,0">
                    <w:txbxContent>
                      <w:p>
                        <w:pPr>
                          <w:spacing w:line="227" w:lineRule="exact" w:before="0"/>
                          <w:ind w:left="87" w:right="0" w:firstLine="0"/>
                          <w:jc w:val="left"/>
                          <w:rPr>
                            <w:sz w:val="20"/>
                          </w:rPr>
                        </w:pPr>
                        <w:r>
                          <w:rPr>
                            <w:spacing w:val="-5"/>
                            <w:sz w:val="20"/>
                          </w:rPr>
                          <w:t>6'</w:t>
                        </w:r>
                      </w:p>
                      <w:p>
                        <w:pPr>
                          <w:spacing w:before="40"/>
                          <w:ind w:left="198" w:right="0" w:firstLine="0"/>
                          <w:jc w:val="left"/>
                          <w:rPr>
                            <w:sz w:val="20"/>
                          </w:rPr>
                        </w:pPr>
                        <w:r>
                          <w:rPr>
                            <w:spacing w:val="-5"/>
                            <w:sz w:val="20"/>
                          </w:rPr>
                          <w:t>1'</w:t>
                        </w:r>
                      </w:p>
                      <w:p>
                        <w:pPr>
                          <w:spacing w:before="94"/>
                          <w:ind w:left="0" w:right="0" w:firstLine="0"/>
                          <w:jc w:val="left"/>
                          <w:rPr>
                            <w:sz w:val="20"/>
                          </w:rPr>
                        </w:pPr>
                        <w:r>
                          <w:rPr>
                            <w:spacing w:val="-5"/>
                            <w:sz w:val="20"/>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937792">
                <wp:simplePos x="0" y="0"/>
                <wp:positionH relativeFrom="page">
                  <wp:posOffset>3378342</wp:posOffset>
                </wp:positionH>
                <wp:positionV relativeFrom="paragraph">
                  <wp:posOffset>334508</wp:posOffset>
                </wp:positionV>
                <wp:extent cx="1270" cy="19685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1270" cy="196850"/>
                        </a:xfrm>
                        <a:custGeom>
                          <a:avLst/>
                          <a:gdLst/>
                          <a:ahLst/>
                          <a:cxnLst/>
                          <a:rect l="l" t="t" r="r" b="b"/>
                          <a:pathLst>
                            <a:path w="1270" h="196850">
                              <a:moveTo>
                                <a:pt x="0" y="0"/>
                              </a:moveTo>
                              <a:lnTo>
                                <a:pt x="1177" y="196475"/>
                              </a:lnTo>
                            </a:path>
                          </a:pathLst>
                        </a:custGeom>
                        <a:ln w="101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78688" from="266.01123pt,26.339273pt" to="266.103939pt,41.809811pt" stroked="true" strokeweight=".79915pt" strokecolor="#000000">
                <v:stroke dashstyle="solid"/>
                <w10:wrap type="none"/>
              </v:line>
            </w:pict>
          </mc:Fallback>
        </mc:AlternateContent>
      </w:r>
      <w:r>
        <w:rPr/>
        <mc:AlternateContent>
          <mc:Choice Requires="wps">
            <w:drawing>
              <wp:anchor distT="0" distB="0" distL="0" distR="0" allowOverlap="1" layoutInCell="1" locked="0" behindDoc="0" simplePos="0" relativeHeight="15756288">
                <wp:simplePos x="0" y="0"/>
                <wp:positionH relativeFrom="page">
                  <wp:posOffset>3379520</wp:posOffset>
                </wp:positionH>
                <wp:positionV relativeFrom="paragraph">
                  <wp:posOffset>-3287</wp:posOffset>
                </wp:positionV>
                <wp:extent cx="1270" cy="20574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270" cy="205740"/>
                        </a:xfrm>
                        <a:custGeom>
                          <a:avLst/>
                          <a:gdLst/>
                          <a:ahLst/>
                          <a:cxnLst/>
                          <a:rect l="l" t="t" r="r" b="b"/>
                          <a:pathLst>
                            <a:path w="0" h="205740">
                              <a:moveTo>
                                <a:pt x="0" y="205561"/>
                              </a:moveTo>
                              <a:lnTo>
                                <a:pt x="0" y="0"/>
                              </a:lnTo>
                            </a:path>
                          </a:pathLst>
                        </a:custGeom>
                        <a:ln w="101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266.103943pt,15.92704pt" to="266.103943pt,-.258891pt" stroked="true" strokeweight=".799149pt" strokecolor="#000000">
                <v:stroke dashstyle="solid"/>
                <w10:wrap type="none"/>
              </v:line>
            </w:pict>
          </mc:Fallback>
        </mc:AlternateContent>
      </w:r>
      <w:r>
        <w:rPr/>
        <mc:AlternateContent>
          <mc:Choice Requires="wps">
            <w:drawing>
              <wp:anchor distT="0" distB="0" distL="0" distR="0" allowOverlap="1" layoutInCell="1" locked="0" behindDoc="0" simplePos="0" relativeHeight="15756800">
                <wp:simplePos x="0" y="0"/>
                <wp:positionH relativeFrom="page">
                  <wp:posOffset>3694906</wp:posOffset>
                </wp:positionH>
                <wp:positionV relativeFrom="paragraph">
                  <wp:posOffset>-3287</wp:posOffset>
                </wp:positionV>
                <wp:extent cx="1270" cy="20574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1270" cy="205740"/>
                        </a:xfrm>
                        <a:custGeom>
                          <a:avLst/>
                          <a:gdLst/>
                          <a:ahLst/>
                          <a:cxnLst/>
                          <a:rect l="l" t="t" r="r" b="b"/>
                          <a:pathLst>
                            <a:path w="0" h="205740">
                              <a:moveTo>
                                <a:pt x="0" y="205561"/>
                              </a:moveTo>
                              <a:lnTo>
                                <a:pt x="0" y="0"/>
                              </a:lnTo>
                            </a:path>
                          </a:pathLst>
                        </a:custGeom>
                        <a:ln w="101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800" from="290.937531pt,15.92704pt" to="290.937531pt,-.258891pt" stroked="true" strokeweight=".799149pt" strokecolor="#000000">
                <v:stroke dashstyle="solid"/>
                <w10:wrap type="none"/>
              </v:line>
            </w:pict>
          </mc:Fallback>
        </mc:AlternateContent>
      </w:r>
      <w:r>
        <w:rPr/>
        <mc:AlternateContent>
          <mc:Choice Requires="wps">
            <w:drawing>
              <wp:anchor distT="0" distB="0" distL="0" distR="0" allowOverlap="1" layoutInCell="1" locked="0" behindDoc="1" simplePos="0" relativeHeight="483939328">
                <wp:simplePos x="0" y="0"/>
                <wp:positionH relativeFrom="page">
                  <wp:posOffset>3747968</wp:posOffset>
                </wp:positionH>
                <wp:positionV relativeFrom="paragraph">
                  <wp:posOffset>261150</wp:posOffset>
                </wp:positionV>
                <wp:extent cx="207010" cy="127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207010" cy="1270"/>
                        </a:xfrm>
                        <a:custGeom>
                          <a:avLst/>
                          <a:gdLst/>
                          <a:ahLst/>
                          <a:cxnLst/>
                          <a:rect l="l" t="t" r="r" b="b"/>
                          <a:pathLst>
                            <a:path w="207010" h="0">
                              <a:moveTo>
                                <a:pt x="0" y="0"/>
                              </a:moveTo>
                              <a:lnTo>
                                <a:pt x="206986" y="0"/>
                              </a:lnTo>
                            </a:path>
                          </a:pathLst>
                        </a:custGeom>
                        <a:ln w="1050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77152" from="295.115601pt,20.563019pt" to="311.413789pt,20.563019pt" stroked="true" strokeweight=".827373pt" strokecolor="#000000">
                <v:stroke dashstyle="solid"/>
                <w10:wrap type="none"/>
              </v:line>
            </w:pict>
          </mc:Fallback>
        </mc:AlternateContent>
      </w:r>
      <w:r>
        <w:rPr/>
        <mc:AlternateContent>
          <mc:Choice Requires="wps">
            <w:drawing>
              <wp:anchor distT="0" distB="0" distL="0" distR="0" allowOverlap="1" layoutInCell="1" locked="0" behindDoc="0" simplePos="0" relativeHeight="15757824">
                <wp:simplePos x="0" y="0"/>
                <wp:positionH relativeFrom="page">
                  <wp:posOffset>3991532</wp:posOffset>
                </wp:positionH>
                <wp:positionV relativeFrom="paragraph">
                  <wp:posOffset>-1906</wp:posOffset>
                </wp:positionV>
                <wp:extent cx="38100" cy="2044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38100" cy="204470"/>
                        </a:xfrm>
                        <a:custGeom>
                          <a:avLst/>
                          <a:gdLst/>
                          <a:ahLst/>
                          <a:cxnLst/>
                          <a:rect l="l" t="t" r="r" b="b"/>
                          <a:pathLst>
                            <a:path w="38100" h="204470">
                              <a:moveTo>
                                <a:pt x="0" y="204179"/>
                              </a:moveTo>
                              <a:lnTo>
                                <a:pt x="0" y="0"/>
                              </a:lnTo>
                            </a:path>
                            <a:path w="38100" h="204470">
                              <a:moveTo>
                                <a:pt x="37912" y="204179"/>
                              </a:moveTo>
                              <a:lnTo>
                                <a:pt x="37912" y="0"/>
                              </a:lnTo>
                            </a:path>
                          </a:pathLst>
                        </a:custGeom>
                        <a:ln w="103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4.293915pt;margin-top:-.15011pt;width:3pt;height:16.1pt;mso-position-horizontal-relative:page;mso-position-vertical-relative:paragraph;z-index:15757824" id="docshape60" coordorigin="6286,-3" coordsize="60,322" path="m6286,319l6286,-3m6346,319l6346,-3e" filled="false" stroked="true" strokeweight=".813261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3940352">
                <wp:simplePos x="0" y="0"/>
                <wp:positionH relativeFrom="page">
                  <wp:posOffset>4063354</wp:posOffset>
                </wp:positionH>
                <wp:positionV relativeFrom="paragraph">
                  <wp:posOffset>261150</wp:posOffset>
                </wp:positionV>
                <wp:extent cx="213360" cy="127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213360" cy="1270"/>
                        </a:xfrm>
                        <a:custGeom>
                          <a:avLst/>
                          <a:gdLst/>
                          <a:ahLst/>
                          <a:cxnLst/>
                          <a:rect l="l" t="t" r="r" b="b"/>
                          <a:pathLst>
                            <a:path w="213360" h="0">
                              <a:moveTo>
                                <a:pt x="0" y="0"/>
                              </a:moveTo>
                              <a:lnTo>
                                <a:pt x="213266" y="0"/>
                              </a:lnTo>
                            </a:path>
                          </a:pathLst>
                        </a:custGeom>
                        <a:ln w="1050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76128" from="319.949158pt,20.563019pt" to="336.741793pt,20.563019pt" stroked="true" strokeweight=".827373pt" strokecolor="#000000">
                <v:stroke dashstyle="solid"/>
                <w10:wrap type="none"/>
              </v:line>
            </w:pict>
          </mc:Fallback>
        </mc:AlternateContent>
      </w:r>
      <w:r>
        <w:rPr/>
        <mc:AlternateContent>
          <mc:Choice Requires="wps">
            <w:drawing>
              <wp:anchor distT="0" distB="0" distL="0" distR="0" allowOverlap="1" layoutInCell="1" locked="0" behindDoc="1" simplePos="0" relativeHeight="483940864">
                <wp:simplePos x="0" y="0"/>
                <wp:positionH relativeFrom="page">
                  <wp:posOffset>4381409</wp:posOffset>
                </wp:positionH>
                <wp:positionV relativeFrom="paragraph">
                  <wp:posOffset>131686</wp:posOffset>
                </wp:positionV>
                <wp:extent cx="193040" cy="19939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193040" cy="199390"/>
                        </a:xfrm>
                        <a:custGeom>
                          <a:avLst/>
                          <a:gdLst/>
                          <a:ahLst/>
                          <a:cxnLst/>
                          <a:rect l="l" t="t" r="r" b="b"/>
                          <a:pathLst>
                            <a:path w="193040" h="199390">
                              <a:moveTo>
                                <a:pt x="0" y="96754"/>
                              </a:moveTo>
                              <a:lnTo>
                                <a:pt x="160283" y="0"/>
                              </a:lnTo>
                            </a:path>
                            <a:path w="193040" h="199390">
                              <a:moveTo>
                                <a:pt x="1334" y="145327"/>
                              </a:moveTo>
                              <a:lnTo>
                                <a:pt x="193015" y="198856"/>
                              </a:lnTo>
                            </a:path>
                          </a:pathLst>
                        </a:custGeom>
                        <a:ln w="103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4.992859pt;margin-top:10.368985pt;width:15.2pt;height:15.7pt;mso-position-horizontal-relative:page;mso-position-vertical-relative:paragraph;z-index:-19375616" id="docshape61" coordorigin="6900,207" coordsize="304,314" path="m6900,360l7152,207m6902,436l7204,521e" filled="false" stroked="true" strokeweight=".813261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4692949</wp:posOffset>
                </wp:positionH>
                <wp:positionV relativeFrom="paragraph">
                  <wp:posOffset>143388</wp:posOffset>
                </wp:positionV>
                <wp:extent cx="1080770" cy="12446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080770" cy="124460"/>
                          <a:chExt cx="1080770" cy="124460"/>
                        </a:xfrm>
                      </wpg:grpSpPr>
                      <wps:wsp>
                        <wps:cNvPr id="100" name="Graphic 100"/>
                        <wps:cNvSpPr/>
                        <wps:spPr>
                          <a:xfrm>
                            <a:off x="6593" y="65524"/>
                            <a:ext cx="444500" cy="1270"/>
                          </a:xfrm>
                          <a:custGeom>
                            <a:avLst/>
                            <a:gdLst/>
                            <a:ahLst/>
                            <a:cxnLst/>
                            <a:rect l="l" t="t" r="r" b="b"/>
                            <a:pathLst>
                              <a:path w="444500" h="0">
                                <a:moveTo>
                                  <a:pt x="444036" y="0"/>
                                </a:moveTo>
                                <a:lnTo>
                                  <a:pt x="0" y="0"/>
                                </a:lnTo>
                              </a:path>
                            </a:pathLst>
                          </a:custGeom>
                          <a:ln w="1387">
                            <a:solidFill>
                              <a:srgbClr val="000000"/>
                            </a:solidFill>
                            <a:prstDash val="solid"/>
                          </a:ln>
                        </wps:spPr>
                        <wps:bodyPr wrap="square" lIns="0" tIns="0" rIns="0" bIns="0" rtlCol="0">
                          <a:prstTxWarp prst="textNoShape">
                            <a:avLst/>
                          </a:prstTxWarp>
                          <a:noAutofit/>
                        </wps:bodyPr>
                      </wps:wsp>
                      <wps:wsp>
                        <wps:cNvPr id="101" name="Graphic 101"/>
                        <wps:cNvSpPr/>
                        <wps:spPr>
                          <a:xfrm>
                            <a:off x="-7" y="2"/>
                            <a:ext cx="1080770" cy="124460"/>
                          </a:xfrm>
                          <a:custGeom>
                            <a:avLst/>
                            <a:gdLst/>
                            <a:ahLst/>
                            <a:cxnLst/>
                            <a:rect l="l" t="t" r="r" b="b"/>
                            <a:pathLst>
                              <a:path w="1080770" h="124460">
                                <a:moveTo>
                                  <a:pt x="449237" y="57696"/>
                                </a:moveTo>
                                <a:lnTo>
                                  <a:pt x="0" y="57696"/>
                                </a:lnTo>
                                <a:lnTo>
                                  <a:pt x="0" y="68008"/>
                                </a:lnTo>
                                <a:lnTo>
                                  <a:pt x="449237" y="68008"/>
                                </a:lnTo>
                                <a:lnTo>
                                  <a:pt x="449237" y="57696"/>
                                </a:lnTo>
                                <a:close/>
                              </a:path>
                              <a:path w="1080770" h="124460">
                                <a:moveTo>
                                  <a:pt x="1080147" y="62839"/>
                                </a:moveTo>
                                <a:lnTo>
                                  <a:pt x="844270" y="0"/>
                                </a:lnTo>
                                <a:lnTo>
                                  <a:pt x="873163" y="62839"/>
                                </a:lnTo>
                                <a:lnTo>
                                  <a:pt x="844270" y="124307"/>
                                </a:lnTo>
                                <a:lnTo>
                                  <a:pt x="1080147" y="62839"/>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455653" y="65524"/>
                            <a:ext cx="419100" cy="1270"/>
                          </a:xfrm>
                          <a:custGeom>
                            <a:avLst/>
                            <a:gdLst/>
                            <a:ahLst/>
                            <a:cxnLst/>
                            <a:rect l="l" t="t" r="r" b="b"/>
                            <a:pathLst>
                              <a:path w="419100" h="0">
                                <a:moveTo>
                                  <a:pt x="418919" y="0"/>
                                </a:moveTo>
                                <a:lnTo>
                                  <a:pt x="0" y="0"/>
                                </a:lnTo>
                              </a:path>
                            </a:pathLst>
                          </a:custGeom>
                          <a:ln w="1387">
                            <a:solidFill>
                              <a:srgbClr val="000000"/>
                            </a:solidFill>
                            <a:prstDash val="solid"/>
                          </a:ln>
                        </wps:spPr>
                        <wps:bodyPr wrap="square" lIns="0" tIns="0" rIns="0" bIns="0" rtlCol="0">
                          <a:prstTxWarp prst="textNoShape">
                            <a:avLst/>
                          </a:prstTxWarp>
                          <a:noAutofit/>
                        </wps:bodyPr>
                      </wps:wsp>
                      <wps:wsp>
                        <wps:cNvPr id="103" name="Graphic 103"/>
                        <wps:cNvSpPr/>
                        <wps:spPr>
                          <a:xfrm>
                            <a:off x="449217" y="57693"/>
                            <a:ext cx="424180" cy="10795"/>
                          </a:xfrm>
                          <a:custGeom>
                            <a:avLst/>
                            <a:gdLst/>
                            <a:ahLst/>
                            <a:cxnLst/>
                            <a:rect l="l" t="t" r="r" b="b"/>
                            <a:pathLst>
                              <a:path w="424180" h="10795">
                                <a:moveTo>
                                  <a:pt x="423958" y="0"/>
                                </a:moveTo>
                                <a:lnTo>
                                  <a:pt x="0" y="0"/>
                                </a:lnTo>
                                <a:lnTo>
                                  <a:pt x="0" y="10309"/>
                                </a:lnTo>
                                <a:lnTo>
                                  <a:pt x="423958" y="10309"/>
                                </a:lnTo>
                                <a:lnTo>
                                  <a:pt x="42395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9.52359pt;margin-top:11.290421pt;width:85.1pt;height:9.8pt;mso-position-horizontal-relative:page;mso-position-vertical-relative:paragraph;z-index:15759360" id="docshapegroup62" coordorigin="7390,226" coordsize="1702,196">
                <v:line style="position:absolute" from="8100,329" to="7401,329" stroked="true" strokeweight=".109273pt" strokecolor="#000000">
                  <v:stroke dashstyle="solid"/>
                </v:line>
                <v:shape style="position:absolute;left:7390;top:225;width:1702;height:196" id="docshape63" coordorigin="7390,226" coordsize="1702,196" path="m8098,317l7390,317,7390,333,8098,333,8098,317xm9091,325l8720,226,8766,325,8720,422,9091,325xe" filled="true" fillcolor="#000000" stroked="false">
                  <v:path arrowok="t"/>
                  <v:fill type="solid"/>
                </v:shape>
                <v:line style="position:absolute" from="8768,329" to="8108,329" stroked="true" strokeweight=".109273pt" strokecolor="#000000">
                  <v:stroke dashstyle="solid"/>
                </v:line>
                <v:rect style="position:absolute;left:8097;top:316;width:668;height:17" id="docshape64" filled="true" fillcolor="#000000" stroked="false">
                  <v:fill type="solid"/>
                </v:rect>
                <w10:wrap type="none"/>
              </v:group>
            </w:pict>
          </mc:Fallback>
        </mc:AlternateContent>
      </w:r>
      <w:r>
        <w:rPr>
          <w:rFonts w:ascii="Arial MT"/>
          <w:spacing w:val="-10"/>
          <w:sz w:val="17"/>
        </w:rPr>
        <w:t>H</w:t>
      </w:r>
      <w:r>
        <w:rPr>
          <w:rFonts w:ascii="Arial MT"/>
          <w:sz w:val="17"/>
        </w:rPr>
        <w:t> </w:t>
      </w:r>
      <w:r>
        <w:rPr>
          <w:rFonts w:ascii="Arial MT"/>
          <w:position w:val="-2"/>
          <w:sz w:val="17"/>
        </w:rPr>
        <w:t>NH</w:t>
      </w:r>
      <w:r>
        <w:rPr>
          <w:rFonts w:ascii="Arial MT"/>
          <w:position w:val="-6"/>
          <w:sz w:val="13"/>
        </w:rPr>
        <w:t>2</w:t>
      </w:r>
      <w:r>
        <w:rPr>
          <w:rFonts w:ascii="Arial MT"/>
          <w:spacing w:val="38"/>
          <w:position w:val="-6"/>
          <w:sz w:val="13"/>
        </w:rPr>
        <w:t>  </w:t>
      </w:r>
      <w:r>
        <w:rPr>
          <w:position w:val="-2"/>
          <w:sz w:val="20"/>
        </w:rPr>
        <w:t>+</w:t>
      </w:r>
      <w:r>
        <w:rPr>
          <w:spacing w:val="33"/>
          <w:position w:val="-2"/>
          <w:sz w:val="20"/>
        </w:rPr>
        <w:t> </w:t>
      </w:r>
      <w:r>
        <w:rPr>
          <w:sz w:val="20"/>
        </w:rPr>
        <w:t>C</w:t>
      </w:r>
      <w:r>
        <w:rPr>
          <w:spacing w:val="-30"/>
          <w:sz w:val="20"/>
        </w:rPr>
        <w:t> </w:t>
      </w:r>
      <w:r>
        <w:rPr>
          <w:spacing w:val="-30"/>
          <w:position w:val="7"/>
          <w:sz w:val="20"/>
        </w:rPr>
        <w:drawing>
          <wp:inline distT="0" distB="0" distL="0" distR="0">
            <wp:extent cx="205888" cy="49758"/>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10" cstate="print"/>
                    <a:stretch>
                      <a:fillRect/>
                    </a:stretch>
                  </pic:blipFill>
                  <pic:spPr>
                    <a:xfrm>
                      <a:off x="0" y="0"/>
                      <a:ext cx="205888" cy="49758"/>
                    </a:xfrm>
                    <a:prstGeom prst="rect">
                      <a:avLst/>
                    </a:prstGeom>
                  </pic:spPr>
                </pic:pic>
              </a:graphicData>
            </a:graphic>
          </wp:inline>
        </w:drawing>
      </w:r>
      <w:r>
        <w:rPr>
          <w:spacing w:val="-30"/>
          <w:position w:val="7"/>
          <w:sz w:val="20"/>
        </w:rPr>
      </w:r>
      <w:r>
        <w:rPr>
          <w:spacing w:val="5"/>
          <w:position w:val="1"/>
          <w:sz w:val="20"/>
        </w:rPr>
        <w:t> </w:t>
      </w:r>
      <w:r>
        <w:rPr>
          <w:rFonts w:ascii="Arial MT"/>
          <w:spacing w:val="-10"/>
          <w:position w:val="1"/>
          <w:sz w:val="17"/>
        </w:rPr>
        <w:t>C</w:t>
      </w:r>
      <w:r>
        <w:rPr>
          <w:rFonts w:ascii="Arial MT"/>
          <w:position w:val="1"/>
          <w:sz w:val="17"/>
        </w:rPr>
        <w:tab/>
      </w:r>
      <w:r>
        <w:rPr>
          <w:rFonts w:ascii="Arial MT"/>
          <w:spacing w:val="-10"/>
          <w:position w:val="1"/>
          <w:sz w:val="17"/>
        </w:rPr>
        <w:t>C</w:t>
      </w:r>
      <w:r>
        <w:rPr>
          <w:rFonts w:ascii="Arial MT"/>
          <w:position w:val="1"/>
          <w:sz w:val="17"/>
        </w:rPr>
        <w:tab/>
      </w:r>
      <w:r>
        <w:rPr>
          <w:rFonts w:ascii="Arial MT"/>
          <w:spacing w:val="-10"/>
          <w:position w:val="1"/>
          <w:sz w:val="17"/>
        </w:rPr>
        <w:t>N</w:t>
      </w:r>
      <w:r>
        <w:rPr>
          <w:rFonts w:ascii="Arial MT"/>
          <w:position w:val="1"/>
          <w:sz w:val="17"/>
        </w:rPr>
        <w:tab/>
      </w:r>
      <w:r>
        <w:rPr>
          <w:rFonts w:ascii="Arial MT"/>
          <w:spacing w:val="-10"/>
          <w:position w:val="-11"/>
          <w:sz w:val="17"/>
        </w:rPr>
        <w:t>H</w:t>
      </w:r>
    </w:p>
    <w:p>
      <w:pPr>
        <w:spacing w:before="133"/>
        <w:ind w:left="1717" w:right="0" w:firstLine="0"/>
        <w:jc w:val="left"/>
        <w:rPr>
          <w:rFonts w:ascii="Arial MT"/>
          <w:sz w:val="17"/>
        </w:rPr>
      </w:pPr>
      <w:r>
        <w:rPr>
          <w:rFonts w:ascii="Arial MT"/>
          <w:spacing w:val="-10"/>
          <w:sz w:val="17"/>
        </w:rPr>
        <w:t>H</w:t>
      </w:r>
    </w:p>
    <w:p>
      <w:pPr>
        <w:spacing w:after="0"/>
        <w:jc w:val="left"/>
        <w:rPr>
          <w:rFonts w:ascii="Arial MT"/>
          <w:sz w:val="17"/>
        </w:rPr>
        <w:sectPr>
          <w:type w:val="continuous"/>
          <w:pgSz w:w="12240" w:h="15840"/>
          <w:pgMar w:header="0" w:footer="1066" w:top="1320" w:bottom="960" w:left="1480" w:right="1160"/>
          <w:cols w:num="2" w:equalWidth="0">
            <w:col w:w="1239" w:space="825"/>
            <w:col w:w="7536"/>
          </w:cols>
        </w:sectPr>
      </w:pPr>
    </w:p>
    <w:p>
      <w:pPr>
        <w:pStyle w:val="BodyText"/>
        <w:spacing w:before="27"/>
        <w:rPr>
          <w:rFonts w:ascii="Arial MT"/>
          <w:sz w:val="17"/>
        </w:rPr>
      </w:pPr>
    </w:p>
    <w:p>
      <w:pPr>
        <w:spacing w:before="0"/>
        <w:ind w:left="1539" w:right="0" w:firstLine="0"/>
        <w:jc w:val="left"/>
        <w:rPr>
          <w:rFonts w:ascii="Arial MT"/>
          <w:sz w:val="17"/>
        </w:rPr>
      </w:pPr>
      <w:r>
        <w:rPr>
          <w:rFonts w:ascii="Arial MT"/>
          <w:spacing w:val="-5"/>
          <w:sz w:val="17"/>
        </w:rPr>
        <w:t>Cl</w:t>
      </w:r>
    </w:p>
    <w:p>
      <w:pPr>
        <w:pStyle w:val="BodyText"/>
        <w:spacing w:before="43"/>
        <w:rPr>
          <w:rFonts w:ascii="Arial MT"/>
          <w:sz w:val="17"/>
        </w:rPr>
      </w:pPr>
    </w:p>
    <w:p>
      <w:pPr>
        <w:pStyle w:val="BodyText"/>
        <w:tabs>
          <w:tab w:pos="4281" w:val="left" w:leader="none"/>
        </w:tabs>
        <w:ind w:left="743"/>
      </w:pPr>
      <w:r>
        <w:rPr/>
        <w:t>3,4-</w:t>
      </w:r>
      <w:r>
        <w:rPr>
          <w:spacing w:val="-2"/>
        </w:rPr>
        <w:t>dichloroaniline</w:t>
      </w:r>
      <w:r>
        <w:rPr/>
        <w:tab/>
      </w:r>
      <w:r>
        <w:rPr>
          <w:spacing w:val="-2"/>
        </w:rPr>
        <w:t>acrylamide</w:t>
      </w:r>
    </w:p>
    <w:p>
      <w:pPr>
        <w:pStyle w:val="BodyText"/>
        <w:spacing w:before="66"/>
        <w:rPr>
          <w:sz w:val="17"/>
        </w:rPr>
      </w:pPr>
    </w:p>
    <w:p>
      <w:pPr>
        <w:spacing w:line="171" w:lineRule="exact" w:before="0"/>
        <w:ind w:left="0" w:right="1245" w:firstLine="0"/>
        <w:jc w:val="center"/>
        <w:rPr>
          <w:rFonts w:ascii="Arial MT"/>
          <w:sz w:val="17"/>
        </w:rPr>
      </w:pPr>
      <w:r>
        <w:rPr>
          <w:rFonts w:ascii="Arial MT"/>
          <w:spacing w:val="-10"/>
          <w:w w:val="105"/>
          <w:sz w:val="17"/>
        </w:rPr>
        <w:t>H</w:t>
      </w:r>
    </w:p>
    <w:p>
      <w:pPr>
        <w:tabs>
          <w:tab w:pos="1247" w:val="left" w:leader="none"/>
        </w:tabs>
        <w:spacing w:line="171" w:lineRule="exact" w:before="0"/>
        <w:ind w:left="0" w:right="1440" w:firstLine="0"/>
        <w:jc w:val="center"/>
        <w:rPr>
          <w:rFonts w:ascii="Arial MT"/>
          <w:sz w:val="17"/>
        </w:rPr>
      </w:pPr>
      <w:r>
        <w:rPr/>
        <mc:AlternateContent>
          <mc:Choice Requires="wps">
            <w:drawing>
              <wp:anchor distT="0" distB="0" distL="0" distR="0" allowOverlap="1" layoutInCell="1" locked="0" behindDoc="0" simplePos="0" relativeHeight="15759872">
                <wp:simplePos x="0" y="0"/>
                <wp:positionH relativeFrom="page">
                  <wp:posOffset>1492521</wp:posOffset>
                </wp:positionH>
                <wp:positionV relativeFrom="paragraph">
                  <wp:posOffset>81873</wp:posOffset>
                </wp:positionV>
                <wp:extent cx="1250315" cy="823594"/>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250315" cy="823594"/>
                          <a:chExt cx="1250315" cy="823594"/>
                        </a:xfrm>
                      </wpg:grpSpPr>
                      <wps:wsp>
                        <wps:cNvPr id="106" name="Graphic 106"/>
                        <wps:cNvSpPr/>
                        <wps:spPr>
                          <a:xfrm>
                            <a:off x="5319" y="5377"/>
                            <a:ext cx="1245235" cy="812800"/>
                          </a:xfrm>
                          <a:custGeom>
                            <a:avLst/>
                            <a:gdLst/>
                            <a:ahLst/>
                            <a:cxnLst/>
                            <a:rect l="l" t="t" r="r" b="b"/>
                            <a:pathLst>
                              <a:path w="1245235" h="812800">
                                <a:moveTo>
                                  <a:pt x="794523" y="0"/>
                                </a:moveTo>
                                <a:lnTo>
                                  <a:pt x="459620" y="0"/>
                                </a:lnTo>
                              </a:path>
                              <a:path w="1245235" h="812800">
                                <a:moveTo>
                                  <a:pt x="770504" y="39785"/>
                                </a:moveTo>
                                <a:lnTo>
                                  <a:pt x="482405" y="39785"/>
                                </a:lnTo>
                              </a:path>
                              <a:path w="1245235" h="812800">
                                <a:moveTo>
                                  <a:pt x="459620" y="0"/>
                                </a:moveTo>
                                <a:lnTo>
                                  <a:pt x="291968" y="287615"/>
                                </a:lnTo>
                              </a:path>
                              <a:path w="1245235" h="812800">
                                <a:moveTo>
                                  <a:pt x="291968" y="287615"/>
                                </a:moveTo>
                                <a:lnTo>
                                  <a:pt x="459620" y="573783"/>
                                </a:lnTo>
                              </a:path>
                              <a:path w="1245235" h="812800">
                                <a:moveTo>
                                  <a:pt x="337546" y="287615"/>
                                </a:moveTo>
                                <a:lnTo>
                                  <a:pt x="482405" y="534080"/>
                                </a:lnTo>
                              </a:path>
                              <a:path w="1245235" h="812800">
                                <a:moveTo>
                                  <a:pt x="459620" y="573783"/>
                                </a:moveTo>
                                <a:lnTo>
                                  <a:pt x="794523" y="573783"/>
                                </a:lnTo>
                              </a:path>
                              <a:path w="1245235" h="812800">
                                <a:moveTo>
                                  <a:pt x="794523" y="573783"/>
                                </a:moveTo>
                                <a:lnTo>
                                  <a:pt x="962158" y="286209"/>
                                </a:lnTo>
                              </a:path>
                              <a:path w="1245235" h="812800">
                                <a:moveTo>
                                  <a:pt x="771755" y="534080"/>
                                </a:moveTo>
                                <a:lnTo>
                                  <a:pt x="915203" y="286209"/>
                                </a:lnTo>
                              </a:path>
                              <a:path w="1245235" h="812800">
                                <a:moveTo>
                                  <a:pt x="962158" y="286209"/>
                                </a:moveTo>
                                <a:lnTo>
                                  <a:pt x="794523" y="0"/>
                                </a:lnTo>
                              </a:path>
                              <a:path w="1245235" h="812800">
                                <a:moveTo>
                                  <a:pt x="962158" y="286209"/>
                                </a:moveTo>
                                <a:lnTo>
                                  <a:pt x="1244802" y="286209"/>
                                </a:lnTo>
                              </a:path>
                              <a:path w="1245235" h="812800">
                                <a:moveTo>
                                  <a:pt x="459620" y="573783"/>
                                </a:moveTo>
                                <a:lnTo>
                                  <a:pt x="320249" y="812431"/>
                                </a:lnTo>
                              </a:path>
                              <a:path w="1245235" h="812800">
                                <a:moveTo>
                                  <a:pt x="291968" y="287615"/>
                                </a:moveTo>
                                <a:lnTo>
                                  <a:pt x="0" y="209400"/>
                                </a:lnTo>
                              </a:path>
                            </a:pathLst>
                          </a:custGeom>
                          <a:ln w="10706">
                            <a:solidFill>
                              <a:srgbClr val="000000"/>
                            </a:solidFill>
                            <a:prstDash val="solid"/>
                          </a:ln>
                        </wps:spPr>
                        <wps:bodyPr wrap="square" lIns="0" tIns="0" rIns="0" bIns="0" rtlCol="0">
                          <a:prstTxWarp prst="textNoShape">
                            <a:avLst/>
                          </a:prstTxWarp>
                          <a:noAutofit/>
                        </wps:bodyPr>
                      </wps:wsp>
                      <wps:wsp>
                        <wps:cNvPr id="107" name="Textbox 107"/>
                        <wps:cNvSpPr txBox="1"/>
                        <wps:spPr>
                          <a:xfrm>
                            <a:off x="490377" y="0"/>
                            <a:ext cx="104139" cy="147320"/>
                          </a:xfrm>
                          <a:prstGeom prst="rect">
                            <a:avLst/>
                          </a:prstGeom>
                        </wps:spPr>
                        <wps:txbx>
                          <w:txbxContent>
                            <w:p>
                              <w:pPr>
                                <w:spacing w:line="231" w:lineRule="exact" w:before="0"/>
                                <w:ind w:left="0" w:right="0" w:firstLine="0"/>
                                <w:jc w:val="left"/>
                                <w:rPr>
                                  <w:sz w:val="21"/>
                                </w:rPr>
                              </w:pPr>
                              <w:r>
                                <w:rPr>
                                  <w:spacing w:val="-5"/>
                                  <w:sz w:val="21"/>
                                </w:rPr>
                                <w:t>5'</w:t>
                              </w:r>
                            </w:p>
                          </w:txbxContent>
                        </wps:txbx>
                        <wps:bodyPr wrap="square" lIns="0" tIns="0" rIns="0" bIns="0" rtlCol="0">
                          <a:noAutofit/>
                        </wps:bodyPr>
                      </wps:wsp>
                      <wps:wsp>
                        <wps:cNvPr id="108" name="Textbox 108"/>
                        <wps:cNvSpPr txBox="1"/>
                        <wps:spPr>
                          <a:xfrm>
                            <a:off x="389862" y="165652"/>
                            <a:ext cx="104139" cy="147320"/>
                          </a:xfrm>
                          <a:prstGeom prst="rect">
                            <a:avLst/>
                          </a:prstGeom>
                        </wps:spPr>
                        <wps:txbx>
                          <w:txbxContent>
                            <w:p>
                              <w:pPr>
                                <w:spacing w:line="231" w:lineRule="exact" w:before="0"/>
                                <w:ind w:left="0" w:right="0" w:firstLine="0"/>
                                <w:jc w:val="left"/>
                                <w:rPr>
                                  <w:sz w:val="21"/>
                                </w:rPr>
                              </w:pPr>
                              <w:r>
                                <w:rPr>
                                  <w:spacing w:val="-5"/>
                                  <w:sz w:val="21"/>
                                </w:rPr>
                                <w:t>4'</w:t>
                              </w:r>
                            </w:p>
                          </w:txbxContent>
                        </wps:txbx>
                        <wps:bodyPr wrap="square" lIns="0" tIns="0" rIns="0" bIns="0" rtlCol="0">
                          <a:noAutofit/>
                        </wps:bodyPr>
                      </wps:wsp>
                      <wps:wsp>
                        <wps:cNvPr id="109" name="Textbox 109"/>
                        <wps:cNvSpPr txBox="1"/>
                        <wps:spPr>
                          <a:xfrm>
                            <a:off x="506448" y="348543"/>
                            <a:ext cx="104139" cy="147320"/>
                          </a:xfrm>
                          <a:prstGeom prst="rect">
                            <a:avLst/>
                          </a:prstGeom>
                        </wps:spPr>
                        <wps:txbx>
                          <w:txbxContent>
                            <w:p>
                              <w:pPr>
                                <w:spacing w:line="231" w:lineRule="exact" w:before="0"/>
                                <w:ind w:left="0" w:right="0" w:firstLine="0"/>
                                <w:jc w:val="left"/>
                                <w:rPr>
                                  <w:sz w:val="21"/>
                                </w:rPr>
                              </w:pPr>
                              <w:r>
                                <w:rPr>
                                  <w:spacing w:val="-5"/>
                                  <w:sz w:val="21"/>
                                </w:rPr>
                                <w:t>3'</w:t>
                              </w:r>
                            </w:p>
                          </w:txbxContent>
                        </wps:txbx>
                        <wps:bodyPr wrap="square" lIns="0" tIns="0" rIns="0" bIns="0" rtlCol="0">
                          <a:noAutofit/>
                        </wps:bodyPr>
                      </wps:wsp>
                      <wps:wsp>
                        <wps:cNvPr id="110" name="Textbox 110"/>
                        <wps:cNvSpPr txBox="1"/>
                        <wps:spPr>
                          <a:xfrm>
                            <a:off x="699328" y="0"/>
                            <a:ext cx="238125" cy="528955"/>
                          </a:xfrm>
                          <a:prstGeom prst="rect">
                            <a:avLst/>
                          </a:prstGeom>
                        </wps:spPr>
                        <wps:txbx>
                          <w:txbxContent>
                            <w:p>
                              <w:pPr>
                                <w:spacing w:line="231" w:lineRule="exact" w:before="0"/>
                                <w:ind w:left="92" w:right="0" w:firstLine="0"/>
                                <w:jc w:val="left"/>
                                <w:rPr>
                                  <w:sz w:val="21"/>
                                </w:rPr>
                              </w:pPr>
                              <w:r>
                                <w:rPr>
                                  <w:spacing w:val="-5"/>
                                  <w:sz w:val="21"/>
                                </w:rPr>
                                <w:t>6'</w:t>
                              </w:r>
                            </w:p>
                            <w:p>
                              <w:pPr>
                                <w:spacing w:before="31"/>
                                <w:ind w:left="211" w:right="0" w:firstLine="0"/>
                                <w:jc w:val="left"/>
                                <w:rPr>
                                  <w:sz w:val="21"/>
                                </w:rPr>
                              </w:pPr>
                              <w:r>
                                <w:rPr>
                                  <w:spacing w:val="-5"/>
                                  <w:sz w:val="21"/>
                                </w:rPr>
                                <w:t>1'</w:t>
                              </w:r>
                            </w:p>
                            <w:p>
                              <w:pPr>
                                <w:spacing w:line="241" w:lineRule="exact" w:before="87"/>
                                <w:ind w:left="0" w:right="0" w:firstLine="0"/>
                                <w:jc w:val="left"/>
                                <w:rPr>
                                  <w:sz w:val="21"/>
                                </w:rPr>
                              </w:pPr>
                              <w:r>
                                <w:rPr>
                                  <w:spacing w:val="-5"/>
                                  <w:sz w:val="21"/>
                                </w:rPr>
                                <w:t>2'</w:t>
                              </w:r>
                            </w:p>
                          </w:txbxContent>
                        </wps:txbx>
                        <wps:bodyPr wrap="square" lIns="0" tIns="0" rIns="0" bIns="0" rtlCol="0">
                          <a:noAutofit/>
                        </wps:bodyPr>
                      </wps:wsp>
                    </wpg:wgp>
                  </a:graphicData>
                </a:graphic>
              </wp:anchor>
            </w:drawing>
          </mc:Choice>
          <mc:Fallback>
            <w:pict>
              <v:group style="position:absolute;margin-left:117.521378pt;margin-top:6.446744pt;width:98.45pt;height:64.8500pt;mso-position-horizontal-relative:page;mso-position-vertical-relative:paragraph;z-index:15759872" id="docshapegroup65" coordorigin="2350,129" coordsize="1969,1297">
                <v:shape style="position:absolute;left:2358;top:137;width:1961;height:1280" id="docshape66" coordorigin="2359,137" coordsize="1961,1280" path="m3610,137l3083,137m3572,200l3118,200m3083,137l2819,590m2819,590l3083,1041m2890,590l3118,978m3083,1041l3610,1041m3610,1041l3874,588m3574,978l3800,588m3874,588l3610,137m3874,588l4319,588m3083,1041l2863,1417m2819,590l2359,467e" filled="false" stroked="true" strokeweight=".843006pt" strokecolor="#000000">
                  <v:path arrowok="t"/>
                  <v:stroke dashstyle="solid"/>
                </v:shape>
                <v:shape style="position:absolute;left:3122;top:128;width:164;height:232" type="#_x0000_t202" id="docshape67" filled="false" stroked="false">
                  <v:textbox inset="0,0,0,0">
                    <w:txbxContent>
                      <w:p>
                        <w:pPr>
                          <w:spacing w:line="231" w:lineRule="exact" w:before="0"/>
                          <w:ind w:left="0" w:right="0" w:firstLine="0"/>
                          <w:jc w:val="left"/>
                          <w:rPr>
                            <w:sz w:val="21"/>
                          </w:rPr>
                        </w:pPr>
                        <w:r>
                          <w:rPr>
                            <w:spacing w:val="-5"/>
                            <w:sz w:val="21"/>
                          </w:rPr>
                          <w:t>5'</w:t>
                        </w:r>
                      </w:p>
                    </w:txbxContent>
                  </v:textbox>
                  <w10:wrap type="none"/>
                </v:shape>
                <v:shape style="position:absolute;left:2964;top:389;width:164;height:232" type="#_x0000_t202" id="docshape68" filled="false" stroked="false">
                  <v:textbox inset="0,0,0,0">
                    <w:txbxContent>
                      <w:p>
                        <w:pPr>
                          <w:spacing w:line="231" w:lineRule="exact" w:before="0"/>
                          <w:ind w:left="0" w:right="0" w:firstLine="0"/>
                          <w:jc w:val="left"/>
                          <w:rPr>
                            <w:sz w:val="21"/>
                          </w:rPr>
                        </w:pPr>
                        <w:r>
                          <w:rPr>
                            <w:spacing w:val="-5"/>
                            <w:sz w:val="21"/>
                          </w:rPr>
                          <w:t>4'</w:t>
                        </w:r>
                      </w:p>
                    </w:txbxContent>
                  </v:textbox>
                  <w10:wrap type="none"/>
                </v:shape>
                <v:shape style="position:absolute;left:3147;top:677;width:164;height:232" type="#_x0000_t202" id="docshape69" filled="false" stroked="false">
                  <v:textbox inset="0,0,0,0">
                    <w:txbxContent>
                      <w:p>
                        <w:pPr>
                          <w:spacing w:line="231" w:lineRule="exact" w:before="0"/>
                          <w:ind w:left="0" w:right="0" w:firstLine="0"/>
                          <w:jc w:val="left"/>
                          <w:rPr>
                            <w:sz w:val="21"/>
                          </w:rPr>
                        </w:pPr>
                        <w:r>
                          <w:rPr>
                            <w:spacing w:val="-5"/>
                            <w:sz w:val="21"/>
                          </w:rPr>
                          <w:t>3'</w:t>
                        </w:r>
                      </w:p>
                    </w:txbxContent>
                  </v:textbox>
                  <w10:wrap type="none"/>
                </v:shape>
                <v:shape style="position:absolute;left:3451;top:128;width:375;height:833" type="#_x0000_t202" id="docshape70" filled="false" stroked="false">
                  <v:textbox inset="0,0,0,0">
                    <w:txbxContent>
                      <w:p>
                        <w:pPr>
                          <w:spacing w:line="231" w:lineRule="exact" w:before="0"/>
                          <w:ind w:left="92" w:right="0" w:firstLine="0"/>
                          <w:jc w:val="left"/>
                          <w:rPr>
                            <w:sz w:val="21"/>
                          </w:rPr>
                        </w:pPr>
                        <w:r>
                          <w:rPr>
                            <w:spacing w:val="-5"/>
                            <w:sz w:val="21"/>
                          </w:rPr>
                          <w:t>6'</w:t>
                        </w:r>
                      </w:p>
                      <w:p>
                        <w:pPr>
                          <w:spacing w:before="31"/>
                          <w:ind w:left="211" w:right="0" w:firstLine="0"/>
                          <w:jc w:val="left"/>
                          <w:rPr>
                            <w:sz w:val="21"/>
                          </w:rPr>
                        </w:pPr>
                        <w:r>
                          <w:rPr>
                            <w:spacing w:val="-5"/>
                            <w:sz w:val="21"/>
                          </w:rPr>
                          <w:t>1'</w:t>
                        </w:r>
                      </w:p>
                      <w:p>
                        <w:pPr>
                          <w:spacing w:line="241" w:lineRule="exact" w:before="87"/>
                          <w:ind w:left="0" w:right="0" w:firstLine="0"/>
                          <w:jc w:val="left"/>
                          <w:rPr>
                            <w:sz w:val="21"/>
                          </w:rPr>
                        </w:pPr>
                        <w:r>
                          <w:rPr>
                            <w:spacing w:val="-5"/>
                            <w:sz w:val="21"/>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943424">
                <wp:simplePos x="0" y="0"/>
                <wp:positionH relativeFrom="page">
                  <wp:posOffset>3589659</wp:posOffset>
                </wp:positionH>
                <wp:positionV relativeFrom="paragraph">
                  <wp:posOffset>14256</wp:posOffset>
                </wp:positionV>
                <wp:extent cx="1270" cy="29972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1270" cy="299720"/>
                        </a:xfrm>
                        <a:custGeom>
                          <a:avLst/>
                          <a:gdLst/>
                          <a:ahLst/>
                          <a:cxnLst/>
                          <a:rect l="l" t="t" r="r" b="b"/>
                          <a:pathLst>
                            <a:path w="0" h="299720">
                              <a:moveTo>
                                <a:pt x="0" y="299641"/>
                              </a:moveTo>
                              <a:lnTo>
                                <a:pt x="0" y="0"/>
                              </a:lnTo>
                            </a:path>
                          </a:pathLst>
                        </a:custGeom>
                        <a:ln w="107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73056" from="282.650360pt,24.716351pt" to="282.650360pt,1.122540pt" stroked="true" strokeweight=".849109pt" strokecolor="#000000">
                <v:stroke dashstyle="solid"/>
                <w10:wrap type="none"/>
              </v:line>
            </w:pict>
          </mc:Fallback>
        </mc:AlternateContent>
      </w:r>
      <w:r>
        <w:rPr/>
        <mc:AlternateContent>
          <mc:Choice Requires="wps">
            <w:drawing>
              <wp:anchor distT="0" distB="0" distL="0" distR="0" allowOverlap="1" layoutInCell="1" locked="0" behindDoc="0" simplePos="0" relativeHeight="15762432">
                <wp:simplePos x="0" y="0"/>
                <wp:positionH relativeFrom="page">
                  <wp:posOffset>3905830</wp:posOffset>
                </wp:positionH>
                <wp:positionV relativeFrom="paragraph">
                  <wp:posOffset>107144</wp:posOffset>
                </wp:positionV>
                <wp:extent cx="40640" cy="20701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40640" cy="207010"/>
                        </a:xfrm>
                        <a:custGeom>
                          <a:avLst/>
                          <a:gdLst/>
                          <a:ahLst/>
                          <a:cxnLst/>
                          <a:rect l="l" t="t" r="r" b="b"/>
                          <a:pathLst>
                            <a:path w="40640" h="207010">
                              <a:moveTo>
                                <a:pt x="0" y="206753"/>
                              </a:moveTo>
                              <a:lnTo>
                                <a:pt x="0" y="0"/>
                              </a:lnTo>
                            </a:path>
                            <a:path w="40640" h="207010">
                              <a:moveTo>
                                <a:pt x="40282" y="206753"/>
                              </a:moveTo>
                              <a:lnTo>
                                <a:pt x="40282" y="0"/>
                              </a:lnTo>
                            </a:path>
                          </a:pathLst>
                        </a:custGeom>
                        <a:ln w="107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7.545746pt;margin-top:8.436543pt;width:3.2pt;height:16.3pt;mso-position-horizontal-relative:page;mso-position-vertical-relative:paragraph;z-index:15762432" id="docshape71" coordorigin="6151,169" coordsize="64,326" path="m6151,494l6151,169m6214,494l6214,169e" filled="false" stroked="true" strokeweight=".843006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3130039</wp:posOffset>
                </wp:positionH>
                <wp:positionV relativeFrom="paragraph">
                  <wp:posOffset>105746</wp:posOffset>
                </wp:positionV>
                <wp:extent cx="1270" cy="208279"/>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1270" cy="208279"/>
                        </a:xfrm>
                        <a:custGeom>
                          <a:avLst/>
                          <a:gdLst/>
                          <a:ahLst/>
                          <a:cxnLst/>
                          <a:rect l="l" t="t" r="r" b="b"/>
                          <a:pathLst>
                            <a:path w="0" h="208279">
                              <a:moveTo>
                                <a:pt x="0" y="208150"/>
                              </a:moveTo>
                              <a:lnTo>
                                <a:pt x="0" y="0"/>
                              </a:lnTo>
                            </a:path>
                          </a:pathLst>
                        </a:custGeom>
                        <a:ln w="107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5504" from="246.459778pt,24.716351pt" to="246.459778pt,8.326510pt" stroked="true" strokeweight=".849109pt" strokecolor="#000000">
                <v:stroke dashstyle="solid"/>
                <w10:wrap type="none"/>
              </v:line>
            </w:pict>
          </mc:Fallback>
        </mc:AlternateContent>
      </w:r>
      <w:r>
        <w:rPr>
          <w:rFonts w:ascii="Arial MT"/>
          <w:spacing w:val="-10"/>
          <w:w w:val="105"/>
          <w:sz w:val="17"/>
        </w:rPr>
        <w:t>H</w:t>
      </w:r>
      <w:r>
        <w:rPr>
          <w:rFonts w:ascii="Arial MT"/>
          <w:sz w:val="17"/>
        </w:rPr>
        <w:tab/>
      </w:r>
      <w:r>
        <w:rPr>
          <w:rFonts w:ascii="Arial MT"/>
          <w:spacing w:val="-10"/>
          <w:w w:val="105"/>
          <w:sz w:val="17"/>
        </w:rPr>
        <w:t>O</w:t>
      </w:r>
    </w:p>
    <w:p>
      <w:pPr>
        <w:spacing w:line="126" w:lineRule="exact" w:before="66"/>
        <w:ind w:left="2027" w:right="0" w:firstLine="0"/>
        <w:jc w:val="center"/>
        <w:rPr>
          <w:rFonts w:ascii="Arial MT"/>
          <w:sz w:val="17"/>
        </w:rPr>
      </w:pPr>
      <w:r>
        <w:rPr>
          <w:rFonts w:ascii="Arial MT"/>
          <w:spacing w:val="-10"/>
          <w:w w:val="105"/>
          <w:sz w:val="17"/>
        </w:rPr>
        <w:t>H</w:t>
      </w:r>
    </w:p>
    <w:p>
      <w:pPr>
        <w:spacing w:after="0" w:line="126" w:lineRule="exact"/>
        <w:jc w:val="center"/>
        <w:rPr>
          <w:rFonts w:ascii="Arial MT"/>
          <w:sz w:val="17"/>
        </w:rPr>
        <w:sectPr>
          <w:type w:val="continuous"/>
          <w:pgSz w:w="12240" w:h="15840"/>
          <w:pgMar w:header="0" w:footer="1066" w:top="1320" w:bottom="960" w:left="1480" w:right="1160"/>
        </w:sectPr>
      </w:pPr>
    </w:p>
    <w:p>
      <w:pPr>
        <w:spacing w:line="195" w:lineRule="exact" w:before="0"/>
        <w:ind w:left="131" w:right="0" w:firstLine="0"/>
        <w:jc w:val="center"/>
        <w:rPr>
          <w:rFonts w:ascii="Arial MT"/>
          <w:sz w:val="17"/>
        </w:rPr>
      </w:pPr>
      <w:r>
        <w:rPr/>
        <mc:AlternateContent>
          <mc:Choice Requires="wps">
            <w:drawing>
              <wp:anchor distT="0" distB="0" distL="0" distR="0" allowOverlap="1" layoutInCell="1" locked="0" behindDoc="0" simplePos="0" relativeHeight="15763456">
                <wp:simplePos x="0" y="0"/>
                <wp:positionH relativeFrom="page">
                  <wp:posOffset>4398978</wp:posOffset>
                </wp:positionH>
                <wp:positionV relativeFrom="paragraph">
                  <wp:posOffset>12071</wp:posOffset>
                </wp:positionV>
                <wp:extent cx="205104" cy="20193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205104" cy="201930"/>
                        </a:xfrm>
                        <a:custGeom>
                          <a:avLst/>
                          <a:gdLst/>
                          <a:ahLst/>
                          <a:cxnLst/>
                          <a:rect l="l" t="t" r="r" b="b"/>
                          <a:pathLst>
                            <a:path w="205104" h="201930">
                              <a:moveTo>
                                <a:pt x="0" y="98066"/>
                              </a:moveTo>
                              <a:lnTo>
                                <a:pt x="170303" y="0"/>
                              </a:lnTo>
                            </a:path>
                            <a:path w="205104" h="201930">
                              <a:moveTo>
                                <a:pt x="1417" y="147198"/>
                              </a:moveTo>
                              <a:lnTo>
                                <a:pt x="205081" y="201541"/>
                              </a:lnTo>
                            </a:path>
                          </a:pathLst>
                        </a:custGeom>
                        <a:ln w="107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6.376221pt;margin-top:.950527pt;width:16.1500pt;height:15.9pt;mso-position-horizontal-relative:page;mso-position-vertical-relative:paragraph;z-index:15763456" id="docshape72" coordorigin="6928,19" coordsize="323,318" path="m6928,173l7196,19m6930,251l7250,336e" filled="false" stroked="true" strokeweight=".843006pt" strokecolor="#000000">
                <v:path arrowok="t"/>
                <v:stroke dashstyle="solid"/>
                <w10:wrap type="none"/>
              </v:shape>
            </w:pict>
          </mc:Fallback>
        </mc:AlternateContent>
      </w:r>
      <w:r>
        <w:rPr>
          <w:rFonts w:ascii="Arial MT"/>
          <w:spacing w:val="-5"/>
          <w:w w:val="105"/>
          <w:sz w:val="17"/>
        </w:rPr>
        <w:t>Cl</w:t>
      </w:r>
    </w:p>
    <w:p>
      <w:pPr>
        <w:pStyle w:val="BodyText"/>
        <w:rPr>
          <w:rFonts w:ascii="Arial MT"/>
          <w:sz w:val="17"/>
        </w:rPr>
      </w:pPr>
    </w:p>
    <w:p>
      <w:pPr>
        <w:pStyle w:val="BodyText"/>
        <w:rPr>
          <w:rFonts w:ascii="Arial MT"/>
          <w:sz w:val="17"/>
        </w:rPr>
      </w:pPr>
    </w:p>
    <w:p>
      <w:pPr>
        <w:pStyle w:val="BodyText"/>
        <w:rPr>
          <w:rFonts w:ascii="Arial MT"/>
          <w:sz w:val="17"/>
        </w:rPr>
      </w:pPr>
    </w:p>
    <w:p>
      <w:pPr>
        <w:pStyle w:val="BodyText"/>
        <w:spacing w:before="61"/>
        <w:rPr>
          <w:rFonts w:ascii="Arial MT"/>
          <w:sz w:val="17"/>
        </w:rPr>
      </w:pPr>
    </w:p>
    <w:p>
      <w:pPr>
        <w:spacing w:before="1"/>
        <w:ind w:left="0" w:right="38" w:firstLine="0"/>
        <w:jc w:val="right"/>
        <w:rPr>
          <w:rFonts w:ascii="Arial MT"/>
          <w:sz w:val="17"/>
        </w:rPr>
      </w:pPr>
      <w:r>
        <w:rPr>
          <w:rFonts w:ascii="Arial MT"/>
          <w:spacing w:val="-5"/>
          <w:w w:val="105"/>
          <w:sz w:val="17"/>
        </w:rPr>
        <w:t>Cl</w:t>
      </w:r>
    </w:p>
    <w:p>
      <w:pPr>
        <w:tabs>
          <w:tab w:pos="1207" w:val="left" w:leader="none"/>
          <w:tab w:pos="1933" w:val="left" w:leader="none"/>
          <w:tab w:pos="2461" w:val="left" w:leader="none"/>
          <w:tab w:pos="3117" w:val="left" w:leader="none"/>
        </w:tabs>
        <w:spacing w:line="165" w:lineRule="exact" w:before="135"/>
        <w:ind w:left="684" w:right="0" w:firstLine="0"/>
        <w:jc w:val="left"/>
        <w:rPr>
          <w:rFonts w:ascii="Arial MT"/>
          <w:sz w:val="17"/>
        </w:rPr>
      </w:pPr>
      <w:r>
        <w:rPr/>
        <w:br w:type="column"/>
      </w:r>
      <w:r>
        <w:rPr>
          <w:rFonts w:ascii="Arial MT"/>
          <w:spacing w:val="-10"/>
          <w:w w:val="105"/>
          <w:sz w:val="17"/>
        </w:rPr>
        <w:t>N</w:t>
      </w:r>
      <w:r>
        <w:rPr>
          <w:rFonts w:ascii="Arial MT"/>
          <w:sz w:val="17"/>
        </w:rPr>
        <w:tab/>
      </w:r>
      <w:r>
        <w:rPr>
          <w:rFonts w:ascii="Arial MT"/>
          <w:spacing w:val="-10"/>
          <w:w w:val="105"/>
          <w:sz w:val="17"/>
        </w:rPr>
        <w:t>C</w:t>
      </w:r>
      <w:r>
        <w:rPr>
          <w:rFonts w:ascii="Arial MT"/>
          <w:sz w:val="17"/>
        </w:rPr>
        <w:tab/>
      </w:r>
      <w:r>
        <w:rPr>
          <w:rFonts w:ascii="Arial MT"/>
          <w:spacing w:val="-12"/>
          <w:w w:val="105"/>
          <w:sz w:val="17"/>
        </w:rPr>
        <w:t>C</w:t>
      </w:r>
      <w:r>
        <w:rPr>
          <w:rFonts w:ascii="Arial MT"/>
          <w:sz w:val="17"/>
        </w:rPr>
        <w:tab/>
      </w:r>
      <w:r>
        <w:rPr>
          <w:rFonts w:ascii="Arial MT"/>
          <w:spacing w:val="-10"/>
          <w:w w:val="105"/>
          <w:sz w:val="17"/>
        </w:rPr>
        <w:t>C</w:t>
      </w:r>
      <w:r>
        <w:rPr>
          <w:rFonts w:ascii="Arial MT"/>
          <w:sz w:val="17"/>
        </w:rPr>
        <w:tab/>
      </w:r>
      <w:r>
        <w:rPr>
          <w:rFonts w:ascii="Arial MT"/>
          <w:spacing w:val="-10"/>
          <w:w w:val="105"/>
          <w:sz w:val="17"/>
        </w:rPr>
        <w:t>N</w:t>
      </w:r>
    </w:p>
    <w:p>
      <w:pPr>
        <w:spacing w:line="165" w:lineRule="exact" w:before="0"/>
        <w:ind w:left="0" w:right="40" w:firstLine="0"/>
        <w:jc w:val="center"/>
        <w:rPr>
          <w:rFonts w:ascii="Arial MT"/>
          <w:sz w:val="17"/>
        </w:rPr>
      </w:pPr>
      <w:r>
        <w:rPr/>
        <mc:AlternateContent>
          <mc:Choice Requires="wps">
            <w:drawing>
              <wp:anchor distT="0" distB="0" distL="0" distR="0" allowOverlap="1" layoutInCell="1" locked="0" behindDoc="0" simplePos="0" relativeHeight="15760384">
                <wp:simplePos x="0" y="0"/>
                <wp:positionH relativeFrom="page">
                  <wp:posOffset>2794935</wp:posOffset>
                </wp:positionH>
                <wp:positionV relativeFrom="paragraph">
                  <wp:posOffset>16789</wp:posOffset>
                </wp:positionV>
                <wp:extent cx="1270" cy="20955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270" cy="209550"/>
                        </a:xfrm>
                        <a:custGeom>
                          <a:avLst/>
                          <a:gdLst/>
                          <a:ahLst/>
                          <a:cxnLst/>
                          <a:rect l="l" t="t" r="r" b="b"/>
                          <a:pathLst>
                            <a:path w="0" h="209550">
                              <a:moveTo>
                                <a:pt x="0" y="0"/>
                              </a:moveTo>
                              <a:lnTo>
                                <a:pt x="0" y="209367"/>
                              </a:lnTo>
                            </a:path>
                          </a:pathLst>
                        </a:custGeom>
                        <a:ln w="107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0384" from="220.0737pt,1.322003pt" to="220.0737pt,17.807638pt" stroked="true" strokeweight=".849109pt" strokecolor="#000000">
                <v:stroke dashstyle="solid"/>
                <w10:wrap type="none"/>
              </v:line>
            </w:pict>
          </mc:Fallback>
        </mc:AlternateContent>
      </w:r>
      <w:r>
        <w:rPr/>
        <mc:AlternateContent>
          <mc:Choice Requires="wps">
            <w:drawing>
              <wp:anchor distT="0" distB="0" distL="0" distR="0" allowOverlap="1" layoutInCell="1" locked="0" behindDoc="1" simplePos="0" relativeHeight="483942912">
                <wp:simplePos x="0" y="0"/>
                <wp:positionH relativeFrom="page">
                  <wp:posOffset>3647205</wp:posOffset>
                </wp:positionH>
                <wp:positionV relativeFrom="paragraph">
                  <wp:posOffset>-46982</wp:posOffset>
                </wp:positionV>
                <wp:extent cx="220345"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220345" cy="1270"/>
                        </a:xfrm>
                        <a:custGeom>
                          <a:avLst/>
                          <a:gdLst/>
                          <a:ahLst/>
                          <a:cxnLst/>
                          <a:rect l="l" t="t" r="r" b="b"/>
                          <a:pathLst>
                            <a:path w="220345" h="0">
                              <a:moveTo>
                                <a:pt x="0" y="0"/>
                              </a:moveTo>
                              <a:lnTo>
                                <a:pt x="219760" y="0"/>
                              </a:lnTo>
                            </a:path>
                          </a:pathLst>
                        </a:custGeom>
                        <a:ln w="106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73568" from="287.181549pt,-3.699417pt" to="304.485514pt,-3.699417pt" stroked="true" strokeweight=".836903pt" strokecolor="#000000">
                <v:stroke dashstyle="solid"/>
                <w10:wrap type="none"/>
              </v:line>
            </w:pict>
          </mc:Fallback>
        </mc:AlternateContent>
      </w:r>
      <w:r>
        <w:rPr/>
        <mc:AlternateContent>
          <mc:Choice Requires="wps">
            <w:drawing>
              <wp:anchor distT="0" distB="0" distL="0" distR="0" allowOverlap="1" layoutInCell="1" locked="0" behindDoc="0" simplePos="0" relativeHeight="15761920">
                <wp:simplePos x="0" y="0"/>
                <wp:positionH relativeFrom="page">
                  <wp:posOffset>3589659</wp:posOffset>
                </wp:positionH>
                <wp:positionV relativeFrom="paragraph">
                  <wp:posOffset>17989</wp:posOffset>
                </wp:positionV>
                <wp:extent cx="1270" cy="208279"/>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1270" cy="208279"/>
                        </a:xfrm>
                        <a:custGeom>
                          <a:avLst/>
                          <a:gdLst/>
                          <a:ahLst/>
                          <a:cxnLst/>
                          <a:rect l="l" t="t" r="r" b="b"/>
                          <a:pathLst>
                            <a:path w="0" h="208279">
                              <a:moveTo>
                                <a:pt x="0" y="0"/>
                              </a:moveTo>
                              <a:lnTo>
                                <a:pt x="0" y="208167"/>
                              </a:lnTo>
                            </a:path>
                          </a:pathLst>
                        </a:custGeom>
                        <a:ln w="107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920" from="282.650360pt,1.416502pt" to="282.650360pt,17.807638pt" stroked="true" strokeweight=".849109pt" strokecolor="#000000">
                <v:stroke dashstyle="solid"/>
                <w10:wrap type="none"/>
              </v:line>
            </w:pict>
          </mc:Fallback>
        </mc:AlternateContent>
      </w:r>
      <w:r>
        <w:rPr/>
        <mc:AlternateContent>
          <mc:Choice Requires="wps">
            <w:drawing>
              <wp:anchor distT="0" distB="0" distL="0" distR="0" allowOverlap="1" layoutInCell="1" locked="0" behindDoc="1" simplePos="0" relativeHeight="483944960">
                <wp:simplePos x="0" y="0"/>
                <wp:positionH relativeFrom="page">
                  <wp:posOffset>3982309</wp:posOffset>
                </wp:positionH>
                <wp:positionV relativeFrom="paragraph">
                  <wp:posOffset>-46982</wp:posOffset>
                </wp:positionV>
                <wp:extent cx="305435" cy="127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305435" cy="1270"/>
                        </a:xfrm>
                        <a:custGeom>
                          <a:avLst/>
                          <a:gdLst/>
                          <a:ahLst/>
                          <a:cxnLst/>
                          <a:rect l="l" t="t" r="r" b="b"/>
                          <a:pathLst>
                            <a:path w="305435" h="0">
                              <a:moveTo>
                                <a:pt x="0" y="0"/>
                              </a:moveTo>
                              <a:lnTo>
                                <a:pt x="305412" y="0"/>
                              </a:lnTo>
                            </a:path>
                          </a:pathLst>
                        </a:custGeom>
                        <a:ln w="106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71520" from="313.567657pt,-3.699417pt" to="337.615901pt,-3.699417pt" stroked="true" strokeweight=".836903pt" strokecolor="#000000">
                <v:stroke dashstyle="solid"/>
                <w10:wrap type="none"/>
              </v:line>
            </w:pict>
          </mc:Fallback>
        </mc:AlternateContent>
      </w:r>
      <w:r>
        <w:rPr/>
        <mc:AlternateContent>
          <mc:Choice Requires="wps">
            <w:drawing>
              <wp:anchor distT="0" distB="0" distL="0" distR="0" allowOverlap="1" layoutInCell="1" locked="0" behindDoc="1" simplePos="0" relativeHeight="483945984">
                <wp:simplePos x="0" y="0"/>
                <wp:positionH relativeFrom="page">
                  <wp:posOffset>2848645</wp:posOffset>
                </wp:positionH>
                <wp:positionV relativeFrom="paragraph">
                  <wp:posOffset>-46982</wp:posOffset>
                </wp:positionV>
                <wp:extent cx="224154" cy="127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224154" cy="1270"/>
                        </a:xfrm>
                        <a:custGeom>
                          <a:avLst/>
                          <a:gdLst/>
                          <a:ahLst/>
                          <a:cxnLst/>
                          <a:rect l="l" t="t" r="r" b="b"/>
                          <a:pathLst>
                            <a:path w="224154" h="0">
                              <a:moveTo>
                                <a:pt x="0" y="0"/>
                              </a:moveTo>
                              <a:lnTo>
                                <a:pt x="223763" y="0"/>
                              </a:lnTo>
                            </a:path>
                          </a:pathLst>
                        </a:custGeom>
                        <a:ln w="106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70496" from="224.302826pt,-3.699417pt" to="241.922006pt,-3.699417pt" stroked="true" strokeweight=".836903pt" strokecolor="#000000">
                <v:stroke dashstyle="solid"/>
                <w10:wrap type="none"/>
              </v:line>
            </w:pict>
          </mc:Fallback>
        </mc:AlternateContent>
      </w:r>
      <w:r>
        <w:rPr/>
        <mc:AlternateContent>
          <mc:Choice Requires="wps">
            <w:drawing>
              <wp:anchor distT="0" distB="0" distL="0" distR="0" allowOverlap="1" layoutInCell="1" locked="0" behindDoc="1" simplePos="0" relativeHeight="483946496">
                <wp:simplePos x="0" y="0"/>
                <wp:positionH relativeFrom="page">
                  <wp:posOffset>3186167</wp:posOffset>
                </wp:positionH>
                <wp:positionV relativeFrom="paragraph">
                  <wp:posOffset>-46982</wp:posOffset>
                </wp:positionV>
                <wp:extent cx="346075" cy="127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346075" cy="1270"/>
                        </a:xfrm>
                        <a:custGeom>
                          <a:avLst/>
                          <a:gdLst/>
                          <a:ahLst/>
                          <a:cxnLst/>
                          <a:rect l="l" t="t" r="r" b="b"/>
                          <a:pathLst>
                            <a:path w="346075" h="0">
                              <a:moveTo>
                                <a:pt x="0" y="0"/>
                              </a:moveTo>
                              <a:lnTo>
                                <a:pt x="345861" y="0"/>
                              </a:lnTo>
                            </a:path>
                          </a:pathLst>
                        </a:custGeom>
                        <a:ln w="106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9984" from="250.879349pt,-3.699417pt" to="278.112572pt,-3.699417pt" stroked="true" strokeweight=".836903pt" strokecolor="#000000">
                <v:stroke dashstyle="solid"/>
                <w10:wrap type="none"/>
              </v:line>
            </w:pict>
          </mc:Fallback>
        </mc:AlternateContent>
      </w:r>
      <w:r>
        <w:rPr/>
        <mc:AlternateContent>
          <mc:Choice Requires="wps">
            <w:drawing>
              <wp:anchor distT="0" distB="0" distL="0" distR="0" allowOverlap="1" layoutInCell="1" locked="0" behindDoc="0" simplePos="0" relativeHeight="15764992">
                <wp:simplePos x="0" y="0"/>
                <wp:positionH relativeFrom="page">
                  <wp:posOffset>3130039</wp:posOffset>
                </wp:positionH>
                <wp:positionV relativeFrom="paragraph">
                  <wp:posOffset>17989</wp:posOffset>
                </wp:positionV>
                <wp:extent cx="1270" cy="208279"/>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1270" cy="208279"/>
                        </a:xfrm>
                        <a:custGeom>
                          <a:avLst/>
                          <a:gdLst/>
                          <a:ahLst/>
                          <a:cxnLst/>
                          <a:rect l="l" t="t" r="r" b="b"/>
                          <a:pathLst>
                            <a:path w="0" h="208279">
                              <a:moveTo>
                                <a:pt x="0" y="0"/>
                              </a:moveTo>
                              <a:lnTo>
                                <a:pt x="0" y="208167"/>
                              </a:lnTo>
                            </a:path>
                          </a:pathLst>
                        </a:custGeom>
                        <a:ln w="107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992" from="246.459778pt,1.416502pt" to="246.459778pt,17.807638pt" stroked="true" strokeweight=".849109pt" strokecolor="#000000">
                <v:stroke dashstyle="solid"/>
                <w10:wrap type="none"/>
              </v:line>
            </w:pict>
          </mc:Fallback>
        </mc:AlternateContent>
      </w:r>
      <w:r>
        <w:rPr>
          <w:rFonts w:ascii="Arial MT"/>
          <w:spacing w:val="-10"/>
          <w:w w:val="105"/>
          <w:sz w:val="17"/>
        </w:rPr>
        <w:t>H</w:t>
      </w:r>
    </w:p>
    <w:p>
      <w:pPr>
        <w:tabs>
          <w:tab w:pos="1209" w:val="left" w:leader="none"/>
          <w:tab w:pos="1935" w:val="left" w:leader="none"/>
        </w:tabs>
        <w:spacing w:before="193"/>
        <w:ind w:left="682" w:right="0" w:firstLine="0"/>
        <w:jc w:val="left"/>
        <w:rPr>
          <w:rFonts w:ascii="Arial MT"/>
          <w:sz w:val="17"/>
        </w:rPr>
      </w:pPr>
      <w:r>
        <w:rPr>
          <w:rFonts w:ascii="Arial MT"/>
          <w:spacing w:val="-10"/>
          <w:w w:val="105"/>
          <w:sz w:val="17"/>
        </w:rPr>
        <w:t>H</w:t>
      </w:r>
      <w:r>
        <w:rPr>
          <w:rFonts w:ascii="Arial MT"/>
          <w:sz w:val="17"/>
        </w:rPr>
        <w:tab/>
      </w:r>
      <w:r>
        <w:rPr>
          <w:rFonts w:ascii="Arial MT"/>
          <w:spacing w:val="-10"/>
          <w:w w:val="105"/>
          <w:sz w:val="17"/>
        </w:rPr>
        <w:t>H</w:t>
      </w:r>
      <w:r>
        <w:rPr>
          <w:rFonts w:ascii="Arial MT"/>
          <w:sz w:val="17"/>
        </w:rPr>
        <w:tab/>
      </w:r>
      <w:r>
        <w:rPr>
          <w:rFonts w:ascii="Arial MT"/>
          <w:spacing w:val="-10"/>
          <w:w w:val="105"/>
          <w:sz w:val="17"/>
        </w:rPr>
        <w:t>H</w:t>
      </w:r>
    </w:p>
    <w:p>
      <w:pPr>
        <w:spacing w:after="0"/>
        <w:jc w:val="left"/>
        <w:rPr>
          <w:rFonts w:ascii="Arial MT"/>
          <w:sz w:val="17"/>
        </w:rPr>
        <w:sectPr>
          <w:type w:val="continuous"/>
          <w:pgSz w:w="12240" w:h="15840"/>
          <w:pgMar w:header="0" w:footer="1066" w:top="1320" w:bottom="960" w:left="1480" w:right="1160"/>
          <w:cols w:num="2" w:equalWidth="0">
            <w:col w:w="1400" w:space="776"/>
            <w:col w:w="7424"/>
          </w:cols>
        </w:sectPr>
      </w:pPr>
    </w:p>
    <w:p>
      <w:pPr>
        <w:pStyle w:val="BodyText"/>
        <w:spacing w:before="230"/>
        <w:ind w:left="681"/>
      </w:pPr>
      <w:r>
        <w:rPr/>
        <w:t>3-[(3,4-</w:t>
      </w:r>
      <w:r>
        <w:rPr>
          <w:spacing w:val="-2"/>
        </w:rPr>
        <w:t>dichlorophenyl)amino]propanamide</w:t>
      </w:r>
    </w:p>
    <w:p>
      <w:pPr>
        <w:pStyle w:val="BodyText"/>
      </w:pPr>
    </w:p>
    <w:p>
      <w:pPr>
        <w:pStyle w:val="BodyText"/>
      </w:pPr>
    </w:p>
    <w:p>
      <w:pPr>
        <w:pStyle w:val="BodyText"/>
        <w:spacing w:before="6"/>
      </w:pPr>
    </w:p>
    <w:p>
      <w:pPr>
        <w:pStyle w:val="Heading2"/>
        <w:numPr>
          <w:ilvl w:val="2"/>
          <w:numId w:val="13"/>
        </w:numPr>
        <w:tabs>
          <w:tab w:pos="1342" w:val="left" w:leader="none"/>
        </w:tabs>
        <w:spacing w:line="240" w:lineRule="auto" w:before="0" w:after="0"/>
        <w:ind w:left="1342" w:right="0" w:hanging="661"/>
        <w:jc w:val="both"/>
      </w:pPr>
      <w:bookmarkStart w:name="_TOC_250041" w:id="43"/>
      <w:r>
        <w:rPr/>
        <w:t>Thin</w:t>
      </w:r>
      <w:r>
        <w:rPr>
          <w:spacing w:val="-2"/>
        </w:rPr>
        <w:t> </w:t>
      </w:r>
      <w:r>
        <w:rPr/>
        <w:t>layer</w:t>
      </w:r>
      <w:r>
        <w:rPr>
          <w:spacing w:val="-7"/>
        </w:rPr>
        <w:t> </w:t>
      </w:r>
      <w:bookmarkEnd w:id="43"/>
      <w:r>
        <w:rPr>
          <w:spacing w:val="-2"/>
        </w:rPr>
        <w:t>chromatography</w:t>
      </w:r>
    </w:p>
    <w:p>
      <w:pPr>
        <w:pStyle w:val="BodyText"/>
        <w:spacing w:line="480" w:lineRule="auto" w:before="271"/>
        <w:ind w:left="681" w:right="277"/>
        <w:jc w:val="both"/>
      </w:pPr>
      <w:r>
        <w:rPr/>
        <w:t>Thin layer chromatographic (TLC) technique was used to monitor the purity of the product using ethylacetate as the development solvent. The chromatogram of each compound was developed and visualized with iodine vapour. The appearance of single spot on the chromatogram indicates the purity of the product.</w:t>
      </w:r>
    </w:p>
    <w:p>
      <w:pPr>
        <w:pStyle w:val="BodyText"/>
      </w:pPr>
    </w:p>
    <w:p>
      <w:pPr>
        <w:pStyle w:val="BodyText"/>
        <w:spacing w:before="6"/>
      </w:pPr>
    </w:p>
    <w:p>
      <w:pPr>
        <w:pStyle w:val="Heading2"/>
        <w:numPr>
          <w:ilvl w:val="2"/>
          <w:numId w:val="13"/>
        </w:numPr>
        <w:tabs>
          <w:tab w:pos="1404" w:val="left" w:leader="none"/>
        </w:tabs>
        <w:spacing w:line="240" w:lineRule="auto" w:before="0" w:after="0"/>
        <w:ind w:left="1404" w:right="0" w:hanging="723"/>
        <w:jc w:val="both"/>
      </w:pPr>
      <w:bookmarkStart w:name="_TOC_250040" w:id="44"/>
      <w:r>
        <w:rPr/>
        <w:t>Identification</w:t>
      </w:r>
      <w:r>
        <w:rPr>
          <w:spacing w:val="-6"/>
        </w:rPr>
        <w:t> </w:t>
      </w:r>
      <w:r>
        <w:rPr/>
        <w:t>and</w:t>
      </w:r>
      <w:r>
        <w:rPr>
          <w:spacing w:val="-6"/>
        </w:rPr>
        <w:t> </w:t>
      </w:r>
      <w:r>
        <w:rPr/>
        <w:t>characterization</w:t>
      </w:r>
      <w:r>
        <w:rPr>
          <w:spacing w:val="-1"/>
        </w:rPr>
        <w:t> </w:t>
      </w:r>
      <w:r>
        <w:rPr/>
        <w:t>of</w:t>
      </w:r>
      <w:r>
        <w:rPr>
          <w:spacing w:val="-5"/>
        </w:rPr>
        <w:t> </w:t>
      </w:r>
      <w:r>
        <w:rPr/>
        <w:t>the</w:t>
      </w:r>
      <w:bookmarkEnd w:id="44"/>
      <w:r>
        <w:rPr>
          <w:spacing w:val="-2"/>
        </w:rPr>
        <w:t> compounds</w:t>
      </w:r>
    </w:p>
    <w:p>
      <w:pPr>
        <w:pStyle w:val="BodyText"/>
        <w:spacing w:line="480" w:lineRule="auto" w:before="271"/>
        <w:ind w:left="681" w:right="271"/>
        <w:jc w:val="both"/>
      </w:pPr>
      <w:r>
        <w:rPr/>
        <w:t>Percentage yield, form, appearance and melting point of each compound was determined and recorded. The melting point was determined using an electrothermal melting point apparatus</w:t>
      </w:r>
      <w:r>
        <w:rPr>
          <w:spacing w:val="-3"/>
        </w:rPr>
        <w:t> </w:t>
      </w:r>
      <w:r>
        <w:rPr/>
        <w:t>(Model</w:t>
      </w:r>
      <w:r>
        <w:rPr>
          <w:spacing w:val="-9"/>
        </w:rPr>
        <w:t> </w:t>
      </w:r>
      <w:r>
        <w:rPr/>
        <w:t>2038 – England). Infrared</w:t>
      </w:r>
      <w:r>
        <w:rPr>
          <w:spacing w:val="-1"/>
        </w:rPr>
        <w:t> </w:t>
      </w:r>
      <w:r>
        <w:rPr/>
        <w:t>(IR) spectroscopy</w:t>
      </w:r>
      <w:r>
        <w:rPr>
          <w:spacing w:val="-10"/>
        </w:rPr>
        <w:t> </w:t>
      </w:r>
      <w:r>
        <w:rPr/>
        <w:t>was conducted at National Research</w:t>
      </w:r>
      <w:r>
        <w:rPr>
          <w:spacing w:val="-4"/>
        </w:rPr>
        <w:t> </w:t>
      </w:r>
      <w:r>
        <w:rPr/>
        <w:t>Institute</w:t>
      </w:r>
      <w:r>
        <w:rPr>
          <w:spacing w:val="-5"/>
        </w:rPr>
        <w:t> </w:t>
      </w:r>
      <w:r>
        <w:rPr/>
        <w:t>of</w:t>
      </w:r>
      <w:r>
        <w:rPr>
          <w:spacing w:val="-7"/>
        </w:rPr>
        <w:t> </w:t>
      </w:r>
      <w:r>
        <w:rPr/>
        <w:t>Chemical</w:t>
      </w:r>
      <w:r>
        <w:rPr>
          <w:spacing w:val="-4"/>
        </w:rPr>
        <w:t> </w:t>
      </w:r>
      <w:r>
        <w:rPr/>
        <w:t>Technology</w:t>
      </w:r>
      <w:r>
        <w:rPr>
          <w:spacing w:val="-9"/>
        </w:rPr>
        <w:t> </w:t>
      </w:r>
      <w:r>
        <w:rPr/>
        <w:t>(NARICT), Basawa, Zaria, to find the type of functional</w:t>
      </w:r>
      <w:r>
        <w:rPr>
          <w:spacing w:val="21"/>
        </w:rPr>
        <w:t> </w:t>
      </w:r>
      <w:r>
        <w:rPr/>
        <w:t>groups</w:t>
      </w:r>
      <w:r>
        <w:rPr>
          <w:spacing w:val="33"/>
        </w:rPr>
        <w:t> </w:t>
      </w:r>
      <w:r>
        <w:rPr/>
        <w:t>in</w:t>
      </w:r>
      <w:r>
        <w:rPr>
          <w:spacing w:val="24"/>
        </w:rPr>
        <w:t> </w:t>
      </w:r>
      <w:r>
        <w:rPr/>
        <w:t>the</w:t>
      </w:r>
      <w:r>
        <w:rPr>
          <w:spacing w:val="27"/>
        </w:rPr>
        <w:t> </w:t>
      </w:r>
      <w:r>
        <w:rPr/>
        <w:t>compounds.</w:t>
      </w:r>
      <w:r>
        <w:rPr>
          <w:spacing w:val="30"/>
        </w:rPr>
        <w:t> </w:t>
      </w:r>
      <w:r>
        <w:rPr/>
        <w:t>This</w:t>
      </w:r>
      <w:r>
        <w:rPr>
          <w:spacing w:val="31"/>
        </w:rPr>
        <w:t> </w:t>
      </w:r>
      <w:r>
        <w:rPr/>
        <w:t>was</w:t>
      </w:r>
      <w:r>
        <w:rPr>
          <w:spacing w:val="25"/>
        </w:rPr>
        <w:t> </w:t>
      </w:r>
      <w:r>
        <w:rPr/>
        <w:t>achieved</w:t>
      </w:r>
      <w:r>
        <w:rPr>
          <w:spacing w:val="37"/>
        </w:rPr>
        <w:t> </w:t>
      </w:r>
      <w:r>
        <w:rPr/>
        <w:t>by</w:t>
      </w:r>
      <w:r>
        <w:rPr>
          <w:spacing w:val="24"/>
        </w:rPr>
        <w:t> </w:t>
      </w:r>
      <w:r>
        <w:rPr/>
        <w:t>recording</w:t>
      </w:r>
      <w:r>
        <w:rPr>
          <w:spacing w:val="27"/>
        </w:rPr>
        <w:t> </w:t>
      </w:r>
      <w:r>
        <w:rPr/>
        <w:t>the</w:t>
      </w:r>
      <w:r>
        <w:rPr>
          <w:spacing w:val="36"/>
        </w:rPr>
        <w:t> </w:t>
      </w:r>
      <w:r>
        <w:rPr/>
        <w:t>frequency</w:t>
      </w:r>
      <w:r>
        <w:rPr>
          <w:spacing w:val="24"/>
        </w:rPr>
        <w:t> </w:t>
      </w:r>
      <w:r>
        <w:rPr>
          <w:spacing w:val="-5"/>
        </w:rPr>
        <w:t>of</w:t>
      </w:r>
    </w:p>
    <w:p>
      <w:pPr>
        <w:pStyle w:val="BodyText"/>
        <w:spacing w:before="1"/>
        <w:ind w:left="681"/>
        <w:jc w:val="both"/>
      </w:pPr>
      <w:r>
        <w:rPr/>
        <w:t>absorption</w:t>
      </w:r>
      <w:r>
        <w:rPr>
          <w:spacing w:val="10"/>
        </w:rPr>
        <w:t> </w:t>
      </w:r>
      <w:r>
        <w:rPr/>
        <w:t>(cm</w:t>
      </w:r>
      <w:r>
        <w:rPr>
          <w:vertAlign w:val="superscript"/>
        </w:rPr>
        <w:t>-1</w:t>
      </w:r>
      <w:r>
        <w:rPr>
          <w:vertAlign w:val="baseline"/>
        </w:rPr>
        <w:t>)</w:t>
      </w:r>
      <w:r>
        <w:rPr>
          <w:spacing w:val="17"/>
          <w:vertAlign w:val="baseline"/>
        </w:rPr>
        <w:t> </w:t>
      </w:r>
      <w:r>
        <w:rPr>
          <w:vertAlign w:val="baseline"/>
        </w:rPr>
        <w:t>of</w:t>
      </w:r>
      <w:r>
        <w:rPr>
          <w:spacing w:val="8"/>
          <w:vertAlign w:val="baseline"/>
        </w:rPr>
        <w:t> </w:t>
      </w:r>
      <w:r>
        <w:rPr>
          <w:vertAlign w:val="baseline"/>
        </w:rPr>
        <w:t>each</w:t>
      </w:r>
      <w:r>
        <w:rPr>
          <w:spacing w:val="10"/>
          <w:vertAlign w:val="baseline"/>
        </w:rPr>
        <w:t> </w:t>
      </w:r>
      <w:r>
        <w:rPr>
          <w:vertAlign w:val="baseline"/>
        </w:rPr>
        <w:t>compound</w:t>
      </w:r>
      <w:r>
        <w:rPr>
          <w:spacing w:val="16"/>
          <w:vertAlign w:val="baseline"/>
        </w:rPr>
        <w:t> </w:t>
      </w:r>
      <w:r>
        <w:rPr>
          <w:vertAlign w:val="baseline"/>
        </w:rPr>
        <w:t>with</w:t>
      </w:r>
      <w:r>
        <w:rPr>
          <w:spacing w:val="14"/>
          <w:vertAlign w:val="baseline"/>
        </w:rPr>
        <w:t> </w:t>
      </w:r>
      <w:r>
        <w:rPr>
          <w:vertAlign w:val="baseline"/>
        </w:rPr>
        <w:t>the</w:t>
      </w:r>
      <w:r>
        <w:rPr>
          <w:spacing w:val="15"/>
          <w:vertAlign w:val="baseline"/>
        </w:rPr>
        <w:t> </w:t>
      </w:r>
      <w:r>
        <w:rPr>
          <w:vertAlign w:val="baseline"/>
        </w:rPr>
        <w:t>use</w:t>
      </w:r>
      <w:r>
        <w:rPr>
          <w:spacing w:val="20"/>
          <w:vertAlign w:val="baseline"/>
        </w:rPr>
        <w:t> </w:t>
      </w:r>
      <w:r>
        <w:rPr>
          <w:vertAlign w:val="baseline"/>
        </w:rPr>
        <w:t>of</w:t>
      </w:r>
      <w:r>
        <w:rPr>
          <w:spacing w:val="8"/>
          <w:vertAlign w:val="baseline"/>
        </w:rPr>
        <w:t> </w:t>
      </w:r>
      <w:r>
        <w:rPr>
          <w:vertAlign w:val="baseline"/>
        </w:rPr>
        <w:t>Parkin</w:t>
      </w:r>
      <w:r>
        <w:rPr>
          <w:spacing w:val="10"/>
          <w:vertAlign w:val="baseline"/>
        </w:rPr>
        <w:t> </w:t>
      </w:r>
      <w:r>
        <w:rPr>
          <w:vertAlign w:val="baseline"/>
        </w:rPr>
        <w:t>Elmer</w:t>
      </w:r>
      <w:r>
        <w:rPr>
          <w:spacing w:val="17"/>
          <w:vertAlign w:val="baseline"/>
        </w:rPr>
        <w:t> </w:t>
      </w:r>
      <w:r>
        <w:rPr>
          <w:vertAlign w:val="baseline"/>
        </w:rPr>
        <w:t>Paragon</w:t>
      </w:r>
      <w:r>
        <w:rPr>
          <w:spacing w:val="11"/>
          <w:vertAlign w:val="baseline"/>
        </w:rPr>
        <w:t> </w:t>
      </w:r>
      <w:r>
        <w:rPr>
          <w:vertAlign w:val="baseline"/>
        </w:rPr>
        <w:t>1000</w:t>
      </w:r>
      <w:r>
        <w:rPr>
          <w:spacing w:val="15"/>
          <w:vertAlign w:val="baseline"/>
        </w:rPr>
        <w:t> </w:t>
      </w:r>
      <w:r>
        <w:rPr>
          <w:vertAlign w:val="baseline"/>
        </w:rPr>
        <w:t>as</w:t>
      </w:r>
      <w:r>
        <w:rPr>
          <w:spacing w:val="14"/>
          <w:vertAlign w:val="baseline"/>
        </w:rPr>
        <w:t> </w:t>
      </w:r>
      <w:r>
        <w:rPr>
          <w:spacing w:val="-5"/>
          <w:vertAlign w:val="baseline"/>
        </w:rPr>
        <w:t>KBr</w:t>
      </w:r>
    </w:p>
    <w:p>
      <w:pPr>
        <w:spacing w:after="0"/>
        <w:jc w:val="both"/>
        <w:sectPr>
          <w:type w:val="continuous"/>
          <w:pgSz w:w="12240" w:h="15840"/>
          <w:pgMar w:header="0" w:footer="1066" w:top="1320" w:bottom="960" w:left="1480" w:right="1160"/>
        </w:sectPr>
      </w:pPr>
    </w:p>
    <w:p>
      <w:pPr>
        <w:pStyle w:val="BodyText"/>
        <w:spacing w:line="480" w:lineRule="auto" w:before="72"/>
        <w:ind w:left="681" w:right="275"/>
        <w:jc w:val="both"/>
      </w:pPr>
      <w:r>
        <w:rPr/>
        <w:t>disc. Nuclear Magnetic Resonance (NMR) was conducted to confirm the structure of the desired compounds. This was achieved through the analysis of proton and carbon-13 spectra. Data for both</w:t>
      </w:r>
      <w:r>
        <w:rPr>
          <w:spacing w:val="-1"/>
        </w:rPr>
        <w:t> </w:t>
      </w:r>
      <w:r>
        <w:rPr/>
        <w:t>proton</w:t>
      </w:r>
      <w:r>
        <w:rPr>
          <w:spacing w:val="-1"/>
        </w:rPr>
        <w:t> </w:t>
      </w:r>
      <w:r>
        <w:rPr/>
        <w:t>and carbon-13 NMR was reported as chemical</w:t>
      </w:r>
      <w:r>
        <w:rPr>
          <w:spacing w:val="-1"/>
        </w:rPr>
        <w:t> </w:t>
      </w:r>
      <w:r>
        <w:rPr/>
        <w:t>shift in parts per million (ppm). It was conducted at the University of Kwazulu, South Africa.</w:t>
      </w:r>
    </w:p>
    <w:p>
      <w:pPr>
        <w:pStyle w:val="BodyText"/>
      </w:pPr>
    </w:p>
    <w:p>
      <w:pPr>
        <w:pStyle w:val="BodyText"/>
        <w:spacing w:before="6"/>
      </w:pPr>
    </w:p>
    <w:p>
      <w:pPr>
        <w:pStyle w:val="Heading2"/>
        <w:numPr>
          <w:ilvl w:val="1"/>
          <w:numId w:val="13"/>
        </w:numPr>
        <w:tabs>
          <w:tab w:pos="1164" w:val="left" w:leader="none"/>
        </w:tabs>
        <w:spacing w:line="240" w:lineRule="auto" w:before="0" w:after="0"/>
        <w:ind w:left="1164" w:right="0" w:hanging="483"/>
        <w:jc w:val="both"/>
      </w:pPr>
      <w:bookmarkStart w:name="_TOC_250039" w:id="45"/>
      <w:r>
        <w:rPr/>
        <w:t>Study</w:t>
      </w:r>
      <w:r>
        <w:rPr>
          <w:spacing w:val="-3"/>
        </w:rPr>
        <w:t> </w:t>
      </w:r>
      <w:r>
        <w:rPr/>
        <w:t>Animals</w:t>
      </w:r>
      <w:r>
        <w:rPr>
          <w:spacing w:val="-5"/>
        </w:rPr>
        <w:t> </w:t>
      </w:r>
      <w:r>
        <w:rPr/>
        <w:t>and</w:t>
      </w:r>
      <w:r>
        <w:rPr>
          <w:spacing w:val="-3"/>
        </w:rPr>
        <w:t> </w:t>
      </w:r>
      <w:r>
        <w:rPr/>
        <w:t>Cell</w:t>
      </w:r>
      <w:r>
        <w:rPr>
          <w:spacing w:val="-6"/>
        </w:rPr>
        <w:t> </w:t>
      </w:r>
      <w:bookmarkEnd w:id="45"/>
      <w:r>
        <w:rPr>
          <w:spacing w:val="-4"/>
        </w:rPr>
        <w:t>Lines</w:t>
      </w:r>
    </w:p>
    <w:p>
      <w:pPr>
        <w:pStyle w:val="BodyText"/>
        <w:rPr>
          <w:b/>
        </w:rPr>
      </w:pPr>
    </w:p>
    <w:p>
      <w:pPr>
        <w:pStyle w:val="Heading2"/>
        <w:numPr>
          <w:ilvl w:val="2"/>
          <w:numId w:val="13"/>
        </w:numPr>
        <w:tabs>
          <w:tab w:pos="1222" w:val="left" w:leader="none"/>
        </w:tabs>
        <w:spacing w:line="240" w:lineRule="auto" w:before="0" w:after="0"/>
        <w:ind w:left="1222" w:right="0" w:hanging="541"/>
        <w:jc w:val="both"/>
      </w:pPr>
      <w:bookmarkStart w:name="_TOC_250038" w:id="46"/>
      <w:bookmarkEnd w:id="46"/>
      <w:r>
        <w:rPr>
          <w:spacing w:val="-2"/>
        </w:rPr>
        <w:t>Animals</w:t>
      </w:r>
    </w:p>
    <w:p>
      <w:pPr>
        <w:pStyle w:val="BodyText"/>
        <w:spacing w:line="480" w:lineRule="auto" w:before="271"/>
        <w:ind w:left="681" w:right="280"/>
        <w:jc w:val="both"/>
      </w:pPr>
      <w:r>
        <w:rPr/>
        <w:t>Rats and mice were employed in these studies. Adult rats (120- 180 g) and albino mice (18-24 g) of both sexes bred in the Animal House, Department of Pharmacology and Therapeutics, Ahmadu Bello Universty, Zaria, were used. They were maintained under normal environmental temperature with illumination of approximately 12 hours day and night cycle. They were fed with Growers mesh and water </w:t>
      </w:r>
      <w:r>
        <w:rPr>
          <w:i/>
        </w:rPr>
        <w:t>ad libitum</w:t>
      </w:r>
      <w:r>
        <w:rPr/>
        <w:t>, and maintained under good hygiene.</w:t>
      </w:r>
    </w:p>
    <w:p>
      <w:pPr>
        <w:pStyle w:val="BodyText"/>
      </w:pPr>
    </w:p>
    <w:p>
      <w:pPr>
        <w:pStyle w:val="BodyText"/>
        <w:spacing w:before="7"/>
      </w:pPr>
    </w:p>
    <w:p>
      <w:pPr>
        <w:pStyle w:val="Heading2"/>
        <w:numPr>
          <w:ilvl w:val="2"/>
          <w:numId w:val="13"/>
        </w:numPr>
        <w:tabs>
          <w:tab w:pos="1222" w:val="left" w:leader="none"/>
        </w:tabs>
        <w:spacing w:line="240" w:lineRule="auto" w:before="0" w:after="0"/>
        <w:ind w:left="1222" w:right="0" w:hanging="541"/>
        <w:jc w:val="both"/>
      </w:pPr>
      <w:bookmarkStart w:name="_TOC_250037" w:id="47"/>
      <w:r>
        <w:rPr/>
        <w:t>Cell</w:t>
      </w:r>
      <w:r>
        <w:rPr>
          <w:spacing w:val="-6"/>
        </w:rPr>
        <w:t> </w:t>
      </w:r>
      <w:bookmarkEnd w:id="47"/>
      <w:r>
        <w:rPr>
          <w:spacing w:val="-2"/>
        </w:rPr>
        <w:t>lines</w:t>
      </w:r>
    </w:p>
    <w:p>
      <w:pPr>
        <w:pStyle w:val="BodyText"/>
        <w:spacing w:line="480" w:lineRule="auto" w:before="271"/>
        <w:ind w:left="681" w:right="269"/>
        <w:jc w:val="both"/>
      </w:pPr>
      <w:r>
        <w:rPr/>
        <w:t>Humam Embryonic Kidney Cells (HEK Cell 293) stably expressing voltage-gated</w:t>
      </w:r>
      <w:r>
        <w:rPr>
          <w:spacing w:val="40"/>
        </w:rPr>
        <w:t> </w:t>
      </w:r>
      <w:r>
        <w:rPr/>
        <w:t>sodium channels (Na</w:t>
      </w:r>
      <w:r>
        <w:rPr>
          <w:vertAlign w:val="subscript"/>
        </w:rPr>
        <w:t>v</w:t>
      </w:r>
      <w:r>
        <w:rPr>
          <w:vertAlign w:val="baseline"/>
        </w:rPr>
        <w:t> 1.6) were used. They were grown in Dulbecco’s modified Eagle’s medium/F-12 media (Invitrogen, Carlsbad, CA) supplemented with 10% fetal bovine serum and Geneticin (G418, 500 mg/ml (2.5 ml/500 ml media); Sigma Aldrich). Also grown</w:t>
      </w:r>
      <w:r>
        <w:rPr>
          <w:spacing w:val="-2"/>
          <w:vertAlign w:val="baseline"/>
        </w:rPr>
        <w:t> </w:t>
      </w:r>
      <w:r>
        <w:rPr>
          <w:vertAlign w:val="baseline"/>
        </w:rPr>
        <w:t>in</w:t>
      </w:r>
      <w:r>
        <w:rPr>
          <w:spacing w:val="-5"/>
          <w:vertAlign w:val="baseline"/>
        </w:rPr>
        <w:t> </w:t>
      </w:r>
      <w:r>
        <w:rPr>
          <w:vertAlign w:val="baseline"/>
        </w:rPr>
        <w:t>a humidified</w:t>
      </w:r>
      <w:r>
        <w:rPr>
          <w:spacing w:val="-1"/>
          <w:vertAlign w:val="baseline"/>
        </w:rPr>
        <w:t> </w:t>
      </w:r>
      <w:r>
        <w:rPr>
          <w:vertAlign w:val="baseline"/>
        </w:rPr>
        <w:t>atmosphere</w:t>
      </w:r>
      <w:r>
        <w:rPr>
          <w:spacing w:val="-2"/>
          <w:vertAlign w:val="baseline"/>
        </w:rPr>
        <w:t> </w:t>
      </w:r>
      <w:r>
        <w:rPr>
          <w:vertAlign w:val="baseline"/>
        </w:rPr>
        <w:t>of</w:t>
      </w:r>
      <w:r>
        <w:rPr>
          <w:spacing w:val="-8"/>
          <w:vertAlign w:val="baseline"/>
        </w:rPr>
        <w:t> </w:t>
      </w:r>
      <w:r>
        <w:rPr>
          <w:vertAlign w:val="baseline"/>
        </w:rPr>
        <w:t>5% CO2 and 95% air at 37°C, in</w:t>
      </w:r>
      <w:r>
        <w:rPr>
          <w:spacing w:val="-1"/>
          <w:vertAlign w:val="baseline"/>
        </w:rPr>
        <w:t> </w:t>
      </w:r>
      <w:r>
        <w:rPr>
          <w:vertAlign w:val="baseline"/>
        </w:rPr>
        <w:t>the</w:t>
      </w:r>
      <w:r>
        <w:rPr>
          <w:spacing w:val="-2"/>
          <w:vertAlign w:val="baseline"/>
        </w:rPr>
        <w:t> </w:t>
      </w:r>
      <w:r>
        <w:rPr>
          <w:vertAlign w:val="baseline"/>
        </w:rPr>
        <w:t>Department of Anaesthesiology, University of Virginia, Charlottesville, Virginia, United States of </w:t>
      </w:r>
      <w:r>
        <w:rPr>
          <w:spacing w:val="-2"/>
          <w:vertAlign w:val="baseline"/>
        </w:rPr>
        <w:t>America.</w:t>
      </w:r>
    </w:p>
    <w:p>
      <w:pPr>
        <w:spacing w:after="0" w:line="480" w:lineRule="auto"/>
        <w:jc w:val="both"/>
        <w:sectPr>
          <w:pgSz w:w="12240" w:h="15840"/>
          <w:pgMar w:header="0" w:footer="1066" w:top="1360" w:bottom="1260" w:left="1480" w:right="1160"/>
        </w:sectPr>
      </w:pPr>
    </w:p>
    <w:p>
      <w:pPr>
        <w:pStyle w:val="Heading2"/>
        <w:numPr>
          <w:ilvl w:val="1"/>
          <w:numId w:val="13"/>
        </w:numPr>
        <w:tabs>
          <w:tab w:pos="1164" w:val="left" w:leader="none"/>
        </w:tabs>
        <w:spacing w:line="240" w:lineRule="auto" w:before="77" w:after="0"/>
        <w:ind w:left="1164" w:right="0" w:hanging="483"/>
        <w:jc w:val="both"/>
      </w:pPr>
      <w:bookmarkStart w:name="_TOC_250036" w:id="48"/>
      <w:r>
        <w:rPr/>
        <w:t>Preparation</w:t>
      </w:r>
      <w:r>
        <w:rPr>
          <w:spacing w:val="-4"/>
        </w:rPr>
        <w:t> </w:t>
      </w:r>
      <w:r>
        <w:rPr/>
        <w:t>and</w:t>
      </w:r>
      <w:r>
        <w:rPr>
          <w:spacing w:val="-3"/>
        </w:rPr>
        <w:t> </w:t>
      </w:r>
      <w:r>
        <w:rPr/>
        <w:t>Administration</w:t>
      </w:r>
      <w:r>
        <w:rPr>
          <w:spacing w:val="-2"/>
        </w:rPr>
        <w:t> </w:t>
      </w:r>
      <w:r>
        <w:rPr/>
        <w:t>of</w:t>
      </w:r>
      <w:r>
        <w:rPr>
          <w:spacing w:val="-5"/>
        </w:rPr>
        <w:t> </w:t>
      </w:r>
      <w:bookmarkEnd w:id="48"/>
      <w:r>
        <w:rPr>
          <w:spacing w:val="-2"/>
        </w:rPr>
        <w:t>Drugs</w:t>
      </w:r>
    </w:p>
    <w:p>
      <w:pPr>
        <w:pStyle w:val="BodyText"/>
        <w:spacing w:line="480" w:lineRule="auto" w:before="271"/>
        <w:ind w:left="681" w:right="276"/>
        <w:jc w:val="both"/>
      </w:pPr>
      <w:r>
        <w:rPr/>
        <w:t>Freshly</w:t>
      </w:r>
      <w:r>
        <w:rPr>
          <w:spacing w:val="-7"/>
        </w:rPr>
        <w:t> </w:t>
      </w:r>
      <w:r>
        <w:rPr/>
        <w:t>prepared</w:t>
      </w:r>
      <w:r>
        <w:rPr>
          <w:spacing w:val="-2"/>
        </w:rPr>
        <w:t> </w:t>
      </w:r>
      <w:r>
        <w:rPr/>
        <w:t>solution</w:t>
      </w:r>
      <w:r>
        <w:rPr>
          <w:spacing w:val="-7"/>
        </w:rPr>
        <w:t> </w:t>
      </w:r>
      <w:r>
        <w:rPr/>
        <w:t>of</w:t>
      </w:r>
      <w:r>
        <w:rPr>
          <w:spacing w:val="-10"/>
        </w:rPr>
        <w:t> </w:t>
      </w:r>
      <w:r>
        <w:rPr/>
        <w:t>drugs</w:t>
      </w:r>
      <w:r>
        <w:rPr>
          <w:spacing w:val="-4"/>
        </w:rPr>
        <w:t> </w:t>
      </w:r>
      <w:r>
        <w:rPr/>
        <w:t>and test compounds</w:t>
      </w:r>
      <w:r>
        <w:rPr>
          <w:spacing w:val="-4"/>
        </w:rPr>
        <w:t> </w:t>
      </w:r>
      <w:r>
        <w:rPr/>
        <w:t>were</w:t>
      </w:r>
      <w:r>
        <w:rPr>
          <w:spacing w:val="-3"/>
        </w:rPr>
        <w:t> </w:t>
      </w:r>
      <w:r>
        <w:rPr/>
        <w:t>used</w:t>
      </w:r>
      <w:r>
        <w:rPr>
          <w:spacing w:val="-2"/>
        </w:rPr>
        <w:t> </w:t>
      </w:r>
      <w:r>
        <w:rPr/>
        <w:t>where possible for</w:t>
      </w:r>
      <w:r>
        <w:rPr>
          <w:spacing w:val="-1"/>
        </w:rPr>
        <w:t> </w:t>
      </w:r>
      <w:r>
        <w:rPr/>
        <w:t>each experiment. Calculation of volumes to be administered was done based on the stock concentration of each prepared solution, doses required and the body weights of the experimental animals.</w:t>
      </w:r>
      <w:r>
        <w:rPr>
          <w:spacing w:val="40"/>
        </w:rPr>
        <w:t> </w:t>
      </w:r>
      <w:r>
        <w:rPr/>
        <w:t>The frequency and route of drug administration was followed as described for each specific experimental model. The test compounds were dissolved in 30% propylene glycol and 70% distilled water while standard drugs used for positive control were dissolved in distilled water.</w:t>
      </w:r>
    </w:p>
    <w:p>
      <w:pPr>
        <w:pStyle w:val="BodyText"/>
      </w:pPr>
    </w:p>
    <w:p>
      <w:pPr>
        <w:pStyle w:val="BodyText"/>
        <w:spacing w:before="7"/>
      </w:pPr>
    </w:p>
    <w:p>
      <w:pPr>
        <w:pStyle w:val="Heading2"/>
        <w:numPr>
          <w:ilvl w:val="1"/>
          <w:numId w:val="13"/>
        </w:numPr>
        <w:tabs>
          <w:tab w:pos="1164" w:val="left" w:leader="none"/>
        </w:tabs>
        <w:spacing w:line="240" w:lineRule="auto" w:before="0" w:after="0"/>
        <w:ind w:left="1164" w:right="0" w:hanging="483"/>
        <w:jc w:val="both"/>
      </w:pPr>
      <w:bookmarkStart w:name="_TOC_250035" w:id="49"/>
      <w:r>
        <w:rPr/>
        <w:t>Toxicity</w:t>
      </w:r>
      <w:r>
        <w:rPr>
          <w:spacing w:val="-4"/>
        </w:rPr>
        <w:t> </w:t>
      </w:r>
      <w:bookmarkEnd w:id="49"/>
      <w:r>
        <w:rPr>
          <w:spacing w:val="-2"/>
        </w:rPr>
        <w:t>Study</w:t>
      </w:r>
    </w:p>
    <w:p>
      <w:pPr>
        <w:pStyle w:val="BodyText"/>
        <w:rPr>
          <w:b/>
        </w:rPr>
      </w:pPr>
    </w:p>
    <w:p>
      <w:pPr>
        <w:pStyle w:val="Heading2"/>
        <w:numPr>
          <w:ilvl w:val="2"/>
          <w:numId w:val="13"/>
        </w:numPr>
        <w:tabs>
          <w:tab w:pos="1342" w:val="left" w:leader="none"/>
        </w:tabs>
        <w:spacing w:line="240" w:lineRule="auto" w:before="0" w:after="0"/>
        <w:ind w:left="1342" w:right="0" w:hanging="661"/>
        <w:jc w:val="both"/>
      </w:pPr>
      <w:bookmarkStart w:name="_TOC_250034" w:id="50"/>
      <w:r>
        <w:rPr/>
        <w:t>Acute</w:t>
      </w:r>
      <w:r>
        <w:rPr>
          <w:spacing w:val="-3"/>
        </w:rPr>
        <w:t> </w:t>
      </w:r>
      <w:r>
        <w:rPr/>
        <w:t>toxicity </w:t>
      </w:r>
      <w:bookmarkEnd w:id="50"/>
      <w:r>
        <w:rPr>
          <w:spacing w:val="-4"/>
        </w:rPr>
        <w:t>study</w:t>
      </w:r>
    </w:p>
    <w:p>
      <w:pPr>
        <w:pStyle w:val="BodyText"/>
        <w:spacing w:line="480" w:lineRule="auto" w:before="272"/>
        <w:ind w:left="681" w:right="278"/>
        <w:jc w:val="both"/>
      </w:pPr>
      <w:r>
        <w:rPr/>
        <w:t>The method of Lorke (1983) was adopted using thirteen albino mice and rats; the determination involved two routes of administration (oral and intraperitoneal). The method was in two phases as follows: the first phase utilized three groups of three</w:t>
      </w:r>
      <w:r>
        <w:rPr>
          <w:spacing w:val="40"/>
        </w:rPr>
        <w:t> </w:t>
      </w:r>
      <w:r>
        <w:rPr/>
        <w:t>animals each, which</w:t>
      </w:r>
      <w:r>
        <w:rPr>
          <w:spacing w:val="-5"/>
        </w:rPr>
        <w:t> </w:t>
      </w:r>
      <w:r>
        <w:rPr/>
        <w:t>were administered</w:t>
      </w:r>
      <w:r>
        <w:rPr>
          <w:spacing w:val="-1"/>
        </w:rPr>
        <w:t> </w:t>
      </w:r>
      <w:r>
        <w:rPr/>
        <w:t>10, 100 and</w:t>
      </w:r>
      <w:r>
        <w:rPr>
          <w:spacing w:val="-1"/>
        </w:rPr>
        <w:t> </w:t>
      </w:r>
      <w:r>
        <w:rPr/>
        <w:t>1000 mg/kg</w:t>
      </w:r>
      <w:r>
        <w:rPr>
          <w:spacing w:val="-1"/>
        </w:rPr>
        <w:t> </w:t>
      </w:r>
      <w:r>
        <w:rPr/>
        <w:t>of</w:t>
      </w:r>
      <w:r>
        <w:rPr>
          <w:spacing w:val="-8"/>
        </w:rPr>
        <w:t> </w:t>
      </w:r>
      <w:r>
        <w:rPr/>
        <w:t>the</w:t>
      </w:r>
      <w:r>
        <w:rPr>
          <w:spacing w:val="-2"/>
        </w:rPr>
        <w:t> </w:t>
      </w:r>
      <w:r>
        <w:rPr/>
        <w:t>test compounds</w:t>
      </w:r>
      <w:r>
        <w:rPr>
          <w:spacing w:val="-3"/>
        </w:rPr>
        <w:t> </w:t>
      </w:r>
      <w:r>
        <w:rPr/>
        <w:t>to ascertain</w:t>
      </w:r>
      <w:r>
        <w:rPr>
          <w:spacing w:val="-6"/>
        </w:rPr>
        <w:t> </w:t>
      </w:r>
      <w:r>
        <w:rPr/>
        <w:t>the</w:t>
      </w:r>
      <w:r>
        <w:rPr>
          <w:spacing w:val="-2"/>
        </w:rPr>
        <w:t> </w:t>
      </w:r>
      <w:r>
        <w:rPr/>
        <w:t>range</w:t>
      </w:r>
      <w:r>
        <w:rPr>
          <w:spacing w:val="-2"/>
        </w:rPr>
        <w:t> </w:t>
      </w:r>
      <w:r>
        <w:rPr/>
        <w:t>of</w:t>
      </w:r>
      <w:r>
        <w:rPr>
          <w:spacing w:val="-4"/>
        </w:rPr>
        <w:t> </w:t>
      </w:r>
      <w:r>
        <w:rPr/>
        <w:t>toxicity. The</w:t>
      </w:r>
      <w:r>
        <w:rPr>
          <w:spacing w:val="-2"/>
        </w:rPr>
        <w:t> </w:t>
      </w:r>
      <w:r>
        <w:rPr/>
        <w:t>animals</w:t>
      </w:r>
      <w:r>
        <w:rPr>
          <w:spacing w:val="-3"/>
        </w:rPr>
        <w:t> </w:t>
      </w:r>
      <w:r>
        <w:rPr/>
        <w:t>were</w:t>
      </w:r>
      <w:r>
        <w:rPr>
          <w:spacing w:val="-2"/>
        </w:rPr>
        <w:t> </w:t>
      </w:r>
      <w:r>
        <w:rPr/>
        <w:t>observed for 24</w:t>
      </w:r>
      <w:r>
        <w:rPr>
          <w:spacing w:val="-1"/>
        </w:rPr>
        <w:t> </w:t>
      </w:r>
      <w:r>
        <w:rPr/>
        <w:t>hours for possible</w:t>
      </w:r>
      <w:r>
        <w:rPr>
          <w:spacing w:val="-2"/>
        </w:rPr>
        <w:t> </w:t>
      </w:r>
      <w:r>
        <w:rPr/>
        <w:t>death and toxicity. Doses of the second phase were chosen based on the outcome of the first phase and administered to another four set of</w:t>
      </w:r>
      <w:r>
        <w:rPr>
          <w:spacing w:val="-3"/>
        </w:rPr>
        <w:t> </w:t>
      </w:r>
      <w:r>
        <w:rPr/>
        <w:t>animals (one dose per animal) as described in the method. They were observed again for another 24 hours. From</w:t>
      </w:r>
      <w:r>
        <w:rPr>
          <w:spacing w:val="-5"/>
        </w:rPr>
        <w:t> </w:t>
      </w:r>
      <w:r>
        <w:rPr/>
        <w:t>the outcome of</w:t>
      </w:r>
      <w:r>
        <w:rPr>
          <w:spacing w:val="-3"/>
        </w:rPr>
        <w:t> </w:t>
      </w:r>
      <w:r>
        <w:rPr/>
        <w:t>this phase, LD</w:t>
      </w:r>
      <w:r>
        <w:rPr>
          <w:vertAlign w:val="subscript"/>
        </w:rPr>
        <w:t>50</w:t>
      </w:r>
      <w:r>
        <w:rPr>
          <w:vertAlign w:val="baseline"/>
        </w:rPr>
        <w:t> value was determined by calculating the geometric mean</w:t>
      </w:r>
      <w:r>
        <w:rPr>
          <w:spacing w:val="-1"/>
          <w:vertAlign w:val="baseline"/>
        </w:rPr>
        <w:t> </w:t>
      </w:r>
      <w:r>
        <w:rPr>
          <w:vertAlign w:val="baseline"/>
        </w:rPr>
        <w:t>of lowest dose that killed the animal and highest dose for which the animal survived.</w:t>
      </w:r>
    </w:p>
    <w:p>
      <w:pPr>
        <w:spacing w:after="0" w:line="480" w:lineRule="auto"/>
        <w:jc w:val="both"/>
        <w:sectPr>
          <w:pgSz w:w="12240" w:h="15840"/>
          <w:pgMar w:header="0" w:footer="1066" w:top="1360" w:bottom="1260" w:left="1480" w:right="1160"/>
        </w:sectPr>
      </w:pPr>
    </w:p>
    <w:p>
      <w:pPr>
        <w:pStyle w:val="Heading2"/>
        <w:numPr>
          <w:ilvl w:val="2"/>
          <w:numId w:val="13"/>
        </w:numPr>
        <w:tabs>
          <w:tab w:pos="1342" w:val="left" w:leader="none"/>
        </w:tabs>
        <w:spacing w:line="240" w:lineRule="auto" w:before="77" w:after="0"/>
        <w:ind w:left="1342" w:right="0" w:hanging="661"/>
        <w:jc w:val="both"/>
      </w:pPr>
      <w:bookmarkStart w:name="_TOC_250033" w:id="51"/>
      <w:r>
        <w:rPr/>
        <w:t>Sub-chronic</w:t>
      </w:r>
      <w:r>
        <w:rPr>
          <w:spacing w:val="-2"/>
        </w:rPr>
        <w:t> </w:t>
      </w:r>
      <w:r>
        <w:rPr/>
        <w:t>toxicity study</w:t>
      </w:r>
      <w:r>
        <w:rPr>
          <w:spacing w:val="-5"/>
        </w:rPr>
        <w:t> </w:t>
      </w:r>
      <w:r>
        <w:rPr/>
        <w:t>in</w:t>
      </w:r>
      <w:r>
        <w:rPr>
          <w:spacing w:val="-3"/>
        </w:rPr>
        <w:t> </w:t>
      </w:r>
      <w:bookmarkEnd w:id="51"/>
      <w:r>
        <w:rPr>
          <w:spacing w:val="-4"/>
        </w:rPr>
        <w:t>rats</w:t>
      </w:r>
    </w:p>
    <w:p>
      <w:pPr>
        <w:pStyle w:val="BodyText"/>
        <w:spacing w:line="480" w:lineRule="auto" w:before="271"/>
        <w:ind w:left="681" w:right="271"/>
        <w:jc w:val="both"/>
      </w:pPr>
      <w:r>
        <w:rPr/>
        <w:t>Sub-chronic toxicity of 2,5- dichloro- (3- phenyl) propanamide (DCP25) was conducted in rats for 28 days via oral route as described by WHO (1992) and OECD (1995) guidelines. Briefly, Twenty four healthy rats of both sexes were grouped into four of 6 rats</w:t>
      </w:r>
      <w:r>
        <w:rPr>
          <w:spacing w:val="-2"/>
        </w:rPr>
        <w:t> </w:t>
      </w:r>
      <w:r>
        <w:rPr/>
        <w:t>each</w:t>
      </w:r>
      <w:r>
        <w:rPr>
          <w:spacing w:val="-4"/>
        </w:rPr>
        <w:t> </w:t>
      </w:r>
      <w:r>
        <w:rPr/>
        <w:t>and rats</w:t>
      </w:r>
      <w:r>
        <w:rPr>
          <w:spacing w:val="-2"/>
        </w:rPr>
        <w:t> </w:t>
      </w:r>
      <w:r>
        <w:rPr/>
        <w:t>of</w:t>
      </w:r>
      <w:r>
        <w:rPr>
          <w:spacing w:val="-3"/>
        </w:rPr>
        <w:t> </w:t>
      </w:r>
      <w:r>
        <w:rPr/>
        <w:t>different sexes</w:t>
      </w:r>
      <w:r>
        <w:rPr>
          <w:spacing w:val="-2"/>
        </w:rPr>
        <w:t> </w:t>
      </w:r>
      <w:r>
        <w:rPr/>
        <w:t>were not caged together. Group 1 received 1 ml/kg of the vehicle (30% polyethylene glycol and 70% water) while groups 2, 3 and 4 received 12.5, 25 and</w:t>
      </w:r>
      <w:r>
        <w:rPr>
          <w:spacing w:val="-1"/>
        </w:rPr>
        <w:t> </w:t>
      </w:r>
      <w:r>
        <w:rPr/>
        <w:t>50</w:t>
      </w:r>
      <w:r>
        <w:rPr>
          <w:spacing w:val="-1"/>
        </w:rPr>
        <w:t> </w:t>
      </w:r>
      <w:r>
        <w:rPr/>
        <w:t>mg/kg of</w:t>
      </w:r>
      <w:r>
        <w:rPr>
          <w:spacing w:val="-9"/>
        </w:rPr>
        <w:t> </w:t>
      </w:r>
      <w:r>
        <w:rPr/>
        <w:t>the</w:t>
      </w:r>
      <w:r>
        <w:rPr>
          <w:spacing w:val="-2"/>
        </w:rPr>
        <w:t> </w:t>
      </w:r>
      <w:r>
        <w:rPr/>
        <w:t>compound</w:t>
      </w:r>
      <w:r>
        <w:rPr>
          <w:spacing w:val="-1"/>
        </w:rPr>
        <w:t> </w:t>
      </w:r>
      <w:r>
        <w:rPr/>
        <w:t>respectively. The administration</w:t>
      </w:r>
      <w:r>
        <w:rPr>
          <w:spacing w:val="-4"/>
        </w:rPr>
        <w:t> </w:t>
      </w:r>
      <w:r>
        <w:rPr/>
        <w:t>was</w:t>
      </w:r>
      <w:r>
        <w:rPr>
          <w:spacing w:val="-3"/>
        </w:rPr>
        <w:t> </w:t>
      </w:r>
      <w:r>
        <w:rPr/>
        <w:t>daily</w:t>
      </w:r>
      <w:r>
        <w:rPr>
          <w:spacing w:val="-1"/>
        </w:rPr>
        <w:t> </w:t>
      </w:r>
      <w:r>
        <w:rPr/>
        <w:t>for 28 days via oral route and the weights of the animals were taken at weekly interval. All animals were observed daily for signs of toxicity and mortality. At the 29</w:t>
      </w:r>
      <w:r>
        <w:rPr>
          <w:vertAlign w:val="superscript"/>
        </w:rPr>
        <w:t>th</w:t>
      </w:r>
      <w:r>
        <w:rPr>
          <w:vertAlign w:val="baseline"/>
        </w:rPr>
        <w:t> day, animals were anaesthetized using chloroform; blood samples were collected via jugular vein into non-heparinized and EDTA containing plastic tubes for biochemical and haematological analyses respectively.</w:t>
      </w:r>
    </w:p>
    <w:p>
      <w:pPr>
        <w:pStyle w:val="BodyText"/>
      </w:pPr>
    </w:p>
    <w:p>
      <w:pPr>
        <w:pStyle w:val="BodyText"/>
        <w:spacing w:before="2"/>
      </w:pPr>
    </w:p>
    <w:p>
      <w:pPr>
        <w:pStyle w:val="ListParagraph"/>
        <w:numPr>
          <w:ilvl w:val="3"/>
          <w:numId w:val="13"/>
        </w:numPr>
        <w:tabs>
          <w:tab w:pos="1581" w:val="left" w:leader="none"/>
        </w:tabs>
        <w:spacing w:line="240" w:lineRule="auto" w:before="1" w:after="0"/>
        <w:ind w:left="1581" w:right="0" w:hanging="900"/>
        <w:jc w:val="both"/>
        <w:rPr>
          <w:i/>
          <w:sz w:val="24"/>
        </w:rPr>
      </w:pPr>
      <w:r>
        <w:rPr>
          <w:i/>
          <w:sz w:val="24"/>
        </w:rPr>
        <w:t>Blood</w:t>
      </w:r>
      <w:r>
        <w:rPr>
          <w:i/>
          <w:spacing w:val="-2"/>
          <w:sz w:val="24"/>
        </w:rPr>
        <w:t> analysis</w:t>
      </w:r>
    </w:p>
    <w:p>
      <w:pPr>
        <w:pStyle w:val="BodyText"/>
        <w:rPr>
          <w:i/>
        </w:rPr>
      </w:pPr>
    </w:p>
    <w:p>
      <w:pPr>
        <w:pStyle w:val="BodyText"/>
        <w:spacing w:line="480" w:lineRule="auto"/>
        <w:ind w:left="681" w:right="271"/>
        <w:jc w:val="both"/>
      </w:pPr>
      <w:r>
        <w:rPr/>
        <w:t>Biochemical and Haematological analyses were performed at the Departments of Chemical Pathology and Haematology, Ahmadu Bello University Teaching Hospital (ABUTH), Shika, Zaria. Serum biochemical tests such as Urea and electrolyte levels (Marsh, 1965), liver function tests and lipid profile were determined (Sigma Diagnostic, 1985 and 1987). Similarly, packed cell volume, red blood cell count, white blood cell count and its differentials were determined using micro-haematocrit method, and blood smear stained with Giemsa (Schlam </w:t>
      </w:r>
      <w:r>
        <w:rPr>
          <w:i/>
        </w:rPr>
        <w:t>et al</w:t>
      </w:r>
      <w:r>
        <w:rPr/>
        <w:t>., 1975).</w:t>
      </w:r>
    </w:p>
    <w:p>
      <w:pPr>
        <w:spacing w:after="0" w:line="480" w:lineRule="auto"/>
        <w:jc w:val="both"/>
        <w:sectPr>
          <w:pgSz w:w="12240" w:h="15840"/>
          <w:pgMar w:header="0" w:footer="1066" w:top="1360" w:bottom="1260" w:left="1480" w:right="1160"/>
        </w:sectPr>
      </w:pPr>
    </w:p>
    <w:p>
      <w:pPr>
        <w:pStyle w:val="Heading2"/>
        <w:numPr>
          <w:ilvl w:val="2"/>
          <w:numId w:val="13"/>
        </w:numPr>
        <w:tabs>
          <w:tab w:pos="1342" w:val="left" w:leader="none"/>
        </w:tabs>
        <w:spacing w:line="240" w:lineRule="auto" w:before="77" w:after="0"/>
        <w:ind w:left="1342" w:right="0" w:hanging="661"/>
        <w:jc w:val="both"/>
      </w:pPr>
      <w:r>
        <w:rPr/>
        <w:t>Determination</w:t>
      </w:r>
      <w:r>
        <w:rPr>
          <w:spacing w:val="-2"/>
        </w:rPr>
        <w:t> </w:t>
      </w:r>
      <w:r>
        <w:rPr/>
        <w:t>of</w:t>
      </w:r>
      <w:r>
        <w:rPr>
          <w:spacing w:val="-5"/>
        </w:rPr>
        <w:t> </w:t>
      </w:r>
      <w:r>
        <w:rPr/>
        <w:t>median</w:t>
      </w:r>
      <w:r>
        <w:rPr>
          <w:spacing w:val="2"/>
        </w:rPr>
        <w:t> </w:t>
      </w:r>
      <w:r>
        <w:rPr/>
        <w:t>toxic</w:t>
      </w:r>
      <w:r>
        <w:rPr>
          <w:spacing w:val="-3"/>
        </w:rPr>
        <w:t> </w:t>
      </w:r>
      <w:r>
        <w:rPr/>
        <w:t>dose</w:t>
      </w:r>
      <w:r>
        <w:rPr>
          <w:spacing w:val="-2"/>
        </w:rPr>
        <w:t> (TD</w:t>
      </w:r>
      <w:r>
        <w:rPr>
          <w:spacing w:val="-2"/>
          <w:vertAlign w:val="subscript"/>
        </w:rPr>
        <w:t>50</w:t>
      </w:r>
      <w:r>
        <w:rPr>
          <w:spacing w:val="-2"/>
          <w:vertAlign w:val="baseline"/>
        </w:rPr>
        <w:t>)</w:t>
      </w:r>
    </w:p>
    <w:p>
      <w:pPr>
        <w:pStyle w:val="BodyText"/>
        <w:spacing w:line="480" w:lineRule="auto" w:before="271"/>
        <w:ind w:left="681" w:right="274"/>
        <w:jc w:val="both"/>
      </w:pPr>
      <w:r>
        <w:rPr/>
        <w:t>Graded doses of the test compounds were administered to groups of mice containing six mice</w:t>
      </w:r>
      <w:r>
        <w:rPr>
          <w:spacing w:val="-1"/>
        </w:rPr>
        <w:t> </w:t>
      </w:r>
      <w:r>
        <w:rPr/>
        <w:t>per group</w:t>
      </w:r>
      <w:r>
        <w:rPr>
          <w:spacing w:val="-3"/>
        </w:rPr>
        <w:t> </w:t>
      </w:r>
      <w:r>
        <w:rPr/>
        <w:t>such</w:t>
      </w:r>
      <w:r>
        <w:rPr>
          <w:spacing w:val="-5"/>
        </w:rPr>
        <w:t> </w:t>
      </w:r>
      <w:r>
        <w:rPr/>
        <w:t>that</w:t>
      </w:r>
      <w:r>
        <w:rPr>
          <w:spacing w:val="-1"/>
        </w:rPr>
        <w:t> </w:t>
      </w:r>
      <w:r>
        <w:rPr/>
        <w:t>two</w:t>
      </w:r>
      <w:r>
        <w:rPr>
          <w:spacing w:val="-1"/>
        </w:rPr>
        <w:t> </w:t>
      </w:r>
      <w:r>
        <w:rPr/>
        <w:t>points</w:t>
      </w:r>
      <w:r>
        <w:rPr>
          <w:spacing w:val="-2"/>
        </w:rPr>
        <w:t> </w:t>
      </w:r>
      <w:r>
        <w:rPr/>
        <w:t>were</w:t>
      </w:r>
      <w:r>
        <w:rPr>
          <w:spacing w:val="-1"/>
        </w:rPr>
        <w:t> </w:t>
      </w:r>
      <w:r>
        <w:rPr/>
        <w:t>established</w:t>
      </w:r>
      <w:r>
        <w:rPr>
          <w:spacing w:val="-1"/>
        </w:rPr>
        <w:t> </w:t>
      </w:r>
      <w:r>
        <w:rPr/>
        <w:t>between</w:t>
      </w:r>
      <w:r>
        <w:rPr>
          <w:spacing w:val="-1"/>
        </w:rPr>
        <w:t> </w:t>
      </w:r>
      <w:r>
        <w:rPr/>
        <w:t>limits</w:t>
      </w:r>
      <w:r>
        <w:rPr>
          <w:spacing w:val="-2"/>
        </w:rPr>
        <w:t> </w:t>
      </w:r>
      <w:r>
        <w:rPr/>
        <w:t>of</w:t>
      </w:r>
      <w:r>
        <w:rPr>
          <w:spacing w:val="-8"/>
        </w:rPr>
        <w:t> </w:t>
      </w:r>
      <w:r>
        <w:rPr/>
        <w:t>100%</w:t>
      </w:r>
      <w:r>
        <w:rPr>
          <w:spacing w:val="-3"/>
        </w:rPr>
        <w:t> </w:t>
      </w:r>
      <w:r>
        <w:rPr/>
        <w:t>toxicity</w:t>
      </w:r>
      <w:r>
        <w:rPr>
          <w:spacing w:val="-10"/>
        </w:rPr>
        <w:t> </w:t>
      </w:r>
      <w:r>
        <w:rPr/>
        <w:t>and 0% toxicity. The study was conducted according to method described by Stanley </w:t>
      </w:r>
      <w:r>
        <w:rPr>
          <w:i/>
        </w:rPr>
        <w:t>et al</w:t>
      </w:r>
      <w:r>
        <w:rPr/>
        <w:t>., (2005). The mice were trained to travel from</w:t>
      </w:r>
      <w:r>
        <w:rPr>
          <w:spacing w:val="-5"/>
        </w:rPr>
        <w:t> </w:t>
      </w:r>
      <w:r>
        <w:rPr/>
        <w:t>a start platform</w:t>
      </w:r>
      <w:r>
        <w:rPr>
          <w:spacing w:val="-5"/>
        </w:rPr>
        <w:t> </w:t>
      </w:r>
      <w:r>
        <w:rPr/>
        <w:t>along a ruler (80 cm long, 3 cm wide) elevated 30 cm above the bench by metal supports to a metal box. Trials were performed for each mouse, and were designed such that the mice to be tested would be aware</w:t>
      </w:r>
      <w:r>
        <w:rPr>
          <w:spacing w:val="-1"/>
        </w:rPr>
        <w:t> </w:t>
      </w:r>
      <w:r>
        <w:rPr/>
        <w:t>that there</w:t>
      </w:r>
      <w:r>
        <w:rPr>
          <w:spacing w:val="-1"/>
        </w:rPr>
        <w:t> </w:t>
      </w:r>
      <w:r>
        <w:rPr/>
        <w:t>was</w:t>
      </w:r>
      <w:r>
        <w:rPr>
          <w:spacing w:val="-2"/>
        </w:rPr>
        <w:t> </w:t>
      </w:r>
      <w:r>
        <w:rPr/>
        <w:t>a</w:t>
      </w:r>
      <w:r>
        <w:rPr>
          <w:spacing w:val="-1"/>
        </w:rPr>
        <w:t> </w:t>
      </w:r>
      <w:r>
        <w:rPr/>
        <w:t>box</w:t>
      </w:r>
      <w:r>
        <w:rPr>
          <w:spacing w:val="-5"/>
        </w:rPr>
        <w:t> </w:t>
      </w:r>
      <w:r>
        <w:rPr/>
        <w:t>that could be</w:t>
      </w:r>
      <w:r>
        <w:rPr>
          <w:spacing w:val="-1"/>
        </w:rPr>
        <w:t> </w:t>
      </w:r>
      <w:r>
        <w:rPr/>
        <w:t>reached. All</w:t>
      </w:r>
      <w:r>
        <w:rPr>
          <w:spacing w:val="-5"/>
        </w:rPr>
        <w:t> </w:t>
      </w:r>
      <w:r>
        <w:rPr/>
        <w:t>the</w:t>
      </w:r>
      <w:r>
        <w:rPr>
          <w:spacing w:val="-1"/>
        </w:rPr>
        <w:t> </w:t>
      </w:r>
      <w:r>
        <w:rPr/>
        <w:t>groups</w:t>
      </w:r>
      <w:r>
        <w:rPr>
          <w:spacing w:val="-2"/>
        </w:rPr>
        <w:t> </w:t>
      </w:r>
      <w:r>
        <w:rPr/>
        <w:t>were</w:t>
      </w:r>
      <w:r>
        <w:rPr>
          <w:spacing w:val="-6"/>
        </w:rPr>
        <w:t> </w:t>
      </w:r>
      <w:r>
        <w:rPr/>
        <w:t>treated with</w:t>
      </w:r>
      <w:r>
        <w:rPr>
          <w:spacing w:val="-5"/>
        </w:rPr>
        <w:t> </w:t>
      </w:r>
      <w:r>
        <w:rPr/>
        <w:t>the</w:t>
      </w:r>
      <w:r>
        <w:rPr>
          <w:spacing w:val="-1"/>
        </w:rPr>
        <w:t> </w:t>
      </w:r>
      <w:r>
        <w:rPr/>
        <w:t>test compounds (DCP23, DCP25 and DCP34). Thirty minutes post treatment, each mouse</w:t>
      </w:r>
      <w:r>
        <w:rPr>
          <w:spacing w:val="40"/>
        </w:rPr>
        <w:t> </w:t>
      </w:r>
      <w:r>
        <w:rPr/>
        <w:t>was placed at one end of wooden beam (8 mm in diameter, 60 cm long and elevated 30 cm</w:t>
      </w:r>
      <w:r>
        <w:rPr>
          <w:spacing w:val="-5"/>
        </w:rPr>
        <w:t> </w:t>
      </w:r>
      <w:r>
        <w:rPr/>
        <w:t>above the bench by metal</w:t>
      </w:r>
      <w:r>
        <w:rPr>
          <w:spacing w:val="-5"/>
        </w:rPr>
        <w:t> </w:t>
      </w:r>
      <w:r>
        <w:rPr/>
        <w:t>supports), and was allowed to walk to the box. The number of falls as an indicator of neurotoxicity for each group was counted and recorded. The percentage falls was found with its corresponding dose and converted into probit and log dose respectively. TD</w:t>
      </w:r>
      <w:r>
        <w:rPr>
          <w:vertAlign w:val="subscript"/>
        </w:rPr>
        <w:t>50</w:t>
      </w:r>
      <w:r>
        <w:rPr>
          <w:vertAlign w:val="baseline"/>
        </w:rPr>
        <w:t> Value was determined using graphical method described by Miller and Tainter (1944).</w:t>
      </w:r>
    </w:p>
    <w:p>
      <w:pPr>
        <w:pStyle w:val="BodyText"/>
      </w:pPr>
    </w:p>
    <w:p>
      <w:pPr>
        <w:pStyle w:val="BodyText"/>
        <w:spacing w:before="8"/>
      </w:pPr>
    </w:p>
    <w:p>
      <w:pPr>
        <w:pStyle w:val="Heading2"/>
        <w:numPr>
          <w:ilvl w:val="1"/>
          <w:numId w:val="13"/>
        </w:numPr>
        <w:tabs>
          <w:tab w:pos="1045" w:val="left" w:leader="none"/>
        </w:tabs>
        <w:spacing w:line="240" w:lineRule="auto" w:before="0" w:after="0"/>
        <w:ind w:left="1045" w:right="0" w:hanging="364"/>
        <w:jc w:val="both"/>
      </w:pPr>
      <w:bookmarkStart w:name="_TOC_250032" w:id="52"/>
      <w:r>
        <w:rPr/>
        <w:t>Anticonvulsant</w:t>
      </w:r>
      <w:r>
        <w:rPr>
          <w:spacing w:val="-7"/>
        </w:rPr>
        <w:t> </w:t>
      </w:r>
      <w:bookmarkEnd w:id="52"/>
      <w:r>
        <w:rPr>
          <w:spacing w:val="-2"/>
        </w:rPr>
        <w:t>Studies</w:t>
      </w:r>
    </w:p>
    <w:p>
      <w:pPr>
        <w:pStyle w:val="BodyText"/>
        <w:rPr>
          <w:b/>
        </w:rPr>
      </w:pPr>
    </w:p>
    <w:p>
      <w:pPr>
        <w:pStyle w:val="Heading2"/>
        <w:numPr>
          <w:ilvl w:val="2"/>
          <w:numId w:val="13"/>
        </w:numPr>
        <w:tabs>
          <w:tab w:pos="1222" w:val="left" w:leader="none"/>
        </w:tabs>
        <w:spacing w:line="240" w:lineRule="auto" w:before="1" w:after="0"/>
        <w:ind w:left="1222" w:right="0" w:hanging="541"/>
        <w:jc w:val="both"/>
      </w:pPr>
      <w:bookmarkStart w:name="_TOC_250031" w:id="53"/>
      <w:r>
        <w:rPr/>
        <w:t>Maximal</w:t>
      </w:r>
      <w:r>
        <w:rPr>
          <w:spacing w:val="-9"/>
        </w:rPr>
        <w:t> </w:t>
      </w:r>
      <w:r>
        <w:rPr/>
        <w:t>electroshock-induced</w:t>
      </w:r>
      <w:r>
        <w:rPr>
          <w:spacing w:val="-2"/>
        </w:rPr>
        <w:t> </w:t>
      </w:r>
      <w:r>
        <w:rPr/>
        <w:t>seizure</w:t>
      </w:r>
      <w:r>
        <w:rPr>
          <w:spacing w:val="-4"/>
        </w:rPr>
        <w:t> </w:t>
      </w:r>
      <w:r>
        <w:rPr/>
        <w:t>in</w:t>
      </w:r>
      <w:r>
        <w:rPr>
          <w:spacing w:val="-5"/>
        </w:rPr>
        <w:t> </w:t>
      </w:r>
      <w:bookmarkEnd w:id="53"/>
      <w:r>
        <w:rPr>
          <w:spacing w:val="-4"/>
        </w:rPr>
        <w:t>mice</w:t>
      </w:r>
    </w:p>
    <w:p>
      <w:pPr>
        <w:pStyle w:val="BodyText"/>
        <w:spacing w:line="480" w:lineRule="auto" w:before="271"/>
        <w:ind w:left="681" w:right="281" w:firstLine="57"/>
        <w:jc w:val="both"/>
      </w:pPr>
      <w:r>
        <w:rPr/>
        <w:t>The method of Swinyard and Kupferberg (1985) was adopted. Thirty five mice were divided into five groups</w:t>
      </w:r>
      <w:r>
        <w:rPr>
          <w:spacing w:val="-2"/>
        </w:rPr>
        <w:t> </w:t>
      </w:r>
      <w:r>
        <w:rPr/>
        <w:t>of</w:t>
      </w:r>
      <w:r>
        <w:rPr>
          <w:spacing w:val="-3"/>
        </w:rPr>
        <w:t> </w:t>
      </w:r>
      <w:r>
        <w:rPr/>
        <w:t>seven mice</w:t>
      </w:r>
      <w:r>
        <w:rPr>
          <w:spacing w:val="-1"/>
        </w:rPr>
        <w:t> </w:t>
      </w:r>
      <w:r>
        <w:rPr/>
        <w:t>each. Group 1 served as control</w:t>
      </w:r>
      <w:r>
        <w:rPr>
          <w:spacing w:val="-9"/>
        </w:rPr>
        <w:t> </w:t>
      </w:r>
      <w:r>
        <w:rPr/>
        <w:t>while groups</w:t>
      </w:r>
      <w:r>
        <w:rPr>
          <w:spacing w:val="-2"/>
        </w:rPr>
        <w:t> </w:t>
      </w:r>
      <w:r>
        <w:rPr/>
        <w:t>2, 3, and 4 received 50, 25 and 12.5 mg/kg (i.p.) of</w:t>
      </w:r>
      <w:r>
        <w:rPr>
          <w:spacing w:val="-3"/>
        </w:rPr>
        <w:t> </w:t>
      </w:r>
      <w:r>
        <w:rPr/>
        <w:t>DCP23, DCP25 and DCP34, respectively, where as group 5 received phenytoin at the dose of 20 mg/kg (i.p.). One hour post treatment,</w:t>
      </w:r>
      <w:r>
        <w:rPr>
          <w:spacing w:val="7"/>
        </w:rPr>
        <w:t> </w:t>
      </w:r>
      <w:r>
        <w:rPr/>
        <w:t>maximal</w:t>
      </w:r>
      <w:r>
        <w:rPr>
          <w:spacing w:val="3"/>
        </w:rPr>
        <w:t> </w:t>
      </w:r>
      <w:r>
        <w:rPr/>
        <w:t>electroshock</w:t>
      </w:r>
      <w:r>
        <w:rPr>
          <w:spacing w:val="7"/>
        </w:rPr>
        <w:t> </w:t>
      </w:r>
      <w:r>
        <w:rPr/>
        <w:t>was</w:t>
      </w:r>
      <w:r>
        <w:rPr>
          <w:spacing w:val="5"/>
        </w:rPr>
        <w:t> </w:t>
      </w:r>
      <w:r>
        <w:rPr/>
        <w:t>delivered</w:t>
      </w:r>
      <w:r>
        <w:rPr>
          <w:spacing w:val="7"/>
        </w:rPr>
        <w:t> </w:t>
      </w:r>
      <w:r>
        <w:rPr/>
        <w:t>to</w:t>
      </w:r>
      <w:r>
        <w:rPr>
          <w:spacing w:val="8"/>
        </w:rPr>
        <w:t> </w:t>
      </w:r>
      <w:r>
        <w:rPr/>
        <w:t>each</w:t>
      </w:r>
      <w:r>
        <w:rPr>
          <w:spacing w:val="7"/>
        </w:rPr>
        <w:t> </w:t>
      </w:r>
      <w:r>
        <w:rPr/>
        <w:t>mouse</w:t>
      </w:r>
      <w:r>
        <w:rPr>
          <w:spacing w:val="7"/>
        </w:rPr>
        <w:t> </w:t>
      </w:r>
      <w:r>
        <w:rPr/>
        <w:t>to</w:t>
      </w:r>
      <w:r>
        <w:rPr>
          <w:spacing w:val="11"/>
        </w:rPr>
        <w:t> </w:t>
      </w:r>
      <w:r>
        <w:rPr/>
        <w:t>induce</w:t>
      </w:r>
      <w:r>
        <w:rPr>
          <w:spacing w:val="11"/>
        </w:rPr>
        <w:t> </w:t>
      </w:r>
      <w:r>
        <w:rPr/>
        <w:t>seizure</w:t>
      </w:r>
      <w:r>
        <w:rPr>
          <w:spacing w:val="6"/>
        </w:rPr>
        <w:t> </w:t>
      </w:r>
      <w:r>
        <w:rPr/>
        <w:t>using</w:t>
      </w:r>
      <w:r>
        <w:rPr>
          <w:spacing w:val="8"/>
        </w:rPr>
        <w:t> </w:t>
      </w:r>
      <w:r>
        <w:rPr>
          <w:spacing w:val="-5"/>
        </w:rPr>
        <w:t>an</w:t>
      </w:r>
    </w:p>
    <w:p>
      <w:pPr>
        <w:spacing w:after="0" w:line="480" w:lineRule="auto"/>
        <w:jc w:val="both"/>
        <w:sectPr>
          <w:pgSz w:w="12240" w:h="15840"/>
          <w:pgMar w:header="0" w:footer="1066" w:top="1360" w:bottom="1260" w:left="1480" w:right="1160"/>
        </w:sectPr>
      </w:pPr>
    </w:p>
    <w:p>
      <w:pPr>
        <w:pStyle w:val="BodyText"/>
        <w:spacing w:line="480" w:lineRule="auto" w:before="72"/>
        <w:ind w:left="681" w:right="275"/>
        <w:jc w:val="both"/>
      </w:pPr>
      <w:r>
        <w:rPr/>
        <w:t>Ugobasile electro-convulsive machine (Model No. 7801) connected with corneal electrodes. The shock parameters were 50 (mA), 50 (Hz), 0.3 (s) and 0.4 (ms); the value for each parameter was predetermined through pilot study. Episode of tonic extension of the hind limb was regarded as full convulsion while lack of tonic extension of the hind limbs was considered as protection.</w:t>
      </w:r>
    </w:p>
    <w:p>
      <w:pPr>
        <w:pStyle w:val="BodyText"/>
      </w:pPr>
    </w:p>
    <w:p>
      <w:pPr>
        <w:pStyle w:val="BodyText"/>
        <w:spacing w:before="6"/>
      </w:pPr>
    </w:p>
    <w:p>
      <w:pPr>
        <w:pStyle w:val="Heading2"/>
        <w:numPr>
          <w:ilvl w:val="2"/>
          <w:numId w:val="13"/>
        </w:numPr>
        <w:tabs>
          <w:tab w:pos="1342" w:val="left" w:leader="none"/>
        </w:tabs>
        <w:spacing w:line="240" w:lineRule="auto" w:before="0" w:after="0"/>
        <w:ind w:left="1342" w:right="0" w:hanging="661"/>
        <w:jc w:val="both"/>
      </w:pPr>
      <w:bookmarkStart w:name="_TOC_250030" w:id="54"/>
      <w:r>
        <w:rPr/>
        <w:t>Pentylenetetrazole-induced</w:t>
      </w:r>
      <w:r>
        <w:rPr>
          <w:spacing w:val="-9"/>
        </w:rPr>
        <w:t> </w:t>
      </w:r>
      <w:r>
        <w:rPr/>
        <w:t>seizure</w:t>
      </w:r>
      <w:r>
        <w:rPr>
          <w:spacing w:val="-8"/>
        </w:rPr>
        <w:t> </w:t>
      </w:r>
      <w:bookmarkEnd w:id="54"/>
      <w:r>
        <w:rPr>
          <w:spacing w:val="-4"/>
        </w:rPr>
        <w:t>test</w:t>
      </w:r>
    </w:p>
    <w:p>
      <w:pPr>
        <w:pStyle w:val="BodyText"/>
        <w:spacing w:line="480" w:lineRule="auto" w:before="271"/>
        <w:ind w:left="681" w:right="275" w:firstLine="57"/>
        <w:jc w:val="both"/>
      </w:pPr>
      <w:r>
        <w:rPr/>
        <w:t>The method of</w:t>
      </w:r>
      <w:r>
        <w:rPr>
          <w:spacing w:val="-3"/>
        </w:rPr>
        <w:t> </w:t>
      </w:r>
      <w:r>
        <w:rPr/>
        <w:t>Swinyard (1969) was adopted. Thirty</w:t>
      </w:r>
      <w:r>
        <w:rPr>
          <w:spacing w:val="-1"/>
        </w:rPr>
        <w:t> </w:t>
      </w:r>
      <w:r>
        <w:rPr/>
        <w:t>adult albino mice weighing 18-24g were divided into five groups of six mice each. Group 1 served as control while mice in groups 2, 3, and 4 received 50, 25 and 12.5 mg/kg (i.p.) of DCP23, DCP25 and DCP34 respectively, where as mice in group 5 received sodium valproate at the dose of 200 mg/kg (i.p.). Thirty minutes later 90 m/kg (s.c.) of freshly prepared solution of pentylenetetrazole was administered to each mouse.</w:t>
      </w:r>
      <w:r>
        <w:rPr>
          <w:spacing w:val="40"/>
        </w:rPr>
        <w:t> </w:t>
      </w:r>
      <w:r>
        <w:rPr/>
        <w:t>The mice were observed for</w:t>
      </w:r>
      <w:r>
        <w:rPr>
          <w:spacing w:val="40"/>
        </w:rPr>
        <w:t> </w:t>
      </w:r>
      <w:r>
        <w:rPr/>
        <w:t>presence or absence of clonic seizures characterized by loss of righting reflex for at least</w:t>
      </w:r>
      <w:r>
        <w:rPr>
          <w:spacing w:val="40"/>
        </w:rPr>
        <w:t> </w:t>
      </w:r>
      <w:r>
        <w:rPr/>
        <w:t>5 seconds.</w:t>
      </w:r>
    </w:p>
    <w:p>
      <w:pPr>
        <w:pStyle w:val="BodyText"/>
      </w:pPr>
    </w:p>
    <w:p>
      <w:pPr>
        <w:pStyle w:val="BodyText"/>
        <w:spacing w:before="7"/>
      </w:pPr>
    </w:p>
    <w:p>
      <w:pPr>
        <w:pStyle w:val="Heading2"/>
        <w:numPr>
          <w:ilvl w:val="2"/>
          <w:numId w:val="13"/>
        </w:numPr>
        <w:tabs>
          <w:tab w:pos="1404" w:val="left" w:leader="none"/>
        </w:tabs>
        <w:spacing w:line="240" w:lineRule="auto" w:before="0" w:after="0"/>
        <w:ind w:left="1404" w:right="0" w:hanging="723"/>
        <w:jc w:val="both"/>
      </w:pPr>
      <w:bookmarkStart w:name="_TOC_250029" w:id="55"/>
      <w:r>
        <w:rPr/>
        <w:t>4-</w:t>
      </w:r>
      <w:r>
        <w:rPr>
          <w:spacing w:val="-7"/>
        </w:rPr>
        <w:t> </w:t>
      </w:r>
      <w:r>
        <w:rPr/>
        <w:t>aminopyridine-induced</w:t>
      </w:r>
      <w:r>
        <w:rPr>
          <w:spacing w:val="-3"/>
        </w:rPr>
        <w:t> </w:t>
      </w:r>
      <w:r>
        <w:rPr/>
        <w:t>seizure</w:t>
      </w:r>
      <w:bookmarkEnd w:id="55"/>
      <w:r>
        <w:rPr>
          <w:spacing w:val="-4"/>
        </w:rPr>
        <w:t> test</w:t>
      </w:r>
    </w:p>
    <w:p>
      <w:pPr>
        <w:pStyle w:val="BodyText"/>
        <w:spacing w:line="480" w:lineRule="auto" w:before="272"/>
        <w:ind w:left="681" w:right="274"/>
        <w:jc w:val="both"/>
      </w:pPr>
      <w:r>
        <w:rPr/>
        <w:t>The study was conducted according to method described by Yamaguchi and Rogawski (1992). Thirty</w:t>
      </w:r>
      <w:r>
        <w:rPr>
          <w:spacing w:val="-6"/>
        </w:rPr>
        <w:t> </w:t>
      </w:r>
      <w:r>
        <w:rPr/>
        <w:t>adult albino mice were divided into five groups of six mice each. Group 1 served as control while mice in groups 2, 3, and 4 received 50, 25 and 12.5 mg/kg (i.p.)</w:t>
      </w:r>
      <w:r>
        <w:rPr>
          <w:spacing w:val="40"/>
        </w:rPr>
        <w:t> </w:t>
      </w:r>
      <w:r>
        <w:rPr/>
        <w:t>of</w:t>
      </w:r>
      <w:r>
        <w:rPr>
          <w:spacing w:val="-10"/>
        </w:rPr>
        <w:t> </w:t>
      </w:r>
      <w:r>
        <w:rPr/>
        <w:t>DCP23,</w:t>
      </w:r>
      <w:r>
        <w:rPr>
          <w:spacing w:val="3"/>
        </w:rPr>
        <w:t> </w:t>
      </w:r>
      <w:r>
        <w:rPr/>
        <w:t>DCP25 and</w:t>
      </w:r>
      <w:r>
        <w:rPr>
          <w:spacing w:val="1"/>
        </w:rPr>
        <w:t> </w:t>
      </w:r>
      <w:r>
        <w:rPr/>
        <w:t>DCP34 respectively,</w:t>
      </w:r>
      <w:r>
        <w:rPr>
          <w:spacing w:val="3"/>
        </w:rPr>
        <w:t> </w:t>
      </w:r>
      <w:r>
        <w:rPr/>
        <w:t>where</w:t>
      </w:r>
      <w:r>
        <w:rPr>
          <w:spacing w:val="3"/>
        </w:rPr>
        <w:t> </w:t>
      </w:r>
      <w:r>
        <w:rPr/>
        <w:t>as</w:t>
      </w:r>
      <w:r>
        <w:rPr>
          <w:spacing w:val="1"/>
        </w:rPr>
        <w:t> </w:t>
      </w:r>
      <w:r>
        <w:rPr/>
        <w:t>group 5</w:t>
      </w:r>
      <w:r>
        <w:rPr>
          <w:spacing w:val="1"/>
        </w:rPr>
        <w:t> </w:t>
      </w:r>
      <w:r>
        <w:rPr/>
        <w:t>received phenobarbitone</w:t>
      </w:r>
      <w:r>
        <w:rPr>
          <w:spacing w:val="2"/>
        </w:rPr>
        <w:t> </w:t>
      </w:r>
      <w:r>
        <w:rPr>
          <w:spacing w:val="-5"/>
        </w:rPr>
        <w:t>at</w:t>
      </w:r>
    </w:p>
    <w:p>
      <w:pPr>
        <w:pStyle w:val="BodyText"/>
        <w:ind w:left="681"/>
        <w:jc w:val="both"/>
      </w:pPr>
      <w:r>
        <w:rPr/>
        <w:t>30</w:t>
      </w:r>
      <w:r>
        <w:rPr>
          <w:spacing w:val="79"/>
        </w:rPr>
        <w:t> </w:t>
      </w:r>
      <w:r>
        <w:rPr/>
        <w:t>mg/kg.</w:t>
      </w:r>
      <w:r>
        <w:rPr>
          <w:spacing w:val="79"/>
        </w:rPr>
        <w:t> </w:t>
      </w:r>
      <w:r>
        <w:rPr/>
        <w:t>Thirty</w:t>
      </w:r>
      <w:r>
        <w:rPr>
          <w:spacing w:val="71"/>
        </w:rPr>
        <w:t> </w:t>
      </w:r>
      <w:r>
        <w:rPr/>
        <w:t>minutes</w:t>
      </w:r>
      <w:r>
        <w:rPr>
          <w:spacing w:val="77"/>
        </w:rPr>
        <w:t> </w:t>
      </w:r>
      <w:r>
        <w:rPr/>
        <w:t>later,</w:t>
      </w:r>
      <w:r>
        <w:rPr>
          <w:spacing w:val="78"/>
        </w:rPr>
        <w:t> </w:t>
      </w:r>
      <w:r>
        <w:rPr/>
        <w:t>all</w:t>
      </w:r>
      <w:r>
        <w:rPr>
          <w:spacing w:val="72"/>
        </w:rPr>
        <w:t> </w:t>
      </w:r>
      <w:r>
        <w:rPr/>
        <w:t>the</w:t>
      </w:r>
      <w:r>
        <w:rPr>
          <w:spacing w:val="79"/>
        </w:rPr>
        <w:t> </w:t>
      </w:r>
      <w:r>
        <w:rPr/>
        <w:t>mice</w:t>
      </w:r>
      <w:r>
        <w:rPr>
          <w:spacing w:val="79"/>
        </w:rPr>
        <w:t> </w:t>
      </w:r>
      <w:r>
        <w:rPr/>
        <w:t>were</w:t>
      </w:r>
      <w:r>
        <w:rPr>
          <w:spacing w:val="75"/>
        </w:rPr>
        <w:t> </w:t>
      </w:r>
      <w:r>
        <w:rPr/>
        <w:t>administered</w:t>
      </w:r>
      <w:r>
        <w:rPr>
          <w:spacing w:val="75"/>
        </w:rPr>
        <w:t> </w:t>
      </w:r>
      <w:r>
        <w:rPr/>
        <w:t>15</w:t>
      </w:r>
      <w:r>
        <w:rPr>
          <w:spacing w:val="79"/>
        </w:rPr>
        <w:t> </w:t>
      </w:r>
      <w:r>
        <w:rPr/>
        <w:t>mg/kg</w:t>
      </w:r>
      <w:r>
        <w:rPr>
          <w:spacing w:val="76"/>
        </w:rPr>
        <w:t> </w:t>
      </w:r>
      <w:r>
        <w:rPr/>
        <w:t>s.c.</w:t>
      </w:r>
      <w:r>
        <w:rPr>
          <w:spacing w:val="78"/>
        </w:rPr>
        <w:t> </w:t>
      </w:r>
      <w:r>
        <w:rPr>
          <w:spacing w:val="-5"/>
        </w:rPr>
        <w:t>4-</w:t>
      </w:r>
    </w:p>
    <w:p>
      <w:pPr>
        <w:spacing w:after="0"/>
        <w:jc w:val="both"/>
        <w:sectPr>
          <w:pgSz w:w="12240" w:h="15840"/>
          <w:pgMar w:header="0" w:footer="1066" w:top="1360" w:bottom="1260" w:left="1480" w:right="1160"/>
        </w:sectPr>
      </w:pPr>
    </w:p>
    <w:p>
      <w:pPr>
        <w:pStyle w:val="BodyText"/>
        <w:spacing w:line="480" w:lineRule="auto" w:before="72"/>
        <w:ind w:left="681" w:right="293"/>
        <w:jc w:val="both"/>
      </w:pPr>
      <w:r>
        <w:rPr/>
        <w:t>aminopyridine and observed for presence or absence of tonic extension as well as onset</w:t>
      </w:r>
      <w:r>
        <w:rPr>
          <w:spacing w:val="40"/>
        </w:rPr>
        <w:t> </w:t>
      </w:r>
      <w:r>
        <w:rPr/>
        <w:t>of seizures.</w:t>
      </w:r>
    </w:p>
    <w:p>
      <w:pPr>
        <w:pStyle w:val="BodyText"/>
      </w:pPr>
    </w:p>
    <w:p>
      <w:pPr>
        <w:pStyle w:val="BodyText"/>
        <w:spacing w:before="5"/>
      </w:pPr>
    </w:p>
    <w:p>
      <w:pPr>
        <w:pStyle w:val="Heading2"/>
        <w:numPr>
          <w:ilvl w:val="2"/>
          <w:numId w:val="13"/>
        </w:numPr>
        <w:tabs>
          <w:tab w:pos="1342" w:val="left" w:leader="none"/>
        </w:tabs>
        <w:spacing w:line="240" w:lineRule="auto" w:before="1" w:after="0"/>
        <w:ind w:left="1342" w:right="0" w:hanging="661"/>
        <w:jc w:val="both"/>
      </w:pPr>
      <w:bookmarkStart w:name="_TOC_250028" w:id="56"/>
      <w:r>
        <w:rPr/>
        <w:t>Strychnine</w:t>
      </w:r>
      <w:r>
        <w:rPr>
          <w:spacing w:val="-2"/>
        </w:rPr>
        <w:t> </w:t>
      </w:r>
      <w:r>
        <w:rPr/>
        <w:t>–induced</w:t>
      </w:r>
      <w:r>
        <w:rPr>
          <w:spacing w:val="-8"/>
        </w:rPr>
        <w:t> </w:t>
      </w:r>
      <w:r>
        <w:rPr/>
        <w:t>seizure</w:t>
      </w:r>
      <w:bookmarkEnd w:id="56"/>
      <w:r>
        <w:rPr>
          <w:spacing w:val="-4"/>
        </w:rPr>
        <w:t> test</w:t>
      </w:r>
    </w:p>
    <w:p>
      <w:pPr>
        <w:pStyle w:val="BodyText"/>
        <w:spacing w:line="480" w:lineRule="auto" w:before="271"/>
        <w:ind w:left="681" w:right="271" w:firstLine="57"/>
        <w:jc w:val="both"/>
      </w:pPr>
      <w:r>
        <w:rPr/>
        <w:t>The method of Krall </w:t>
      </w:r>
      <w:r>
        <w:rPr>
          <w:i/>
        </w:rPr>
        <w:t>et al</w:t>
      </w:r>
      <w:r>
        <w:rPr/>
        <w:t>., (1978) was adopted. Thirty adult albino mice were divided into five groups of six mice each. Group 1 served as control while mice in groups 2, 3, and 4 received 50, 25 and 12.5 mg/kg (i.p.) of DCP23, DCP25 and DCP34 respectively; group</w:t>
      </w:r>
      <w:r>
        <w:rPr>
          <w:spacing w:val="-1"/>
        </w:rPr>
        <w:t> </w:t>
      </w:r>
      <w:r>
        <w:rPr/>
        <w:t>5 received</w:t>
      </w:r>
      <w:r>
        <w:rPr>
          <w:spacing w:val="-1"/>
        </w:rPr>
        <w:t> </w:t>
      </w:r>
      <w:r>
        <w:rPr/>
        <w:t>phenobarbitone (30 mg/kg, i.p.). Thirty</w:t>
      </w:r>
      <w:r>
        <w:rPr>
          <w:spacing w:val="-5"/>
        </w:rPr>
        <w:t> </w:t>
      </w:r>
      <w:r>
        <w:rPr/>
        <w:t>minutes later 1.0 mg/kg</w:t>
      </w:r>
      <w:r>
        <w:rPr>
          <w:spacing w:val="-1"/>
        </w:rPr>
        <w:t> </w:t>
      </w:r>
      <w:r>
        <w:rPr/>
        <w:t>(s.c.) of strychnine was administered to all the groups.</w:t>
      </w:r>
      <w:r>
        <w:rPr>
          <w:spacing w:val="40"/>
        </w:rPr>
        <w:t> </w:t>
      </w:r>
      <w:r>
        <w:rPr/>
        <w:t>The mice were observed for presence or absence of convulsion and latency of death.</w:t>
      </w:r>
    </w:p>
    <w:p>
      <w:pPr>
        <w:pStyle w:val="BodyText"/>
      </w:pPr>
    </w:p>
    <w:p>
      <w:pPr>
        <w:pStyle w:val="BodyText"/>
        <w:spacing w:before="6"/>
      </w:pPr>
    </w:p>
    <w:p>
      <w:pPr>
        <w:pStyle w:val="Heading2"/>
        <w:numPr>
          <w:ilvl w:val="2"/>
          <w:numId w:val="13"/>
        </w:numPr>
        <w:tabs>
          <w:tab w:pos="1342" w:val="left" w:leader="none"/>
        </w:tabs>
        <w:spacing w:line="240" w:lineRule="auto" w:before="0" w:after="0"/>
        <w:ind w:left="1342" w:right="0" w:hanging="661"/>
        <w:jc w:val="both"/>
      </w:pPr>
      <w:bookmarkStart w:name="_TOC_250027" w:id="57"/>
      <w:r>
        <w:rPr/>
        <w:t>Picrotoxin-induced</w:t>
      </w:r>
      <w:r>
        <w:rPr>
          <w:spacing w:val="-8"/>
        </w:rPr>
        <w:t> </w:t>
      </w:r>
      <w:r>
        <w:rPr/>
        <w:t>seizure</w:t>
      </w:r>
      <w:r>
        <w:rPr>
          <w:spacing w:val="-7"/>
        </w:rPr>
        <w:t> </w:t>
      </w:r>
      <w:bookmarkEnd w:id="57"/>
      <w:r>
        <w:rPr>
          <w:spacing w:val="-4"/>
        </w:rPr>
        <w:t>test</w:t>
      </w:r>
    </w:p>
    <w:p>
      <w:pPr>
        <w:pStyle w:val="BodyText"/>
        <w:spacing w:line="480" w:lineRule="auto" w:before="272"/>
        <w:ind w:left="681" w:right="270"/>
        <w:jc w:val="both"/>
      </w:pPr>
      <w:r>
        <w:rPr/>
        <w:t>The study was done according to method described by Swinyard </w:t>
      </w:r>
      <w:r>
        <w:rPr>
          <w:i/>
        </w:rPr>
        <w:t>et al</w:t>
      </w:r>
      <w:r>
        <w:rPr/>
        <w:t>., (1989). Thirty adult albino mice were divided into five groups of six mice each. Group 1 served as control</w:t>
      </w:r>
      <w:r>
        <w:rPr>
          <w:spacing w:val="-5"/>
        </w:rPr>
        <w:t> </w:t>
      </w:r>
      <w:r>
        <w:rPr/>
        <w:t>while mice in groups 2, 3, and 4 received 50, 25 and 12.5 mg/kg (i.p.) of</w:t>
      </w:r>
      <w:r>
        <w:rPr>
          <w:spacing w:val="-3"/>
        </w:rPr>
        <w:t> </w:t>
      </w:r>
      <w:r>
        <w:rPr/>
        <w:t>DCP23, DCP25 and DCP34 respectively; group 5 received diazepam at 10 mg/kg. All mice were administered 4 mg/kg (s.c) picrotoxin and observed for presence or absence of clonic convulsion as well as onset of seizures and protection against mortality.</w:t>
      </w:r>
    </w:p>
    <w:p>
      <w:pPr>
        <w:pStyle w:val="BodyText"/>
      </w:pPr>
    </w:p>
    <w:p>
      <w:pPr>
        <w:pStyle w:val="BodyText"/>
        <w:spacing w:before="5"/>
      </w:pPr>
    </w:p>
    <w:p>
      <w:pPr>
        <w:pStyle w:val="Heading2"/>
        <w:numPr>
          <w:ilvl w:val="2"/>
          <w:numId w:val="13"/>
        </w:numPr>
        <w:tabs>
          <w:tab w:pos="1222" w:val="left" w:leader="none"/>
        </w:tabs>
        <w:spacing w:line="240" w:lineRule="auto" w:before="1" w:after="0"/>
        <w:ind w:left="1222" w:right="0" w:hanging="541"/>
        <w:jc w:val="both"/>
      </w:pPr>
      <w:r>
        <w:rPr/>
        <w:t>Pentylenetetrazole-induced</w:t>
      </w:r>
      <w:r>
        <w:rPr>
          <w:spacing w:val="-7"/>
        </w:rPr>
        <w:t> </w:t>
      </w:r>
      <w:r>
        <w:rPr/>
        <w:t>kindling</w:t>
      </w:r>
      <w:r>
        <w:rPr>
          <w:spacing w:val="-4"/>
        </w:rPr>
        <w:t> </w:t>
      </w:r>
      <w:r>
        <w:rPr>
          <w:spacing w:val="-2"/>
        </w:rPr>
        <w:t>test61</w:t>
      </w:r>
    </w:p>
    <w:p>
      <w:pPr>
        <w:pStyle w:val="BodyText"/>
        <w:spacing w:line="480" w:lineRule="auto" w:before="271"/>
        <w:ind w:left="681" w:right="274"/>
        <w:jc w:val="both"/>
      </w:pPr>
      <w:r>
        <w:rPr/>
        <w:t>The method was as described by Gupta </w:t>
      </w:r>
      <w:r>
        <w:rPr>
          <w:i/>
        </w:rPr>
        <w:t>et al</w:t>
      </w:r>
      <w:r>
        <w:rPr/>
        <w:t>., (2001); Dhir </w:t>
      </w:r>
      <w:r>
        <w:rPr>
          <w:i/>
        </w:rPr>
        <w:t>et al</w:t>
      </w:r>
      <w:r>
        <w:rPr/>
        <w:t>., (2007) and Rajabzadeh </w:t>
      </w:r>
      <w:r>
        <w:rPr>
          <w:i/>
        </w:rPr>
        <w:t>et al</w:t>
      </w:r>
      <w:r>
        <w:rPr/>
        <w:t>., (2012). Pentylenetetrazole (PTZ) was administered at sub-convulsive dose (40 mg/kg,</w:t>
      </w:r>
      <w:r>
        <w:rPr>
          <w:spacing w:val="5"/>
        </w:rPr>
        <w:t> </w:t>
      </w:r>
      <w:r>
        <w:rPr/>
        <w:t>i.p.)</w:t>
      </w:r>
      <w:r>
        <w:rPr>
          <w:spacing w:val="-3"/>
        </w:rPr>
        <w:t> </w:t>
      </w:r>
      <w:r>
        <w:rPr/>
        <w:t>on</w:t>
      </w:r>
      <w:r>
        <w:rPr>
          <w:spacing w:val="-4"/>
        </w:rPr>
        <w:t> </w:t>
      </w:r>
      <w:r>
        <w:rPr/>
        <w:t>alternate days</w:t>
      </w:r>
      <w:r>
        <w:rPr>
          <w:spacing w:val="2"/>
        </w:rPr>
        <w:t> </w:t>
      </w:r>
      <w:r>
        <w:rPr/>
        <w:t>for</w:t>
      </w:r>
      <w:r>
        <w:rPr>
          <w:spacing w:val="2"/>
        </w:rPr>
        <w:t> </w:t>
      </w:r>
      <w:r>
        <w:rPr/>
        <w:t>a</w:t>
      </w:r>
      <w:r>
        <w:rPr>
          <w:spacing w:val="-6"/>
        </w:rPr>
        <w:t> </w:t>
      </w:r>
      <w:r>
        <w:rPr/>
        <w:t>total</w:t>
      </w:r>
      <w:r>
        <w:rPr>
          <w:spacing w:val="-8"/>
        </w:rPr>
        <w:t> </w:t>
      </w:r>
      <w:r>
        <w:rPr/>
        <w:t>period</w:t>
      </w:r>
      <w:r>
        <w:rPr>
          <w:spacing w:val="2"/>
        </w:rPr>
        <w:t> </w:t>
      </w:r>
      <w:r>
        <w:rPr/>
        <w:t>of</w:t>
      </w:r>
      <w:r>
        <w:rPr>
          <w:spacing w:val="-7"/>
        </w:rPr>
        <w:t> </w:t>
      </w:r>
      <w:r>
        <w:rPr/>
        <w:t>15</w:t>
      </w:r>
      <w:r>
        <w:rPr>
          <w:spacing w:val="1"/>
        </w:rPr>
        <w:t> </w:t>
      </w:r>
      <w:r>
        <w:rPr/>
        <w:t>days.</w:t>
      </w:r>
      <w:r>
        <w:rPr>
          <w:spacing w:val="2"/>
        </w:rPr>
        <w:t> </w:t>
      </w:r>
      <w:r>
        <w:rPr/>
        <w:t>Twenty</w:t>
      </w:r>
      <w:r>
        <w:rPr>
          <w:spacing w:val="-9"/>
        </w:rPr>
        <w:t> </w:t>
      </w:r>
      <w:r>
        <w:rPr/>
        <w:t>eight</w:t>
      </w:r>
      <w:r>
        <w:rPr>
          <w:spacing w:val="5"/>
        </w:rPr>
        <w:t> </w:t>
      </w:r>
      <w:r>
        <w:rPr/>
        <w:t>rats</w:t>
      </w:r>
      <w:r>
        <w:rPr>
          <w:spacing w:val="-1"/>
        </w:rPr>
        <w:t> </w:t>
      </w:r>
      <w:r>
        <w:rPr/>
        <w:t>were</w:t>
      </w:r>
      <w:r>
        <w:rPr>
          <w:spacing w:val="-5"/>
        </w:rPr>
        <w:t> </w:t>
      </w:r>
      <w:r>
        <w:rPr>
          <w:spacing w:val="-2"/>
        </w:rPr>
        <w:t>divided</w:t>
      </w:r>
    </w:p>
    <w:p>
      <w:pPr>
        <w:spacing w:after="0" w:line="480" w:lineRule="auto"/>
        <w:jc w:val="both"/>
        <w:sectPr>
          <w:pgSz w:w="12240" w:h="15840"/>
          <w:pgMar w:header="0" w:footer="1066" w:top="1360" w:bottom="1260" w:left="1480" w:right="1160"/>
        </w:sectPr>
      </w:pPr>
    </w:p>
    <w:p>
      <w:pPr>
        <w:pStyle w:val="BodyText"/>
        <w:spacing w:line="480" w:lineRule="auto" w:before="72"/>
        <w:ind w:left="681" w:right="270"/>
        <w:jc w:val="both"/>
      </w:pPr>
      <w:r>
        <w:rPr/>
        <w:t>into four groups of seven rats each. Group 1 served as control while other groups (2, 3</w:t>
      </w:r>
      <w:r>
        <w:rPr>
          <w:spacing w:val="40"/>
        </w:rPr>
        <w:t> </w:t>
      </w:r>
      <w:r>
        <w:rPr/>
        <w:t>and 4) received DCP23, DCP25 and DCP34 respectively; each at the dose of 50 mg/kg (i.p.). Thirty minutes post treatment; all the groups were administered the sub-convulsive dose of PTZ and were observed for a period of 20 minutes. Seizure activity was scored using a scoring system from 0-5 as follows:</w:t>
      </w:r>
    </w:p>
    <w:p>
      <w:pPr>
        <w:pStyle w:val="BodyText"/>
        <w:spacing w:line="480" w:lineRule="auto" w:before="1"/>
        <w:ind w:left="681" w:right="5439"/>
      </w:pPr>
      <w:r>
        <w:rPr/>
        <w:t>Stage 0: no change in response Stage</w:t>
      </w:r>
      <w:r>
        <w:rPr>
          <w:spacing w:val="-10"/>
        </w:rPr>
        <w:t> </w:t>
      </w:r>
      <w:r>
        <w:rPr/>
        <w:t>1:</w:t>
      </w:r>
      <w:r>
        <w:rPr>
          <w:spacing w:val="-9"/>
        </w:rPr>
        <w:t> </w:t>
      </w:r>
      <w:r>
        <w:rPr/>
        <w:t>ear</w:t>
      </w:r>
      <w:r>
        <w:rPr>
          <w:spacing w:val="-12"/>
        </w:rPr>
        <w:t> </w:t>
      </w:r>
      <w:r>
        <w:rPr/>
        <w:t>and</w:t>
      </w:r>
      <w:r>
        <w:rPr>
          <w:spacing w:val="-6"/>
        </w:rPr>
        <w:t> </w:t>
      </w:r>
      <w:r>
        <w:rPr/>
        <w:t>facial</w:t>
      </w:r>
      <w:r>
        <w:rPr>
          <w:spacing w:val="-14"/>
        </w:rPr>
        <w:t> </w:t>
      </w:r>
      <w:r>
        <w:rPr/>
        <w:t>twitching</w:t>
      </w:r>
    </w:p>
    <w:p>
      <w:pPr>
        <w:pStyle w:val="BodyText"/>
        <w:spacing w:line="480" w:lineRule="auto"/>
        <w:ind w:left="681" w:right="3364"/>
      </w:pPr>
      <w:r>
        <w:rPr/>
        <w:t>Stage</w:t>
      </w:r>
      <w:r>
        <w:rPr>
          <w:spacing w:val="-5"/>
        </w:rPr>
        <w:t> </w:t>
      </w:r>
      <w:r>
        <w:rPr/>
        <w:t>2:</w:t>
      </w:r>
      <w:r>
        <w:rPr>
          <w:spacing w:val="-5"/>
        </w:rPr>
        <w:t> </w:t>
      </w:r>
      <w:r>
        <w:rPr/>
        <w:t>convulsive</w:t>
      </w:r>
      <w:r>
        <w:rPr>
          <w:spacing w:val="-5"/>
        </w:rPr>
        <w:t> </w:t>
      </w:r>
      <w:r>
        <w:rPr/>
        <w:t>twitching</w:t>
      </w:r>
      <w:r>
        <w:rPr>
          <w:spacing w:val="-5"/>
        </w:rPr>
        <w:t> </w:t>
      </w:r>
      <w:r>
        <w:rPr/>
        <w:t>axially</w:t>
      </w:r>
      <w:r>
        <w:rPr>
          <w:spacing w:val="-9"/>
        </w:rPr>
        <w:t> </w:t>
      </w:r>
      <w:r>
        <w:rPr/>
        <w:t>through</w:t>
      </w:r>
      <w:r>
        <w:rPr>
          <w:spacing w:val="-9"/>
        </w:rPr>
        <w:t> </w:t>
      </w:r>
      <w:r>
        <w:rPr/>
        <w:t>the</w:t>
      </w:r>
      <w:r>
        <w:rPr>
          <w:spacing w:val="-5"/>
        </w:rPr>
        <w:t> </w:t>
      </w:r>
      <w:r>
        <w:rPr/>
        <w:t>body Stage 3: myoclonic jerks and rearing</w:t>
      </w:r>
    </w:p>
    <w:p>
      <w:pPr>
        <w:pStyle w:val="BodyText"/>
        <w:spacing w:line="480" w:lineRule="auto" w:before="1"/>
        <w:ind w:left="681" w:right="1875"/>
      </w:pPr>
      <w:r>
        <w:rPr/>
        <w:t>Stage</w:t>
      </w:r>
      <w:r>
        <w:rPr>
          <w:spacing w:val="-6"/>
        </w:rPr>
        <w:t> </w:t>
      </w:r>
      <w:r>
        <w:rPr/>
        <w:t>4:</w:t>
      </w:r>
      <w:r>
        <w:rPr>
          <w:spacing w:val="-8"/>
        </w:rPr>
        <w:t> </w:t>
      </w:r>
      <w:r>
        <w:rPr/>
        <w:t>turn</w:t>
      </w:r>
      <w:r>
        <w:rPr>
          <w:spacing w:val="-9"/>
        </w:rPr>
        <w:t> </w:t>
      </w:r>
      <w:r>
        <w:rPr/>
        <w:t>over</w:t>
      </w:r>
      <w:r>
        <w:rPr>
          <w:spacing w:val="-8"/>
        </w:rPr>
        <w:t> </w:t>
      </w:r>
      <w:r>
        <w:rPr/>
        <w:t>onto side</w:t>
      </w:r>
      <w:r>
        <w:rPr>
          <w:spacing w:val="-6"/>
        </w:rPr>
        <w:t> </w:t>
      </w:r>
      <w:r>
        <w:rPr/>
        <w:t>position,</w:t>
      </w:r>
      <w:r>
        <w:rPr>
          <w:spacing w:val="-3"/>
        </w:rPr>
        <w:t> </w:t>
      </w:r>
      <w:r>
        <w:rPr/>
        <w:t>wild</w:t>
      </w:r>
      <w:r>
        <w:rPr>
          <w:spacing w:val="-5"/>
        </w:rPr>
        <w:t> </w:t>
      </w:r>
      <w:r>
        <w:rPr/>
        <w:t>running</w:t>
      </w:r>
      <w:r>
        <w:rPr>
          <w:spacing w:val="-5"/>
        </w:rPr>
        <w:t> </w:t>
      </w:r>
      <w:r>
        <w:rPr/>
        <w:t>and</w:t>
      </w:r>
      <w:r>
        <w:rPr>
          <w:spacing w:val="-5"/>
        </w:rPr>
        <w:t> </w:t>
      </w:r>
      <w:r>
        <w:rPr/>
        <w:t>wild</w:t>
      </w:r>
      <w:r>
        <w:rPr>
          <w:spacing w:val="-1"/>
        </w:rPr>
        <w:t> </w:t>
      </w:r>
      <w:r>
        <w:rPr/>
        <w:t>jumping Stage 5: generalized clonic-tonic seizures</w:t>
      </w:r>
    </w:p>
    <w:p>
      <w:pPr>
        <w:pStyle w:val="BodyText"/>
      </w:pPr>
    </w:p>
    <w:p>
      <w:pPr>
        <w:pStyle w:val="BodyText"/>
        <w:spacing w:before="5"/>
      </w:pPr>
    </w:p>
    <w:p>
      <w:pPr>
        <w:pStyle w:val="Heading2"/>
        <w:numPr>
          <w:ilvl w:val="2"/>
          <w:numId w:val="13"/>
        </w:numPr>
        <w:tabs>
          <w:tab w:pos="1222" w:val="left" w:leader="none"/>
        </w:tabs>
        <w:spacing w:line="240" w:lineRule="auto" w:before="0" w:after="0"/>
        <w:ind w:left="1222" w:right="0" w:hanging="541"/>
        <w:jc w:val="both"/>
      </w:pPr>
      <w:bookmarkStart w:name="_TOC_250026" w:id="58"/>
      <w:r>
        <w:rPr/>
        <w:t>Determination</w:t>
      </w:r>
      <w:r>
        <w:rPr>
          <w:spacing w:val="-2"/>
        </w:rPr>
        <w:t> </w:t>
      </w:r>
      <w:r>
        <w:rPr/>
        <w:t>of</w:t>
      </w:r>
      <w:r>
        <w:rPr>
          <w:spacing w:val="-6"/>
        </w:rPr>
        <w:t> </w:t>
      </w:r>
      <w:r>
        <w:rPr/>
        <w:t>median</w:t>
      </w:r>
      <w:r>
        <w:rPr>
          <w:spacing w:val="-1"/>
        </w:rPr>
        <w:t> </w:t>
      </w:r>
      <w:r>
        <w:rPr/>
        <w:t>effective</w:t>
      </w:r>
      <w:r>
        <w:rPr>
          <w:spacing w:val="-4"/>
        </w:rPr>
        <w:t> </w:t>
      </w:r>
      <w:r>
        <w:rPr/>
        <w:t>dose</w:t>
      </w:r>
      <w:r>
        <w:rPr>
          <w:spacing w:val="-3"/>
        </w:rPr>
        <w:t> </w:t>
      </w:r>
      <w:r>
        <w:rPr>
          <w:spacing w:val="-2"/>
        </w:rPr>
        <w:t>(ED</w:t>
      </w:r>
      <w:r>
        <w:rPr>
          <w:spacing w:val="-2"/>
          <w:vertAlign w:val="subscript"/>
        </w:rPr>
        <w:t>50</w:t>
      </w:r>
      <w:bookmarkEnd w:id="58"/>
      <w:r>
        <w:rPr>
          <w:spacing w:val="-2"/>
          <w:vertAlign w:val="baseline"/>
        </w:rPr>
        <w:t>)</w:t>
      </w:r>
    </w:p>
    <w:p>
      <w:pPr>
        <w:pStyle w:val="BodyText"/>
        <w:spacing w:line="480" w:lineRule="auto" w:before="272"/>
        <w:ind w:left="681" w:right="271"/>
        <w:jc w:val="both"/>
      </w:pPr>
      <w:r>
        <w:rPr/>
        <w:t>This was determined using two convulsant models; maximal electroshock- and subcutaneous picrotoxin- induced seizures, according to Swinyard and Kupferberg (1985); Swinyard </w:t>
      </w:r>
      <w:r>
        <w:rPr>
          <w:i/>
        </w:rPr>
        <w:t>et al</w:t>
      </w:r>
      <w:r>
        <w:rPr/>
        <w:t>., (1989). Groups of six mice each were selected, each group receiving graded doses (i.p.) of the test compound such that two points were established between</w:t>
      </w:r>
      <w:r>
        <w:rPr>
          <w:spacing w:val="-5"/>
        </w:rPr>
        <w:t> </w:t>
      </w:r>
      <w:r>
        <w:rPr/>
        <w:t>the limits of</w:t>
      </w:r>
      <w:r>
        <w:rPr>
          <w:spacing w:val="-3"/>
        </w:rPr>
        <w:t> </w:t>
      </w:r>
      <w:r>
        <w:rPr/>
        <w:t>100% and 0% protection. The</w:t>
      </w:r>
      <w:r>
        <w:rPr>
          <w:spacing w:val="-1"/>
        </w:rPr>
        <w:t> </w:t>
      </w:r>
      <w:r>
        <w:rPr/>
        <w:t>percentage</w:t>
      </w:r>
      <w:r>
        <w:rPr>
          <w:spacing w:val="-1"/>
        </w:rPr>
        <w:t> </w:t>
      </w:r>
      <w:r>
        <w:rPr/>
        <w:t>protections</w:t>
      </w:r>
      <w:r>
        <w:rPr>
          <w:spacing w:val="-2"/>
        </w:rPr>
        <w:t> </w:t>
      </w:r>
      <w:r>
        <w:rPr/>
        <w:t>obtained from each group were converted to probit values while the doses were converted to log dose values. The median effective dose (ED</w:t>
      </w:r>
      <w:r>
        <w:rPr>
          <w:vertAlign w:val="subscript"/>
        </w:rPr>
        <w:t>50</w:t>
      </w:r>
      <w:r>
        <w:rPr>
          <w:vertAlign w:val="baseline"/>
        </w:rPr>
        <w:t>) was estimated using graphical method (Probit vs Log dose) as described by Miller and Tainter (1944).</w:t>
      </w:r>
    </w:p>
    <w:p>
      <w:pPr>
        <w:spacing w:after="0" w:line="480" w:lineRule="auto"/>
        <w:jc w:val="both"/>
        <w:sectPr>
          <w:pgSz w:w="12240" w:h="15840"/>
          <w:pgMar w:header="0" w:footer="1066" w:top="1360" w:bottom="1260" w:left="1480" w:right="1160"/>
        </w:sectPr>
      </w:pPr>
    </w:p>
    <w:p>
      <w:pPr>
        <w:pStyle w:val="Heading2"/>
        <w:numPr>
          <w:ilvl w:val="2"/>
          <w:numId w:val="13"/>
        </w:numPr>
        <w:tabs>
          <w:tab w:pos="1342" w:val="left" w:leader="none"/>
        </w:tabs>
        <w:spacing w:line="240" w:lineRule="auto" w:before="77" w:after="0"/>
        <w:ind w:left="1342" w:right="0" w:hanging="661"/>
        <w:jc w:val="both"/>
      </w:pPr>
      <w:bookmarkStart w:name="_TOC_250025" w:id="59"/>
      <w:r>
        <w:rPr/>
        <w:t>Tolerance</w:t>
      </w:r>
      <w:r>
        <w:rPr>
          <w:spacing w:val="-3"/>
        </w:rPr>
        <w:t> </w:t>
      </w:r>
      <w:r>
        <w:rPr/>
        <w:t>study</w:t>
      </w:r>
      <w:r>
        <w:rPr>
          <w:spacing w:val="-2"/>
        </w:rPr>
        <w:t> </w:t>
      </w:r>
      <w:r>
        <w:rPr/>
        <w:t>using</w:t>
      </w:r>
      <w:r>
        <w:rPr>
          <w:spacing w:val="-2"/>
        </w:rPr>
        <w:t> </w:t>
      </w:r>
      <w:r>
        <w:rPr/>
        <w:t>maximal</w:t>
      </w:r>
      <w:r>
        <w:rPr>
          <w:spacing w:val="-6"/>
        </w:rPr>
        <w:t> </w:t>
      </w:r>
      <w:r>
        <w:rPr/>
        <w:t>electroshock</w:t>
      </w:r>
      <w:r>
        <w:rPr>
          <w:spacing w:val="-5"/>
        </w:rPr>
        <w:t> </w:t>
      </w:r>
      <w:bookmarkEnd w:id="59"/>
      <w:r>
        <w:rPr>
          <w:spacing w:val="-4"/>
        </w:rPr>
        <w:t>test</w:t>
      </w:r>
    </w:p>
    <w:p>
      <w:pPr>
        <w:pStyle w:val="BodyText"/>
        <w:spacing w:line="480" w:lineRule="auto" w:before="271"/>
        <w:ind w:left="681" w:right="272"/>
        <w:jc w:val="both"/>
      </w:pPr>
      <w:r>
        <w:rPr/>
        <w:t>This study was conducted as described by Stable and Kupferberg, (1997) with some modification. It involved administering the test compounds (DCP23 and DCP25) orally for five days to rats and then comparing the anticonvulsant activity between this group and a</w:t>
      </w:r>
      <w:r>
        <w:rPr>
          <w:spacing w:val="-1"/>
        </w:rPr>
        <w:t> </w:t>
      </w:r>
      <w:r>
        <w:rPr/>
        <w:t>group that received single</w:t>
      </w:r>
      <w:r>
        <w:rPr>
          <w:spacing w:val="-1"/>
        </w:rPr>
        <w:t> </w:t>
      </w:r>
      <w:r>
        <w:rPr/>
        <w:t>administration</w:t>
      </w:r>
      <w:r>
        <w:rPr>
          <w:spacing w:val="-5"/>
        </w:rPr>
        <w:t> </w:t>
      </w:r>
      <w:r>
        <w:rPr/>
        <w:t>of</w:t>
      </w:r>
      <w:r>
        <w:rPr>
          <w:spacing w:val="-8"/>
        </w:rPr>
        <w:t> </w:t>
      </w:r>
      <w:r>
        <w:rPr/>
        <w:t>the</w:t>
      </w:r>
      <w:r>
        <w:rPr>
          <w:spacing w:val="-1"/>
        </w:rPr>
        <w:t> </w:t>
      </w:r>
      <w:r>
        <w:rPr/>
        <w:t>compound. These</w:t>
      </w:r>
      <w:r>
        <w:rPr>
          <w:spacing w:val="-1"/>
        </w:rPr>
        <w:t> </w:t>
      </w:r>
      <w:r>
        <w:rPr/>
        <w:t>studies</w:t>
      </w:r>
      <w:r>
        <w:rPr>
          <w:spacing w:val="-2"/>
        </w:rPr>
        <w:t> </w:t>
      </w:r>
      <w:r>
        <w:rPr/>
        <w:t>employed four groups of</w:t>
      </w:r>
      <w:r>
        <w:rPr>
          <w:spacing w:val="-3"/>
        </w:rPr>
        <w:t> </w:t>
      </w:r>
      <w:r>
        <w:rPr/>
        <w:t>eight rats each. Two groups were treated for four days with vehicle alone; the</w:t>
      </w:r>
      <w:r>
        <w:rPr>
          <w:spacing w:val="-3"/>
        </w:rPr>
        <w:t> </w:t>
      </w:r>
      <w:r>
        <w:rPr/>
        <w:t>next two groups</w:t>
      </w:r>
      <w:r>
        <w:rPr>
          <w:spacing w:val="-4"/>
        </w:rPr>
        <w:t> </w:t>
      </w:r>
      <w:r>
        <w:rPr/>
        <w:t>received</w:t>
      </w:r>
      <w:r>
        <w:rPr>
          <w:spacing w:val="-2"/>
        </w:rPr>
        <w:t> </w:t>
      </w:r>
      <w:r>
        <w:rPr/>
        <w:t>different doses</w:t>
      </w:r>
      <w:r>
        <w:rPr>
          <w:spacing w:val="-4"/>
        </w:rPr>
        <w:t> </w:t>
      </w:r>
      <w:r>
        <w:rPr/>
        <w:t>of</w:t>
      </w:r>
      <w:r>
        <w:rPr>
          <w:spacing w:val="-9"/>
        </w:rPr>
        <w:t> </w:t>
      </w:r>
      <w:r>
        <w:rPr/>
        <w:t>test compounds for four</w:t>
      </w:r>
      <w:r>
        <w:rPr>
          <w:spacing w:val="-1"/>
        </w:rPr>
        <w:t> </w:t>
      </w:r>
      <w:r>
        <w:rPr/>
        <w:t>days. On</w:t>
      </w:r>
      <w:r>
        <w:rPr>
          <w:spacing w:val="-7"/>
        </w:rPr>
        <w:t> </w:t>
      </w:r>
      <w:r>
        <w:rPr/>
        <w:t>the fifth day, each compound treated groups and one vehicle treated group received 50 mg/kg of DCP23, DCP25 and DCP34 orally. The compound’s anticonvulsant activity for each group was determined 1 hour post treatment on the 5</w:t>
      </w:r>
      <w:r>
        <w:rPr>
          <w:vertAlign w:val="superscript"/>
        </w:rPr>
        <w:t>th</w:t>
      </w:r>
      <w:r>
        <w:rPr>
          <w:vertAlign w:val="baseline"/>
        </w:rPr>
        <w:t> day. Activity in the chronically treated groups</w:t>
      </w:r>
      <w:r>
        <w:rPr>
          <w:spacing w:val="-2"/>
          <w:vertAlign w:val="baseline"/>
        </w:rPr>
        <w:t> </w:t>
      </w:r>
      <w:r>
        <w:rPr>
          <w:vertAlign w:val="baseline"/>
        </w:rPr>
        <w:t>was</w:t>
      </w:r>
      <w:r>
        <w:rPr>
          <w:spacing w:val="-2"/>
          <w:vertAlign w:val="baseline"/>
        </w:rPr>
        <w:t> </w:t>
      </w:r>
      <w:r>
        <w:rPr>
          <w:vertAlign w:val="baseline"/>
        </w:rPr>
        <w:t>compared to the</w:t>
      </w:r>
      <w:r>
        <w:rPr>
          <w:spacing w:val="-1"/>
          <w:vertAlign w:val="baseline"/>
        </w:rPr>
        <w:t> </w:t>
      </w:r>
      <w:r>
        <w:rPr>
          <w:vertAlign w:val="baseline"/>
        </w:rPr>
        <w:t>acute</w:t>
      </w:r>
      <w:r>
        <w:rPr>
          <w:spacing w:val="-5"/>
          <w:vertAlign w:val="baseline"/>
        </w:rPr>
        <w:t> </w:t>
      </w:r>
      <w:r>
        <w:rPr>
          <w:vertAlign w:val="baseline"/>
        </w:rPr>
        <w:t>treatment and the</w:t>
      </w:r>
      <w:r>
        <w:rPr>
          <w:spacing w:val="-1"/>
          <w:vertAlign w:val="baseline"/>
        </w:rPr>
        <w:t> </w:t>
      </w:r>
      <w:r>
        <w:rPr>
          <w:vertAlign w:val="baseline"/>
        </w:rPr>
        <w:t>control</w:t>
      </w:r>
      <w:r>
        <w:rPr>
          <w:spacing w:val="-8"/>
          <w:vertAlign w:val="baseline"/>
        </w:rPr>
        <w:t> </w:t>
      </w:r>
      <w:r>
        <w:rPr>
          <w:vertAlign w:val="baseline"/>
        </w:rPr>
        <w:t>group. The</w:t>
      </w:r>
      <w:r>
        <w:rPr>
          <w:spacing w:val="-1"/>
          <w:vertAlign w:val="baseline"/>
        </w:rPr>
        <w:t> </w:t>
      </w:r>
      <w:r>
        <w:rPr>
          <w:vertAlign w:val="baseline"/>
        </w:rPr>
        <w:t>test model employed was maximal electroshock test as previously described in Swinyard and Kupferberg (1985).</w:t>
      </w:r>
    </w:p>
    <w:p>
      <w:pPr>
        <w:pStyle w:val="BodyText"/>
      </w:pPr>
    </w:p>
    <w:p>
      <w:pPr>
        <w:pStyle w:val="BodyText"/>
        <w:spacing w:before="8"/>
      </w:pPr>
    </w:p>
    <w:p>
      <w:pPr>
        <w:pStyle w:val="Heading2"/>
        <w:numPr>
          <w:ilvl w:val="1"/>
          <w:numId w:val="13"/>
        </w:numPr>
        <w:tabs>
          <w:tab w:pos="1045" w:val="left" w:leader="none"/>
        </w:tabs>
        <w:spacing w:line="240" w:lineRule="auto" w:before="0" w:after="0"/>
        <w:ind w:left="1045" w:right="0" w:hanging="364"/>
        <w:jc w:val="both"/>
      </w:pPr>
      <w:r>
        <w:rPr/>
        <w:t>Pharmacological</w:t>
      </w:r>
      <w:r>
        <w:rPr>
          <w:spacing w:val="-11"/>
        </w:rPr>
        <w:t> </w:t>
      </w:r>
      <w:r>
        <w:rPr/>
        <w:t>Interaction</w:t>
      </w:r>
      <w:r>
        <w:rPr>
          <w:spacing w:val="-5"/>
        </w:rPr>
        <w:t> </w:t>
      </w:r>
      <w:r>
        <w:rPr>
          <w:spacing w:val="-2"/>
        </w:rPr>
        <w:t>Studies</w:t>
      </w:r>
    </w:p>
    <w:p>
      <w:pPr>
        <w:pStyle w:val="BodyText"/>
        <w:rPr>
          <w:b/>
        </w:rPr>
      </w:pPr>
    </w:p>
    <w:p>
      <w:pPr>
        <w:pStyle w:val="Heading2"/>
        <w:numPr>
          <w:ilvl w:val="2"/>
          <w:numId w:val="13"/>
        </w:numPr>
        <w:tabs>
          <w:tab w:pos="1380" w:val="left" w:leader="none"/>
        </w:tabs>
        <w:spacing w:line="480" w:lineRule="auto" w:before="0" w:after="0"/>
        <w:ind w:left="681" w:right="288" w:firstLine="0"/>
        <w:jc w:val="both"/>
      </w:pPr>
      <w:bookmarkStart w:name="_TOC_250024" w:id="60"/>
      <w:bookmarkEnd w:id="60"/>
      <w:r>
        <w:rPr/>
        <w:t>Effect of Fluphenamic acid on anticonvulsant activity of DCP23, DCP25 and DCP34 in mice</w:t>
      </w:r>
    </w:p>
    <w:p>
      <w:pPr>
        <w:pStyle w:val="BodyText"/>
        <w:spacing w:line="480" w:lineRule="auto"/>
        <w:ind w:left="681" w:right="269"/>
        <w:jc w:val="both"/>
      </w:pPr>
      <w:r>
        <w:rPr/>
        <w:t>The effect of fluphenamic acid, an inhibitor of sodium current (Hau-Jie </w:t>
      </w:r>
      <w:r>
        <w:rPr>
          <w:i/>
        </w:rPr>
        <w:t>et al., </w:t>
      </w:r>
      <w:r>
        <w:rPr/>
        <w:t>2010), on the outcome of anticonvulsant activity of DCP23, DCP25 and DCP34 was studied in MES-induced seizure test. Mice</w:t>
      </w:r>
      <w:r>
        <w:rPr>
          <w:spacing w:val="-1"/>
        </w:rPr>
        <w:t> </w:t>
      </w:r>
      <w:r>
        <w:rPr/>
        <w:t>of</w:t>
      </w:r>
      <w:r>
        <w:rPr>
          <w:spacing w:val="-8"/>
        </w:rPr>
        <w:t> </w:t>
      </w:r>
      <w:r>
        <w:rPr/>
        <w:t>either sex</w:t>
      </w:r>
      <w:r>
        <w:rPr>
          <w:spacing w:val="-5"/>
        </w:rPr>
        <w:t> </w:t>
      </w:r>
      <w:r>
        <w:rPr/>
        <w:t>were divided into twelve groups</w:t>
      </w:r>
      <w:r>
        <w:rPr>
          <w:spacing w:val="-2"/>
        </w:rPr>
        <w:t> </w:t>
      </w:r>
      <w:r>
        <w:rPr/>
        <w:t>of</w:t>
      </w:r>
      <w:r>
        <w:rPr>
          <w:spacing w:val="-8"/>
        </w:rPr>
        <w:t> </w:t>
      </w:r>
      <w:r>
        <w:rPr/>
        <w:t>six mice per group. Group 1 served as control, while Groups 2, 3 and 4 received fluphenamic acid at graded doses of 20, 10 and 5 mg/kg via intraperitoneal route. One hour post fluphenamic</w:t>
      </w:r>
      <w:r>
        <w:rPr>
          <w:spacing w:val="6"/>
        </w:rPr>
        <w:t> </w:t>
      </w:r>
      <w:r>
        <w:rPr/>
        <w:t>acid</w:t>
      </w:r>
      <w:r>
        <w:rPr>
          <w:spacing w:val="14"/>
        </w:rPr>
        <w:t> </w:t>
      </w:r>
      <w:r>
        <w:rPr/>
        <w:t>administration</w:t>
      </w:r>
      <w:r>
        <w:rPr>
          <w:spacing w:val="4"/>
        </w:rPr>
        <w:t> </w:t>
      </w:r>
      <w:r>
        <w:rPr/>
        <w:t>these</w:t>
      </w:r>
      <w:r>
        <w:rPr>
          <w:spacing w:val="9"/>
        </w:rPr>
        <w:t> </w:t>
      </w:r>
      <w:r>
        <w:rPr/>
        <w:t>groups</w:t>
      </w:r>
      <w:r>
        <w:rPr>
          <w:spacing w:val="12"/>
        </w:rPr>
        <w:t> </w:t>
      </w:r>
      <w:r>
        <w:rPr/>
        <w:t>including</w:t>
      </w:r>
      <w:r>
        <w:rPr>
          <w:spacing w:val="9"/>
        </w:rPr>
        <w:t> </w:t>
      </w:r>
      <w:r>
        <w:rPr/>
        <w:t>the</w:t>
      </w:r>
      <w:r>
        <w:rPr>
          <w:spacing w:val="13"/>
        </w:rPr>
        <w:t> </w:t>
      </w:r>
      <w:r>
        <w:rPr/>
        <w:t>control,</w:t>
      </w:r>
      <w:r>
        <w:rPr>
          <w:spacing w:val="11"/>
        </w:rPr>
        <w:t> </w:t>
      </w:r>
      <w:r>
        <w:rPr/>
        <w:t>were</w:t>
      </w:r>
      <w:r>
        <w:rPr>
          <w:spacing w:val="14"/>
        </w:rPr>
        <w:t> </w:t>
      </w:r>
      <w:r>
        <w:rPr>
          <w:spacing w:val="-2"/>
        </w:rPr>
        <w:t>electroshocked</w:t>
      </w:r>
    </w:p>
    <w:p>
      <w:pPr>
        <w:spacing w:after="0" w:line="480" w:lineRule="auto"/>
        <w:jc w:val="both"/>
        <w:sectPr>
          <w:pgSz w:w="12240" w:h="15840"/>
          <w:pgMar w:header="0" w:footer="1066" w:top="1360" w:bottom="1260" w:left="1480" w:right="1160"/>
        </w:sectPr>
      </w:pPr>
    </w:p>
    <w:p>
      <w:pPr>
        <w:pStyle w:val="BodyText"/>
        <w:spacing w:line="480" w:lineRule="auto" w:before="72"/>
        <w:ind w:left="681" w:right="279"/>
        <w:jc w:val="both"/>
      </w:pPr>
      <w:r>
        <w:rPr/>
        <w:t>via corneal electrodes clipped to both ears. The dose where least quantal protection was obtained was used for the interaction study. Thus, groups 6, 8 and 10 received fluphenamic acid at the dose of 5 mg/kg. Five minutes post fluphenamic acid administration, all</w:t>
      </w:r>
      <w:r>
        <w:rPr>
          <w:spacing w:val="-6"/>
        </w:rPr>
        <w:t> </w:t>
      </w:r>
      <w:r>
        <w:rPr/>
        <w:t>the</w:t>
      </w:r>
      <w:r>
        <w:rPr>
          <w:spacing w:val="-2"/>
        </w:rPr>
        <w:t> </w:t>
      </w:r>
      <w:r>
        <w:rPr/>
        <w:t>animals in</w:t>
      </w:r>
      <w:r>
        <w:rPr>
          <w:spacing w:val="-1"/>
        </w:rPr>
        <w:t> </w:t>
      </w:r>
      <w:r>
        <w:rPr/>
        <w:t>groups</w:t>
      </w:r>
      <w:r>
        <w:rPr>
          <w:spacing w:val="-3"/>
        </w:rPr>
        <w:t> </w:t>
      </w:r>
      <w:r>
        <w:rPr/>
        <w:t>5</w:t>
      </w:r>
      <w:r>
        <w:rPr>
          <w:spacing w:val="-1"/>
        </w:rPr>
        <w:t> </w:t>
      </w:r>
      <w:r>
        <w:rPr/>
        <w:t>to 10</w:t>
      </w:r>
      <w:r>
        <w:rPr>
          <w:spacing w:val="-6"/>
        </w:rPr>
        <w:t> </w:t>
      </w:r>
      <w:r>
        <w:rPr/>
        <w:t>received</w:t>
      </w:r>
      <w:r>
        <w:rPr>
          <w:spacing w:val="-1"/>
        </w:rPr>
        <w:t> </w:t>
      </w:r>
      <w:r>
        <w:rPr/>
        <w:t>50 mg/kg</w:t>
      </w:r>
      <w:r>
        <w:rPr>
          <w:spacing w:val="-1"/>
        </w:rPr>
        <w:t> </w:t>
      </w:r>
      <w:r>
        <w:rPr/>
        <w:t>of</w:t>
      </w:r>
      <w:r>
        <w:rPr>
          <w:spacing w:val="-9"/>
        </w:rPr>
        <w:t> </w:t>
      </w:r>
      <w:r>
        <w:rPr/>
        <w:t>the</w:t>
      </w:r>
      <w:r>
        <w:rPr>
          <w:spacing w:val="-2"/>
        </w:rPr>
        <w:t> </w:t>
      </w:r>
      <w:r>
        <w:rPr/>
        <w:t>test compounds at the dose of 50 mg/kg (i.p) and allowed for one hour. Thereafter, seizure was induced using electroshock machine as previously</w:t>
      </w:r>
      <w:r>
        <w:rPr>
          <w:spacing w:val="-3"/>
        </w:rPr>
        <w:t> </w:t>
      </w:r>
      <w:r>
        <w:rPr/>
        <w:t>described in Swinyard and Kupferberg (1985).</w:t>
      </w:r>
    </w:p>
    <w:p>
      <w:pPr>
        <w:pStyle w:val="BodyText"/>
      </w:pPr>
    </w:p>
    <w:p>
      <w:pPr>
        <w:pStyle w:val="BodyText"/>
        <w:spacing w:before="6"/>
      </w:pPr>
    </w:p>
    <w:p>
      <w:pPr>
        <w:pStyle w:val="Heading2"/>
        <w:numPr>
          <w:ilvl w:val="2"/>
          <w:numId w:val="13"/>
        </w:numPr>
        <w:tabs>
          <w:tab w:pos="1452" w:val="left" w:leader="none"/>
        </w:tabs>
        <w:spacing w:line="480" w:lineRule="auto" w:before="0" w:after="0"/>
        <w:ind w:left="681" w:right="290" w:firstLine="0"/>
        <w:jc w:val="both"/>
      </w:pPr>
      <w:r>
        <w:rPr/>
        <w:t>Effect of nickel chloride on anticonvulsant activity of DCP23, DCP25 and DCP34 in mice</w:t>
      </w:r>
    </w:p>
    <w:p>
      <w:pPr>
        <w:pStyle w:val="BodyText"/>
        <w:spacing w:line="480" w:lineRule="auto"/>
        <w:ind w:left="681" w:right="275"/>
        <w:jc w:val="both"/>
      </w:pPr>
      <w:r>
        <w:rPr/>
        <w:t>The effect of Nickel Chloride, specific T-type calcium channel blocker (Kang </w:t>
      </w:r>
      <w:r>
        <w:rPr>
          <w:i/>
        </w:rPr>
        <w:t>et al</w:t>
      </w:r>
      <w:r>
        <w:rPr/>
        <w:t>., 2006), was studied on the anticonvulsant activity of</w:t>
      </w:r>
      <w:r>
        <w:rPr>
          <w:spacing w:val="-3"/>
        </w:rPr>
        <w:t> </w:t>
      </w:r>
      <w:r>
        <w:rPr/>
        <w:t>DCP23, DCP25 and DCP34 in PTZ- induced Seizure. Mice of either sex were divided into eight groups of six mice each. Group 1 served as</w:t>
      </w:r>
      <w:r>
        <w:rPr>
          <w:spacing w:val="-2"/>
        </w:rPr>
        <w:t> </w:t>
      </w:r>
      <w:r>
        <w:rPr/>
        <w:t>control, while</w:t>
      </w:r>
      <w:r>
        <w:rPr>
          <w:spacing w:val="-1"/>
        </w:rPr>
        <w:t> </w:t>
      </w:r>
      <w:r>
        <w:rPr/>
        <w:t>Groups</w:t>
      </w:r>
      <w:r>
        <w:rPr>
          <w:spacing w:val="-2"/>
        </w:rPr>
        <w:t> </w:t>
      </w:r>
      <w:r>
        <w:rPr/>
        <w:t>2, 4, 6 and 8 received nickel</w:t>
      </w:r>
      <w:r>
        <w:rPr>
          <w:spacing w:val="-5"/>
        </w:rPr>
        <w:t> </w:t>
      </w:r>
      <w:r>
        <w:rPr/>
        <w:t>chloride at the</w:t>
      </w:r>
      <w:r>
        <w:rPr>
          <w:spacing w:val="-1"/>
        </w:rPr>
        <w:t> </w:t>
      </w:r>
      <w:r>
        <w:rPr/>
        <w:t>dose of 5 mg/kg. Five minutes after nickel chloride administration, groups 3 and 4 received DCP23;</w:t>
      </w:r>
      <w:r>
        <w:rPr>
          <w:spacing w:val="-1"/>
        </w:rPr>
        <w:t> </w:t>
      </w:r>
      <w:r>
        <w:rPr/>
        <w:t>groups 5 and 6 received DCP25 while groups 7 and 8 received DCP34, all</w:t>
      </w:r>
      <w:r>
        <w:rPr>
          <w:spacing w:val="-5"/>
        </w:rPr>
        <w:t> </w:t>
      </w:r>
      <w:r>
        <w:rPr/>
        <w:t>at the dose of 25 mg/kg (i.p). 1 hour post treatment, all the mice from groups 1 to 8 were administered PTZ (90 mg/kg, sc); and were observed for presence or absence of seizures as previously described in Swinyard (1969).</w:t>
      </w:r>
    </w:p>
    <w:p>
      <w:pPr>
        <w:pStyle w:val="BodyText"/>
      </w:pPr>
    </w:p>
    <w:p>
      <w:pPr>
        <w:pStyle w:val="BodyText"/>
        <w:spacing w:before="3"/>
      </w:pPr>
    </w:p>
    <w:p>
      <w:pPr>
        <w:pStyle w:val="Heading2"/>
        <w:numPr>
          <w:ilvl w:val="2"/>
          <w:numId w:val="13"/>
        </w:numPr>
        <w:tabs>
          <w:tab w:pos="1437" w:val="left" w:leader="none"/>
        </w:tabs>
        <w:spacing w:line="480" w:lineRule="auto" w:before="0" w:after="0"/>
        <w:ind w:left="681" w:right="291" w:firstLine="0"/>
        <w:jc w:val="both"/>
      </w:pPr>
      <w:r>
        <w:rPr/>
        <w:t>Effect of cyproheptadine on anticonvulsant activity of DCP23, DCP25 and DCP34 in mice</w:t>
      </w:r>
    </w:p>
    <w:p>
      <w:pPr>
        <w:pStyle w:val="BodyText"/>
        <w:spacing w:line="480" w:lineRule="auto"/>
        <w:ind w:left="681" w:right="286"/>
        <w:jc w:val="both"/>
      </w:pPr>
      <w:r>
        <w:rPr/>
        <w:t>The test compounds (DCP23, DCP25 and DCP34) were interacted with cyproheptadine (non</w:t>
      </w:r>
      <w:r>
        <w:rPr>
          <w:spacing w:val="60"/>
        </w:rPr>
        <w:t> </w:t>
      </w:r>
      <w:r>
        <w:rPr/>
        <w:t>selective</w:t>
      </w:r>
      <w:r>
        <w:rPr>
          <w:spacing w:val="67"/>
        </w:rPr>
        <w:t> </w:t>
      </w:r>
      <w:r>
        <w:rPr/>
        <w:t>serotonin</w:t>
      </w:r>
      <w:r>
        <w:rPr>
          <w:spacing w:val="63"/>
        </w:rPr>
        <w:t> </w:t>
      </w:r>
      <w:r>
        <w:rPr/>
        <w:t>and</w:t>
      </w:r>
      <w:r>
        <w:rPr>
          <w:spacing w:val="67"/>
        </w:rPr>
        <w:t> </w:t>
      </w:r>
      <w:r>
        <w:rPr/>
        <w:t>histamine</w:t>
      </w:r>
      <w:r>
        <w:rPr>
          <w:spacing w:val="62"/>
        </w:rPr>
        <w:t> </w:t>
      </w:r>
      <w:r>
        <w:rPr/>
        <w:t>receptor</w:t>
      </w:r>
      <w:r>
        <w:rPr>
          <w:spacing w:val="60"/>
        </w:rPr>
        <w:t> </w:t>
      </w:r>
      <w:r>
        <w:rPr/>
        <w:t>antagonist)</w:t>
      </w:r>
      <w:r>
        <w:rPr>
          <w:spacing w:val="64"/>
        </w:rPr>
        <w:t> </w:t>
      </w:r>
      <w:r>
        <w:rPr/>
        <w:t>to</w:t>
      </w:r>
      <w:r>
        <w:rPr>
          <w:spacing w:val="68"/>
        </w:rPr>
        <w:t> </w:t>
      </w:r>
      <w:r>
        <w:rPr/>
        <w:t>evaluate</w:t>
      </w:r>
      <w:r>
        <w:rPr>
          <w:spacing w:val="62"/>
        </w:rPr>
        <w:t> </w:t>
      </w:r>
      <w:r>
        <w:rPr/>
        <w:t>the</w:t>
      </w:r>
      <w:r>
        <w:rPr>
          <w:spacing w:val="62"/>
        </w:rPr>
        <w:t> </w:t>
      </w:r>
      <w:r>
        <w:rPr>
          <w:spacing w:val="-2"/>
        </w:rPr>
        <w:t>possible</w:t>
      </w:r>
    </w:p>
    <w:p>
      <w:pPr>
        <w:spacing w:after="0" w:line="480" w:lineRule="auto"/>
        <w:jc w:val="both"/>
        <w:sectPr>
          <w:pgSz w:w="12240" w:h="15840"/>
          <w:pgMar w:header="0" w:footer="1066" w:top="1360" w:bottom="1260" w:left="1480" w:right="1160"/>
        </w:sectPr>
      </w:pPr>
    </w:p>
    <w:p>
      <w:pPr>
        <w:pStyle w:val="BodyText"/>
        <w:spacing w:line="480" w:lineRule="auto" w:before="72"/>
        <w:ind w:left="681" w:right="278"/>
        <w:jc w:val="both"/>
      </w:pPr>
      <w:r>
        <w:rPr/>
        <w:t>involvement of</w:t>
      </w:r>
      <w:r>
        <w:rPr>
          <w:spacing w:val="-2"/>
        </w:rPr>
        <w:t> </w:t>
      </w:r>
      <w:r>
        <w:rPr/>
        <w:t>serotonergic/histaminergic pathways on their anticonvulsant effects. This was</w:t>
      </w:r>
      <w:r>
        <w:rPr>
          <w:spacing w:val="-4"/>
        </w:rPr>
        <w:t> </w:t>
      </w:r>
      <w:r>
        <w:rPr/>
        <w:t>conducted</w:t>
      </w:r>
      <w:r>
        <w:rPr>
          <w:spacing w:val="-2"/>
        </w:rPr>
        <w:t> </w:t>
      </w:r>
      <w:r>
        <w:rPr/>
        <w:t>using</w:t>
      </w:r>
      <w:r>
        <w:rPr>
          <w:spacing w:val="-2"/>
        </w:rPr>
        <w:t> </w:t>
      </w:r>
      <w:r>
        <w:rPr/>
        <w:t>PTZ-induced seizures in mice. Mice</w:t>
      </w:r>
      <w:r>
        <w:rPr>
          <w:spacing w:val="-3"/>
        </w:rPr>
        <w:t> </w:t>
      </w:r>
      <w:r>
        <w:rPr/>
        <w:t>of</w:t>
      </w:r>
      <w:r>
        <w:rPr>
          <w:spacing w:val="-5"/>
        </w:rPr>
        <w:t> </w:t>
      </w:r>
      <w:r>
        <w:rPr/>
        <w:t>both</w:t>
      </w:r>
      <w:r>
        <w:rPr>
          <w:spacing w:val="-2"/>
        </w:rPr>
        <w:t> </w:t>
      </w:r>
      <w:r>
        <w:rPr/>
        <w:t>sexes</w:t>
      </w:r>
      <w:r>
        <w:rPr>
          <w:spacing w:val="-4"/>
        </w:rPr>
        <w:t> </w:t>
      </w:r>
      <w:r>
        <w:rPr/>
        <w:t>were</w:t>
      </w:r>
      <w:r>
        <w:rPr>
          <w:spacing w:val="-3"/>
        </w:rPr>
        <w:t> </w:t>
      </w:r>
      <w:r>
        <w:rPr/>
        <w:t>divided into eight groups of six mice each. Group 1 served as control, while Groups 2, 4, 6 and 8 received cyproheptadine at the dose of 4 mg/kg (Yau, 2013). Fifteen minutes after cyproheptadine administration, groups 3 and 4 received DCP23 at 50 mg/kg; groups 5</w:t>
      </w:r>
      <w:r>
        <w:rPr>
          <w:spacing w:val="40"/>
        </w:rPr>
        <w:t> </w:t>
      </w:r>
      <w:r>
        <w:rPr/>
        <w:t>and 6 received DCP25 at 50 mg/kg while groups 7 and 8 received DCP34 at 50 mg/kg, via intraperitoneal route. Thirty minutes post treatment all the mice from groups 1 to 8 were administered PTZ (90 mg/kg, s.c.); and were observed for presence or absence of threshold seizure as previously described by Swinyard (1969).</w:t>
      </w:r>
    </w:p>
    <w:p>
      <w:pPr>
        <w:pStyle w:val="BodyText"/>
      </w:pPr>
    </w:p>
    <w:p>
      <w:pPr>
        <w:pStyle w:val="BodyText"/>
        <w:spacing w:before="7"/>
      </w:pPr>
    </w:p>
    <w:p>
      <w:pPr>
        <w:pStyle w:val="Heading2"/>
        <w:numPr>
          <w:ilvl w:val="2"/>
          <w:numId w:val="13"/>
        </w:numPr>
        <w:tabs>
          <w:tab w:pos="1342" w:val="left" w:leader="none"/>
        </w:tabs>
        <w:spacing w:line="240" w:lineRule="auto" w:before="0" w:after="0"/>
        <w:ind w:left="1342" w:right="0" w:hanging="661"/>
        <w:jc w:val="both"/>
      </w:pPr>
      <w:bookmarkStart w:name="_TOC_250023" w:id="61"/>
      <w:r>
        <w:rPr/>
        <w:t>Diazepam-induced</w:t>
      </w:r>
      <w:r>
        <w:rPr>
          <w:spacing w:val="-2"/>
        </w:rPr>
        <w:t> </w:t>
      </w:r>
      <w:r>
        <w:rPr/>
        <w:t>sleeping</w:t>
      </w:r>
      <w:r>
        <w:rPr>
          <w:spacing w:val="-2"/>
        </w:rPr>
        <w:t> </w:t>
      </w:r>
      <w:r>
        <w:rPr/>
        <w:t>time</w:t>
      </w:r>
      <w:r>
        <w:rPr>
          <w:spacing w:val="-3"/>
        </w:rPr>
        <w:t> </w:t>
      </w:r>
      <w:r>
        <w:rPr/>
        <w:t>in</w:t>
      </w:r>
      <w:r>
        <w:rPr>
          <w:spacing w:val="-1"/>
        </w:rPr>
        <w:t> </w:t>
      </w:r>
      <w:bookmarkEnd w:id="61"/>
      <w:r>
        <w:rPr>
          <w:spacing w:val="-4"/>
        </w:rPr>
        <w:t>mice</w:t>
      </w:r>
    </w:p>
    <w:p>
      <w:pPr>
        <w:pStyle w:val="BodyText"/>
        <w:spacing w:line="480" w:lineRule="auto" w:before="272"/>
        <w:ind w:left="681" w:right="280"/>
        <w:jc w:val="both"/>
      </w:pPr>
      <w:r>
        <w:rPr/>
        <w:t>Mice of either sex were divided into four groups of six mice each. Animals in group 1 received normal</w:t>
      </w:r>
      <w:r>
        <w:rPr>
          <w:spacing w:val="-2"/>
        </w:rPr>
        <w:t> </w:t>
      </w:r>
      <w:r>
        <w:rPr/>
        <w:t>saline</w:t>
      </w:r>
      <w:r>
        <w:rPr>
          <w:spacing w:val="-3"/>
        </w:rPr>
        <w:t> </w:t>
      </w:r>
      <w:r>
        <w:rPr/>
        <w:t>(10 ml/kg) and</w:t>
      </w:r>
      <w:r>
        <w:rPr>
          <w:spacing w:val="-2"/>
        </w:rPr>
        <w:t> </w:t>
      </w:r>
      <w:r>
        <w:rPr/>
        <w:t>served as control, while</w:t>
      </w:r>
      <w:r>
        <w:rPr>
          <w:spacing w:val="-3"/>
        </w:rPr>
        <w:t> </w:t>
      </w:r>
      <w:r>
        <w:rPr/>
        <w:t>those in</w:t>
      </w:r>
      <w:r>
        <w:rPr>
          <w:spacing w:val="-2"/>
        </w:rPr>
        <w:t> </w:t>
      </w:r>
      <w:r>
        <w:rPr/>
        <w:t>Groups</w:t>
      </w:r>
      <w:r>
        <w:rPr>
          <w:spacing w:val="-4"/>
        </w:rPr>
        <w:t> </w:t>
      </w:r>
      <w:r>
        <w:rPr/>
        <w:t>2, 3</w:t>
      </w:r>
      <w:r>
        <w:rPr>
          <w:spacing w:val="-2"/>
        </w:rPr>
        <w:t> </w:t>
      </w:r>
      <w:r>
        <w:rPr/>
        <w:t>and 4 received DCP23 and DCP25 and DCP34 at 50, 25 and 12.5 mg/kg. Thirty minutes after treatment, all animals were administered diazepam (20 mg/kg, i.p.). Each mouse was observed for the onset and duration of sleep, with the criterion of sleep being loss of righting reflex (Wambebe, 1985; Amos </w:t>
      </w:r>
      <w:r>
        <w:rPr>
          <w:i/>
        </w:rPr>
        <w:t>et al</w:t>
      </w:r>
      <w:r>
        <w:rPr/>
        <w:t>., 2001). The time from the loss of righting reflex to recovery was recorded as sleeping time (Soulimani </w:t>
      </w:r>
      <w:r>
        <w:rPr>
          <w:i/>
        </w:rPr>
        <w:t>et al</w:t>
      </w:r>
      <w:r>
        <w:rPr/>
        <w:t>., 2001).</w:t>
      </w:r>
    </w:p>
    <w:p>
      <w:pPr>
        <w:pStyle w:val="BodyText"/>
      </w:pPr>
    </w:p>
    <w:p>
      <w:pPr>
        <w:pStyle w:val="BodyText"/>
        <w:spacing w:before="8"/>
      </w:pPr>
    </w:p>
    <w:p>
      <w:pPr>
        <w:pStyle w:val="Heading2"/>
        <w:numPr>
          <w:ilvl w:val="1"/>
          <w:numId w:val="13"/>
        </w:numPr>
        <w:tabs>
          <w:tab w:pos="1126" w:val="left" w:leader="none"/>
        </w:tabs>
        <w:spacing w:line="237" w:lineRule="auto" w:before="0" w:after="0"/>
        <w:ind w:left="681" w:right="272" w:firstLine="0"/>
        <w:jc w:val="both"/>
      </w:pPr>
      <w:r>
        <w:rPr/>
        <w:t>Actions of DCP23, DCP25 and DCP34 on Voltage-gated (Na</w:t>
      </w:r>
      <w:r>
        <w:rPr>
          <w:vertAlign w:val="subscript"/>
        </w:rPr>
        <w:t>v</w:t>
      </w:r>
      <w:r>
        <w:rPr>
          <w:vertAlign w:val="baseline"/>
        </w:rPr>
        <w:t>1.6) Sodium Channels Stably Expressed in Human Embryonic Kidney (HEK Cells 293)</w:t>
      </w:r>
    </w:p>
    <w:p>
      <w:pPr>
        <w:pStyle w:val="BodyText"/>
        <w:spacing w:line="480" w:lineRule="auto" w:before="272"/>
        <w:ind w:left="681" w:right="284"/>
        <w:jc w:val="both"/>
      </w:pPr>
      <w:r>
        <w:rPr/>
        <w:t>Human embryonic kidney cells (HEK Cells 293) stably expressing human Nav1.6 were grown in Dulbecco’s modified Eagle’s medium/F-12 media (Invitrogen, Carlsbad, CA) supplemented with</w:t>
      </w:r>
      <w:r>
        <w:rPr>
          <w:spacing w:val="-4"/>
        </w:rPr>
        <w:t> </w:t>
      </w:r>
      <w:r>
        <w:rPr/>
        <w:t>10%</w:t>
      </w:r>
      <w:r>
        <w:rPr>
          <w:spacing w:val="12"/>
        </w:rPr>
        <w:t> </w:t>
      </w:r>
      <w:r>
        <w:rPr/>
        <w:t>fetal</w:t>
      </w:r>
      <w:r>
        <w:rPr>
          <w:spacing w:val="1"/>
        </w:rPr>
        <w:t> </w:t>
      </w:r>
      <w:r>
        <w:rPr/>
        <w:t>bovine</w:t>
      </w:r>
      <w:r>
        <w:rPr>
          <w:spacing w:val="5"/>
        </w:rPr>
        <w:t> </w:t>
      </w:r>
      <w:r>
        <w:rPr/>
        <w:t>serum</w:t>
      </w:r>
      <w:r>
        <w:rPr>
          <w:spacing w:val="-4"/>
        </w:rPr>
        <w:t> </w:t>
      </w:r>
      <w:r>
        <w:rPr/>
        <w:t>and</w:t>
      </w:r>
      <w:r>
        <w:rPr>
          <w:spacing w:val="5"/>
        </w:rPr>
        <w:t> </w:t>
      </w:r>
      <w:r>
        <w:rPr/>
        <w:t>Geneticin</w:t>
      </w:r>
      <w:r>
        <w:rPr>
          <w:spacing w:val="1"/>
        </w:rPr>
        <w:t> </w:t>
      </w:r>
      <w:r>
        <w:rPr/>
        <w:t>(G418,</w:t>
      </w:r>
      <w:r>
        <w:rPr>
          <w:spacing w:val="2"/>
        </w:rPr>
        <w:t> </w:t>
      </w:r>
      <w:r>
        <w:rPr/>
        <w:t>500</w:t>
      </w:r>
      <w:r>
        <w:rPr>
          <w:spacing w:val="10"/>
        </w:rPr>
        <w:t> </w:t>
      </w:r>
      <w:r>
        <w:rPr/>
        <w:t>mg/ml</w:t>
      </w:r>
      <w:r>
        <w:rPr>
          <w:spacing w:val="-4"/>
        </w:rPr>
        <w:t> </w:t>
      </w:r>
      <w:r>
        <w:rPr/>
        <w:t>(2.5</w:t>
      </w:r>
      <w:r>
        <w:rPr>
          <w:spacing w:val="5"/>
        </w:rPr>
        <w:t> </w:t>
      </w:r>
      <w:r>
        <w:rPr>
          <w:spacing w:val="-2"/>
        </w:rPr>
        <w:t>ml/500</w:t>
      </w:r>
    </w:p>
    <w:p>
      <w:pPr>
        <w:spacing w:after="0" w:line="480" w:lineRule="auto"/>
        <w:jc w:val="both"/>
        <w:sectPr>
          <w:pgSz w:w="12240" w:h="15840"/>
          <w:pgMar w:header="0" w:footer="1066" w:top="1360" w:bottom="1260" w:left="1480" w:right="1160"/>
        </w:sectPr>
      </w:pPr>
    </w:p>
    <w:p>
      <w:pPr>
        <w:pStyle w:val="BodyText"/>
        <w:spacing w:line="480" w:lineRule="auto" w:before="72"/>
        <w:ind w:left="681" w:right="273"/>
        <w:jc w:val="both"/>
      </w:pPr>
      <w:r>
        <w:rPr/>
        <w:t>ml media); Sigma Aldrich). Cells were grown in a humidified atmosphere of 5% CO2</w:t>
      </w:r>
      <w:r>
        <w:rPr>
          <w:spacing w:val="40"/>
        </w:rPr>
        <w:t> </w:t>
      </w:r>
      <w:r>
        <w:rPr/>
        <w:t>and 95% air at 37°C. Sodium currents were recorded using the whole-cell configuration of the patch-clamp recording technique with an Axopatch 200 amplifier (Molecular Devices, Sunnyvale, CA). All voltage protocols were applied using pClamp 9 software (Molecular Devices) and a Digidata 1322A (Molecular Devices). Currents were amplified, low pass filtered (2 kHz), and sampled at 33 kHz. Borosilicate glass pipettes were pulled using a Brown-Flaming puller (model P97; Sutter Instruments Company, Novato, CA) and heat-polished to produce electrode resistances of 0.5 to 1.5 mΩ when filled with the following electrode solution: 130 mM CsCl, 1 mM MgCl2, 5 mM</w:t>
      </w:r>
      <w:r>
        <w:rPr>
          <w:spacing w:val="40"/>
        </w:rPr>
        <w:t> </w:t>
      </w:r>
      <w:r>
        <w:rPr/>
        <w:t>MgATP, 10</w:t>
      </w:r>
      <w:r>
        <w:rPr>
          <w:spacing w:val="-1"/>
        </w:rPr>
        <w:t> </w:t>
      </w:r>
      <w:r>
        <w:rPr/>
        <w:t>mM</w:t>
      </w:r>
      <w:r>
        <w:rPr>
          <w:spacing w:val="-3"/>
        </w:rPr>
        <w:t> </w:t>
      </w:r>
      <w:r>
        <w:rPr/>
        <w:t>BAPTA, and</w:t>
      </w:r>
      <w:r>
        <w:rPr>
          <w:spacing w:val="-1"/>
        </w:rPr>
        <w:t> </w:t>
      </w:r>
      <w:r>
        <w:rPr/>
        <w:t>5 mM</w:t>
      </w:r>
      <w:r>
        <w:rPr>
          <w:spacing w:val="-3"/>
        </w:rPr>
        <w:t> </w:t>
      </w:r>
      <w:r>
        <w:rPr/>
        <w:t>HEPES</w:t>
      </w:r>
      <w:r>
        <w:rPr>
          <w:spacing w:val="-1"/>
        </w:rPr>
        <w:t> </w:t>
      </w:r>
      <w:r>
        <w:rPr/>
        <w:t>(pH</w:t>
      </w:r>
      <w:r>
        <w:rPr>
          <w:spacing w:val="-6"/>
        </w:rPr>
        <w:t> </w:t>
      </w:r>
      <w:r>
        <w:rPr/>
        <w:t>adjusted</w:t>
      </w:r>
      <w:r>
        <w:rPr>
          <w:spacing w:val="-6"/>
        </w:rPr>
        <w:t> </w:t>
      </w:r>
      <w:r>
        <w:rPr/>
        <w:t>to 7.4</w:t>
      </w:r>
      <w:r>
        <w:rPr>
          <w:spacing w:val="-6"/>
        </w:rPr>
        <w:t> </w:t>
      </w:r>
      <w:r>
        <w:rPr/>
        <w:t>with</w:t>
      </w:r>
      <w:r>
        <w:rPr>
          <w:spacing w:val="-6"/>
        </w:rPr>
        <w:t> </w:t>
      </w:r>
      <w:r>
        <w:rPr/>
        <w:t>CsOH). Cells were plated on glass coverslips and superfused with solution containing the following composition:</w:t>
      </w:r>
      <w:r>
        <w:rPr>
          <w:spacing w:val="-2"/>
        </w:rPr>
        <w:t> </w:t>
      </w:r>
      <w:r>
        <w:rPr/>
        <w:t>130 mM</w:t>
      </w:r>
      <w:r>
        <w:rPr>
          <w:spacing w:val="-5"/>
        </w:rPr>
        <w:t> </w:t>
      </w:r>
      <w:r>
        <w:rPr/>
        <w:t>NaCl,</w:t>
      </w:r>
      <w:r>
        <w:rPr>
          <w:spacing w:val="-2"/>
        </w:rPr>
        <w:t> </w:t>
      </w:r>
      <w:r>
        <w:rPr/>
        <w:t>4 mM</w:t>
      </w:r>
      <w:r>
        <w:rPr>
          <w:spacing w:val="-5"/>
        </w:rPr>
        <w:t> </w:t>
      </w:r>
      <w:r>
        <w:rPr/>
        <w:t>KCl,</w:t>
      </w:r>
      <w:r>
        <w:rPr>
          <w:spacing w:val="-2"/>
        </w:rPr>
        <w:t> </w:t>
      </w:r>
      <w:r>
        <w:rPr/>
        <w:t>1 mM</w:t>
      </w:r>
      <w:r>
        <w:rPr>
          <w:spacing w:val="-5"/>
        </w:rPr>
        <w:t> </w:t>
      </w:r>
      <w:r>
        <w:rPr/>
        <w:t>CaCl2,</w:t>
      </w:r>
      <w:r>
        <w:rPr>
          <w:spacing w:val="-2"/>
        </w:rPr>
        <w:t> </w:t>
      </w:r>
      <w:r>
        <w:rPr/>
        <w:t>5 mM</w:t>
      </w:r>
      <w:r>
        <w:rPr>
          <w:spacing w:val="-5"/>
        </w:rPr>
        <w:t> </w:t>
      </w:r>
      <w:r>
        <w:rPr/>
        <w:t>MgCl2,</w:t>
      </w:r>
      <w:r>
        <w:rPr>
          <w:spacing w:val="-2"/>
        </w:rPr>
        <w:t> </w:t>
      </w:r>
      <w:r>
        <w:rPr/>
        <w:t>5 mM</w:t>
      </w:r>
      <w:r>
        <w:rPr>
          <w:spacing w:val="-5"/>
        </w:rPr>
        <w:t> </w:t>
      </w:r>
      <w:r>
        <w:rPr/>
        <w:t>HEPES,</w:t>
      </w:r>
      <w:r>
        <w:rPr>
          <w:spacing w:val="-2"/>
        </w:rPr>
        <w:t> </w:t>
      </w:r>
      <w:r>
        <w:rPr/>
        <w:t>and 5 mM glucose (pH adjusted to 7.4 with NaOH). All sodium channel current experiments were performed at room temperature (20–22°C). After establishing whole-cell configuration, a minimum series resistance compensation of 60% was applied, and cells were held at -60 mV or -100 mV for 5 minutes to account for any equilibrium gating shifts. After control recordings, compound solutions were applied for 5 min to allow for bath equilibration. Tonic block was assessed by comparing peak sodium current in drug- free conditions with peak current when drug was present. For the current – voltage experiment, the effect of the drug on the sodium currents was recorded during depolarization phase when the cells were not voltage clamped at either resting or inactivated states. Similarly the current reduction was assessed by comparing peak sodium current in drug-free conditions with peak current when drug was present.</w:t>
      </w:r>
    </w:p>
    <w:p>
      <w:pPr>
        <w:spacing w:after="0" w:line="480" w:lineRule="auto"/>
        <w:jc w:val="both"/>
        <w:sectPr>
          <w:pgSz w:w="12240" w:h="15840"/>
          <w:pgMar w:header="0" w:footer="1066" w:top="1360" w:bottom="1260" w:left="1480" w:right="1160"/>
        </w:sectPr>
      </w:pPr>
    </w:p>
    <w:p>
      <w:pPr>
        <w:pStyle w:val="Heading1"/>
        <w:spacing w:before="77"/>
        <w:ind w:left="394"/>
      </w:pPr>
      <w:r>
        <w:rPr/>
        <w:t>CHAPTER</w:t>
      </w:r>
      <w:r>
        <w:rPr>
          <w:spacing w:val="-9"/>
        </w:rPr>
        <w:t> </w:t>
      </w:r>
      <w:r>
        <w:rPr>
          <w:spacing w:val="-4"/>
        </w:rPr>
        <w:t>FOUR</w:t>
      </w:r>
    </w:p>
    <w:p>
      <w:pPr>
        <w:pStyle w:val="BodyText"/>
        <w:rPr>
          <w:b/>
        </w:rPr>
      </w:pPr>
    </w:p>
    <w:p>
      <w:pPr>
        <w:pStyle w:val="Heading1"/>
        <w:numPr>
          <w:ilvl w:val="1"/>
          <w:numId w:val="15"/>
        </w:numPr>
        <w:tabs>
          <w:tab w:pos="4636" w:val="left" w:leader="none"/>
        </w:tabs>
        <w:spacing w:line="240" w:lineRule="auto" w:before="0" w:after="0"/>
        <w:ind w:left="4636" w:right="0" w:hanging="364"/>
        <w:jc w:val="left"/>
      </w:pPr>
      <w:bookmarkStart w:name="_TOC_250022" w:id="62"/>
      <w:bookmarkEnd w:id="62"/>
      <w:r>
        <w:rPr>
          <w:spacing w:val="-2"/>
        </w:rPr>
        <w:t>RESULTS</w:t>
      </w:r>
    </w:p>
    <w:p>
      <w:pPr>
        <w:pStyle w:val="BodyText"/>
        <w:rPr>
          <w:b/>
        </w:rPr>
      </w:pPr>
    </w:p>
    <w:p>
      <w:pPr>
        <w:pStyle w:val="Heading2"/>
        <w:numPr>
          <w:ilvl w:val="1"/>
          <w:numId w:val="14"/>
        </w:numPr>
        <w:tabs>
          <w:tab w:pos="1045" w:val="left" w:leader="none"/>
        </w:tabs>
        <w:spacing w:line="240" w:lineRule="auto" w:before="1" w:after="0"/>
        <w:ind w:left="1045" w:right="0" w:hanging="364"/>
        <w:jc w:val="both"/>
      </w:pPr>
      <w:bookmarkStart w:name="_TOC_250021" w:id="63"/>
      <w:r>
        <w:rPr/>
        <w:t>Purification,</w:t>
      </w:r>
      <w:r>
        <w:rPr>
          <w:spacing w:val="-4"/>
        </w:rPr>
        <w:t> </w:t>
      </w:r>
      <w:r>
        <w:rPr/>
        <w:t>Identification</w:t>
      </w:r>
      <w:r>
        <w:rPr>
          <w:spacing w:val="-2"/>
        </w:rPr>
        <w:t> </w:t>
      </w:r>
      <w:r>
        <w:rPr/>
        <w:t>and</w:t>
      </w:r>
      <w:r>
        <w:rPr>
          <w:spacing w:val="-3"/>
        </w:rPr>
        <w:t> </w:t>
      </w:r>
      <w:r>
        <w:rPr/>
        <w:t>Characterization</w:t>
      </w:r>
      <w:r>
        <w:rPr>
          <w:spacing w:val="-2"/>
        </w:rPr>
        <w:t> </w:t>
      </w:r>
      <w:r>
        <w:rPr/>
        <w:t>of</w:t>
      </w:r>
      <w:r>
        <w:rPr>
          <w:spacing w:val="-6"/>
        </w:rPr>
        <w:t> </w:t>
      </w:r>
      <w:r>
        <w:rPr/>
        <w:t>the</w:t>
      </w:r>
      <w:r>
        <w:rPr>
          <w:spacing w:val="-3"/>
        </w:rPr>
        <w:t> </w:t>
      </w:r>
      <w:r>
        <w:rPr/>
        <w:t>Test</w:t>
      </w:r>
      <w:bookmarkEnd w:id="63"/>
      <w:r>
        <w:rPr>
          <w:spacing w:val="-2"/>
        </w:rPr>
        <w:t> Compounds</w:t>
      </w:r>
    </w:p>
    <w:p>
      <w:pPr>
        <w:pStyle w:val="BodyText"/>
        <w:spacing w:line="480" w:lineRule="auto" w:before="271"/>
        <w:ind w:left="681" w:right="278"/>
        <w:jc w:val="both"/>
      </w:pPr>
      <w:r>
        <w:rPr/>
        <w:t>DCP25 and DCP34 were in the crystal form while DCP23 was semi solid. The</w:t>
      </w:r>
      <w:r>
        <w:rPr>
          <w:spacing w:val="40"/>
        </w:rPr>
        <w:t> </w:t>
      </w:r>
      <w:r>
        <w:rPr/>
        <w:t>percentage yield of DCP23 was highest followed by DCP25 and then DCP34. Melting point ranges of DCP25 and DCP34 were 60-62</w:t>
      </w:r>
      <w:r>
        <w:rPr>
          <w:vertAlign w:val="superscript"/>
        </w:rPr>
        <w:t>0</w:t>
      </w:r>
      <w:r>
        <w:rPr>
          <w:vertAlign w:val="baseline"/>
        </w:rPr>
        <w:t>C and 57-59</w:t>
      </w:r>
      <w:r>
        <w:rPr>
          <w:vertAlign w:val="superscript"/>
        </w:rPr>
        <w:t>0</w:t>
      </w:r>
      <w:r>
        <w:rPr>
          <w:vertAlign w:val="baseline"/>
        </w:rPr>
        <w:t>C respectively (Table 4.1).</w:t>
      </w:r>
    </w:p>
    <w:p>
      <w:pPr>
        <w:pStyle w:val="BodyText"/>
      </w:pPr>
    </w:p>
    <w:p>
      <w:pPr>
        <w:pStyle w:val="BodyText"/>
        <w:spacing w:before="5"/>
      </w:pPr>
    </w:p>
    <w:p>
      <w:pPr>
        <w:pStyle w:val="Heading2"/>
      </w:pPr>
      <w:r>
        <w:rPr/>
        <w:t>Table</w:t>
      </w:r>
      <w:r>
        <w:rPr>
          <w:spacing w:val="-4"/>
        </w:rPr>
        <w:t> </w:t>
      </w:r>
      <w:r>
        <w:rPr/>
        <w:t>4.1:</w:t>
      </w:r>
      <w:r>
        <w:rPr>
          <w:spacing w:val="1"/>
        </w:rPr>
        <w:t> </w:t>
      </w:r>
      <w:r>
        <w:rPr/>
        <w:t>Physicochemical</w:t>
      </w:r>
      <w:r>
        <w:rPr>
          <w:spacing w:val="-5"/>
        </w:rPr>
        <w:t> </w:t>
      </w:r>
      <w:r>
        <w:rPr/>
        <w:t>Properties</w:t>
      </w:r>
      <w:r>
        <w:rPr>
          <w:spacing w:val="-3"/>
        </w:rPr>
        <w:t> </w:t>
      </w:r>
      <w:r>
        <w:rPr/>
        <w:t>of DCP23,</w:t>
      </w:r>
      <w:r>
        <w:rPr>
          <w:spacing w:val="2"/>
        </w:rPr>
        <w:t> </w:t>
      </w:r>
      <w:r>
        <w:rPr/>
        <w:t>DCP25</w:t>
      </w:r>
      <w:r>
        <w:rPr>
          <w:spacing w:val="-1"/>
        </w:rPr>
        <w:t> </w:t>
      </w:r>
      <w:r>
        <w:rPr/>
        <w:t>and</w:t>
      </w:r>
      <w:r>
        <w:rPr>
          <w:spacing w:val="-4"/>
        </w:rPr>
        <w:t> </w:t>
      </w:r>
      <w:r>
        <w:rPr>
          <w:spacing w:val="-2"/>
        </w:rPr>
        <w:t>DCP34</w:t>
      </w:r>
    </w:p>
    <w:p>
      <w:pPr>
        <w:pStyle w:val="BodyText"/>
        <w:rPr>
          <w:b/>
          <w:sz w:val="20"/>
        </w:rPr>
      </w:pPr>
    </w:p>
    <w:p>
      <w:pPr>
        <w:pStyle w:val="BodyText"/>
        <w:spacing w:before="46"/>
        <w:rPr>
          <w:b/>
          <w:sz w:val="20"/>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7"/>
        <w:gridCol w:w="2881"/>
        <w:gridCol w:w="2096"/>
        <w:gridCol w:w="1915"/>
      </w:tblGrid>
      <w:tr>
        <w:trPr>
          <w:trHeight w:val="885" w:hRule="atLeast"/>
        </w:trPr>
        <w:tc>
          <w:tcPr>
            <w:tcW w:w="1747" w:type="dxa"/>
            <w:tcBorders>
              <w:top w:val="single" w:sz="6" w:space="0" w:color="000000"/>
              <w:bottom w:val="single" w:sz="6" w:space="0" w:color="000000"/>
            </w:tcBorders>
          </w:tcPr>
          <w:p>
            <w:pPr>
              <w:pStyle w:val="TableParagraph"/>
              <w:spacing w:before="32"/>
              <w:rPr>
                <w:sz w:val="24"/>
              </w:rPr>
            </w:pPr>
            <w:r>
              <w:rPr>
                <w:spacing w:val="-2"/>
                <w:sz w:val="24"/>
              </w:rPr>
              <w:t>Compound</w:t>
            </w:r>
          </w:p>
        </w:tc>
        <w:tc>
          <w:tcPr>
            <w:tcW w:w="2881" w:type="dxa"/>
            <w:tcBorders>
              <w:top w:val="single" w:sz="6" w:space="0" w:color="000000"/>
              <w:bottom w:val="single" w:sz="6" w:space="0" w:color="000000"/>
            </w:tcBorders>
          </w:tcPr>
          <w:p>
            <w:pPr>
              <w:pStyle w:val="TableParagraph"/>
              <w:spacing w:before="32"/>
              <w:ind w:left="414"/>
              <w:rPr>
                <w:sz w:val="24"/>
              </w:rPr>
            </w:pPr>
            <w:r>
              <w:rPr>
                <w:sz w:val="24"/>
              </w:rPr>
              <w:t>Physical</w:t>
            </w:r>
            <w:r>
              <w:rPr>
                <w:spacing w:val="-9"/>
                <w:sz w:val="24"/>
              </w:rPr>
              <w:t> </w:t>
            </w:r>
            <w:r>
              <w:rPr>
                <w:spacing w:val="-2"/>
                <w:sz w:val="24"/>
              </w:rPr>
              <w:t>appearance</w:t>
            </w:r>
          </w:p>
        </w:tc>
        <w:tc>
          <w:tcPr>
            <w:tcW w:w="2096" w:type="dxa"/>
            <w:tcBorders>
              <w:top w:val="single" w:sz="6" w:space="0" w:color="000000"/>
              <w:bottom w:val="single" w:sz="6" w:space="0" w:color="000000"/>
            </w:tcBorders>
          </w:tcPr>
          <w:p>
            <w:pPr>
              <w:pStyle w:val="TableParagraph"/>
              <w:spacing w:before="32"/>
              <w:ind w:left="414"/>
              <w:rPr>
                <w:sz w:val="24"/>
              </w:rPr>
            </w:pPr>
            <w:r>
              <w:rPr>
                <w:sz w:val="24"/>
              </w:rPr>
              <w:t>M. pt.</w:t>
            </w:r>
            <w:r>
              <w:rPr>
                <w:spacing w:val="-2"/>
                <w:sz w:val="24"/>
              </w:rPr>
              <w:t> </w:t>
            </w:r>
            <w:r>
              <w:rPr>
                <w:spacing w:val="-4"/>
                <w:sz w:val="24"/>
              </w:rPr>
              <w:t>(</w:t>
            </w:r>
            <w:r>
              <w:rPr>
                <w:spacing w:val="-4"/>
                <w:sz w:val="24"/>
                <w:vertAlign w:val="superscript"/>
              </w:rPr>
              <w:t>0</w:t>
            </w:r>
            <w:r>
              <w:rPr>
                <w:spacing w:val="-4"/>
                <w:sz w:val="24"/>
                <w:vertAlign w:val="baseline"/>
              </w:rPr>
              <w:t>C)</w:t>
            </w:r>
          </w:p>
        </w:tc>
        <w:tc>
          <w:tcPr>
            <w:tcW w:w="1915" w:type="dxa"/>
            <w:tcBorders>
              <w:top w:val="single" w:sz="6" w:space="0" w:color="000000"/>
              <w:bottom w:val="single" w:sz="6" w:space="0" w:color="000000"/>
            </w:tcBorders>
          </w:tcPr>
          <w:p>
            <w:pPr>
              <w:pStyle w:val="TableParagraph"/>
              <w:spacing w:before="32"/>
              <w:ind w:left="479"/>
              <w:rPr>
                <w:sz w:val="24"/>
              </w:rPr>
            </w:pPr>
            <w:r>
              <w:rPr>
                <w:sz w:val="24"/>
              </w:rPr>
              <w:t>%</w:t>
            </w:r>
            <w:r>
              <w:rPr>
                <w:spacing w:val="1"/>
                <w:sz w:val="24"/>
              </w:rPr>
              <w:t> </w:t>
            </w:r>
            <w:r>
              <w:rPr>
                <w:spacing w:val="-2"/>
                <w:sz w:val="24"/>
              </w:rPr>
              <w:t>Yield</w:t>
            </w:r>
          </w:p>
        </w:tc>
      </w:tr>
      <w:tr>
        <w:trPr>
          <w:trHeight w:val="655" w:hRule="atLeast"/>
        </w:trPr>
        <w:tc>
          <w:tcPr>
            <w:tcW w:w="1747" w:type="dxa"/>
            <w:tcBorders>
              <w:top w:val="single" w:sz="6" w:space="0" w:color="000000"/>
            </w:tcBorders>
          </w:tcPr>
          <w:p>
            <w:pPr>
              <w:pStyle w:val="TableParagraph"/>
              <w:spacing w:before="236"/>
              <w:rPr>
                <w:sz w:val="24"/>
              </w:rPr>
            </w:pPr>
            <w:r>
              <w:rPr>
                <w:spacing w:val="-2"/>
                <w:sz w:val="24"/>
              </w:rPr>
              <w:t>DCP23</w:t>
            </w:r>
          </w:p>
        </w:tc>
        <w:tc>
          <w:tcPr>
            <w:tcW w:w="2881" w:type="dxa"/>
            <w:tcBorders>
              <w:top w:val="single" w:sz="6" w:space="0" w:color="000000"/>
            </w:tcBorders>
          </w:tcPr>
          <w:p>
            <w:pPr>
              <w:pStyle w:val="TableParagraph"/>
              <w:spacing w:before="236"/>
              <w:ind w:left="414"/>
              <w:rPr>
                <w:sz w:val="24"/>
              </w:rPr>
            </w:pPr>
            <w:r>
              <w:rPr>
                <w:sz w:val="24"/>
              </w:rPr>
              <w:t>Brown</w:t>
            </w:r>
            <w:r>
              <w:rPr>
                <w:spacing w:val="-3"/>
                <w:sz w:val="24"/>
              </w:rPr>
              <w:t> </w:t>
            </w:r>
            <w:r>
              <w:rPr>
                <w:spacing w:val="-4"/>
                <w:sz w:val="24"/>
              </w:rPr>
              <w:t>oily</w:t>
            </w:r>
          </w:p>
        </w:tc>
        <w:tc>
          <w:tcPr>
            <w:tcW w:w="2096" w:type="dxa"/>
            <w:tcBorders>
              <w:top w:val="single" w:sz="6" w:space="0" w:color="000000"/>
            </w:tcBorders>
          </w:tcPr>
          <w:p>
            <w:pPr>
              <w:pStyle w:val="TableParagraph"/>
              <w:spacing w:before="236"/>
              <w:ind w:left="414"/>
              <w:rPr>
                <w:sz w:val="24"/>
              </w:rPr>
            </w:pPr>
            <w:r>
              <w:rPr>
                <w:sz w:val="24"/>
              </w:rPr>
              <w:t>Room</w:t>
            </w:r>
            <w:r>
              <w:rPr>
                <w:spacing w:val="-7"/>
                <w:sz w:val="24"/>
              </w:rPr>
              <w:t> </w:t>
            </w:r>
            <w:r>
              <w:rPr>
                <w:spacing w:val="-4"/>
                <w:sz w:val="24"/>
              </w:rPr>
              <w:t>temp</w:t>
            </w:r>
          </w:p>
        </w:tc>
        <w:tc>
          <w:tcPr>
            <w:tcW w:w="1915" w:type="dxa"/>
            <w:tcBorders>
              <w:top w:val="single" w:sz="6" w:space="0" w:color="000000"/>
            </w:tcBorders>
          </w:tcPr>
          <w:p>
            <w:pPr>
              <w:pStyle w:val="TableParagraph"/>
              <w:spacing w:before="236"/>
              <w:ind w:left="479"/>
              <w:rPr>
                <w:sz w:val="24"/>
              </w:rPr>
            </w:pPr>
            <w:r>
              <w:rPr>
                <w:spacing w:val="-4"/>
                <w:sz w:val="24"/>
              </w:rPr>
              <w:t>54.6</w:t>
            </w:r>
          </w:p>
        </w:tc>
      </w:tr>
      <w:tr>
        <w:trPr>
          <w:trHeight w:val="552" w:hRule="atLeast"/>
        </w:trPr>
        <w:tc>
          <w:tcPr>
            <w:tcW w:w="1747" w:type="dxa"/>
          </w:tcPr>
          <w:p>
            <w:pPr>
              <w:pStyle w:val="TableParagraph"/>
              <w:spacing w:before="133"/>
              <w:rPr>
                <w:sz w:val="24"/>
              </w:rPr>
            </w:pPr>
            <w:r>
              <w:rPr>
                <w:spacing w:val="-2"/>
                <w:sz w:val="24"/>
              </w:rPr>
              <w:t>DCP25</w:t>
            </w:r>
          </w:p>
        </w:tc>
        <w:tc>
          <w:tcPr>
            <w:tcW w:w="2881" w:type="dxa"/>
          </w:tcPr>
          <w:p>
            <w:pPr>
              <w:pStyle w:val="TableParagraph"/>
              <w:spacing w:before="133"/>
              <w:ind w:left="414"/>
              <w:rPr>
                <w:sz w:val="24"/>
              </w:rPr>
            </w:pPr>
            <w:r>
              <w:rPr>
                <w:sz w:val="24"/>
              </w:rPr>
              <w:t>Brown</w:t>
            </w:r>
            <w:r>
              <w:rPr>
                <w:spacing w:val="-1"/>
                <w:sz w:val="24"/>
              </w:rPr>
              <w:t> </w:t>
            </w:r>
            <w:r>
              <w:rPr>
                <w:spacing w:val="-2"/>
                <w:sz w:val="24"/>
              </w:rPr>
              <w:t>crystals</w:t>
            </w:r>
          </w:p>
        </w:tc>
        <w:tc>
          <w:tcPr>
            <w:tcW w:w="2096" w:type="dxa"/>
          </w:tcPr>
          <w:p>
            <w:pPr>
              <w:pStyle w:val="TableParagraph"/>
              <w:spacing w:before="133"/>
              <w:ind w:left="414"/>
              <w:rPr>
                <w:sz w:val="24"/>
              </w:rPr>
            </w:pPr>
            <w:r>
              <w:rPr>
                <w:sz w:val="24"/>
              </w:rPr>
              <w:t>60</w:t>
            </w:r>
            <w:r>
              <w:rPr>
                <w:spacing w:val="2"/>
                <w:sz w:val="24"/>
              </w:rPr>
              <w:t> </w:t>
            </w:r>
            <w:r>
              <w:rPr>
                <w:sz w:val="24"/>
              </w:rPr>
              <w:t>–</w:t>
            </w:r>
            <w:r>
              <w:rPr>
                <w:spacing w:val="2"/>
                <w:sz w:val="24"/>
              </w:rPr>
              <w:t> </w:t>
            </w:r>
            <w:r>
              <w:rPr>
                <w:spacing w:val="-5"/>
                <w:sz w:val="24"/>
              </w:rPr>
              <w:t>62</w:t>
            </w:r>
          </w:p>
        </w:tc>
        <w:tc>
          <w:tcPr>
            <w:tcW w:w="1915" w:type="dxa"/>
          </w:tcPr>
          <w:p>
            <w:pPr>
              <w:pStyle w:val="TableParagraph"/>
              <w:spacing w:before="133"/>
              <w:ind w:left="479"/>
              <w:rPr>
                <w:sz w:val="24"/>
              </w:rPr>
            </w:pPr>
            <w:r>
              <w:rPr>
                <w:spacing w:val="-4"/>
                <w:sz w:val="24"/>
              </w:rPr>
              <w:t>37.4</w:t>
            </w:r>
          </w:p>
        </w:tc>
      </w:tr>
      <w:tr>
        <w:trPr>
          <w:trHeight w:val="576" w:hRule="atLeast"/>
        </w:trPr>
        <w:tc>
          <w:tcPr>
            <w:tcW w:w="1747" w:type="dxa"/>
            <w:tcBorders>
              <w:bottom w:val="single" w:sz="6" w:space="0" w:color="000000"/>
            </w:tcBorders>
          </w:tcPr>
          <w:p>
            <w:pPr>
              <w:pStyle w:val="TableParagraph"/>
              <w:spacing w:before="133"/>
              <w:rPr>
                <w:sz w:val="24"/>
              </w:rPr>
            </w:pPr>
            <w:r>
              <w:rPr>
                <w:spacing w:val="-2"/>
                <w:sz w:val="24"/>
              </w:rPr>
              <w:t>DCP34</w:t>
            </w:r>
          </w:p>
        </w:tc>
        <w:tc>
          <w:tcPr>
            <w:tcW w:w="2881" w:type="dxa"/>
            <w:tcBorders>
              <w:bottom w:val="single" w:sz="6" w:space="0" w:color="000000"/>
            </w:tcBorders>
          </w:tcPr>
          <w:p>
            <w:pPr>
              <w:pStyle w:val="TableParagraph"/>
              <w:spacing w:before="133"/>
              <w:ind w:left="414"/>
              <w:rPr>
                <w:sz w:val="24"/>
              </w:rPr>
            </w:pPr>
            <w:r>
              <w:rPr>
                <w:sz w:val="24"/>
              </w:rPr>
              <w:t>Deep brown</w:t>
            </w:r>
            <w:r>
              <w:rPr>
                <w:spacing w:val="-5"/>
                <w:sz w:val="24"/>
              </w:rPr>
              <w:t> </w:t>
            </w:r>
            <w:r>
              <w:rPr>
                <w:spacing w:val="-2"/>
                <w:sz w:val="24"/>
              </w:rPr>
              <w:t>crystals</w:t>
            </w:r>
          </w:p>
        </w:tc>
        <w:tc>
          <w:tcPr>
            <w:tcW w:w="2096" w:type="dxa"/>
            <w:tcBorders>
              <w:bottom w:val="single" w:sz="6" w:space="0" w:color="000000"/>
            </w:tcBorders>
          </w:tcPr>
          <w:p>
            <w:pPr>
              <w:pStyle w:val="TableParagraph"/>
              <w:spacing w:before="133"/>
              <w:ind w:left="414"/>
              <w:rPr>
                <w:sz w:val="24"/>
              </w:rPr>
            </w:pPr>
            <w:r>
              <w:rPr>
                <w:sz w:val="24"/>
              </w:rPr>
              <w:t>57</w:t>
            </w:r>
            <w:r>
              <w:rPr>
                <w:spacing w:val="2"/>
                <w:sz w:val="24"/>
              </w:rPr>
              <w:t> </w:t>
            </w:r>
            <w:r>
              <w:rPr>
                <w:sz w:val="24"/>
              </w:rPr>
              <w:t>–</w:t>
            </w:r>
            <w:r>
              <w:rPr>
                <w:spacing w:val="2"/>
                <w:sz w:val="24"/>
              </w:rPr>
              <w:t> </w:t>
            </w:r>
            <w:r>
              <w:rPr>
                <w:spacing w:val="-5"/>
                <w:sz w:val="24"/>
              </w:rPr>
              <w:t>59</w:t>
            </w:r>
          </w:p>
        </w:tc>
        <w:tc>
          <w:tcPr>
            <w:tcW w:w="1915" w:type="dxa"/>
            <w:tcBorders>
              <w:bottom w:val="single" w:sz="6" w:space="0" w:color="000000"/>
            </w:tcBorders>
          </w:tcPr>
          <w:p>
            <w:pPr>
              <w:pStyle w:val="TableParagraph"/>
              <w:spacing w:before="133"/>
              <w:ind w:left="479"/>
              <w:rPr>
                <w:sz w:val="24"/>
              </w:rPr>
            </w:pPr>
            <w:r>
              <w:rPr>
                <w:spacing w:val="-4"/>
                <w:sz w:val="24"/>
              </w:rPr>
              <w:t>34.2</w:t>
            </w:r>
          </w:p>
        </w:tc>
      </w:tr>
      <w:tr>
        <w:trPr>
          <w:trHeight w:val="369" w:hRule="atLeast"/>
        </w:trPr>
        <w:tc>
          <w:tcPr>
            <w:tcW w:w="1747" w:type="dxa"/>
            <w:tcBorders>
              <w:top w:val="single" w:sz="6" w:space="0" w:color="000000"/>
            </w:tcBorders>
          </w:tcPr>
          <w:p>
            <w:pPr>
              <w:pStyle w:val="TableParagraph"/>
              <w:spacing w:line="256" w:lineRule="exact" w:before="93"/>
              <w:rPr>
                <w:sz w:val="24"/>
              </w:rPr>
            </w:pPr>
            <w:r>
              <w:rPr>
                <w:sz w:val="24"/>
              </w:rPr>
              <w:t>DCP23,</w:t>
            </w:r>
            <w:r>
              <w:rPr>
                <w:spacing w:val="32"/>
                <w:sz w:val="24"/>
              </w:rPr>
              <w:t>  </w:t>
            </w:r>
            <w:r>
              <w:rPr>
                <w:spacing w:val="-2"/>
                <w:sz w:val="24"/>
              </w:rPr>
              <w:t>DCP25</w:t>
            </w:r>
          </w:p>
        </w:tc>
        <w:tc>
          <w:tcPr>
            <w:tcW w:w="2881" w:type="dxa"/>
            <w:tcBorders>
              <w:top w:val="single" w:sz="6" w:space="0" w:color="000000"/>
            </w:tcBorders>
          </w:tcPr>
          <w:p>
            <w:pPr>
              <w:pStyle w:val="TableParagraph"/>
              <w:spacing w:line="256" w:lineRule="exact" w:before="93"/>
              <w:ind w:left="86"/>
              <w:rPr>
                <w:sz w:val="24"/>
              </w:rPr>
            </w:pPr>
            <w:r>
              <w:rPr>
                <w:sz w:val="24"/>
              </w:rPr>
              <w:t>and</w:t>
            </w:r>
            <w:r>
              <w:rPr>
                <w:spacing w:val="28"/>
                <w:sz w:val="24"/>
              </w:rPr>
              <w:t>  </w:t>
            </w:r>
            <w:r>
              <w:rPr>
                <w:sz w:val="24"/>
              </w:rPr>
              <w:t>DCP34</w:t>
            </w:r>
            <w:r>
              <w:rPr>
                <w:spacing w:val="25"/>
                <w:sz w:val="24"/>
              </w:rPr>
              <w:t>  </w:t>
            </w:r>
            <w:r>
              <w:rPr>
                <w:sz w:val="24"/>
              </w:rPr>
              <w:t>=</w:t>
            </w:r>
            <w:r>
              <w:rPr>
                <w:spacing w:val="25"/>
                <w:sz w:val="24"/>
              </w:rPr>
              <w:t>  </w:t>
            </w:r>
            <w:r>
              <w:rPr>
                <w:sz w:val="24"/>
              </w:rPr>
              <w:t>2,3-,</w:t>
            </w:r>
            <w:r>
              <w:rPr>
                <w:spacing w:val="27"/>
                <w:sz w:val="24"/>
              </w:rPr>
              <w:t>  </w:t>
            </w:r>
            <w:r>
              <w:rPr>
                <w:spacing w:val="-4"/>
                <w:sz w:val="24"/>
              </w:rPr>
              <w:t>2,5-</w:t>
            </w:r>
          </w:p>
        </w:tc>
        <w:tc>
          <w:tcPr>
            <w:tcW w:w="2096" w:type="dxa"/>
            <w:tcBorders>
              <w:top w:val="single" w:sz="6" w:space="0" w:color="000000"/>
            </w:tcBorders>
          </w:tcPr>
          <w:p>
            <w:pPr>
              <w:pStyle w:val="TableParagraph"/>
              <w:spacing w:line="256" w:lineRule="exact" w:before="93"/>
              <w:ind w:left="88"/>
              <w:rPr>
                <w:sz w:val="24"/>
              </w:rPr>
            </w:pPr>
            <w:r>
              <w:rPr>
                <w:sz w:val="24"/>
              </w:rPr>
              <w:t>and</w:t>
            </w:r>
            <w:r>
              <w:rPr>
                <w:spacing w:val="25"/>
                <w:sz w:val="24"/>
              </w:rPr>
              <w:t>  </w:t>
            </w:r>
            <w:r>
              <w:rPr>
                <w:sz w:val="24"/>
              </w:rPr>
              <w:t>3,4-</w:t>
            </w:r>
            <w:r>
              <w:rPr>
                <w:spacing w:val="26"/>
                <w:sz w:val="24"/>
              </w:rPr>
              <w:t>  </w:t>
            </w:r>
            <w:r>
              <w:rPr>
                <w:spacing w:val="-2"/>
                <w:sz w:val="24"/>
              </w:rPr>
              <w:t>Dichloro</w:t>
            </w:r>
          </w:p>
        </w:tc>
        <w:tc>
          <w:tcPr>
            <w:tcW w:w="1915" w:type="dxa"/>
            <w:tcBorders>
              <w:top w:val="single" w:sz="6" w:space="0" w:color="000000"/>
            </w:tcBorders>
          </w:tcPr>
          <w:p>
            <w:pPr>
              <w:pStyle w:val="TableParagraph"/>
              <w:spacing w:line="256" w:lineRule="exact" w:before="93"/>
              <w:ind w:left="90"/>
              <w:rPr>
                <w:sz w:val="24"/>
              </w:rPr>
            </w:pPr>
            <w:r>
              <w:rPr>
                <w:sz w:val="24"/>
              </w:rPr>
              <w:t>–</w:t>
            </w:r>
            <w:r>
              <w:rPr>
                <w:spacing w:val="26"/>
                <w:sz w:val="24"/>
              </w:rPr>
              <w:t>  </w:t>
            </w:r>
            <w:r>
              <w:rPr>
                <w:spacing w:val="-2"/>
                <w:sz w:val="24"/>
              </w:rPr>
              <w:t>3(aminophenyl)</w:t>
            </w:r>
          </w:p>
        </w:tc>
      </w:tr>
    </w:tbl>
    <w:p>
      <w:pPr>
        <w:pStyle w:val="BodyText"/>
        <w:ind w:left="681"/>
      </w:pPr>
      <w:r>
        <w:rPr>
          <w:spacing w:val="-2"/>
        </w:rPr>
        <w:t>propanamides</w:t>
      </w:r>
    </w:p>
    <w:p>
      <w:pPr>
        <w:spacing w:after="0"/>
        <w:sectPr>
          <w:pgSz w:w="12240" w:h="15840"/>
          <w:pgMar w:header="0" w:footer="1066" w:top="1360" w:bottom="1260" w:left="1480" w:right="1160"/>
        </w:sectPr>
      </w:pPr>
    </w:p>
    <w:p>
      <w:pPr>
        <w:pStyle w:val="BodyText"/>
        <w:spacing w:line="480" w:lineRule="auto" w:before="72"/>
        <w:ind w:left="681" w:right="282"/>
        <w:jc w:val="both"/>
      </w:pPr>
      <w:r>
        <w:rPr/>
        <w:t>Thin layer chromatographic profile using ethylacetate as solvent system confirmed the appearance of a single spot for each compound. The R</w:t>
      </w:r>
      <w:r>
        <w:rPr>
          <w:vertAlign w:val="subscript"/>
        </w:rPr>
        <w:t>f</w:t>
      </w:r>
      <w:r>
        <w:rPr>
          <w:vertAlign w:val="baseline"/>
        </w:rPr>
        <w:t> values for DCP23, DCP25, and DCP34 were 0.64, 0.46 and 0.58, respectively (Table 4.2).</w:t>
      </w:r>
    </w:p>
    <w:p>
      <w:pPr>
        <w:pStyle w:val="BodyText"/>
        <w:spacing w:before="3"/>
      </w:pPr>
    </w:p>
    <w:p>
      <w:pPr>
        <w:pStyle w:val="Heading2"/>
        <w:spacing w:line="242" w:lineRule="auto"/>
        <w:ind w:right="281"/>
      </w:pPr>
      <w:r>
        <w:rPr/>
        <w:t>Table 4.2: Thin Layer Chromatographic Analysis of DCP23, DCP25 and DCP34 using Ethylacetate as Developing solvent</w:t>
      </w:r>
    </w:p>
    <w:p>
      <w:pPr>
        <w:pStyle w:val="BodyText"/>
        <w:rPr>
          <w:b/>
          <w:sz w:val="20"/>
        </w:rPr>
      </w:pPr>
    </w:p>
    <w:p>
      <w:pPr>
        <w:pStyle w:val="BodyText"/>
        <w:spacing w:before="19"/>
        <w:rPr>
          <w:b/>
          <w:sz w:val="20"/>
        </w:rPr>
      </w:pPr>
      <w:r>
        <w:rPr/>
        <mc:AlternateContent>
          <mc:Choice Requires="wps">
            <w:drawing>
              <wp:anchor distT="0" distB="0" distL="0" distR="0" allowOverlap="1" layoutInCell="1" locked="0" behindDoc="1" simplePos="0" relativeHeight="487625216">
                <wp:simplePos x="0" y="0"/>
                <wp:positionH relativeFrom="page">
                  <wp:posOffset>1371600</wp:posOffset>
                </wp:positionH>
                <wp:positionV relativeFrom="paragraph">
                  <wp:posOffset>173806</wp:posOffset>
                </wp:positionV>
                <wp:extent cx="5486400"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3.685547pt;width:432pt;height:.1pt;mso-position-horizontal-relative:page;mso-position-vertical-relative:paragraph;z-index:-15691264;mso-wrap-distance-left:0;mso-wrap-distance-right:0" id="docshape73" coordorigin="2160,274" coordsize="8640,0" path="m2160,274l10800,274e" filled="false" stroked="true" strokeweight=".75pt" strokecolor="#000000">
                <v:path arrowok="t"/>
                <v:stroke dashstyle="solid"/>
                <w10:wrap type="topAndBottom"/>
              </v:shape>
            </w:pict>
          </mc:Fallback>
        </mc:AlternateContent>
      </w:r>
    </w:p>
    <w:p>
      <w:pPr>
        <w:pStyle w:val="BodyText"/>
        <w:tabs>
          <w:tab w:pos="2606" w:val="left" w:leader="none"/>
          <w:tab w:pos="5002" w:val="left" w:leader="none"/>
          <w:tab w:pos="5722" w:val="left" w:leader="none"/>
          <w:tab w:pos="7945" w:val="left" w:leader="none"/>
        </w:tabs>
        <w:spacing w:line="480" w:lineRule="auto" w:before="31"/>
        <w:ind w:left="2903" w:right="811" w:hanging="2223"/>
      </w:pPr>
      <w:r>
        <w:rPr>
          <w:spacing w:val="-2"/>
        </w:rPr>
        <w:t>Compound</w:t>
      </w:r>
      <w:r>
        <w:rPr/>
        <w:tab/>
        <w:t>Solute movement</w:t>
        <w:tab/>
        <w:t>Solvent movement</w:t>
        <w:tab/>
        <w:t>R</w:t>
      </w:r>
      <w:r>
        <w:rPr>
          <w:vertAlign w:val="subscript"/>
        </w:rPr>
        <w:t>f</w:t>
      </w:r>
      <w:r>
        <w:rPr>
          <w:spacing w:val="-15"/>
          <w:vertAlign w:val="baseline"/>
        </w:rPr>
        <w:t> </w:t>
      </w:r>
      <w:r>
        <w:rPr>
          <w:vertAlign w:val="baseline"/>
        </w:rPr>
        <w:t>Value </w:t>
      </w:r>
      <w:r>
        <w:rPr>
          <w:spacing w:val="-4"/>
          <w:vertAlign w:val="baseline"/>
        </w:rPr>
        <w:t>(cm)</w:t>
      </w:r>
      <w:r>
        <w:rPr>
          <w:vertAlign w:val="baseline"/>
        </w:rPr>
        <w:tab/>
        <w:tab/>
      </w:r>
      <w:r>
        <w:rPr>
          <w:spacing w:val="-4"/>
          <w:vertAlign w:val="baseline"/>
        </w:rPr>
        <w:t>(cm)</w:t>
      </w:r>
    </w:p>
    <w:p>
      <w:pPr>
        <w:pStyle w:val="BodyText"/>
        <w:tabs>
          <w:tab w:pos="2841" w:val="left" w:leader="none"/>
          <w:tab w:pos="5722" w:val="left" w:leader="none"/>
          <w:tab w:pos="8305" w:val="right" w:leader="none"/>
        </w:tabs>
        <w:ind w:left="681"/>
      </w:pPr>
      <w:r>
        <w:rPr/>
        <mc:AlternateContent>
          <mc:Choice Requires="wps">
            <w:drawing>
              <wp:anchor distT="0" distB="0" distL="0" distR="0" allowOverlap="1" layoutInCell="1" locked="0" behindDoc="0" simplePos="0" relativeHeight="15766528">
                <wp:simplePos x="0" y="0"/>
                <wp:positionH relativeFrom="page">
                  <wp:posOffset>1371600</wp:posOffset>
                </wp:positionH>
                <wp:positionV relativeFrom="paragraph">
                  <wp:posOffset>-153927</wp:posOffset>
                </wp:positionV>
                <wp:extent cx="5486400" cy="127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528" from="108pt,-12.120313pt" to="540pt,-12.120313pt" stroked="true" strokeweight=".75pt" strokecolor="#000000">
                <v:stroke dashstyle="solid"/>
                <w10:wrap type="none"/>
              </v:line>
            </w:pict>
          </mc:Fallback>
        </mc:AlternateContent>
      </w:r>
      <w:r>
        <w:rPr>
          <w:spacing w:val="-2"/>
        </w:rPr>
        <w:t>DCP23</w:t>
      </w:r>
      <w:r>
        <w:rPr/>
        <w:tab/>
      </w:r>
      <w:r>
        <w:rPr>
          <w:spacing w:val="-5"/>
        </w:rPr>
        <w:t>3.8</w:t>
      </w:r>
      <w:r>
        <w:rPr/>
        <w:tab/>
      </w:r>
      <w:r>
        <w:rPr>
          <w:spacing w:val="-5"/>
        </w:rPr>
        <w:t>5.9</w:t>
      </w:r>
      <w:r>
        <w:rPr/>
        <w:tab/>
      </w:r>
      <w:r>
        <w:rPr>
          <w:spacing w:val="-4"/>
        </w:rPr>
        <w:t>0.64</w:t>
      </w:r>
    </w:p>
    <w:p>
      <w:pPr>
        <w:pStyle w:val="BodyText"/>
        <w:tabs>
          <w:tab w:pos="2841" w:val="left" w:leader="none"/>
          <w:tab w:pos="5722" w:val="left" w:leader="none"/>
          <w:tab w:pos="8305" w:val="right" w:leader="none"/>
        </w:tabs>
        <w:spacing w:before="277"/>
        <w:ind w:left="681"/>
      </w:pPr>
      <w:r>
        <w:rPr>
          <w:spacing w:val="-2"/>
        </w:rPr>
        <w:t>DCP25</w:t>
      </w:r>
      <w:r>
        <w:rPr/>
        <w:tab/>
      </w:r>
      <w:r>
        <w:rPr>
          <w:spacing w:val="-5"/>
        </w:rPr>
        <w:t>2.4</w:t>
      </w:r>
      <w:r>
        <w:rPr/>
        <w:tab/>
      </w:r>
      <w:r>
        <w:rPr>
          <w:spacing w:val="-5"/>
        </w:rPr>
        <w:t>5.2</w:t>
      </w:r>
      <w:r>
        <w:rPr/>
        <w:tab/>
      </w:r>
      <w:r>
        <w:rPr>
          <w:spacing w:val="-4"/>
        </w:rPr>
        <w:t>0.46</w:t>
      </w:r>
    </w:p>
    <w:p>
      <w:pPr>
        <w:pStyle w:val="BodyText"/>
        <w:tabs>
          <w:tab w:pos="2841" w:val="left" w:leader="none"/>
          <w:tab w:pos="5722" w:val="left" w:leader="none"/>
          <w:tab w:pos="8305" w:val="right" w:leader="none"/>
        </w:tabs>
        <w:spacing w:before="276"/>
        <w:ind w:left="681"/>
      </w:pPr>
      <w:r>
        <w:rPr/>
        <mc:AlternateContent>
          <mc:Choice Requires="wps">
            <w:drawing>
              <wp:anchor distT="0" distB="0" distL="0" distR="0" allowOverlap="1" layoutInCell="1" locked="0" behindDoc="0" simplePos="0" relativeHeight="15767040">
                <wp:simplePos x="0" y="0"/>
                <wp:positionH relativeFrom="page">
                  <wp:posOffset>1371600</wp:posOffset>
                </wp:positionH>
                <wp:positionV relativeFrom="paragraph">
                  <wp:posOffset>356006</wp:posOffset>
                </wp:positionV>
                <wp:extent cx="5486400" cy="127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040" from="108pt,28.032032pt" to="540pt,28.032032pt" stroked="true" strokeweight=".75pt" strokecolor="#000000">
                <v:stroke dashstyle="solid"/>
                <w10:wrap type="none"/>
              </v:line>
            </w:pict>
          </mc:Fallback>
        </mc:AlternateContent>
      </w:r>
      <w:r>
        <w:rPr>
          <w:spacing w:val="-2"/>
        </w:rPr>
        <w:t>DCP34</w:t>
      </w:r>
      <w:r>
        <w:rPr/>
        <w:tab/>
      </w:r>
      <w:r>
        <w:rPr>
          <w:spacing w:val="-5"/>
        </w:rPr>
        <w:t>3.1</w:t>
      </w:r>
      <w:r>
        <w:rPr/>
        <w:tab/>
      </w:r>
      <w:r>
        <w:rPr>
          <w:spacing w:val="-5"/>
        </w:rPr>
        <w:t>5.3</w:t>
      </w:r>
      <w:r>
        <w:rPr/>
        <w:tab/>
      </w:r>
      <w:r>
        <w:rPr>
          <w:spacing w:val="-4"/>
        </w:rPr>
        <w:t>0.58</w:t>
      </w:r>
    </w:p>
    <w:p>
      <w:pPr>
        <w:pStyle w:val="BodyText"/>
        <w:spacing w:line="480" w:lineRule="auto" w:before="276"/>
        <w:ind w:left="681" w:right="282"/>
        <w:jc w:val="both"/>
      </w:pPr>
      <w:r>
        <w:rPr/>
        <w:t>DCP23, DCP25 and DCP34 = 2,3-, 2,5- and 3,4- Dichloro – 3(aminophenyl) </w:t>
      </w:r>
      <w:r>
        <w:rPr>
          <w:spacing w:val="-2"/>
        </w:rPr>
        <w:t>propanamides</w:t>
      </w:r>
    </w:p>
    <w:p>
      <w:pPr>
        <w:spacing w:after="0" w:line="480" w:lineRule="auto"/>
        <w:jc w:val="both"/>
        <w:sectPr>
          <w:pgSz w:w="12240" w:h="15840"/>
          <w:pgMar w:header="0" w:footer="1066" w:top="1360" w:bottom="1260" w:left="1480" w:right="1160"/>
        </w:sectPr>
      </w:pPr>
    </w:p>
    <w:p>
      <w:pPr>
        <w:pStyle w:val="BodyText"/>
        <w:spacing w:line="480" w:lineRule="auto" w:before="72"/>
        <w:ind w:left="681"/>
      </w:pPr>
      <w:r>
        <w:rPr/>
        <w:t>The</w:t>
      </w:r>
      <w:r>
        <w:rPr>
          <w:spacing w:val="40"/>
        </w:rPr>
        <w:t> </w:t>
      </w:r>
      <w:r>
        <w:rPr/>
        <w:t>pharmacophore</w:t>
      </w:r>
      <w:r>
        <w:rPr>
          <w:spacing w:val="40"/>
        </w:rPr>
        <w:t> </w:t>
      </w:r>
      <w:r>
        <w:rPr/>
        <w:t>distance</w:t>
      </w:r>
      <w:r>
        <w:rPr>
          <w:spacing w:val="40"/>
        </w:rPr>
        <w:t> </w:t>
      </w:r>
      <w:r>
        <w:rPr/>
        <w:t>between</w:t>
      </w:r>
      <w:r>
        <w:rPr>
          <w:spacing w:val="40"/>
        </w:rPr>
        <w:t> </w:t>
      </w:r>
      <w:r>
        <w:rPr/>
        <w:t>hydrogen</w:t>
      </w:r>
      <w:r>
        <w:rPr>
          <w:spacing w:val="40"/>
        </w:rPr>
        <w:t> </w:t>
      </w:r>
      <w:r>
        <w:rPr/>
        <w:t>bond</w:t>
      </w:r>
      <w:r>
        <w:rPr>
          <w:spacing w:val="40"/>
        </w:rPr>
        <w:t> </w:t>
      </w:r>
      <w:r>
        <w:rPr/>
        <w:t>acceptor/donor</w:t>
      </w:r>
      <w:r>
        <w:rPr>
          <w:spacing w:val="40"/>
        </w:rPr>
        <w:t> </w:t>
      </w:r>
      <w:r>
        <w:rPr/>
        <w:t>groups</w:t>
      </w:r>
      <w:r>
        <w:rPr>
          <w:spacing w:val="40"/>
        </w:rPr>
        <w:t> </w:t>
      </w:r>
      <w:r>
        <w:rPr/>
        <w:t>(HAD), donor group (D) and aryl</w:t>
      </w:r>
      <w:r>
        <w:rPr>
          <w:spacing w:val="-4"/>
        </w:rPr>
        <w:t> </w:t>
      </w:r>
      <w:r>
        <w:rPr/>
        <w:t>group (R) were 3.96, 4.36 and 6.49 A</w:t>
      </w:r>
      <w:r>
        <w:rPr>
          <w:vertAlign w:val="superscript"/>
        </w:rPr>
        <w:t>0</w:t>
      </w:r>
      <w:r>
        <w:rPr>
          <w:spacing w:val="-18"/>
          <w:vertAlign w:val="baseline"/>
        </w:rPr>
        <w:t> </w:t>
      </w:r>
      <w:r>
        <w:rPr>
          <w:vertAlign w:val="baseline"/>
        </w:rPr>
        <w:t>respectively</w:t>
      </w:r>
      <w:r>
        <w:rPr>
          <w:spacing w:val="-3"/>
          <w:vertAlign w:val="baseline"/>
        </w:rPr>
        <w:t> </w:t>
      </w:r>
      <w:r>
        <w:rPr>
          <w:vertAlign w:val="baseline"/>
        </w:rPr>
        <w:t>(Table 4.3).</w:t>
      </w:r>
    </w:p>
    <w:p>
      <w:pPr>
        <w:pStyle w:val="BodyText"/>
      </w:pPr>
    </w:p>
    <w:p>
      <w:pPr>
        <w:pStyle w:val="BodyText"/>
        <w:spacing w:before="5"/>
      </w:pPr>
    </w:p>
    <w:p>
      <w:pPr>
        <w:pStyle w:val="Heading2"/>
        <w:spacing w:before="1"/>
        <w:jc w:val="left"/>
      </w:pPr>
      <w:r>
        <w:rPr/>
        <w:t>Table</w:t>
      </w:r>
      <w:r>
        <w:rPr>
          <w:spacing w:val="-3"/>
        </w:rPr>
        <w:t> </w:t>
      </w:r>
      <w:r>
        <w:rPr/>
        <w:t>4.3: Pharmacophore</w:t>
      </w:r>
      <w:r>
        <w:rPr>
          <w:spacing w:val="-3"/>
        </w:rPr>
        <w:t> </w:t>
      </w:r>
      <w:r>
        <w:rPr/>
        <w:t>Units</w:t>
      </w:r>
      <w:r>
        <w:rPr>
          <w:spacing w:val="-3"/>
        </w:rPr>
        <w:t> </w:t>
      </w:r>
      <w:r>
        <w:rPr/>
        <w:t>of</w:t>
      </w:r>
      <w:r>
        <w:rPr>
          <w:spacing w:val="-5"/>
        </w:rPr>
        <w:t> </w:t>
      </w:r>
      <w:r>
        <w:rPr/>
        <w:t>the</w:t>
      </w:r>
      <w:r>
        <w:rPr>
          <w:spacing w:val="-2"/>
        </w:rPr>
        <w:t> </w:t>
      </w:r>
      <w:r>
        <w:rPr/>
        <w:t>Test</w:t>
      </w:r>
      <w:r>
        <w:rPr>
          <w:spacing w:val="-1"/>
        </w:rPr>
        <w:t> </w:t>
      </w:r>
      <w:r>
        <w:rPr/>
        <w:t>Compounds</w:t>
      </w:r>
      <w:r>
        <w:rPr>
          <w:spacing w:val="-3"/>
        </w:rPr>
        <w:t> </w:t>
      </w:r>
      <w:r>
        <w:rPr/>
        <w:t>and</w:t>
      </w:r>
      <w:r>
        <w:rPr>
          <w:spacing w:val="-1"/>
        </w:rPr>
        <w:t> </w:t>
      </w:r>
      <w:r>
        <w:rPr/>
        <w:t>their</w:t>
      </w:r>
      <w:r>
        <w:rPr>
          <w:spacing w:val="-7"/>
        </w:rPr>
        <w:t> </w:t>
      </w:r>
      <w:r>
        <w:rPr>
          <w:spacing w:val="-2"/>
        </w:rPr>
        <w:t>Distances</w:t>
      </w:r>
    </w:p>
    <w:p>
      <w:pPr>
        <w:pStyle w:val="BodyText"/>
        <w:rPr>
          <w:b/>
          <w:sz w:val="20"/>
        </w:rPr>
      </w:pPr>
    </w:p>
    <w:p>
      <w:pPr>
        <w:pStyle w:val="BodyText"/>
        <w:spacing w:before="130"/>
        <w:rPr>
          <w:b/>
          <w:sz w:val="20"/>
        </w:rPr>
      </w:pPr>
      <w:r>
        <w:rPr/>
        <mc:AlternateContent>
          <mc:Choice Requires="wps">
            <w:drawing>
              <wp:anchor distT="0" distB="0" distL="0" distR="0" allowOverlap="1" layoutInCell="1" locked="0" behindDoc="1" simplePos="0" relativeHeight="487626752">
                <wp:simplePos x="0" y="0"/>
                <wp:positionH relativeFrom="page">
                  <wp:posOffset>1371600</wp:posOffset>
                </wp:positionH>
                <wp:positionV relativeFrom="paragraph">
                  <wp:posOffset>243827</wp:posOffset>
                </wp:positionV>
                <wp:extent cx="5257800"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5257800" cy="1270"/>
                        </a:xfrm>
                        <a:custGeom>
                          <a:avLst/>
                          <a:gdLst/>
                          <a:ahLst/>
                          <a:cxnLst/>
                          <a:rect l="l" t="t" r="r" b="b"/>
                          <a:pathLst>
                            <a:path w="5257800" h="0">
                              <a:moveTo>
                                <a:pt x="0" y="0"/>
                              </a:moveTo>
                              <a:lnTo>
                                <a:pt x="5257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9.199024pt;width:414pt;height:.1pt;mso-position-horizontal-relative:page;mso-position-vertical-relative:paragraph;z-index:-15689728;mso-wrap-distance-left:0;mso-wrap-distance-right:0" id="docshape74" coordorigin="2160,384" coordsize="8280,0" path="m2160,384l10440,384e" filled="false" stroked="true" strokeweight=".75pt" strokecolor="#000000">
                <v:path arrowok="t"/>
                <v:stroke dashstyle="solid"/>
                <w10:wrap type="topAndBottom"/>
              </v:shape>
            </w:pict>
          </mc:Fallback>
        </mc:AlternateContent>
      </w:r>
    </w:p>
    <w:p>
      <w:pPr>
        <w:pStyle w:val="BodyText"/>
        <w:tabs>
          <w:tab w:pos="4281" w:val="left" w:leader="none"/>
        </w:tabs>
        <w:spacing w:line="550" w:lineRule="atLeast"/>
        <w:ind w:left="5722" w:right="858" w:hanging="5042"/>
      </w:pPr>
      <w:r>
        <w:rPr>
          <w:spacing w:val="-2"/>
        </w:rPr>
        <w:t>Pharmacophores</w:t>
      </w:r>
      <w:r>
        <w:rPr/>
        <w:tab/>
        <w:t>Distance</w:t>
      </w:r>
      <w:r>
        <w:rPr>
          <w:spacing w:val="-4"/>
        </w:rPr>
        <w:t> </w:t>
      </w:r>
      <w:r>
        <w:rPr/>
        <w:t>for</w:t>
      </w:r>
      <w:r>
        <w:rPr>
          <w:spacing w:val="-10"/>
        </w:rPr>
        <w:t> </w:t>
      </w:r>
      <w:r>
        <w:rPr/>
        <w:t>the</w:t>
      </w:r>
      <w:r>
        <w:rPr>
          <w:spacing w:val="-9"/>
        </w:rPr>
        <w:t> </w:t>
      </w:r>
      <w:r>
        <w:rPr/>
        <w:t>test</w:t>
      </w:r>
      <w:r>
        <w:rPr>
          <w:spacing w:val="-4"/>
        </w:rPr>
        <w:t> </w:t>
      </w:r>
      <w:r>
        <w:rPr/>
        <w:t>set</w:t>
      </w:r>
      <w:r>
        <w:rPr>
          <w:spacing w:val="-8"/>
        </w:rPr>
        <w:t> </w:t>
      </w:r>
      <w:r>
        <w:rPr/>
        <w:t>(Theoretical</w:t>
      </w:r>
      <w:r>
        <w:rPr>
          <w:spacing w:val="-12"/>
        </w:rPr>
        <w:t> </w:t>
      </w:r>
      <w:r>
        <w:rPr/>
        <w:t>Distance) </w:t>
      </w:r>
      <w:r>
        <w:rPr>
          <w:spacing w:val="-4"/>
        </w:rPr>
        <w:t>(A</w:t>
      </w:r>
      <w:r>
        <w:rPr>
          <w:spacing w:val="-4"/>
          <w:vertAlign w:val="superscript"/>
        </w:rPr>
        <w:t>0</w:t>
      </w:r>
      <w:r>
        <w:rPr>
          <w:spacing w:val="-4"/>
          <w:vertAlign w:val="baseline"/>
        </w:rPr>
        <w:t>)</w:t>
      </w:r>
    </w:p>
    <w:p>
      <w:pPr>
        <w:pStyle w:val="BodyText"/>
        <w:spacing w:before="3"/>
        <w:rPr>
          <w:sz w:val="13"/>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8"/>
        <w:gridCol w:w="5653"/>
        <w:gridCol w:w="181"/>
      </w:tblGrid>
      <w:tr>
        <w:trPr>
          <w:trHeight w:val="465" w:hRule="atLeast"/>
        </w:trPr>
        <w:tc>
          <w:tcPr>
            <w:tcW w:w="2628" w:type="dxa"/>
            <w:tcBorders>
              <w:top w:val="single" w:sz="6" w:space="0" w:color="000000"/>
            </w:tcBorders>
          </w:tcPr>
          <w:p>
            <w:pPr>
              <w:pStyle w:val="TableParagraph"/>
              <w:spacing w:before="46"/>
              <w:rPr>
                <w:sz w:val="24"/>
              </w:rPr>
            </w:pPr>
            <w:r>
              <w:rPr>
                <w:sz w:val="24"/>
              </w:rPr>
              <w:t>HAD</w:t>
            </w:r>
            <w:r>
              <w:rPr>
                <w:spacing w:val="-2"/>
                <w:sz w:val="24"/>
              </w:rPr>
              <w:t> </w:t>
            </w:r>
            <w:r>
              <w:rPr>
                <w:sz w:val="24"/>
              </w:rPr>
              <w:t>–</w:t>
            </w:r>
            <w:r>
              <w:rPr>
                <w:spacing w:val="-1"/>
                <w:sz w:val="24"/>
              </w:rPr>
              <w:t> </w:t>
            </w:r>
            <w:r>
              <w:rPr>
                <w:spacing w:val="-10"/>
                <w:sz w:val="24"/>
              </w:rPr>
              <w:t>D</w:t>
            </w:r>
          </w:p>
        </w:tc>
        <w:tc>
          <w:tcPr>
            <w:tcW w:w="5653" w:type="dxa"/>
            <w:tcBorders>
              <w:top w:val="single" w:sz="6" w:space="0" w:color="000000"/>
            </w:tcBorders>
          </w:tcPr>
          <w:p>
            <w:pPr>
              <w:pStyle w:val="TableParagraph"/>
              <w:spacing w:before="46"/>
              <w:ind w:left="1694"/>
              <w:rPr>
                <w:sz w:val="24"/>
              </w:rPr>
            </w:pPr>
            <w:r>
              <w:rPr>
                <w:sz w:val="24"/>
              </w:rPr>
              <w:t>3.96</w:t>
            </w:r>
            <w:r>
              <w:rPr>
                <w:spacing w:val="2"/>
                <w:sz w:val="24"/>
              </w:rPr>
              <w:t> </w:t>
            </w:r>
            <w:r>
              <w:rPr>
                <w:sz w:val="24"/>
              </w:rPr>
              <w:t>(3.9-</w:t>
            </w:r>
            <w:r>
              <w:rPr>
                <w:spacing w:val="-4"/>
                <w:sz w:val="24"/>
              </w:rPr>
              <w:t>5.5)</w:t>
            </w:r>
          </w:p>
        </w:tc>
        <w:tc>
          <w:tcPr>
            <w:tcW w:w="181" w:type="dxa"/>
          </w:tcPr>
          <w:p>
            <w:pPr>
              <w:pStyle w:val="TableParagraph"/>
              <w:rPr>
                <w:sz w:val="22"/>
              </w:rPr>
            </w:pPr>
          </w:p>
        </w:tc>
      </w:tr>
      <w:tr>
        <w:trPr>
          <w:trHeight w:val="552" w:hRule="atLeast"/>
        </w:trPr>
        <w:tc>
          <w:tcPr>
            <w:tcW w:w="2628" w:type="dxa"/>
          </w:tcPr>
          <w:p>
            <w:pPr>
              <w:pStyle w:val="TableParagraph"/>
              <w:spacing w:before="133"/>
              <w:rPr>
                <w:sz w:val="24"/>
              </w:rPr>
            </w:pPr>
            <w:r>
              <w:rPr>
                <w:sz w:val="24"/>
              </w:rPr>
              <w:t>D</w:t>
            </w:r>
            <w:r>
              <w:rPr>
                <w:spacing w:val="-1"/>
                <w:sz w:val="24"/>
              </w:rPr>
              <w:t> </w:t>
            </w:r>
            <w:r>
              <w:rPr>
                <w:sz w:val="24"/>
              </w:rPr>
              <w:t>–</w:t>
            </w:r>
            <w:r>
              <w:rPr>
                <w:spacing w:val="2"/>
                <w:sz w:val="24"/>
              </w:rPr>
              <w:t> </w:t>
            </w:r>
            <w:r>
              <w:rPr>
                <w:spacing w:val="-12"/>
                <w:sz w:val="24"/>
              </w:rPr>
              <w:t>R</w:t>
            </w:r>
          </w:p>
        </w:tc>
        <w:tc>
          <w:tcPr>
            <w:tcW w:w="5653" w:type="dxa"/>
          </w:tcPr>
          <w:p>
            <w:pPr>
              <w:pStyle w:val="TableParagraph"/>
              <w:spacing w:before="133"/>
              <w:ind w:left="1694"/>
              <w:rPr>
                <w:sz w:val="24"/>
              </w:rPr>
            </w:pPr>
            <w:r>
              <w:rPr>
                <w:sz w:val="24"/>
              </w:rPr>
              <w:t>4.36</w:t>
            </w:r>
            <w:r>
              <w:rPr>
                <w:spacing w:val="2"/>
                <w:sz w:val="24"/>
              </w:rPr>
              <w:t> </w:t>
            </w:r>
            <w:r>
              <w:rPr>
                <w:sz w:val="24"/>
              </w:rPr>
              <w:t>(3.2-</w:t>
            </w:r>
            <w:r>
              <w:rPr>
                <w:spacing w:val="-4"/>
                <w:sz w:val="24"/>
              </w:rPr>
              <w:t>5.1)</w:t>
            </w:r>
          </w:p>
        </w:tc>
        <w:tc>
          <w:tcPr>
            <w:tcW w:w="181" w:type="dxa"/>
          </w:tcPr>
          <w:p>
            <w:pPr>
              <w:pStyle w:val="TableParagraph"/>
              <w:rPr>
                <w:sz w:val="22"/>
              </w:rPr>
            </w:pPr>
          </w:p>
        </w:tc>
      </w:tr>
      <w:tr>
        <w:trPr>
          <w:trHeight w:val="551" w:hRule="atLeast"/>
        </w:trPr>
        <w:tc>
          <w:tcPr>
            <w:tcW w:w="2628" w:type="dxa"/>
            <w:tcBorders>
              <w:bottom w:val="single" w:sz="6" w:space="0" w:color="000000"/>
            </w:tcBorders>
          </w:tcPr>
          <w:p>
            <w:pPr>
              <w:pStyle w:val="TableParagraph"/>
              <w:spacing w:before="133"/>
              <w:rPr>
                <w:sz w:val="24"/>
              </w:rPr>
            </w:pPr>
            <w:r>
              <w:rPr>
                <w:sz w:val="24"/>
              </w:rPr>
              <w:t>R –</w:t>
            </w:r>
            <w:r>
              <w:rPr>
                <w:spacing w:val="2"/>
                <w:sz w:val="24"/>
              </w:rPr>
              <w:t> </w:t>
            </w:r>
            <w:r>
              <w:rPr>
                <w:spacing w:val="-5"/>
                <w:sz w:val="24"/>
              </w:rPr>
              <w:t>HAD</w:t>
            </w:r>
          </w:p>
        </w:tc>
        <w:tc>
          <w:tcPr>
            <w:tcW w:w="5653" w:type="dxa"/>
            <w:tcBorders>
              <w:bottom w:val="single" w:sz="6" w:space="0" w:color="000000"/>
            </w:tcBorders>
          </w:tcPr>
          <w:p>
            <w:pPr>
              <w:pStyle w:val="TableParagraph"/>
              <w:spacing w:before="133"/>
              <w:ind w:left="1694"/>
              <w:rPr>
                <w:sz w:val="24"/>
              </w:rPr>
            </w:pPr>
            <w:r>
              <w:rPr>
                <w:sz w:val="24"/>
              </w:rPr>
              <w:t>6.49</w:t>
            </w:r>
            <w:r>
              <w:rPr>
                <w:spacing w:val="2"/>
                <w:sz w:val="24"/>
              </w:rPr>
              <w:t> </w:t>
            </w:r>
            <w:r>
              <w:rPr>
                <w:sz w:val="24"/>
              </w:rPr>
              <w:t>(4.2-</w:t>
            </w:r>
            <w:r>
              <w:rPr>
                <w:spacing w:val="-4"/>
                <w:sz w:val="24"/>
              </w:rPr>
              <w:t>8.5)</w:t>
            </w:r>
          </w:p>
        </w:tc>
        <w:tc>
          <w:tcPr>
            <w:tcW w:w="181" w:type="dxa"/>
            <w:tcBorders>
              <w:bottom w:val="single" w:sz="6" w:space="0" w:color="000000"/>
            </w:tcBorders>
          </w:tcPr>
          <w:p>
            <w:pPr>
              <w:pStyle w:val="TableParagraph"/>
              <w:rPr>
                <w:sz w:val="22"/>
              </w:rPr>
            </w:pPr>
          </w:p>
        </w:tc>
      </w:tr>
    </w:tbl>
    <w:p>
      <w:pPr>
        <w:pStyle w:val="BodyText"/>
        <w:spacing w:before="112"/>
        <w:ind w:left="681"/>
      </w:pPr>
      <w:r>
        <w:rPr/>
        <w:t>HAD</w:t>
      </w:r>
      <w:r>
        <w:rPr>
          <w:spacing w:val="-3"/>
        </w:rPr>
        <w:t> </w:t>
      </w:r>
      <w:r>
        <w:rPr/>
        <w:t>=</w:t>
      </w:r>
      <w:r>
        <w:rPr>
          <w:spacing w:val="-1"/>
        </w:rPr>
        <w:t> </w:t>
      </w:r>
      <w:r>
        <w:rPr/>
        <w:t>Hydrogen</w:t>
      </w:r>
      <w:r>
        <w:rPr>
          <w:spacing w:val="-5"/>
        </w:rPr>
        <w:t> </w:t>
      </w:r>
      <w:r>
        <w:rPr/>
        <w:t>bond acceptor/donor</w:t>
      </w:r>
      <w:r>
        <w:rPr>
          <w:spacing w:val="1"/>
        </w:rPr>
        <w:t> </w:t>
      </w:r>
      <w:r>
        <w:rPr/>
        <w:t>group,</w:t>
      </w:r>
      <w:r>
        <w:rPr>
          <w:spacing w:val="-3"/>
        </w:rPr>
        <w:t> </w:t>
      </w:r>
      <w:r>
        <w:rPr/>
        <w:t>D</w:t>
      </w:r>
      <w:r>
        <w:rPr>
          <w:spacing w:val="-1"/>
        </w:rPr>
        <w:t> </w:t>
      </w:r>
      <w:r>
        <w:rPr/>
        <w:t>=</w:t>
      </w:r>
      <w:r>
        <w:rPr>
          <w:spacing w:val="-6"/>
        </w:rPr>
        <w:t> </w:t>
      </w:r>
      <w:r>
        <w:rPr/>
        <w:t>Donor</w:t>
      </w:r>
      <w:r>
        <w:rPr>
          <w:spacing w:val="1"/>
        </w:rPr>
        <w:t> </w:t>
      </w:r>
      <w:r>
        <w:rPr/>
        <w:t>group,</w:t>
      </w:r>
      <w:r>
        <w:rPr>
          <w:spacing w:val="-3"/>
        </w:rPr>
        <w:t> </w:t>
      </w:r>
      <w:r>
        <w:rPr/>
        <w:t>R</w:t>
      </w:r>
      <w:r>
        <w:rPr>
          <w:spacing w:val="-2"/>
        </w:rPr>
        <w:t> </w:t>
      </w:r>
      <w:r>
        <w:rPr/>
        <w:t>=</w:t>
      </w:r>
      <w:r>
        <w:rPr>
          <w:spacing w:val="-1"/>
        </w:rPr>
        <w:t> </w:t>
      </w:r>
      <w:r>
        <w:rPr/>
        <w:t>Aryl</w:t>
      </w:r>
      <w:r>
        <w:rPr>
          <w:spacing w:val="-8"/>
        </w:rPr>
        <w:t> </w:t>
      </w:r>
      <w:r>
        <w:rPr>
          <w:spacing w:val="-2"/>
        </w:rPr>
        <w:t>group</w:t>
      </w:r>
    </w:p>
    <w:p>
      <w:pPr>
        <w:spacing w:after="0"/>
        <w:sectPr>
          <w:pgSz w:w="12240" w:h="15840"/>
          <w:pgMar w:header="0" w:footer="1066" w:top="1360" w:bottom="1260" w:left="1480" w:right="1160"/>
        </w:sectPr>
      </w:pPr>
    </w:p>
    <w:p>
      <w:pPr>
        <w:pStyle w:val="BodyText"/>
        <w:spacing w:line="480" w:lineRule="auto" w:before="72"/>
        <w:ind w:left="681"/>
      </w:pPr>
      <w:r>
        <w:rPr/>
        <w:t>Infrared</w:t>
      </w:r>
      <w:r>
        <w:rPr>
          <w:spacing w:val="40"/>
        </w:rPr>
        <w:t> </w:t>
      </w:r>
      <w:r>
        <w:rPr/>
        <w:t>spectra</w:t>
      </w:r>
      <w:r>
        <w:rPr>
          <w:spacing w:val="40"/>
        </w:rPr>
        <w:t> </w:t>
      </w:r>
      <w:r>
        <w:rPr/>
        <w:t>revealed</w:t>
      </w:r>
      <w:r>
        <w:rPr>
          <w:spacing w:val="40"/>
        </w:rPr>
        <w:t> </w:t>
      </w:r>
      <w:r>
        <w:rPr/>
        <w:t>the</w:t>
      </w:r>
      <w:r>
        <w:rPr>
          <w:spacing w:val="40"/>
        </w:rPr>
        <w:t> </w:t>
      </w:r>
      <w:r>
        <w:rPr/>
        <w:t>presence</w:t>
      </w:r>
      <w:r>
        <w:rPr>
          <w:spacing w:val="40"/>
        </w:rPr>
        <w:t> </w:t>
      </w:r>
      <w:r>
        <w:rPr/>
        <w:t>of</w:t>
      </w:r>
      <w:r>
        <w:rPr>
          <w:spacing w:val="40"/>
        </w:rPr>
        <w:t> </w:t>
      </w:r>
      <w:r>
        <w:rPr/>
        <w:t>the</w:t>
      </w:r>
      <w:r>
        <w:rPr>
          <w:spacing w:val="40"/>
        </w:rPr>
        <w:t> </w:t>
      </w:r>
      <w:r>
        <w:rPr/>
        <w:t>expected</w:t>
      </w:r>
      <w:r>
        <w:rPr>
          <w:spacing w:val="40"/>
        </w:rPr>
        <w:t> </w:t>
      </w:r>
      <w:r>
        <w:rPr/>
        <w:t>functional</w:t>
      </w:r>
      <w:r>
        <w:rPr>
          <w:spacing w:val="40"/>
        </w:rPr>
        <w:t> </w:t>
      </w:r>
      <w:r>
        <w:rPr/>
        <w:t>groups</w:t>
      </w:r>
      <w:r>
        <w:rPr>
          <w:spacing w:val="40"/>
        </w:rPr>
        <w:t> </w:t>
      </w:r>
      <w:r>
        <w:rPr/>
        <w:t>within</w:t>
      </w:r>
      <w:r>
        <w:rPr>
          <w:spacing w:val="40"/>
        </w:rPr>
        <w:t> </w:t>
      </w:r>
      <w:r>
        <w:rPr/>
        <w:t>the</w:t>
      </w:r>
      <w:r>
        <w:rPr>
          <w:spacing w:val="40"/>
        </w:rPr>
        <w:t> </w:t>
      </w:r>
      <w:r>
        <w:rPr/>
        <w:t>theoretical frequency ranges (Table 4.4).</w:t>
      </w:r>
    </w:p>
    <w:p>
      <w:pPr>
        <w:pStyle w:val="BodyText"/>
      </w:pPr>
    </w:p>
    <w:p>
      <w:pPr>
        <w:pStyle w:val="BodyText"/>
        <w:spacing w:before="5"/>
      </w:pPr>
    </w:p>
    <w:p>
      <w:pPr>
        <w:pStyle w:val="Heading2"/>
        <w:spacing w:line="480" w:lineRule="auto" w:before="1"/>
        <w:jc w:val="left"/>
      </w:pPr>
      <w:r>
        <w:rPr/>
        <w:t>Table 4.4: Infrared Spectra Data for 2,3-, 2,5- and 3,4- Dichloro – 3(aminophenyl)</w:t>
      </w:r>
      <w:r>
        <w:rPr>
          <w:spacing w:val="40"/>
        </w:rPr>
        <w:t> </w:t>
      </w:r>
      <w:r>
        <w:rPr>
          <w:spacing w:val="-2"/>
        </w:rPr>
        <w:t>propanamides</w:t>
      </w:r>
    </w:p>
    <w:p>
      <w:pPr>
        <w:pStyle w:val="BodyText"/>
        <w:spacing w:before="72"/>
        <w:rPr>
          <w:b/>
          <w:sz w:val="20"/>
        </w:rPr>
      </w:pPr>
      <w:r>
        <w:rPr/>
        <mc:AlternateContent>
          <mc:Choice Requires="wps">
            <w:drawing>
              <wp:anchor distT="0" distB="0" distL="0" distR="0" allowOverlap="1" layoutInCell="1" locked="0" behindDoc="1" simplePos="0" relativeHeight="487627264">
                <wp:simplePos x="0" y="0"/>
                <wp:positionH relativeFrom="page">
                  <wp:posOffset>1371600</wp:posOffset>
                </wp:positionH>
                <wp:positionV relativeFrom="paragraph">
                  <wp:posOffset>207158</wp:posOffset>
                </wp:positionV>
                <wp:extent cx="5486400"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6.311718pt;width:432pt;height:.1pt;mso-position-horizontal-relative:page;mso-position-vertical-relative:paragraph;z-index:-15689216;mso-wrap-distance-left:0;mso-wrap-distance-right:0" id="docshape75" coordorigin="2160,326" coordsize="8640,0" path="m2160,326l10800,326e" filled="false" stroked="true" strokeweight=".75pt" strokecolor="#000000">
                <v:path arrowok="t"/>
                <v:stroke dashstyle="solid"/>
                <w10:wrap type="topAndBottom"/>
              </v:shape>
            </w:pict>
          </mc:Fallback>
        </mc:AlternateContent>
      </w:r>
    </w:p>
    <w:p>
      <w:pPr>
        <w:pStyle w:val="BodyText"/>
        <w:spacing w:before="5"/>
        <w:rPr>
          <w:b/>
          <w:sz w:val="19"/>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4"/>
        <w:gridCol w:w="1344"/>
        <w:gridCol w:w="1355"/>
        <w:gridCol w:w="1234"/>
        <w:gridCol w:w="1150"/>
        <w:gridCol w:w="1203"/>
        <w:gridCol w:w="985"/>
        <w:gridCol w:w="181"/>
      </w:tblGrid>
      <w:tr>
        <w:trPr>
          <w:trHeight w:val="1020" w:hRule="atLeast"/>
        </w:trPr>
        <w:tc>
          <w:tcPr>
            <w:tcW w:w="1374" w:type="dxa"/>
            <w:tcBorders>
              <w:bottom w:val="single" w:sz="6" w:space="0" w:color="000000"/>
            </w:tcBorders>
          </w:tcPr>
          <w:p>
            <w:pPr>
              <w:pStyle w:val="TableParagraph"/>
              <w:spacing w:line="266" w:lineRule="exact"/>
              <w:rPr>
                <w:sz w:val="24"/>
              </w:rPr>
            </w:pPr>
            <w:r>
              <w:rPr>
                <w:spacing w:val="-2"/>
                <w:sz w:val="24"/>
              </w:rPr>
              <w:t>Compound</w:t>
            </w:r>
          </w:p>
        </w:tc>
        <w:tc>
          <w:tcPr>
            <w:tcW w:w="1344" w:type="dxa"/>
            <w:tcBorders>
              <w:bottom w:val="single" w:sz="6" w:space="0" w:color="000000"/>
            </w:tcBorders>
          </w:tcPr>
          <w:p>
            <w:pPr>
              <w:pStyle w:val="TableParagraph"/>
              <w:spacing w:line="266" w:lineRule="exact"/>
              <w:ind w:left="57" w:right="35"/>
              <w:jc w:val="center"/>
              <w:rPr>
                <w:sz w:val="24"/>
              </w:rPr>
            </w:pPr>
            <w:r>
              <w:rPr>
                <w:spacing w:val="-2"/>
                <w:sz w:val="24"/>
              </w:rPr>
              <w:t>N-H-</w:t>
            </w:r>
            <w:r>
              <w:rPr>
                <w:spacing w:val="-5"/>
                <w:sz w:val="24"/>
              </w:rPr>
              <w:t>str</w:t>
            </w:r>
          </w:p>
        </w:tc>
        <w:tc>
          <w:tcPr>
            <w:tcW w:w="1355" w:type="dxa"/>
            <w:tcBorders>
              <w:bottom w:val="single" w:sz="6" w:space="0" w:color="000000"/>
            </w:tcBorders>
          </w:tcPr>
          <w:p>
            <w:pPr>
              <w:pStyle w:val="TableParagraph"/>
              <w:spacing w:line="266" w:lineRule="exact"/>
              <w:ind w:left="253"/>
              <w:rPr>
                <w:sz w:val="24"/>
              </w:rPr>
            </w:pPr>
            <w:r>
              <w:rPr>
                <w:spacing w:val="-2"/>
                <w:sz w:val="24"/>
              </w:rPr>
              <w:t>═C-</w:t>
            </w:r>
            <w:r>
              <w:rPr>
                <w:spacing w:val="-5"/>
                <w:sz w:val="24"/>
              </w:rPr>
              <w:t>Has</w:t>
            </w:r>
          </w:p>
        </w:tc>
        <w:tc>
          <w:tcPr>
            <w:tcW w:w="1234" w:type="dxa"/>
            <w:tcBorders>
              <w:bottom w:val="single" w:sz="6" w:space="0" w:color="000000"/>
            </w:tcBorders>
          </w:tcPr>
          <w:p>
            <w:pPr>
              <w:pStyle w:val="TableParagraph"/>
              <w:spacing w:line="266" w:lineRule="exact"/>
              <w:ind w:left="223"/>
              <w:rPr>
                <w:sz w:val="24"/>
              </w:rPr>
            </w:pPr>
            <w:r>
              <w:rPr>
                <w:spacing w:val="-5"/>
                <w:sz w:val="24"/>
              </w:rPr>
              <w:t>C═C</w:t>
            </w:r>
          </w:p>
        </w:tc>
        <w:tc>
          <w:tcPr>
            <w:tcW w:w="1150" w:type="dxa"/>
            <w:tcBorders>
              <w:bottom w:val="single" w:sz="6" w:space="0" w:color="000000"/>
            </w:tcBorders>
          </w:tcPr>
          <w:p>
            <w:pPr>
              <w:pStyle w:val="TableParagraph"/>
              <w:ind w:left="158" w:right="338" w:hanging="23"/>
              <w:rPr>
                <w:sz w:val="24"/>
              </w:rPr>
            </w:pPr>
            <w:r>
              <w:rPr>
                <w:spacing w:val="-4"/>
                <w:sz w:val="24"/>
              </w:rPr>
              <w:t>C═O Amide </w:t>
            </w:r>
            <w:r>
              <w:rPr>
                <w:sz w:val="24"/>
              </w:rPr>
              <w:t>Band</w:t>
            </w:r>
            <w:r>
              <w:rPr>
                <w:spacing w:val="-6"/>
                <w:sz w:val="24"/>
              </w:rPr>
              <w:t> </w:t>
            </w:r>
            <w:r>
              <w:rPr>
                <w:spacing w:val="-10"/>
                <w:sz w:val="24"/>
              </w:rPr>
              <w:t>I</w:t>
            </w:r>
          </w:p>
        </w:tc>
        <w:tc>
          <w:tcPr>
            <w:tcW w:w="1203" w:type="dxa"/>
            <w:tcBorders>
              <w:bottom w:val="single" w:sz="6" w:space="0" w:color="000000"/>
            </w:tcBorders>
          </w:tcPr>
          <w:p>
            <w:pPr>
              <w:pStyle w:val="TableParagraph"/>
              <w:spacing w:line="266" w:lineRule="exact"/>
              <w:ind w:left="145"/>
              <w:rPr>
                <w:sz w:val="24"/>
              </w:rPr>
            </w:pPr>
            <w:r>
              <w:rPr>
                <w:sz w:val="24"/>
              </w:rPr>
              <w:t>C-</w:t>
            </w:r>
            <w:r>
              <w:rPr>
                <w:spacing w:val="-4"/>
                <w:sz w:val="24"/>
              </w:rPr>
              <w:t>Nstr</w:t>
            </w:r>
          </w:p>
        </w:tc>
        <w:tc>
          <w:tcPr>
            <w:tcW w:w="985" w:type="dxa"/>
            <w:tcBorders>
              <w:bottom w:val="single" w:sz="6" w:space="0" w:color="000000"/>
            </w:tcBorders>
          </w:tcPr>
          <w:p>
            <w:pPr>
              <w:pStyle w:val="TableParagraph"/>
              <w:spacing w:line="266" w:lineRule="exact"/>
              <w:ind w:left="204"/>
              <w:rPr>
                <w:sz w:val="24"/>
              </w:rPr>
            </w:pPr>
            <w:r>
              <w:rPr>
                <w:sz w:val="24"/>
              </w:rPr>
              <w:t>C-</w:t>
            </w:r>
            <w:r>
              <w:rPr>
                <w:spacing w:val="-5"/>
                <w:sz w:val="24"/>
              </w:rPr>
              <w:t>Cl</w:t>
            </w:r>
          </w:p>
        </w:tc>
        <w:tc>
          <w:tcPr>
            <w:tcW w:w="181" w:type="dxa"/>
          </w:tcPr>
          <w:p>
            <w:pPr>
              <w:pStyle w:val="TableParagraph"/>
              <w:rPr>
                <w:sz w:val="24"/>
              </w:rPr>
            </w:pPr>
          </w:p>
        </w:tc>
      </w:tr>
      <w:tr>
        <w:trPr>
          <w:trHeight w:val="477" w:hRule="atLeast"/>
        </w:trPr>
        <w:tc>
          <w:tcPr>
            <w:tcW w:w="1374" w:type="dxa"/>
            <w:tcBorders>
              <w:top w:val="single" w:sz="6" w:space="0" w:color="000000"/>
            </w:tcBorders>
          </w:tcPr>
          <w:p>
            <w:pPr>
              <w:pStyle w:val="TableParagraph"/>
              <w:spacing w:before="58"/>
              <w:rPr>
                <w:sz w:val="24"/>
              </w:rPr>
            </w:pPr>
            <w:r>
              <w:rPr>
                <w:spacing w:val="-2"/>
                <w:sz w:val="24"/>
              </w:rPr>
              <w:t>DCP23</w:t>
            </w:r>
          </w:p>
        </w:tc>
        <w:tc>
          <w:tcPr>
            <w:tcW w:w="1344" w:type="dxa"/>
            <w:tcBorders>
              <w:top w:val="single" w:sz="6" w:space="0" w:color="000000"/>
            </w:tcBorders>
          </w:tcPr>
          <w:p>
            <w:pPr>
              <w:pStyle w:val="TableParagraph"/>
              <w:spacing w:before="58"/>
              <w:ind w:left="57"/>
              <w:jc w:val="center"/>
              <w:rPr>
                <w:sz w:val="24"/>
              </w:rPr>
            </w:pPr>
            <w:r>
              <w:rPr>
                <w:spacing w:val="-2"/>
                <w:sz w:val="24"/>
              </w:rPr>
              <w:t>3362.04</w:t>
            </w:r>
          </w:p>
        </w:tc>
        <w:tc>
          <w:tcPr>
            <w:tcW w:w="1355" w:type="dxa"/>
            <w:tcBorders>
              <w:top w:val="single" w:sz="6" w:space="0" w:color="000000"/>
            </w:tcBorders>
          </w:tcPr>
          <w:p>
            <w:pPr>
              <w:pStyle w:val="TableParagraph"/>
              <w:spacing w:before="58"/>
              <w:ind w:left="288"/>
              <w:rPr>
                <w:sz w:val="24"/>
              </w:rPr>
            </w:pPr>
            <w:r>
              <w:rPr>
                <w:spacing w:val="-2"/>
                <w:sz w:val="24"/>
              </w:rPr>
              <w:t>3155.65</w:t>
            </w:r>
          </w:p>
        </w:tc>
        <w:tc>
          <w:tcPr>
            <w:tcW w:w="1234" w:type="dxa"/>
            <w:tcBorders>
              <w:top w:val="single" w:sz="6" w:space="0" w:color="000000"/>
            </w:tcBorders>
          </w:tcPr>
          <w:p>
            <w:pPr>
              <w:pStyle w:val="TableParagraph"/>
              <w:spacing w:before="58"/>
              <w:ind w:right="138"/>
              <w:jc w:val="right"/>
              <w:rPr>
                <w:sz w:val="24"/>
              </w:rPr>
            </w:pPr>
            <w:r>
              <w:rPr>
                <w:spacing w:val="-2"/>
                <w:sz w:val="24"/>
              </w:rPr>
              <w:t>1430.26</w:t>
            </w:r>
          </w:p>
        </w:tc>
        <w:tc>
          <w:tcPr>
            <w:tcW w:w="1150" w:type="dxa"/>
            <w:tcBorders>
              <w:top w:val="single" w:sz="6" w:space="0" w:color="000000"/>
            </w:tcBorders>
          </w:tcPr>
          <w:p>
            <w:pPr>
              <w:pStyle w:val="TableParagraph"/>
              <w:spacing w:before="58"/>
              <w:ind w:left="117" w:right="52"/>
              <w:jc w:val="center"/>
              <w:rPr>
                <w:sz w:val="24"/>
              </w:rPr>
            </w:pPr>
            <w:r>
              <w:rPr>
                <w:spacing w:val="-2"/>
                <w:sz w:val="24"/>
              </w:rPr>
              <w:t>1612.54</w:t>
            </w:r>
          </w:p>
        </w:tc>
        <w:tc>
          <w:tcPr>
            <w:tcW w:w="1203" w:type="dxa"/>
            <w:tcBorders>
              <w:top w:val="single" w:sz="6" w:space="0" w:color="000000"/>
            </w:tcBorders>
          </w:tcPr>
          <w:p>
            <w:pPr>
              <w:pStyle w:val="TableParagraph"/>
              <w:spacing w:before="58"/>
              <w:ind w:left="208"/>
              <w:rPr>
                <w:sz w:val="24"/>
              </w:rPr>
            </w:pPr>
            <w:r>
              <w:rPr>
                <w:spacing w:val="-2"/>
                <w:sz w:val="24"/>
              </w:rPr>
              <w:t>1276.92</w:t>
            </w:r>
          </w:p>
        </w:tc>
        <w:tc>
          <w:tcPr>
            <w:tcW w:w="985" w:type="dxa"/>
            <w:tcBorders>
              <w:top w:val="single" w:sz="6" w:space="0" w:color="000000"/>
            </w:tcBorders>
          </w:tcPr>
          <w:p>
            <w:pPr>
              <w:pStyle w:val="TableParagraph"/>
              <w:spacing w:before="58"/>
              <w:ind w:left="263"/>
              <w:rPr>
                <w:sz w:val="24"/>
              </w:rPr>
            </w:pPr>
            <w:r>
              <w:rPr>
                <w:spacing w:val="-2"/>
                <w:sz w:val="24"/>
              </w:rPr>
              <w:t>721.4</w:t>
            </w:r>
          </w:p>
        </w:tc>
        <w:tc>
          <w:tcPr>
            <w:tcW w:w="181" w:type="dxa"/>
          </w:tcPr>
          <w:p>
            <w:pPr>
              <w:pStyle w:val="TableParagraph"/>
              <w:rPr>
                <w:sz w:val="24"/>
              </w:rPr>
            </w:pPr>
          </w:p>
        </w:tc>
      </w:tr>
      <w:tr>
        <w:trPr>
          <w:trHeight w:val="552" w:hRule="atLeast"/>
        </w:trPr>
        <w:tc>
          <w:tcPr>
            <w:tcW w:w="1374" w:type="dxa"/>
          </w:tcPr>
          <w:p>
            <w:pPr>
              <w:pStyle w:val="TableParagraph"/>
              <w:spacing w:before="133"/>
              <w:rPr>
                <w:sz w:val="24"/>
              </w:rPr>
            </w:pPr>
            <w:r>
              <w:rPr>
                <w:spacing w:val="-2"/>
                <w:sz w:val="24"/>
              </w:rPr>
              <w:t>DCP25</w:t>
            </w:r>
          </w:p>
        </w:tc>
        <w:tc>
          <w:tcPr>
            <w:tcW w:w="1344" w:type="dxa"/>
          </w:tcPr>
          <w:p>
            <w:pPr>
              <w:pStyle w:val="TableParagraph"/>
              <w:spacing w:before="133"/>
              <w:ind w:left="57"/>
              <w:jc w:val="center"/>
              <w:rPr>
                <w:sz w:val="24"/>
              </w:rPr>
            </w:pPr>
            <w:r>
              <w:rPr>
                <w:spacing w:val="-2"/>
                <w:sz w:val="24"/>
              </w:rPr>
              <w:t>3354.32</w:t>
            </w:r>
          </w:p>
        </w:tc>
        <w:tc>
          <w:tcPr>
            <w:tcW w:w="1355" w:type="dxa"/>
          </w:tcPr>
          <w:p>
            <w:pPr>
              <w:pStyle w:val="TableParagraph"/>
              <w:spacing w:before="133"/>
              <w:ind w:right="224"/>
              <w:jc w:val="right"/>
              <w:rPr>
                <w:sz w:val="24"/>
              </w:rPr>
            </w:pPr>
            <w:r>
              <w:rPr>
                <w:spacing w:val="-2"/>
                <w:sz w:val="24"/>
              </w:rPr>
              <w:t>3188.44</w:t>
            </w:r>
          </w:p>
        </w:tc>
        <w:tc>
          <w:tcPr>
            <w:tcW w:w="1234" w:type="dxa"/>
          </w:tcPr>
          <w:p>
            <w:pPr>
              <w:pStyle w:val="TableParagraph"/>
              <w:spacing w:before="133"/>
              <w:ind w:right="138"/>
              <w:jc w:val="right"/>
              <w:rPr>
                <w:sz w:val="24"/>
              </w:rPr>
            </w:pPr>
            <w:r>
              <w:rPr>
                <w:spacing w:val="-2"/>
                <w:sz w:val="24"/>
              </w:rPr>
              <w:t>1428.34</w:t>
            </w:r>
          </w:p>
        </w:tc>
        <w:tc>
          <w:tcPr>
            <w:tcW w:w="1150" w:type="dxa"/>
          </w:tcPr>
          <w:p>
            <w:pPr>
              <w:pStyle w:val="TableParagraph"/>
              <w:spacing w:before="133"/>
              <w:ind w:left="120" w:right="52"/>
              <w:jc w:val="center"/>
              <w:rPr>
                <w:sz w:val="24"/>
              </w:rPr>
            </w:pPr>
            <w:r>
              <w:rPr>
                <w:spacing w:val="-2"/>
                <w:sz w:val="24"/>
              </w:rPr>
              <w:t>1685.84</w:t>
            </w:r>
          </w:p>
        </w:tc>
        <w:tc>
          <w:tcPr>
            <w:tcW w:w="1203" w:type="dxa"/>
          </w:tcPr>
          <w:p>
            <w:pPr>
              <w:pStyle w:val="TableParagraph"/>
              <w:spacing w:before="133"/>
              <w:ind w:left="208"/>
              <w:rPr>
                <w:sz w:val="24"/>
              </w:rPr>
            </w:pPr>
            <w:r>
              <w:rPr>
                <w:spacing w:val="-2"/>
                <w:sz w:val="24"/>
              </w:rPr>
              <w:t>1291.39</w:t>
            </w:r>
          </w:p>
        </w:tc>
        <w:tc>
          <w:tcPr>
            <w:tcW w:w="985" w:type="dxa"/>
          </w:tcPr>
          <w:p>
            <w:pPr>
              <w:pStyle w:val="TableParagraph"/>
              <w:spacing w:before="133"/>
              <w:ind w:right="57"/>
              <w:jc w:val="right"/>
              <w:rPr>
                <w:sz w:val="24"/>
              </w:rPr>
            </w:pPr>
            <w:r>
              <w:rPr>
                <w:spacing w:val="-2"/>
                <w:sz w:val="24"/>
              </w:rPr>
              <w:t>672.21</w:t>
            </w:r>
          </w:p>
        </w:tc>
        <w:tc>
          <w:tcPr>
            <w:tcW w:w="181" w:type="dxa"/>
          </w:tcPr>
          <w:p>
            <w:pPr>
              <w:pStyle w:val="TableParagraph"/>
              <w:rPr>
                <w:sz w:val="24"/>
              </w:rPr>
            </w:pPr>
          </w:p>
        </w:tc>
      </w:tr>
      <w:tr>
        <w:trPr>
          <w:trHeight w:val="575" w:hRule="atLeast"/>
        </w:trPr>
        <w:tc>
          <w:tcPr>
            <w:tcW w:w="1374" w:type="dxa"/>
            <w:tcBorders>
              <w:bottom w:val="single" w:sz="6" w:space="0" w:color="000000"/>
            </w:tcBorders>
          </w:tcPr>
          <w:p>
            <w:pPr>
              <w:pStyle w:val="TableParagraph"/>
              <w:spacing w:before="133"/>
              <w:rPr>
                <w:sz w:val="24"/>
              </w:rPr>
            </w:pPr>
            <w:r>
              <w:rPr>
                <w:spacing w:val="-2"/>
                <w:sz w:val="24"/>
              </w:rPr>
              <w:t>DCP34</w:t>
            </w:r>
          </w:p>
        </w:tc>
        <w:tc>
          <w:tcPr>
            <w:tcW w:w="1344" w:type="dxa"/>
            <w:tcBorders>
              <w:bottom w:val="single" w:sz="6" w:space="0" w:color="000000"/>
            </w:tcBorders>
          </w:tcPr>
          <w:p>
            <w:pPr>
              <w:pStyle w:val="TableParagraph"/>
              <w:spacing w:before="133"/>
              <w:ind w:left="57"/>
              <w:jc w:val="center"/>
              <w:rPr>
                <w:sz w:val="24"/>
              </w:rPr>
            </w:pPr>
            <w:r>
              <w:rPr>
                <w:spacing w:val="-2"/>
                <w:sz w:val="24"/>
              </w:rPr>
              <w:t>3390.97</w:t>
            </w:r>
          </w:p>
        </w:tc>
        <w:tc>
          <w:tcPr>
            <w:tcW w:w="1355" w:type="dxa"/>
            <w:tcBorders>
              <w:bottom w:val="single" w:sz="6" w:space="0" w:color="000000"/>
            </w:tcBorders>
          </w:tcPr>
          <w:p>
            <w:pPr>
              <w:pStyle w:val="TableParagraph"/>
              <w:spacing w:before="133"/>
              <w:ind w:right="224"/>
              <w:jc w:val="right"/>
              <w:rPr>
                <w:sz w:val="24"/>
              </w:rPr>
            </w:pPr>
            <w:r>
              <w:rPr>
                <w:spacing w:val="-2"/>
                <w:sz w:val="24"/>
              </w:rPr>
              <w:t>3169.15</w:t>
            </w:r>
          </w:p>
        </w:tc>
        <w:tc>
          <w:tcPr>
            <w:tcW w:w="1234" w:type="dxa"/>
            <w:tcBorders>
              <w:bottom w:val="single" w:sz="6" w:space="0" w:color="000000"/>
            </w:tcBorders>
          </w:tcPr>
          <w:p>
            <w:pPr>
              <w:pStyle w:val="TableParagraph"/>
              <w:spacing w:before="133"/>
              <w:ind w:right="138"/>
              <w:jc w:val="right"/>
              <w:rPr>
                <w:sz w:val="24"/>
              </w:rPr>
            </w:pPr>
            <w:r>
              <w:rPr>
                <w:spacing w:val="-2"/>
                <w:sz w:val="24"/>
              </w:rPr>
              <w:t>1439.91</w:t>
            </w:r>
          </w:p>
        </w:tc>
        <w:tc>
          <w:tcPr>
            <w:tcW w:w="1150" w:type="dxa"/>
            <w:tcBorders>
              <w:bottom w:val="single" w:sz="6" w:space="0" w:color="000000"/>
            </w:tcBorders>
          </w:tcPr>
          <w:p>
            <w:pPr>
              <w:pStyle w:val="TableParagraph"/>
              <w:spacing w:before="133"/>
              <w:ind w:left="68" w:right="120"/>
              <w:jc w:val="center"/>
              <w:rPr>
                <w:sz w:val="24"/>
              </w:rPr>
            </w:pPr>
            <w:r>
              <w:rPr>
                <w:spacing w:val="-2"/>
                <w:sz w:val="24"/>
              </w:rPr>
              <w:t>1673.3</w:t>
            </w:r>
          </w:p>
        </w:tc>
        <w:tc>
          <w:tcPr>
            <w:tcW w:w="1203" w:type="dxa"/>
            <w:tcBorders>
              <w:bottom w:val="single" w:sz="6" w:space="0" w:color="000000"/>
            </w:tcBorders>
          </w:tcPr>
          <w:p>
            <w:pPr>
              <w:pStyle w:val="TableParagraph"/>
              <w:spacing w:before="133"/>
              <w:ind w:left="205"/>
              <w:rPr>
                <w:sz w:val="24"/>
              </w:rPr>
            </w:pPr>
            <w:r>
              <w:rPr>
                <w:spacing w:val="-2"/>
                <w:sz w:val="24"/>
              </w:rPr>
              <w:t>1291.39</w:t>
            </w:r>
          </w:p>
        </w:tc>
        <w:tc>
          <w:tcPr>
            <w:tcW w:w="985" w:type="dxa"/>
            <w:tcBorders>
              <w:bottom w:val="single" w:sz="6" w:space="0" w:color="000000"/>
            </w:tcBorders>
          </w:tcPr>
          <w:p>
            <w:pPr>
              <w:pStyle w:val="TableParagraph"/>
              <w:spacing w:before="133"/>
              <w:ind w:right="57"/>
              <w:jc w:val="right"/>
              <w:rPr>
                <w:sz w:val="24"/>
              </w:rPr>
            </w:pPr>
            <w:r>
              <w:rPr>
                <w:spacing w:val="-2"/>
                <w:sz w:val="24"/>
              </w:rPr>
              <w:t>682.82</w:t>
            </w:r>
          </w:p>
        </w:tc>
        <w:tc>
          <w:tcPr>
            <w:tcW w:w="181" w:type="dxa"/>
            <w:tcBorders>
              <w:bottom w:val="single" w:sz="6" w:space="0" w:color="000000"/>
            </w:tcBorders>
          </w:tcPr>
          <w:p>
            <w:pPr>
              <w:pStyle w:val="TableParagraph"/>
              <w:rPr>
                <w:sz w:val="24"/>
              </w:rPr>
            </w:pPr>
          </w:p>
        </w:tc>
      </w:tr>
    </w:tbl>
    <w:p>
      <w:pPr>
        <w:pStyle w:val="BodyText"/>
        <w:spacing w:line="237" w:lineRule="auto" w:before="99"/>
        <w:ind w:left="681"/>
      </w:pPr>
      <w:r>
        <w:rPr/>
        <w:t>DCP23,</w:t>
      </w:r>
      <w:r>
        <w:rPr>
          <w:spacing w:val="80"/>
          <w:w w:val="150"/>
        </w:rPr>
        <w:t> </w:t>
      </w:r>
      <w:r>
        <w:rPr/>
        <w:t>DCP25</w:t>
      </w:r>
      <w:r>
        <w:rPr>
          <w:spacing w:val="79"/>
          <w:w w:val="150"/>
        </w:rPr>
        <w:t> </w:t>
      </w:r>
      <w:r>
        <w:rPr/>
        <w:t>and</w:t>
      </w:r>
      <w:r>
        <w:rPr>
          <w:spacing w:val="80"/>
          <w:w w:val="150"/>
        </w:rPr>
        <w:t> </w:t>
      </w:r>
      <w:r>
        <w:rPr/>
        <w:t>DCP34</w:t>
      </w:r>
      <w:r>
        <w:rPr>
          <w:spacing w:val="79"/>
          <w:w w:val="150"/>
        </w:rPr>
        <w:t> </w:t>
      </w:r>
      <w:r>
        <w:rPr/>
        <w:t>=</w:t>
      </w:r>
      <w:r>
        <w:rPr>
          <w:spacing w:val="78"/>
          <w:w w:val="150"/>
        </w:rPr>
        <w:t> </w:t>
      </w:r>
      <w:r>
        <w:rPr/>
        <w:t>2,3-,</w:t>
      </w:r>
      <w:r>
        <w:rPr>
          <w:spacing w:val="80"/>
          <w:w w:val="150"/>
        </w:rPr>
        <w:t> </w:t>
      </w:r>
      <w:r>
        <w:rPr/>
        <w:t>2,5-</w:t>
      </w:r>
      <w:r>
        <w:rPr>
          <w:spacing w:val="80"/>
          <w:w w:val="150"/>
        </w:rPr>
        <w:t> </w:t>
      </w:r>
      <w:r>
        <w:rPr/>
        <w:t>and</w:t>
      </w:r>
      <w:r>
        <w:rPr>
          <w:spacing w:val="79"/>
          <w:w w:val="150"/>
        </w:rPr>
        <w:t> </w:t>
      </w:r>
      <w:r>
        <w:rPr/>
        <w:t>3,4-</w:t>
      </w:r>
      <w:r>
        <w:rPr>
          <w:spacing w:val="80"/>
          <w:w w:val="150"/>
        </w:rPr>
        <w:t> </w:t>
      </w:r>
      <w:r>
        <w:rPr/>
        <w:t>Dichloro</w:t>
      </w:r>
      <w:r>
        <w:rPr>
          <w:spacing w:val="80"/>
          <w:w w:val="150"/>
        </w:rPr>
        <w:t> </w:t>
      </w:r>
      <w:r>
        <w:rPr/>
        <w:t>–</w:t>
      </w:r>
      <w:r>
        <w:rPr>
          <w:spacing w:val="79"/>
          <w:w w:val="150"/>
        </w:rPr>
        <w:t> </w:t>
      </w:r>
      <w:r>
        <w:rPr/>
        <w:t>3(aminophenyl) </w:t>
      </w:r>
      <w:r>
        <w:rPr>
          <w:spacing w:val="-2"/>
        </w:rPr>
        <w:t>propanamides</w:t>
      </w:r>
    </w:p>
    <w:p>
      <w:pPr>
        <w:spacing w:after="0" w:line="237" w:lineRule="auto"/>
        <w:sectPr>
          <w:pgSz w:w="12240" w:h="15840"/>
          <w:pgMar w:header="0" w:footer="1066" w:top="1360" w:bottom="1260" w:left="1480" w:right="1160"/>
        </w:sectPr>
      </w:pPr>
    </w:p>
    <w:p>
      <w:pPr>
        <w:pStyle w:val="BodyText"/>
        <w:spacing w:line="480" w:lineRule="auto" w:before="112"/>
        <w:ind w:left="681" w:right="277"/>
        <w:jc w:val="both"/>
      </w:pPr>
      <w:r>
        <w:rPr/>
        <w:t>The chemical shift values for proton and carbon nuclear magnetic resonance (</w:t>
      </w:r>
      <w:r>
        <w:rPr>
          <w:vertAlign w:val="superscript"/>
        </w:rPr>
        <w:t>1</w:t>
      </w:r>
      <w:r>
        <w:rPr>
          <w:vertAlign w:val="baseline"/>
        </w:rPr>
        <w:t>H and </w:t>
      </w:r>
      <w:r>
        <w:rPr>
          <w:vertAlign w:val="superscript"/>
        </w:rPr>
        <w:t>13</w:t>
      </w:r>
      <w:r>
        <w:rPr>
          <w:vertAlign w:val="baseline"/>
        </w:rPr>
        <w:t>C NMR) were assigned and presented in parts per million (ppm) and generally the values obtained from the spectra conformed to the theoretical values range (Tables 4.5, 4.6 and </w:t>
      </w:r>
      <w:r>
        <w:rPr>
          <w:spacing w:val="-2"/>
          <w:vertAlign w:val="baseline"/>
        </w:rPr>
        <w:t>4.7).</w:t>
      </w:r>
    </w:p>
    <w:p>
      <w:pPr>
        <w:spacing w:after="0" w:line="480" w:lineRule="auto"/>
        <w:jc w:val="both"/>
        <w:sectPr>
          <w:pgSz w:w="12240" w:h="15840"/>
          <w:pgMar w:header="0" w:footer="1066" w:top="1320" w:bottom="1260" w:left="1480" w:right="1160"/>
        </w:sectPr>
      </w:pPr>
    </w:p>
    <w:p>
      <w:pPr>
        <w:pStyle w:val="Heading2"/>
        <w:spacing w:before="117"/>
        <w:jc w:val="left"/>
      </w:pPr>
      <w:r>
        <w:rPr/>
        <w:t>Table</w:t>
      </w:r>
      <w:r>
        <w:rPr>
          <w:spacing w:val="-1"/>
        </w:rPr>
        <w:t> </w:t>
      </w:r>
      <w:r>
        <w:rPr/>
        <w:t>4.5:</w:t>
      </w:r>
      <w:r>
        <w:rPr>
          <w:spacing w:val="1"/>
        </w:rPr>
        <w:t> </w:t>
      </w:r>
      <w:r>
        <w:rPr/>
        <w:t>H</w:t>
      </w:r>
      <w:r>
        <w:rPr>
          <w:vertAlign w:val="superscript"/>
        </w:rPr>
        <w:t>1</w:t>
      </w:r>
      <w:r>
        <w:rPr>
          <w:spacing w:val="-2"/>
          <w:vertAlign w:val="baseline"/>
        </w:rPr>
        <w:t> </w:t>
      </w:r>
      <w:r>
        <w:rPr>
          <w:vertAlign w:val="baseline"/>
        </w:rPr>
        <w:t>and</w:t>
      </w:r>
      <w:r>
        <w:rPr>
          <w:spacing w:val="-4"/>
          <w:vertAlign w:val="baseline"/>
        </w:rPr>
        <w:t> </w:t>
      </w:r>
      <w:r>
        <w:rPr>
          <w:vertAlign w:val="superscript"/>
        </w:rPr>
        <w:t>13</w:t>
      </w:r>
      <w:r>
        <w:rPr>
          <w:vertAlign w:val="baseline"/>
        </w:rPr>
        <w:t>C</w:t>
      </w:r>
      <w:r>
        <w:rPr>
          <w:spacing w:val="-5"/>
          <w:vertAlign w:val="baseline"/>
        </w:rPr>
        <w:t> </w:t>
      </w:r>
      <w:r>
        <w:rPr>
          <w:vertAlign w:val="baseline"/>
        </w:rPr>
        <w:t>NMR</w:t>
      </w:r>
      <w:r>
        <w:rPr>
          <w:spacing w:val="-6"/>
          <w:vertAlign w:val="baseline"/>
        </w:rPr>
        <w:t> </w:t>
      </w:r>
      <w:r>
        <w:rPr>
          <w:vertAlign w:val="baseline"/>
        </w:rPr>
        <w:t>Interpretation</w:t>
      </w:r>
      <w:r>
        <w:rPr>
          <w:spacing w:val="1"/>
          <w:vertAlign w:val="baseline"/>
        </w:rPr>
        <w:t> </w:t>
      </w:r>
      <w:r>
        <w:rPr>
          <w:vertAlign w:val="baseline"/>
        </w:rPr>
        <w:t>of</w:t>
      </w:r>
      <w:r>
        <w:rPr>
          <w:spacing w:val="-3"/>
          <w:vertAlign w:val="baseline"/>
        </w:rPr>
        <w:t> </w:t>
      </w:r>
      <w:r>
        <w:rPr>
          <w:vertAlign w:val="baseline"/>
        </w:rPr>
        <w:t>the DCP23 </w:t>
      </w:r>
      <w:r>
        <w:rPr>
          <w:spacing w:val="-2"/>
          <w:vertAlign w:val="baseline"/>
        </w:rPr>
        <w:t>Isomer</w:t>
      </w:r>
    </w:p>
    <w:p>
      <w:pPr>
        <w:pStyle w:val="BodyText"/>
        <w:rPr>
          <w:b/>
          <w:sz w:val="20"/>
        </w:rPr>
      </w:pPr>
    </w:p>
    <w:p>
      <w:pPr>
        <w:pStyle w:val="BodyText"/>
        <w:spacing w:before="15"/>
        <w:rPr>
          <w:b/>
          <w:sz w:val="20"/>
        </w:rPr>
      </w:pPr>
      <w:r>
        <w:rPr/>
        <mc:AlternateContent>
          <mc:Choice Requires="wps">
            <w:drawing>
              <wp:anchor distT="0" distB="0" distL="0" distR="0" allowOverlap="1" layoutInCell="1" locked="0" behindDoc="1" simplePos="0" relativeHeight="487627776">
                <wp:simplePos x="0" y="0"/>
                <wp:positionH relativeFrom="page">
                  <wp:posOffset>1828800</wp:posOffset>
                </wp:positionH>
                <wp:positionV relativeFrom="paragraph">
                  <wp:posOffset>170842</wp:posOffset>
                </wp:positionV>
                <wp:extent cx="3314700"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3314700" cy="1270"/>
                        </a:xfrm>
                        <a:custGeom>
                          <a:avLst/>
                          <a:gdLst/>
                          <a:ahLst/>
                          <a:cxnLst/>
                          <a:rect l="l" t="t" r="r" b="b"/>
                          <a:pathLst>
                            <a:path w="3314700" h="0">
                              <a:moveTo>
                                <a:pt x="0" y="0"/>
                              </a:moveTo>
                              <a:lnTo>
                                <a:pt x="331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pt;margin-top:13.452148pt;width:261pt;height:.1pt;mso-position-horizontal-relative:page;mso-position-vertical-relative:paragraph;z-index:-15688704;mso-wrap-distance-left:0;mso-wrap-distance-right:0" id="docshape76" coordorigin="2880,269" coordsize="5220,0" path="m2880,269l8100,269e" filled="false" stroked="true" strokeweight=".75pt" strokecolor="#000000">
                <v:path arrowok="t"/>
                <v:stroke dashstyle="solid"/>
                <w10:wrap type="topAndBottom"/>
              </v:shape>
            </w:pict>
          </mc:Fallback>
        </mc:AlternateContent>
      </w:r>
    </w:p>
    <w:p>
      <w:pPr>
        <w:tabs>
          <w:tab w:pos="3561" w:val="left" w:leader="none"/>
          <w:tab w:pos="5002" w:val="left" w:leader="none"/>
        </w:tabs>
        <w:spacing w:before="27"/>
        <w:ind w:left="1401" w:right="0" w:firstLine="0"/>
        <w:jc w:val="left"/>
        <w:rPr>
          <w:sz w:val="48"/>
          <w:szCs w:val="48"/>
        </w:rPr>
      </w:pPr>
      <w:r>
        <w:rPr>
          <w:spacing w:val="-2"/>
          <w:sz w:val="24"/>
          <w:szCs w:val="24"/>
        </w:rPr>
        <w:t>Position</w:t>
      </w:r>
      <w:r>
        <w:rPr>
          <w:sz w:val="24"/>
          <w:szCs w:val="24"/>
        </w:rPr>
        <w:tab/>
      </w:r>
      <w:r>
        <w:rPr>
          <w:spacing w:val="-5"/>
          <w:sz w:val="72"/>
          <w:szCs w:val="72"/>
        </w:rPr>
        <w:t>ᵟ</w:t>
      </w:r>
      <w:r>
        <w:rPr>
          <w:spacing w:val="-5"/>
          <w:sz w:val="48"/>
          <w:szCs w:val="48"/>
        </w:rPr>
        <w:t>H</w:t>
      </w:r>
      <w:r>
        <w:rPr>
          <w:sz w:val="48"/>
          <w:szCs w:val="48"/>
        </w:rPr>
        <w:tab/>
      </w:r>
      <w:r>
        <w:rPr>
          <w:spacing w:val="-5"/>
          <w:sz w:val="72"/>
          <w:szCs w:val="72"/>
        </w:rPr>
        <w:t>ᵟ</w:t>
      </w:r>
      <w:r>
        <w:rPr>
          <w:spacing w:val="-5"/>
          <w:sz w:val="48"/>
          <w:szCs w:val="48"/>
        </w:rPr>
        <w:t>C</w:t>
      </w: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5"/>
        <w:gridCol w:w="1619"/>
        <w:gridCol w:w="2127"/>
      </w:tblGrid>
      <w:tr>
        <w:trPr>
          <w:trHeight w:val="452" w:hRule="atLeast"/>
        </w:trPr>
        <w:tc>
          <w:tcPr>
            <w:tcW w:w="1475" w:type="dxa"/>
            <w:tcBorders>
              <w:top w:val="single" w:sz="6" w:space="0" w:color="000000"/>
            </w:tcBorders>
          </w:tcPr>
          <w:p>
            <w:pPr>
              <w:pStyle w:val="TableParagraph"/>
              <w:spacing w:before="7"/>
              <w:ind w:left="1"/>
              <w:rPr>
                <w:sz w:val="24"/>
              </w:rPr>
            </w:pPr>
            <w:r>
              <w:rPr>
                <w:spacing w:val="-10"/>
                <w:sz w:val="24"/>
              </w:rPr>
              <w:t>1</w:t>
            </w:r>
          </w:p>
        </w:tc>
        <w:tc>
          <w:tcPr>
            <w:tcW w:w="1619" w:type="dxa"/>
            <w:tcBorders>
              <w:top w:val="single" w:sz="6" w:space="0" w:color="000000"/>
            </w:tcBorders>
          </w:tcPr>
          <w:p>
            <w:pPr>
              <w:pStyle w:val="TableParagraph"/>
              <w:spacing w:before="7"/>
              <w:ind w:left="686"/>
              <w:rPr>
                <w:sz w:val="24"/>
              </w:rPr>
            </w:pPr>
            <w:r>
              <w:rPr>
                <w:spacing w:val="-10"/>
                <w:sz w:val="24"/>
              </w:rPr>
              <w:t>-</w:t>
            </w:r>
          </w:p>
        </w:tc>
        <w:tc>
          <w:tcPr>
            <w:tcW w:w="2127" w:type="dxa"/>
            <w:tcBorders>
              <w:top w:val="single" w:sz="6" w:space="0" w:color="000000"/>
            </w:tcBorders>
          </w:tcPr>
          <w:p>
            <w:pPr>
              <w:pStyle w:val="TableParagraph"/>
              <w:spacing w:before="7"/>
              <w:ind w:left="508"/>
              <w:rPr>
                <w:sz w:val="24"/>
              </w:rPr>
            </w:pPr>
            <w:r>
              <w:rPr>
                <w:spacing w:val="-2"/>
                <w:sz w:val="24"/>
              </w:rPr>
              <w:t>168.08</w:t>
            </w:r>
          </w:p>
        </w:tc>
      </w:tr>
      <w:tr>
        <w:trPr>
          <w:trHeight w:val="552" w:hRule="atLeast"/>
        </w:trPr>
        <w:tc>
          <w:tcPr>
            <w:tcW w:w="1475" w:type="dxa"/>
          </w:tcPr>
          <w:p>
            <w:pPr>
              <w:pStyle w:val="TableParagraph"/>
              <w:spacing w:before="106"/>
              <w:ind w:left="1"/>
              <w:rPr>
                <w:sz w:val="24"/>
              </w:rPr>
            </w:pPr>
            <w:r>
              <w:rPr>
                <w:spacing w:val="-10"/>
                <w:sz w:val="24"/>
              </w:rPr>
              <w:t>2</w:t>
            </w:r>
          </w:p>
        </w:tc>
        <w:tc>
          <w:tcPr>
            <w:tcW w:w="1619" w:type="dxa"/>
          </w:tcPr>
          <w:p>
            <w:pPr>
              <w:pStyle w:val="TableParagraph"/>
              <w:spacing w:before="106"/>
              <w:ind w:left="686"/>
              <w:rPr>
                <w:sz w:val="24"/>
              </w:rPr>
            </w:pPr>
            <w:r>
              <w:rPr>
                <w:spacing w:val="-4"/>
                <w:sz w:val="24"/>
              </w:rPr>
              <w:t>6.15</w:t>
            </w:r>
          </w:p>
        </w:tc>
        <w:tc>
          <w:tcPr>
            <w:tcW w:w="2127" w:type="dxa"/>
          </w:tcPr>
          <w:p>
            <w:pPr>
              <w:pStyle w:val="TableParagraph"/>
              <w:spacing w:before="106"/>
              <w:ind w:left="508"/>
              <w:rPr>
                <w:sz w:val="24"/>
              </w:rPr>
            </w:pPr>
            <w:r>
              <w:rPr>
                <w:spacing w:val="-2"/>
                <w:sz w:val="24"/>
              </w:rPr>
              <w:t>113.70</w:t>
            </w:r>
          </w:p>
        </w:tc>
      </w:tr>
      <w:tr>
        <w:trPr>
          <w:trHeight w:val="552" w:hRule="atLeast"/>
        </w:trPr>
        <w:tc>
          <w:tcPr>
            <w:tcW w:w="1475" w:type="dxa"/>
          </w:tcPr>
          <w:p>
            <w:pPr>
              <w:pStyle w:val="TableParagraph"/>
              <w:spacing w:before="106"/>
              <w:ind w:left="1"/>
              <w:rPr>
                <w:sz w:val="24"/>
              </w:rPr>
            </w:pPr>
            <w:r>
              <w:rPr>
                <w:spacing w:val="-10"/>
                <w:sz w:val="24"/>
              </w:rPr>
              <w:t>3</w:t>
            </w:r>
          </w:p>
        </w:tc>
        <w:tc>
          <w:tcPr>
            <w:tcW w:w="1619" w:type="dxa"/>
          </w:tcPr>
          <w:p>
            <w:pPr>
              <w:pStyle w:val="TableParagraph"/>
              <w:spacing w:before="106"/>
              <w:ind w:left="686"/>
              <w:rPr>
                <w:sz w:val="24"/>
              </w:rPr>
            </w:pPr>
            <w:r>
              <w:rPr>
                <w:spacing w:val="-4"/>
                <w:sz w:val="24"/>
              </w:rPr>
              <w:t>6.28</w:t>
            </w:r>
          </w:p>
        </w:tc>
        <w:tc>
          <w:tcPr>
            <w:tcW w:w="2127" w:type="dxa"/>
          </w:tcPr>
          <w:p>
            <w:pPr>
              <w:pStyle w:val="TableParagraph"/>
              <w:spacing w:before="106"/>
              <w:ind w:left="508"/>
              <w:rPr>
                <w:sz w:val="24"/>
              </w:rPr>
            </w:pPr>
            <w:r>
              <w:rPr>
                <w:spacing w:val="-2"/>
                <w:sz w:val="24"/>
              </w:rPr>
              <w:t>117.37</w:t>
            </w:r>
          </w:p>
        </w:tc>
      </w:tr>
      <w:tr>
        <w:trPr>
          <w:trHeight w:val="551" w:hRule="atLeast"/>
        </w:trPr>
        <w:tc>
          <w:tcPr>
            <w:tcW w:w="1475" w:type="dxa"/>
          </w:tcPr>
          <w:p>
            <w:pPr>
              <w:pStyle w:val="TableParagraph"/>
              <w:spacing w:before="106"/>
              <w:ind w:left="1"/>
              <w:rPr>
                <w:sz w:val="24"/>
              </w:rPr>
            </w:pPr>
            <w:r>
              <w:rPr>
                <w:spacing w:val="-5"/>
                <w:sz w:val="24"/>
              </w:rPr>
              <w:t>1'</w:t>
            </w:r>
          </w:p>
        </w:tc>
        <w:tc>
          <w:tcPr>
            <w:tcW w:w="1619" w:type="dxa"/>
          </w:tcPr>
          <w:p>
            <w:pPr>
              <w:pStyle w:val="TableParagraph"/>
              <w:spacing w:before="106"/>
              <w:ind w:left="686"/>
              <w:rPr>
                <w:sz w:val="24"/>
              </w:rPr>
            </w:pPr>
            <w:r>
              <w:rPr>
                <w:spacing w:val="-10"/>
                <w:sz w:val="24"/>
              </w:rPr>
              <w:t>-</w:t>
            </w:r>
          </w:p>
        </w:tc>
        <w:tc>
          <w:tcPr>
            <w:tcW w:w="2127" w:type="dxa"/>
          </w:tcPr>
          <w:p>
            <w:pPr>
              <w:pStyle w:val="TableParagraph"/>
              <w:spacing w:before="106"/>
              <w:ind w:left="508"/>
              <w:rPr>
                <w:sz w:val="24"/>
              </w:rPr>
            </w:pPr>
            <w:r>
              <w:rPr>
                <w:spacing w:val="-2"/>
                <w:sz w:val="24"/>
              </w:rPr>
              <w:t>114.72</w:t>
            </w:r>
          </w:p>
        </w:tc>
      </w:tr>
      <w:tr>
        <w:trPr>
          <w:trHeight w:val="552" w:hRule="atLeast"/>
        </w:trPr>
        <w:tc>
          <w:tcPr>
            <w:tcW w:w="1475" w:type="dxa"/>
          </w:tcPr>
          <w:p>
            <w:pPr>
              <w:pStyle w:val="TableParagraph"/>
              <w:spacing w:before="106"/>
              <w:ind w:left="1"/>
              <w:rPr>
                <w:sz w:val="24"/>
              </w:rPr>
            </w:pPr>
            <w:r>
              <w:rPr>
                <w:spacing w:val="-5"/>
                <w:sz w:val="24"/>
              </w:rPr>
              <w:t>2'</w:t>
            </w:r>
          </w:p>
        </w:tc>
        <w:tc>
          <w:tcPr>
            <w:tcW w:w="1619" w:type="dxa"/>
          </w:tcPr>
          <w:p>
            <w:pPr>
              <w:pStyle w:val="TableParagraph"/>
              <w:spacing w:before="106"/>
              <w:ind w:left="686"/>
              <w:rPr>
                <w:sz w:val="24"/>
              </w:rPr>
            </w:pPr>
            <w:r>
              <w:rPr>
                <w:spacing w:val="-10"/>
                <w:sz w:val="24"/>
              </w:rPr>
              <w:t>-</w:t>
            </w:r>
          </w:p>
        </w:tc>
        <w:tc>
          <w:tcPr>
            <w:tcW w:w="2127" w:type="dxa"/>
          </w:tcPr>
          <w:p>
            <w:pPr>
              <w:pStyle w:val="TableParagraph"/>
              <w:spacing w:before="106"/>
              <w:ind w:left="508"/>
              <w:rPr>
                <w:sz w:val="24"/>
              </w:rPr>
            </w:pPr>
            <w:r>
              <w:rPr>
                <w:spacing w:val="-2"/>
                <w:sz w:val="24"/>
              </w:rPr>
              <w:t>133.00</w:t>
            </w:r>
          </w:p>
        </w:tc>
      </w:tr>
      <w:tr>
        <w:trPr>
          <w:trHeight w:val="552" w:hRule="atLeast"/>
        </w:trPr>
        <w:tc>
          <w:tcPr>
            <w:tcW w:w="1475" w:type="dxa"/>
          </w:tcPr>
          <w:p>
            <w:pPr>
              <w:pStyle w:val="TableParagraph"/>
              <w:spacing w:before="106"/>
              <w:ind w:left="1"/>
              <w:rPr>
                <w:sz w:val="24"/>
              </w:rPr>
            </w:pPr>
            <w:r>
              <w:rPr>
                <w:spacing w:val="-5"/>
                <w:sz w:val="24"/>
              </w:rPr>
              <w:t>3'</w:t>
            </w:r>
          </w:p>
        </w:tc>
        <w:tc>
          <w:tcPr>
            <w:tcW w:w="1619" w:type="dxa"/>
          </w:tcPr>
          <w:p>
            <w:pPr>
              <w:pStyle w:val="TableParagraph"/>
              <w:spacing w:before="106"/>
              <w:ind w:left="686"/>
              <w:rPr>
                <w:sz w:val="24"/>
              </w:rPr>
            </w:pPr>
            <w:r>
              <w:rPr>
                <w:spacing w:val="-10"/>
                <w:sz w:val="24"/>
              </w:rPr>
              <w:t>-</w:t>
            </w:r>
          </w:p>
        </w:tc>
        <w:tc>
          <w:tcPr>
            <w:tcW w:w="2127" w:type="dxa"/>
          </w:tcPr>
          <w:p>
            <w:pPr>
              <w:pStyle w:val="TableParagraph"/>
              <w:spacing w:before="106"/>
              <w:ind w:left="508"/>
              <w:rPr>
                <w:sz w:val="24"/>
              </w:rPr>
            </w:pPr>
            <w:r>
              <w:rPr>
                <w:spacing w:val="-2"/>
                <w:sz w:val="24"/>
              </w:rPr>
              <w:t>130.28</w:t>
            </w:r>
          </w:p>
        </w:tc>
      </w:tr>
      <w:tr>
        <w:trPr>
          <w:trHeight w:val="552" w:hRule="atLeast"/>
        </w:trPr>
        <w:tc>
          <w:tcPr>
            <w:tcW w:w="1475" w:type="dxa"/>
          </w:tcPr>
          <w:p>
            <w:pPr>
              <w:pStyle w:val="TableParagraph"/>
              <w:spacing w:before="106"/>
              <w:ind w:left="1"/>
              <w:rPr>
                <w:sz w:val="24"/>
              </w:rPr>
            </w:pPr>
            <w:r>
              <w:rPr>
                <w:spacing w:val="-5"/>
                <w:sz w:val="24"/>
              </w:rPr>
              <w:t>4'</w:t>
            </w:r>
          </w:p>
        </w:tc>
        <w:tc>
          <w:tcPr>
            <w:tcW w:w="1619" w:type="dxa"/>
          </w:tcPr>
          <w:p>
            <w:pPr>
              <w:pStyle w:val="TableParagraph"/>
              <w:spacing w:before="106"/>
              <w:ind w:left="686"/>
              <w:rPr>
                <w:sz w:val="24"/>
              </w:rPr>
            </w:pPr>
            <w:r>
              <w:rPr>
                <w:spacing w:val="-4"/>
                <w:sz w:val="24"/>
              </w:rPr>
              <w:t>6.75</w:t>
            </w:r>
          </w:p>
        </w:tc>
        <w:tc>
          <w:tcPr>
            <w:tcW w:w="2127" w:type="dxa"/>
          </w:tcPr>
          <w:p>
            <w:pPr>
              <w:pStyle w:val="TableParagraph"/>
              <w:spacing w:before="106"/>
              <w:ind w:left="508"/>
              <w:rPr>
                <w:sz w:val="24"/>
              </w:rPr>
            </w:pPr>
            <w:r>
              <w:rPr>
                <w:spacing w:val="-2"/>
                <w:sz w:val="24"/>
              </w:rPr>
              <w:t>127.58</w:t>
            </w:r>
          </w:p>
        </w:tc>
      </w:tr>
      <w:tr>
        <w:trPr>
          <w:trHeight w:val="552" w:hRule="atLeast"/>
        </w:trPr>
        <w:tc>
          <w:tcPr>
            <w:tcW w:w="1475" w:type="dxa"/>
          </w:tcPr>
          <w:p>
            <w:pPr>
              <w:pStyle w:val="TableParagraph"/>
              <w:spacing w:before="106"/>
              <w:ind w:left="1"/>
              <w:rPr>
                <w:sz w:val="24"/>
              </w:rPr>
            </w:pPr>
            <w:r>
              <w:rPr>
                <w:spacing w:val="-5"/>
                <w:sz w:val="24"/>
              </w:rPr>
              <w:t>5'</w:t>
            </w:r>
          </w:p>
        </w:tc>
        <w:tc>
          <w:tcPr>
            <w:tcW w:w="1619" w:type="dxa"/>
          </w:tcPr>
          <w:p>
            <w:pPr>
              <w:pStyle w:val="TableParagraph"/>
              <w:spacing w:before="106"/>
              <w:ind w:left="686"/>
              <w:rPr>
                <w:sz w:val="24"/>
              </w:rPr>
            </w:pPr>
            <w:r>
              <w:rPr>
                <w:spacing w:val="-4"/>
                <w:sz w:val="24"/>
              </w:rPr>
              <w:t>6.64</w:t>
            </w:r>
          </w:p>
        </w:tc>
        <w:tc>
          <w:tcPr>
            <w:tcW w:w="2127" w:type="dxa"/>
          </w:tcPr>
          <w:p>
            <w:pPr>
              <w:pStyle w:val="TableParagraph"/>
              <w:spacing w:before="106"/>
              <w:ind w:left="508"/>
              <w:rPr>
                <w:sz w:val="24"/>
              </w:rPr>
            </w:pPr>
            <w:r>
              <w:rPr>
                <w:spacing w:val="-2"/>
                <w:sz w:val="24"/>
              </w:rPr>
              <w:t>127.53</w:t>
            </w:r>
          </w:p>
        </w:tc>
      </w:tr>
      <w:tr>
        <w:trPr>
          <w:trHeight w:val="552" w:hRule="atLeast"/>
        </w:trPr>
        <w:tc>
          <w:tcPr>
            <w:tcW w:w="1475" w:type="dxa"/>
          </w:tcPr>
          <w:p>
            <w:pPr>
              <w:pStyle w:val="TableParagraph"/>
              <w:spacing w:before="106"/>
              <w:ind w:left="1"/>
              <w:rPr>
                <w:sz w:val="24"/>
              </w:rPr>
            </w:pPr>
            <w:r>
              <w:rPr>
                <w:spacing w:val="-5"/>
                <w:sz w:val="24"/>
              </w:rPr>
              <w:t>6'</w:t>
            </w:r>
          </w:p>
        </w:tc>
        <w:tc>
          <w:tcPr>
            <w:tcW w:w="1619" w:type="dxa"/>
          </w:tcPr>
          <w:p>
            <w:pPr>
              <w:pStyle w:val="TableParagraph"/>
              <w:spacing w:before="106"/>
              <w:ind w:left="686"/>
              <w:rPr>
                <w:sz w:val="24"/>
              </w:rPr>
            </w:pPr>
            <w:r>
              <w:rPr>
                <w:spacing w:val="-4"/>
                <w:sz w:val="24"/>
              </w:rPr>
              <w:t>6.94</w:t>
            </w:r>
          </w:p>
        </w:tc>
        <w:tc>
          <w:tcPr>
            <w:tcW w:w="2127" w:type="dxa"/>
          </w:tcPr>
          <w:p>
            <w:pPr>
              <w:pStyle w:val="TableParagraph"/>
              <w:spacing w:before="106"/>
              <w:ind w:left="508"/>
              <w:rPr>
                <w:sz w:val="24"/>
              </w:rPr>
            </w:pPr>
            <w:r>
              <w:rPr>
                <w:spacing w:val="-2"/>
                <w:sz w:val="24"/>
              </w:rPr>
              <w:t>119.39</w:t>
            </w:r>
          </w:p>
        </w:tc>
      </w:tr>
      <w:tr>
        <w:trPr>
          <w:trHeight w:val="552" w:hRule="atLeast"/>
        </w:trPr>
        <w:tc>
          <w:tcPr>
            <w:tcW w:w="1475" w:type="dxa"/>
          </w:tcPr>
          <w:p>
            <w:pPr>
              <w:pStyle w:val="TableParagraph"/>
              <w:spacing w:before="106"/>
              <w:ind w:left="1"/>
              <w:rPr>
                <w:sz w:val="24"/>
              </w:rPr>
            </w:pPr>
            <w:r>
              <w:rPr>
                <w:sz w:val="24"/>
              </w:rPr>
              <w:t>-</w:t>
            </w:r>
            <w:r>
              <w:rPr>
                <w:spacing w:val="-5"/>
                <w:sz w:val="24"/>
              </w:rPr>
              <w:t>NH2</w:t>
            </w:r>
          </w:p>
        </w:tc>
        <w:tc>
          <w:tcPr>
            <w:tcW w:w="1619" w:type="dxa"/>
          </w:tcPr>
          <w:p>
            <w:pPr>
              <w:pStyle w:val="TableParagraph"/>
              <w:spacing w:before="106"/>
              <w:ind w:left="686"/>
              <w:rPr>
                <w:sz w:val="24"/>
              </w:rPr>
            </w:pPr>
            <w:r>
              <w:rPr>
                <w:spacing w:val="-4"/>
                <w:sz w:val="24"/>
              </w:rPr>
              <w:t>4.25</w:t>
            </w:r>
          </w:p>
        </w:tc>
        <w:tc>
          <w:tcPr>
            <w:tcW w:w="2127" w:type="dxa"/>
          </w:tcPr>
          <w:p>
            <w:pPr>
              <w:pStyle w:val="TableParagraph"/>
              <w:spacing w:before="106"/>
              <w:ind w:left="508"/>
              <w:rPr>
                <w:sz w:val="24"/>
              </w:rPr>
            </w:pPr>
            <w:r>
              <w:rPr>
                <w:spacing w:val="-10"/>
                <w:sz w:val="24"/>
              </w:rPr>
              <w:t>-</w:t>
            </w:r>
          </w:p>
        </w:tc>
      </w:tr>
      <w:tr>
        <w:trPr>
          <w:trHeight w:val="447" w:hRule="atLeast"/>
        </w:trPr>
        <w:tc>
          <w:tcPr>
            <w:tcW w:w="1475" w:type="dxa"/>
            <w:tcBorders>
              <w:bottom w:val="single" w:sz="6" w:space="0" w:color="000000"/>
            </w:tcBorders>
          </w:tcPr>
          <w:p>
            <w:pPr>
              <w:pStyle w:val="TableParagraph"/>
              <w:spacing w:before="106"/>
              <w:ind w:left="1"/>
              <w:rPr>
                <w:sz w:val="24"/>
              </w:rPr>
            </w:pPr>
            <w:r>
              <w:rPr>
                <w:sz w:val="24"/>
              </w:rPr>
              <w:t>-</w:t>
            </w:r>
            <w:r>
              <w:rPr>
                <w:spacing w:val="-5"/>
                <w:sz w:val="24"/>
              </w:rPr>
              <w:t>NH</w:t>
            </w:r>
          </w:p>
        </w:tc>
        <w:tc>
          <w:tcPr>
            <w:tcW w:w="1619" w:type="dxa"/>
            <w:tcBorders>
              <w:bottom w:val="single" w:sz="6" w:space="0" w:color="000000"/>
            </w:tcBorders>
          </w:tcPr>
          <w:p>
            <w:pPr>
              <w:pStyle w:val="TableParagraph"/>
              <w:spacing w:before="106"/>
              <w:ind w:left="686"/>
              <w:rPr>
                <w:sz w:val="24"/>
              </w:rPr>
            </w:pPr>
            <w:r>
              <w:rPr>
                <w:spacing w:val="-5"/>
                <w:sz w:val="24"/>
              </w:rPr>
              <w:t>5.6</w:t>
            </w:r>
          </w:p>
        </w:tc>
        <w:tc>
          <w:tcPr>
            <w:tcW w:w="2127" w:type="dxa"/>
            <w:tcBorders>
              <w:bottom w:val="single" w:sz="6" w:space="0" w:color="000000"/>
            </w:tcBorders>
          </w:tcPr>
          <w:p>
            <w:pPr>
              <w:pStyle w:val="TableParagraph"/>
              <w:spacing w:before="106"/>
              <w:ind w:left="508"/>
              <w:rPr>
                <w:sz w:val="24"/>
              </w:rPr>
            </w:pPr>
            <w:r>
              <w:rPr>
                <w:spacing w:val="-10"/>
                <w:sz w:val="24"/>
              </w:rPr>
              <w:t>-</w:t>
            </w:r>
          </w:p>
        </w:tc>
      </w:tr>
    </w:tbl>
    <w:p>
      <w:pPr>
        <w:pStyle w:val="BodyText"/>
        <w:rPr>
          <w:sz w:val="20"/>
        </w:rPr>
      </w:pPr>
    </w:p>
    <w:p>
      <w:pPr>
        <w:pStyle w:val="BodyText"/>
        <w:rPr>
          <w:sz w:val="20"/>
        </w:rPr>
      </w:pPr>
    </w:p>
    <w:p>
      <w:pPr>
        <w:pStyle w:val="BodyText"/>
        <w:spacing w:before="31"/>
        <w:rPr>
          <w:sz w:val="20"/>
        </w:rPr>
      </w:pPr>
    </w:p>
    <w:p>
      <w:pPr>
        <w:tabs>
          <w:tab w:pos="1553" w:val="left" w:leader="none"/>
          <w:tab w:pos="2152" w:val="left" w:leader="none"/>
          <w:tab w:pos="2747" w:val="left" w:leader="none"/>
        </w:tabs>
        <w:spacing w:before="0"/>
        <w:ind w:left="828" w:right="0" w:firstLine="0"/>
        <w:jc w:val="center"/>
        <w:rPr>
          <w:rFonts w:ascii="Arial MT"/>
          <w:sz w:val="20"/>
        </w:rPr>
      </w:pPr>
      <w:r>
        <w:rPr/>
        <mc:AlternateContent>
          <mc:Choice Requires="wps">
            <w:drawing>
              <wp:anchor distT="0" distB="0" distL="0" distR="0" allowOverlap="1" layoutInCell="1" locked="0" behindDoc="1" simplePos="0" relativeHeight="483952128">
                <wp:simplePos x="0" y="0"/>
                <wp:positionH relativeFrom="page">
                  <wp:posOffset>3637161</wp:posOffset>
                </wp:positionH>
                <wp:positionV relativeFrom="paragraph">
                  <wp:posOffset>142701</wp:posOffset>
                </wp:positionV>
                <wp:extent cx="1270" cy="243204"/>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1270" cy="243204"/>
                        </a:xfrm>
                        <a:custGeom>
                          <a:avLst/>
                          <a:gdLst/>
                          <a:ahLst/>
                          <a:cxnLst/>
                          <a:rect l="l" t="t" r="r" b="b"/>
                          <a:pathLst>
                            <a:path w="0" h="243204">
                              <a:moveTo>
                                <a:pt x="0" y="243114"/>
                              </a:moveTo>
                              <a:lnTo>
                                <a:pt x="0" y="0"/>
                              </a:lnTo>
                            </a:path>
                          </a:pathLst>
                        </a:custGeom>
                        <a:ln w="120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4352" from="286.390686pt,30.379211pt" to="286.390686pt,11.236358pt" stroked="true" strokeweight=".948588pt" strokecolor="#000000">
                <v:stroke dashstyle="solid"/>
                <w10:wrap type="none"/>
              </v:line>
            </w:pict>
          </mc:Fallback>
        </mc:AlternateContent>
      </w:r>
      <w:r>
        <w:rPr/>
        <mc:AlternateContent>
          <mc:Choice Requires="wps">
            <w:drawing>
              <wp:anchor distT="0" distB="0" distL="0" distR="0" allowOverlap="1" layoutInCell="1" locked="0" behindDoc="1" simplePos="0" relativeHeight="483953152">
                <wp:simplePos x="0" y="0"/>
                <wp:positionH relativeFrom="page">
                  <wp:posOffset>4097069</wp:posOffset>
                </wp:positionH>
                <wp:positionV relativeFrom="paragraph">
                  <wp:posOffset>162826</wp:posOffset>
                </wp:positionV>
                <wp:extent cx="1270" cy="24193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1270" cy="241935"/>
                        </a:xfrm>
                        <a:custGeom>
                          <a:avLst/>
                          <a:gdLst/>
                          <a:ahLst/>
                          <a:cxnLst/>
                          <a:rect l="l" t="t" r="r" b="b"/>
                          <a:pathLst>
                            <a:path w="0" h="241935">
                              <a:moveTo>
                                <a:pt x="0" y="241595"/>
                              </a:moveTo>
                              <a:lnTo>
                                <a:pt x="0" y="0"/>
                              </a:lnTo>
                            </a:path>
                          </a:pathLst>
                        </a:custGeom>
                        <a:ln w="120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3328" from="322.603912pt,31.844264pt" to="322.603912pt,12.821007pt" stroked="true" strokeweight=".948588pt" strokecolor="#000000">
                <v:stroke dashstyle="solid"/>
                <w10:wrap type="none"/>
              </v:line>
            </w:pict>
          </mc:Fallback>
        </mc:AlternateContent>
      </w:r>
      <w:r>
        <w:rPr/>
        <mc:AlternateContent>
          <mc:Choice Requires="wps">
            <w:drawing>
              <wp:anchor distT="0" distB="0" distL="0" distR="0" allowOverlap="1" layoutInCell="1" locked="0" behindDoc="1" simplePos="0" relativeHeight="483954688">
                <wp:simplePos x="0" y="0"/>
                <wp:positionH relativeFrom="page">
                  <wp:posOffset>4477683</wp:posOffset>
                </wp:positionH>
                <wp:positionV relativeFrom="paragraph">
                  <wp:posOffset>162826</wp:posOffset>
                </wp:positionV>
                <wp:extent cx="1270" cy="24193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1270" cy="241935"/>
                        </a:xfrm>
                        <a:custGeom>
                          <a:avLst/>
                          <a:gdLst/>
                          <a:ahLst/>
                          <a:cxnLst/>
                          <a:rect l="l" t="t" r="r" b="b"/>
                          <a:pathLst>
                            <a:path w="0" h="241935">
                              <a:moveTo>
                                <a:pt x="0" y="241595"/>
                              </a:moveTo>
                              <a:lnTo>
                                <a:pt x="0" y="0"/>
                              </a:lnTo>
                            </a:path>
                          </a:pathLst>
                        </a:custGeom>
                        <a:ln w="120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1792" from="352.573486pt,31.844264pt" to="352.573486pt,12.821007pt" stroked="true" strokeweight=".948588pt" strokecolor="#000000">
                <v:stroke dashstyle="solid"/>
                <w10:wrap type="none"/>
              </v:line>
            </w:pict>
          </mc:Fallback>
        </mc:AlternateContent>
      </w:r>
      <w:r>
        <w:rPr/>
        <mc:AlternateContent>
          <mc:Choice Requires="wps">
            <w:drawing>
              <wp:anchor distT="0" distB="0" distL="0" distR="0" allowOverlap="1" layoutInCell="1" locked="0" behindDoc="1" simplePos="0" relativeHeight="483956224">
                <wp:simplePos x="0" y="0"/>
                <wp:positionH relativeFrom="page">
                  <wp:posOffset>4835600</wp:posOffset>
                </wp:positionH>
                <wp:positionV relativeFrom="paragraph">
                  <wp:posOffset>164250</wp:posOffset>
                </wp:positionV>
                <wp:extent cx="46355" cy="24066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46355" cy="240665"/>
                        </a:xfrm>
                        <a:custGeom>
                          <a:avLst/>
                          <a:gdLst/>
                          <a:ahLst/>
                          <a:cxnLst/>
                          <a:rect l="l" t="t" r="r" b="b"/>
                          <a:pathLst>
                            <a:path w="46355" h="240665">
                              <a:moveTo>
                                <a:pt x="0" y="240171"/>
                              </a:moveTo>
                              <a:lnTo>
                                <a:pt x="0" y="0"/>
                              </a:lnTo>
                            </a:path>
                            <a:path w="46355" h="240665">
                              <a:moveTo>
                                <a:pt x="45867" y="240171"/>
                              </a:moveTo>
                              <a:lnTo>
                                <a:pt x="45867" y="0"/>
                              </a:lnTo>
                            </a:path>
                          </a:pathLst>
                        </a:custGeom>
                        <a:ln w="120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0.755981pt;margin-top:12.933127pt;width:3.65pt;height:18.95pt;mso-position-horizontal-relative:page;mso-position-vertical-relative:paragraph;z-index:-19360256" id="docshape77" coordorigin="7615,259" coordsize="73,379" path="m7615,637l7615,259m7687,637l7687,259e" filled="false" stroked="true" strokeweight=".948418pt" strokecolor="#000000">
                <v:path arrowok="t"/>
                <v:stroke dashstyle="solid"/>
                <w10:wrap type="none"/>
              </v:shape>
            </w:pict>
          </mc:Fallback>
        </mc:AlternateContent>
      </w:r>
      <w:r>
        <w:rPr>
          <w:rFonts w:ascii="Arial MT"/>
          <w:spacing w:val="-10"/>
          <w:position w:val="3"/>
          <w:sz w:val="20"/>
        </w:rPr>
        <w:t>H</w:t>
      </w:r>
      <w:r>
        <w:rPr>
          <w:rFonts w:ascii="Arial MT"/>
          <w:position w:val="3"/>
          <w:sz w:val="20"/>
        </w:rPr>
        <w:tab/>
      </w:r>
      <w:r>
        <w:rPr>
          <w:rFonts w:ascii="Arial MT"/>
          <w:spacing w:val="-10"/>
          <w:sz w:val="20"/>
        </w:rPr>
        <w:t>H</w:t>
      </w:r>
      <w:r>
        <w:rPr>
          <w:rFonts w:ascii="Arial MT"/>
          <w:sz w:val="20"/>
        </w:rPr>
        <w:tab/>
      </w:r>
      <w:r>
        <w:rPr>
          <w:rFonts w:ascii="Arial MT"/>
          <w:spacing w:val="-10"/>
          <w:sz w:val="20"/>
        </w:rPr>
        <w:t>H</w:t>
      </w:r>
      <w:r>
        <w:rPr>
          <w:rFonts w:ascii="Arial MT"/>
          <w:sz w:val="20"/>
        </w:rPr>
        <w:tab/>
      </w:r>
      <w:r>
        <w:rPr>
          <w:rFonts w:ascii="Arial MT"/>
          <w:spacing w:val="-10"/>
          <w:sz w:val="20"/>
        </w:rPr>
        <w:t>O</w:t>
      </w:r>
    </w:p>
    <w:p>
      <w:pPr>
        <w:tabs>
          <w:tab w:pos="4900" w:val="left" w:leader="none"/>
          <w:tab w:pos="5499" w:val="left" w:leader="none"/>
          <w:tab w:pos="6099" w:val="left" w:leader="none"/>
          <w:tab w:pos="6701" w:val="left" w:leader="none"/>
        </w:tabs>
        <w:spacing w:line="332" w:lineRule="exact" w:before="215"/>
        <w:ind w:left="4178" w:right="0" w:firstLine="0"/>
        <w:jc w:val="left"/>
        <w:rPr>
          <w:rFonts w:ascii="Arial MT"/>
          <w:sz w:val="20"/>
        </w:rPr>
      </w:pPr>
      <w:r>
        <w:rPr/>
        <mc:AlternateContent>
          <mc:Choice Requires="wps">
            <w:drawing>
              <wp:anchor distT="0" distB="0" distL="0" distR="0" allowOverlap="1" layoutInCell="1" locked="0" behindDoc="0" simplePos="0" relativeHeight="15769088">
                <wp:simplePos x="0" y="0"/>
                <wp:positionH relativeFrom="page">
                  <wp:posOffset>2590752</wp:posOffset>
                </wp:positionH>
                <wp:positionV relativeFrom="paragraph">
                  <wp:posOffset>90159</wp:posOffset>
                </wp:positionV>
                <wp:extent cx="1021080" cy="109093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1021080" cy="1090930"/>
                          <a:chExt cx="1021080" cy="1090930"/>
                        </a:xfrm>
                      </wpg:grpSpPr>
                      <wps:wsp>
                        <wps:cNvPr id="133" name="Graphic 133"/>
                        <wps:cNvSpPr/>
                        <wps:spPr>
                          <a:xfrm>
                            <a:off x="6023" y="6021"/>
                            <a:ext cx="981075" cy="1084580"/>
                          </a:xfrm>
                          <a:custGeom>
                            <a:avLst/>
                            <a:gdLst/>
                            <a:ahLst/>
                            <a:cxnLst/>
                            <a:rect l="l" t="t" r="r" b="b"/>
                            <a:pathLst>
                              <a:path w="981075" h="1084580">
                                <a:moveTo>
                                  <a:pt x="0" y="192232"/>
                                </a:moveTo>
                                <a:lnTo>
                                  <a:pt x="0" y="576886"/>
                                </a:lnTo>
                              </a:path>
                              <a:path w="981075" h="1084580">
                                <a:moveTo>
                                  <a:pt x="45871" y="220046"/>
                                </a:moveTo>
                                <a:lnTo>
                                  <a:pt x="45871" y="550714"/>
                                </a:lnTo>
                              </a:path>
                              <a:path w="981075" h="1084580">
                                <a:moveTo>
                                  <a:pt x="0" y="576886"/>
                                </a:moveTo>
                                <a:lnTo>
                                  <a:pt x="330590" y="769108"/>
                                </a:lnTo>
                              </a:path>
                              <a:path w="981075" h="1084580">
                                <a:moveTo>
                                  <a:pt x="330590" y="769108"/>
                                </a:moveTo>
                                <a:lnTo>
                                  <a:pt x="659563" y="576886"/>
                                </a:lnTo>
                              </a:path>
                              <a:path w="981075" h="1084580">
                                <a:moveTo>
                                  <a:pt x="328966" y="716992"/>
                                </a:moveTo>
                                <a:lnTo>
                                  <a:pt x="613923" y="550714"/>
                                </a:lnTo>
                              </a:path>
                              <a:path w="981075" h="1084580">
                                <a:moveTo>
                                  <a:pt x="659563" y="576886"/>
                                </a:moveTo>
                                <a:lnTo>
                                  <a:pt x="659563" y="192232"/>
                                </a:lnTo>
                              </a:path>
                              <a:path w="981075" h="1084580">
                                <a:moveTo>
                                  <a:pt x="659563" y="192232"/>
                                </a:moveTo>
                                <a:lnTo>
                                  <a:pt x="330590" y="0"/>
                                </a:lnTo>
                              </a:path>
                              <a:path w="981075" h="1084580">
                                <a:moveTo>
                                  <a:pt x="613923" y="220046"/>
                                </a:moveTo>
                                <a:lnTo>
                                  <a:pt x="328966" y="53730"/>
                                </a:lnTo>
                              </a:path>
                              <a:path w="981075" h="1084580">
                                <a:moveTo>
                                  <a:pt x="330590" y="0"/>
                                </a:moveTo>
                                <a:lnTo>
                                  <a:pt x="0" y="192232"/>
                                </a:lnTo>
                              </a:path>
                              <a:path w="981075" h="1084580">
                                <a:moveTo>
                                  <a:pt x="659563" y="192232"/>
                                </a:moveTo>
                                <a:lnTo>
                                  <a:pt x="980843" y="192232"/>
                                </a:lnTo>
                              </a:path>
                              <a:path w="981075" h="1084580">
                                <a:moveTo>
                                  <a:pt x="659563" y="576886"/>
                                </a:moveTo>
                                <a:lnTo>
                                  <a:pt x="880343" y="799903"/>
                                </a:lnTo>
                              </a:path>
                              <a:path w="981075" h="1084580">
                                <a:moveTo>
                                  <a:pt x="330590" y="769108"/>
                                </a:moveTo>
                                <a:lnTo>
                                  <a:pt x="330590" y="1084530"/>
                                </a:lnTo>
                              </a:path>
                            </a:pathLst>
                          </a:custGeom>
                          <a:ln w="12044">
                            <a:solidFill>
                              <a:srgbClr val="000000"/>
                            </a:solidFill>
                            <a:prstDash val="solid"/>
                          </a:ln>
                        </wps:spPr>
                        <wps:bodyPr wrap="square" lIns="0" tIns="0" rIns="0" bIns="0" rtlCol="0">
                          <a:prstTxWarp prst="textNoShape">
                            <a:avLst/>
                          </a:prstTxWarp>
                          <a:noAutofit/>
                        </wps:bodyPr>
                      </wps:wsp>
                      <wps:wsp>
                        <wps:cNvPr id="134" name="Textbox 134"/>
                        <wps:cNvSpPr txBox="1"/>
                        <wps:spPr>
                          <a:xfrm>
                            <a:off x="126488" y="196473"/>
                            <a:ext cx="116839" cy="170815"/>
                          </a:xfrm>
                          <a:prstGeom prst="rect">
                            <a:avLst/>
                          </a:prstGeom>
                        </wps:spPr>
                        <wps:txbx>
                          <w:txbxContent>
                            <w:p>
                              <w:pPr>
                                <w:spacing w:line="268" w:lineRule="exact" w:before="0"/>
                                <w:ind w:left="0" w:right="0" w:firstLine="0"/>
                                <w:jc w:val="left"/>
                                <w:rPr>
                                  <w:sz w:val="24"/>
                                </w:rPr>
                              </w:pPr>
                              <w:r>
                                <w:rPr>
                                  <w:spacing w:val="-5"/>
                                  <w:sz w:val="24"/>
                                </w:rPr>
                                <w:t>5'</w:t>
                              </w:r>
                            </w:p>
                          </w:txbxContent>
                        </wps:txbx>
                        <wps:bodyPr wrap="square" lIns="0" tIns="0" rIns="0" bIns="0" rtlCol="0">
                          <a:noAutofit/>
                        </wps:bodyPr>
                      </wps:wsp>
                      <wps:wsp>
                        <wps:cNvPr id="135" name="Textbox 135"/>
                        <wps:cNvSpPr txBox="1"/>
                        <wps:spPr>
                          <a:xfrm>
                            <a:off x="260396" y="61018"/>
                            <a:ext cx="116839" cy="170815"/>
                          </a:xfrm>
                          <a:prstGeom prst="rect">
                            <a:avLst/>
                          </a:prstGeom>
                        </wps:spPr>
                        <wps:txbx>
                          <w:txbxContent>
                            <w:p>
                              <w:pPr>
                                <w:spacing w:line="268" w:lineRule="exact" w:before="0"/>
                                <w:ind w:left="0" w:right="0" w:firstLine="0"/>
                                <w:jc w:val="left"/>
                                <w:rPr>
                                  <w:sz w:val="24"/>
                                </w:rPr>
                              </w:pPr>
                              <w:r>
                                <w:rPr>
                                  <w:spacing w:val="-5"/>
                                  <w:sz w:val="24"/>
                                </w:rPr>
                                <w:t>6'</w:t>
                              </w:r>
                            </w:p>
                          </w:txbxContent>
                        </wps:txbx>
                        <wps:bodyPr wrap="square" lIns="0" tIns="0" rIns="0" bIns="0" rtlCol="0">
                          <a:noAutofit/>
                        </wps:bodyPr>
                      </wps:wsp>
                      <wps:wsp>
                        <wps:cNvPr id="136" name="Textbox 136"/>
                        <wps:cNvSpPr txBox="1"/>
                        <wps:spPr>
                          <a:xfrm>
                            <a:off x="126488" y="456551"/>
                            <a:ext cx="307340" cy="227329"/>
                          </a:xfrm>
                          <a:prstGeom prst="rect">
                            <a:avLst/>
                          </a:prstGeom>
                        </wps:spPr>
                        <wps:txbx>
                          <w:txbxContent>
                            <w:p>
                              <w:pPr>
                                <w:spacing w:line="230" w:lineRule="auto" w:before="0"/>
                                <w:ind w:left="0" w:right="0" w:firstLine="0"/>
                                <w:jc w:val="left"/>
                                <w:rPr>
                                  <w:sz w:val="24"/>
                                </w:rPr>
                              </w:pPr>
                              <w:r>
                                <w:rPr>
                                  <w:sz w:val="24"/>
                                </w:rPr>
                                <w:t>4'</w:t>
                              </w:r>
                              <w:r>
                                <w:rPr>
                                  <w:spacing w:val="75"/>
                                  <w:sz w:val="24"/>
                                </w:rPr>
                                <w:t> </w:t>
                              </w:r>
                              <w:r>
                                <w:rPr>
                                  <w:spacing w:val="-7"/>
                                  <w:position w:val="-8"/>
                                  <w:sz w:val="24"/>
                                </w:rPr>
                                <w:t>3'</w:t>
                              </w:r>
                            </w:p>
                          </w:txbxContent>
                        </wps:txbx>
                        <wps:bodyPr wrap="square" lIns="0" tIns="0" rIns="0" bIns="0" rtlCol="0">
                          <a:noAutofit/>
                        </wps:bodyPr>
                      </wps:wsp>
                      <wps:wsp>
                        <wps:cNvPr id="137" name="Textbox 137"/>
                        <wps:cNvSpPr txBox="1"/>
                        <wps:spPr>
                          <a:xfrm>
                            <a:off x="527044" y="187218"/>
                            <a:ext cx="135255" cy="363220"/>
                          </a:xfrm>
                          <a:prstGeom prst="rect">
                            <a:avLst/>
                          </a:prstGeom>
                        </wps:spPr>
                        <wps:txbx>
                          <w:txbxContent>
                            <w:p>
                              <w:pPr>
                                <w:spacing w:line="268" w:lineRule="exact" w:before="0"/>
                                <w:ind w:left="0" w:right="0" w:firstLine="0"/>
                                <w:jc w:val="left"/>
                                <w:rPr>
                                  <w:sz w:val="24"/>
                                </w:rPr>
                              </w:pPr>
                              <w:r>
                                <w:rPr>
                                  <w:spacing w:val="-5"/>
                                  <w:sz w:val="24"/>
                                </w:rPr>
                                <w:t>1'</w:t>
                              </w:r>
                            </w:p>
                            <w:p>
                              <w:pPr>
                                <w:spacing w:before="26"/>
                                <w:ind w:left="28" w:right="0" w:firstLine="0"/>
                                <w:jc w:val="left"/>
                                <w:rPr>
                                  <w:sz w:val="24"/>
                                </w:rPr>
                              </w:pPr>
                              <w:r>
                                <w:rPr>
                                  <w:spacing w:val="-5"/>
                                  <w:sz w:val="24"/>
                                </w:rPr>
                                <w:t>2'</w:t>
                              </w:r>
                            </w:p>
                          </w:txbxContent>
                        </wps:txbx>
                        <wps:bodyPr wrap="square" lIns="0" tIns="0" rIns="0" bIns="0" rtlCol="0">
                          <a:noAutofit/>
                        </wps:bodyPr>
                      </wps:wsp>
                      <wps:wsp>
                        <wps:cNvPr id="138" name="Textbox 138"/>
                        <wps:cNvSpPr txBox="1"/>
                        <wps:spPr>
                          <a:xfrm>
                            <a:off x="887991" y="788985"/>
                            <a:ext cx="132715" cy="144780"/>
                          </a:xfrm>
                          <a:prstGeom prst="rect">
                            <a:avLst/>
                          </a:prstGeom>
                        </wps:spPr>
                        <wps:txbx>
                          <w:txbxContent>
                            <w:p>
                              <w:pPr>
                                <w:spacing w:line="227" w:lineRule="exact" w:before="0"/>
                                <w:ind w:left="0" w:right="0" w:firstLine="0"/>
                                <w:jc w:val="left"/>
                                <w:rPr>
                                  <w:rFonts w:ascii="Arial MT"/>
                                  <w:sz w:val="20"/>
                                </w:rPr>
                              </w:pPr>
                              <w:r>
                                <w:rPr>
                                  <w:rFonts w:ascii="Arial MT"/>
                                  <w:spacing w:val="-5"/>
                                  <w:sz w:val="20"/>
                                </w:rPr>
                                <w:t>Cl</w:t>
                              </w:r>
                            </w:p>
                          </w:txbxContent>
                        </wps:txbx>
                        <wps:bodyPr wrap="square" lIns="0" tIns="0" rIns="0" bIns="0" rtlCol="0">
                          <a:noAutofit/>
                        </wps:bodyPr>
                      </wps:wsp>
                    </wpg:wgp>
                  </a:graphicData>
                </a:graphic>
              </wp:anchor>
            </w:drawing>
          </mc:Choice>
          <mc:Fallback>
            <w:pict>
              <v:group style="position:absolute;margin-left:203.996231pt;margin-top:7.099139pt;width:80.4pt;height:85.9pt;mso-position-horizontal-relative:page;mso-position-vertical-relative:paragraph;z-index:15769088" id="docshapegroup78" coordorigin="4080,142" coordsize="1608,1718">
                <v:shape style="position:absolute;left:4089;top:151;width:1545;height:1708" id="docshape79" coordorigin="4089,151" coordsize="1545,1708" path="m4089,454l4089,1060m4162,498l4162,1019m4089,1060l4610,1363m4610,1363l5128,1060m4607,1281l5056,1019m5128,1060l5128,454m5128,454l4610,151m5056,498l4607,236m4610,151l4089,454m5128,454l5634,454m5128,1060l5476,1411m4610,1363l4610,1859e" filled="false" stroked="true" strokeweight=".948418pt" strokecolor="#000000">
                  <v:path arrowok="t"/>
                  <v:stroke dashstyle="solid"/>
                </v:shape>
                <v:shape style="position:absolute;left:4279;top:451;width:184;height:269" type="#_x0000_t202" id="docshape80" filled="false" stroked="false">
                  <v:textbox inset="0,0,0,0">
                    <w:txbxContent>
                      <w:p>
                        <w:pPr>
                          <w:spacing w:line="268" w:lineRule="exact" w:before="0"/>
                          <w:ind w:left="0" w:right="0" w:firstLine="0"/>
                          <w:jc w:val="left"/>
                          <w:rPr>
                            <w:sz w:val="24"/>
                          </w:rPr>
                        </w:pPr>
                        <w:r>
                          <w:rPr>
                            <w:spacing w:val="-5"/>
                            <w:sz w:val="24"/>
                          </w:rPr>
                          <w:t>5'</w:t>
                        </w:r>
                      </w:p>
                    </w:txbxContent>
                  </v:textbox>
                  <w10:wrap type="none"/>
                </v:shape>
                <v:shape style="position:absolute;left:4490;top:238;width:184;height:269" type="#_x0000_t202" id="docshape81" filled="false" stroked="false">
                  <v:textbox inset="0,0,0,0">
                    <w:txbxContent>
                      <w:p>
                        <w:pPr>
                          <w:spacing w:line="268" w:lineRule="exact" w:before="0"/>
                          <w:ind w:left="0" w:right="0" w:firstLine="0"/>
                          <w:jc w:val="left"/>
                          <w:rPr>
                            <w:sz w:val="24"/>
                          </w:rPr>
                        </w:pPr>
                        <w:r>
                          <w:rPr>
                            <w:spacing w:val="-5"/>
                            <w:sz w:val="24"/>
                          </w:rPr>
                          <w:t>6'</w:t>
                        </w:r>
                      </w:p>
                    </w:txbxContent>
                  </v:textbox>
                  <w10:wrap type="none"/>
                </v:shape>
                <v:shape style="position:absolute;left:4279;top:860;width:484;height:358" type="#_x0000_t202" id="docshape82" filled="false" stroked="false">
                  <v:textbox inset="0,0,0,0">
                    <w:txbxContent>
                      <w:p>
                        <w:pPr>
                          <w:spacing w:line="230" w:lineRule="auto" w:before="0"/>
                          <w:ind w:left="0" w:right="0" w:firstLine="0"/>
                          <w:jc w:val="left"/>
                          <w:rPr>
                            <w:sz w:val="24"/>
                          </w:rPr>
                        </w:pPr>
                        <w:r>
                          <w:rPr>
                            <w:sz w:val="24"/>
                          </w:rPr>
                          <w:t>4'</w:t>
                        </w:r>
                        <w:r>
                          <w:rPr>
                            <w:spacing w:val="75"/>
                            <w:sz w:val="24"/>
                          </w:rPr>
                          <w:t> </w:t>
                        </w:r>
                        <w:r>
                          <w:rPr>
                            <w:spacing w:val="-7"/>
                            <w:position w:val="-8"/>
                            <w:sz w:val="24"/>
                          </w:rPr>
                          <w:t>3'</w:t>
                        </w:r>
                      </w:p>
                    </w:txbxContent>
                  </v:textbox>
                  <w10:wrap type="none"/>
                </v:shape>
                <v:shape style="position:absolute;left:4909;top:436;width:213;height:572" type="#_x0000_t202" id="docshape83" filled="false" stroked="false">
                  <v:textbox inset="0,0,0,0">
                    <w:txbxContent>
                      <w:p>
                        <w:pPr>
                          <w:spacing w:line="268" w:lineRule="exact" w:before="0"/>
                          <w:ind w:left="0" w:right="0" w:firstLine="0"/>
                          <w:jc w:val="left"/>
                          <w:rPr>
                            <w:sz w:val="24"/>
                          </w:rPr>
                        </w:pPr>
                        <w:r>
                          <w:rPr>
                            <w:spacing w:val="-5"/>
                            <w:sz w:val="24"/>
                          </w:rPr>
                          <w:t>1'</w:t>
                        </w:r>
                      </w:p>
                      <w:p>
                        <w:pPr>
                          <w:spacing w:before="26"/>
                          <w:ind w:left="28" w:right="0" w:firstLine="0"/>
                          <w:jc w:val="left"/>
                          <w:rPr>
                            <w:sz w:val="24"/>
                          </w:rPr>
                        </w:pPr>
                        <w:r>
                          <w:rPr>
                            <w:spacing w:val="-5"/>
                            <w:sz w:val="24"/>
                          </w:rPr>
                          <w:t>2'</w:t>
                        </w:r>
                      </w:p>
                    </w:txbxContent>
                  </v:textbox>
                  <w10:wrap type="none"/>
                </v:shape>
                <v:shape style="position:absolute;left:5478;top:1384;width:209;height:228" type="#_x0000_t202" id="docshape84" filled="false" stroked="false">
                  <v:textbox inset="0,0,0,0">
                    <w:txbxContent>
                      <w:p>
                        <w:pPr>
                          <w:spacing w:line="227" w:lineRule="exact" w:before="0"/>
                          <w:ind w:left="0" w:right="0" w:firstLine="0"/>
                          <w:jc w:val="left"/>
                          <w:rPr>
                            <w:rFonts w:ascii="Arial MT"/>
                            <w:sz w:val="20"/>
                          </w:rPr>
                        </w:pPr>
                        <w:r>
                          <w:rPr>
                            <w:rFonts w:ascii="Arial MT"/>
                            <w:spacing w:val="-5"/>
                            <w:sz w:val="20"/>
                          </w:rPr>
                          <w:t>Cl</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951616">
                <wp:simplePos x="0" y="0"/>
                <wp:positionH relativeFrom="page">
                  <wp:posOffset>3716171</wp:posOffset>
                </wp:positionH>
                <wp:positionV relativeFrom="paragraph">
                  <wp:posOffset>308538</wp:posOffset>
                </wp:positionV>
                <wp:extent cx="315595" cy="127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315595" cy="1270"/>
                        </a:xfrm>
                        <a:custGeom>
                          <a:avLst/>
                          <a:gdLst/>
                          <a:ahLst/>
                          <a:cxnLst/>
                          <a:rect l="l" t="t" r="r" b="b"/>
                          <a:pathLst>
                            <a:path w="315595" h="0">
                              <a:moveTo>
                                <a:pt x="0" y="0"/>
                              </a:moveTo>
                              <a:lnTo>
                                <a:pt x="315373" y="0"/>
                              </a:lnTo>
                            </a:path>
                          </a:pathLst>
                        </a:custGeom>
                        <a:ln w="120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4864" from="292.611908pt,24.294338pt" to="317.444489pt,24.294338pt" stroked="true" strokeweight=".948248pt" strokecolor="#000000">
                <v:stroke dashstyle="solid"/>
                <w10:wrap type="none"/>
              </v:line>
            </w:pict>
          </mc:Fallback>
        </mc:AlternateContent>
      </w:r>
      <w:r>
        <w:rPr/>
        <mc:AlternateContent>
          <mc:Choice Requires="wps">
            <w:drawing>
              <wp:anchor distT="0" distB="0" distL="0" distR="0" allowOverlap="1" layoutInCell="1" locked="0" behindDoc="1" simplePos="0" relativeHeight="483954176">
                <wp:simplePos x="0" y="0"/>
                <wp:positionH relativeFrom="page">
                  <wp:posOffset>4160980</wp:posOffset>
                </wp:positionH>
                <wp:positionV relativeFrom="paragraph">
                  <wp:posOffset>308538</wp:posOffset>
                </wp:positionV>
                <wp:extent cx="251460" cy="127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251460" cy="1270"/>
                        </a:xfrm>
                        <a:custGeom>
                          <a:avLst/>
                          <a:gdLst/>
                          <a:ahLst/>
                          <a:cxnLst/>
                          <a:rect l="l" t="t" r="r" b="b"/>
                          <a:pathLst>
                            <a:path w="251460" h="0">
                              <a:moveTo>
                                <a:pt x="0" y="0"/>
                              </a:moveTo>
                              <a:lnTo>
                                <a:pt x="251368" y="0"/>
                              </a:lnTo>
                            </a:path>
                          </a:pathLst>
                        </a:custGeom>
                        <a:ln w="120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2304" from="327.63623pt,24.294338pt" to="347.429016pt,24.294338pt" stroked="true" strokeweight=".948248pt" strokecolor="#000000">
                <v:stroke dashstyle="solid"/>
                <w10:wrap type="none"/>
              </v:line>
            </w:pict>
          </mc:Fallback>
        </mc:AlternateContent>
      </w:r>
      <w:r>
        <w:rPr/>
        <mc:AlternateContent>
          <mc:Choice Requires="wps">
            <w:drawing>
              <wp:anchor distT="0" distB="0" distL="0" distR="0" allowOverlap="1" layoutInCell="1" locked="0" behindDoc="1" simplePos="0" relativeHeight="483955712">
                <wp:simplePos x="0" y="0"/>
                <wp:positionH relativeFrom="page">
                  <wp:posOffset>4541878</wp:posOffset>
                </wp:positionH>
                <wp:positionV relativeFrom="paragraph">
                  <wp:posOffset>308538</wp:posOffset>
                </wp:positionV>
                <wp:extent cx="251460" cy="127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251460" cy="1270"/>
                        </a:xfrm>
                        <a:custGeom>
                          <a:avLst/>
                          <a:gdLst/>
                          <a:ahLst/>
                          <a:cxnLst/>
                          <a:rect l="l" t="t" r="r" b="b"/>
                          <a:pathLst>
                            <a:path w="251460" h="0">
                              <a:moveTo>
                                <a:pt x="0" y="0"/>
                              </a:moveTo>
                              <a:lnTo>
                                <a:pt x="251083" y="0"/>
                              </a:lnTo>
                            </a:path>
                          </a:pathLst>
                        </a:custGeom>
                        <a:ln w="120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0768" from="357.628265pt,24.294338pt" to="377.398619pt,24.294338pt" stroked="true" strokeweight=".948248pt" strokecolor="#000000">
                <v:stroke dashstyle="solid"/>
                <w10:wrap type="none"/>
              </v:line>
            </w:pict>
          </mc:Fallback>
        </mc:AlternateContent>
      </w:r>
      <w:r>
        <w:rPr/>
        <mc:AlternateContent>
          <mc:Choice Requires="wps">
            <w:drawing>
              <wp:anchor distT="0" distB="0" distL="0" distR="0" allowOverlap="1" layoutInCell="1" locked="0" behindDoc="1" simplePos="0" relativeHeight="483956736">
                <wp:simplePos x="0" y="0"/>
                <wp:positionH relativeFrom="page">
                  <wp:posOffset>4922492</wp:posOffset>
                </wp:positionH>
                <wp:positionV relativeFrom="paragraph">
                  <wp:posOffset>308538</wp:posOffset>
                </wp:positionV>
                <wp:extent cx="257810" cy="127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257810" cy="1270"/>
                        </a:xfrm>
                        <a:custGeom>
                          <a:avLst/>
                          <a:gdLst/>
                          <a:ahLst/>
                          <a:cxnLst/>
                          <a:rect l="l" t="t" r="r" b="b"/>
                          <a:pathLst>
                            <a:path w="257810" h="0">
                              <a:moveTo>
                                <a:pt x="0" y="0"/>
                              </a:moveTo>
                              <a:lnTo>
                                <a:pt x="257351" y="0"/>
                              </a:lnTo>
                            </a:path>
                          </a:pathLst>
                        </a:custGeom>
                        <a:ln w="120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9744" from="387.597839pt,24.294338pt" to="407.861704pt,24.294338pt" stroked="true" strokeweight=".948248pt" strokecolor="#000000">
                <v:stroke dashstyle="solid"/>
                <w10:wrap type="none"/>
              </v:line>
            </w:pict>
          </mc:Fallback>
        </mc:AlternateContent>
      </w:r>
      <w:r>
        <w:rPr/>
        <mc:AlternateContent>
          <mc:Choice Requires="wps">
            <w:drawing>
              <wp:anchor distT="0" distB="0" distL="0" distR="0" allowOverlap="1" layoutInCell="1" locked="0" behindDoc="1" simplePos="0" relativeHeight="483957248">
                <wp:simplePos x="0" y="0"/>
                <wp:positionH relativeFrom="page">
                  <wp:posOffset>5309373</wp:posOffset>
                </wp:positionH>
                <wp:positionV relativeFrom="paragraph">
                  <wp:posOffset>348370</wp:posOffset>
                </wp:positionV>
                <wp:extent cx="193675" cy="11430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193675" cy="114300"/>
                        </a:xfrm>
                        <a:custGeom>
                          <a:avLst/>
                          <a:gdLst/>
                          <a:ahLst/>
                          <a:cxnLst/>
                          <a:rect l="l" t="t" r="r" b="b"/>
                          <a:pathLst>
                            <a:path w="193675" h="114300">
                              <a:moveTo>
                                <a:pt x="0" y="0"/>
                              </a:moveTo>
                              <a:lnTo>
                                <a:pt x="193440" y="113943"/>
                              </a:lnTo>
                            </a:path>
                          </a:pathLst>
                        </a:custGeom>
                        <a:ln w="1204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9232" from="418.060913pt,27.430746pt" to="433.29246pt,36.402697pt" stroked="true" strokeweight=".948335pt" strokecolor="#000000">
                <v:stroke dashstyle="solid"/>
                <w10:wrap type="none"/>
              </v:line>
            </w:pict>
          </mc:Fallback>
        </mc:AlternateContent>
      </w:r>
      <w:r>
        <w:rPr>
          <w:rFonts w:ascii="Arial MT"/>
          <w:spacing w:val="-10"/>
          <w:position w:val="3"/>
          <w:sz w:val="20"/>
        </w:rPr>
        <w:t>N</w:t>
      </w:r>
      <w:r>
        <w:rPr>
          <w:rFonts w:ascii="Arial MT"/>
          <w:position w:val="3"/>
          <w:sz w:val="20"/>
        </w:rPr>
        <w:tab/>
      </w:r>
      <w:r>
        <w:rPr>
          <w:rFonts w:ascii="Arial MT"/>
          <w:spacing w:val="-10"/>
          <w:sz w:val="20"/>
        </w:rPr>
        <w:t>C</w:t>
      </w:r>
      <w:r>
        <w:rPr>
          <w:rFonts w:ascii="Arial MT"/>
          <w:sz w:val="20"/>
        </w:rPr>
        <w:tab/>
      </w:r>
      <w:r>
        <w:rPr>
          <w:rFonts w:ascii="Arial MT"/>
          <w:spacing w:val="-10"/>
          <w:sz w:val="20"/>
        </w:rPr>
        <w:t>C</w:t>
      </w:r>
      <w:r>
        <w:rPr>
          <w:rFonts w:ascii="Arial MT"/>
          <w:sz w:val="20"/>
        </w:rPr>
        <w:tab/>
      </w:r>
      <w:r>
        <w:rPr>
          <w:rFonts w:ascii="Arial MT"/>
          <w:spacing w:val="-10"/>
          <w:sz w:val="20"/>
        </w:rPr>
        <w:t>C</w:t>
      </w:r>
      <w:r>
        <w:rPr>
          <w:rFonts w:ascii="Arial MT"/>
          <w:sz w:val="20"/>
        </w:rPr>
        <w:tab/>
        <w:t>N</w:t>
      </w:r>
      <w:r>
        <w:rPr>
          <w:rFonts w:ascii="Arial MT"/>
          <w:spacing w:val="-35"/>
          <w:sz w:val="20"/>
        </w:rPr>
        <w:t> </w:t>
      </w:r>
      <w:r>
        <w:rPr>
          <w:rFonts w:ascii="Arial MT"/>
          <w:spacing w:val="-35"/>
          <w:position w:val="10"/>
          <w:sz w:val="20"/>
        </w:rPr>
        <w:drawing>
          <wp:inline distT="0" distB="0" distL="0" distR="0">
            <wp:extent cx="243753" cy="75076"/>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11" cstate="print"/>
                    <a:stretch>
                      <a:fillRect/>
                    </a:stretch>
                  </pic:blipFill>
                  <pic:spPr>
                    <a:xfrm>
                      <a:off x="0" y="0"/>
                      <a:ext cx="243753" cy="75076"/>
                    </a:xfrm>
                    <a:prstGeom prst="rect">
                      <a:avLst/>
                    </a:prstGeom>
                  </pic:spPr>
                </pic:pic>
              </a:graphicData>
            </a:graphic>
          </wp:inline>
        </w:drawing>
      </w:r>
      <w:r>
        <w:rPr>
          <w:rFonts w:ascii="Arial MT"/>
          <w:spacing w:val="-35"/>
          <w:position w:val="10"/>
          <w:sz w:val="20"/>
        </w:rPr>
      </w:r>
      <w:r>
        <w:rPr>
          <w:spacing w:val="12"/>
          <w:position w:val="16"/>
          <w:sz w:val="20"/>
        </w:rPr>
        <w:t> </w:t>
      </w:r>
      <w:r>
        <w:rPr>
          <w:rFonts w:ascii="Arial MT"/>
          <w:spacing w:val="-10"/>
          <w:position w:val="16"/>
          <w:sz w:val="20"/>
        </w:rPr>
        <w:t>H</w:t>
      </w:r>
    </w:p>
    <w:p>
      <w:pPr>
        <w:pStyle w:val="BodyText"/>
        <w:tabs>
          <w:tab w:pos="5391" w:val="left" w:leader="none"/>
          <w:tab w:pos="6171" w:val="left" w:leader="none"/>
          <w:tab w:pos="7219" w:val="left" w:leader="none"/>
        </w:tabs>
        <w:spacing w:line="177" w:lineRule="auto"/>
        <w:ind w:left="4717"/>
        <w:rPr>
          <w:rFonts w:ascii="Arial MT"/>
          <w:sz w:val="20"/>
        </w:rPr>
      </w:pPr>
      <w:r>
        <w:rPr/>
        <mc:AlternateContent>
          <mc:Choice Requires="wps">
            <w:drawing>
              <wp:anchor distT="0" distB="0" distL="0" distR="0" allowOverlap="1" layoutInCell="1" locked="0" behindDoc="0" simplePos="0" relativeHeight="15770624">
                <wp:simplePos x="0" y="0"/>
                <wp:positionH relativeFrom="page">
                  <wp:posOffset>3637161</wp:posOffset>
                </wp:positionH>
                <wp:positionV relativeFrom="paragraph">
                  <wp:posOffset>14995</wp:posOffset>
                </wp:positionV>
                <wp:extent cx="1270" cy="243204"/>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1270" cy="243204"/>
                        </a:xfrm>
                        <a:custGeom>
                          <a:avLst/>
                          <a:gdLst/>
                          <a:ahLst/>
                          <a:cxnLst/>
                          <a:rect l="l" t="t" r="r" b="b"/>
                          <a:pathLst>
                            <a:path w="0" h="243204">
                              <a:moveTo>
                                <a:pt x="0" y="0"/>
                              </a:moveTo>
                              <a:lnTo>
                                <a:pt x="0" y="243171"/>
                              </a:lnTo>
                            </a:path>
                          </a:pathLst>
                        </a:custGeom>
                        <a:ln w="120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0624" from="286.390686pt,1.180722pt" to="286.390686pt,20.32806pt" stroked="true" strokeweight=".948588pt" strokecolor="#000000">
                <v:stroke dashstyle="solid"/>
                <w10:wrap type="none"/>
              </v:line>
            </w:pict>
          </mc:Fallback>
        </mc:AlternateContent>
      </w:r>
      <w:r>
        <w:rPr/>
        <mc:AlternateContent>
          <mc:Choice Requires="wps">
            <w:drawing>
              <wp:anchor distT="0" distB="0" distL="0" distR="0" allowOverlap="1" layoutInCell="1" locked="0" behindDoc="1" simplePos="0" relativeHeight="483953664">
                <wp:simplePos x="0" y="0"/>
                <wp:positionH relativeFrom="page">
                  <wp:posOffset>4097069</wp:posOffset>
                </wp:positionH>
                <wp:positionV relativeFrom="paragraph">
                  <wp:posOffset>36534</wp:posOffset>
                </wp:positionV>
                <wp:extent cx="1270" cy="24193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1270" cy="241935"/>
                        </a:xfrm>
                        <a:custGeom>
                          <a:avLst/>
                          <a:gdLst/>
                          <a:ahLst/>
                          <a:cxnLst/>
                          <a:rect l="l" t="t" r="r" b="b"/>
                          <a:pathLst>
                            <a:path w="0" h="241935">
                              <a:moveTo>
                                <a:pt x="0" y="0"/>
                              </a:moveTo>
                              <a:lnTo>
                                <a:pt x="0" y="241547"/>
                              </a:lnTo>
                            </a:path>
                          </a:pathLst>
                        </a:custGeom>
                        <a:ln w="120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2816" from="322.603912pt,2.876744pt" to="322.603912pt,21.896264pt" stroked="true" strokeweight=".948588pt" strokecolor="#000000">
                <v:stroke dashstyle="solid"/>
                <w10:wrap type="none"/>
              </v:line>
            </w:pict>
          </mc:Fallback>
        </mc:AlternateContent>
      </w:r>
      <w:r>
        <w:rPr/>
        <mc:AlternateContent>
          <mc:Choice Requires="wps">
            <w:drawing>
              <wp:anchor distT="0" distB="0" distL="0" distR="0" allowOverlap="1" layoutInCell="1" locked="0" behindDoc="1" simplePos="0" relativeHeight="483955200">
                <wp:simplePos x="0" y="0"/>
                <wp:positionH relativeFrom="page">
                  <wp:posOffset>4477683</wp:posOffset>
                </wp:positionH>
                <wp:positionV relativeFrom="paragraph">
                  <wp:posOffset>36534</wp:posOffset>
                </wp:positionV>
                <wp:extent cx="1270" cy="24193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1270" cy="241935"/>
                        </a:xfrm>
                        <a:custGeom>
                          <a:avLst/>
                          <a:gdLst/>
                          <a:ahLst/>
                          <a:cxnLst/>
                          <a:rect l="l" t="t" r="r" b="b"/>
                          <a:pathLst>
                            <a:path w="0" h="241935">
                              <a:moveTo>
                                <a:pt x="0" y="0"/>
                              </a:moveTo>
                              <a:lnTo>
                                <a:pt x="0" y="241547"/>
                              </a:lnTo>
                            </a:path>
                          </a:pathLst>
                        </a:custGeom>
                        <a:ln w="120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1280" from="352.573486pt,2.876744pt" to="352.573486pt,21.896264pt" stroked="true" strokeweight=".948588pt" strokecolor="#000000">
                <v:stroke dashstyle="solid"/>
                <w10:wrap type="none"/>
              </v:line>
            </w:pict>
          </mc:Fallback>
        </mc:AlternateContent>
      </w:r>
      <w:r>
        <w:rPr>
          <w:spacing w:val="-10"/>
          <w:position w:val="-2"/>
        </w:rPr>
        <w:t>3</w:t>
      </w:r>
      <w:r>
        <w:rPr>
          <w:position w:val="-2"/>
        </w:rPr>
        <w:tab/>
      </w:r>
      <w:r>
        <w:rPr>
          <w:spacing w:val="-10"/>
        </w:rPr>
        <w:t>2</w:t>
      </w:r>
      <w:r>
        <w:rPr/>
        <w:tab/>
      </w:r>
      <w:r>
        <w:rPr>
          <w:spacing w:val="-10"/>
          <w:position w:val="-7"/>
        </w:rPr>
        <w:t>1</w:t>
      </w:r>
      <w:r>
        <w:rPr>
          <w:position w:val="-7"/>
        </w:rPr>
        <w:tab/>
      </w:r>
      <w:r>
        <w:rPr>
          <w:rFonts w:ascii="Arial MT"/>
          <w:spacing w:val="-10"/>
          <w:position w:val="-14"/>
          <w:sz w:val="20"/>
        </w:rPr>
        <w:t>H</w:t>
      </w:r>
    </w:p>
    <w:p>
      <w:pPr>
        <w:tabs>
          <w:tab w:pos="946" w:val="left" w:leader="none"/>
          <w:tab w:pos="1546" w:val="left" w:leader="none"/>
        </w:tabs>
        <w:spacing w:before="60"/>
        <w:ind w:left="222" w:right="0" w:firstLine="0"/>
        <w:jc w:val="center"/>
        <w:rPr>
          <w:rFonts w:ascii="Arial MT"/>
          <w:sz w:val="20"/>
        </w:rPr>
      </w:pPr>
      <w:r>
        <w:rPr>
          <w:rFonts w:ascii="Arial MT"/>
          <w:spacing w:val="-10"/>
          <w:position w:val="3"/>
          <w:sz w:val="20"/>
        </w:rPr>
        <w:t>H</w:t>
      </w:r>
      <w:r>
        <w:rPr>
          <w:rFonts w:ascii="Arial MT"/>
          <w:position w:val="3"/>
          <w:sz w:val="20"/>
        </w:rPr>
        <w:tab/>
      </w:r>
      <w:r>
        <w:rPr>
          <w:rFonts w:ascii="Arial MT"/>
          <w:spacing w:val="-10"/>
          <w:sz w:val="20"/>
        </w:rPr>
        <w:t>H</w:t>
      </w:r>
      <w:r>
        <w:rPr>
          <w:rFonts w:ascii="Arial MT"/>
          <w:sz w:val="20"/>
        </w:rPr>
        <w:tab/>
      </w:r>
      <w:r>
        <w:rPr>
          <w:rFonts w:ascii="Arial MT"/>
          <w:spacing w:val="-10"/>
          <w:sz w:val="20"/>
        </w:rPr>
        <w:t>H</w:t>
      </w:r>
    </w:p>
    <w:p>
      <w:pPr>
        <w:pStyle w:val="BodyText"/>
        <w:rPr>
          <w:rFonts w:ascii="Arial MT"/>
          <w:sz w:val="20"/>
        </w:rPr>
      </w:pPr>
    </w:p>
    <w:p>
      <w:pPr>
        <w:pStyle w:val="BodyText"/>
        <w:spacing w:before="189"/>
        <w:rPr>
          <w:rFonts w:ascii="Arial MT"/>
          <w:sz w:val="20"/>
        </w:rPr>
      </w:pPr>
    </w:p>
    <w:p>
      <w:pPr>
        <w:spacing w:before="0"/>
        <w:ind w:left="3055" w:right="0" w:firstLine="0"/>
        <w:jc w:val="left"/>
        <w:rPr>
          <w:rFonts w:ascii="Arial MT"/>
          <w:sz w:val="20"/>
        </w:rPr>
      </w:pPr>
      <w:r>
        <w:rPr>
          <w:rFonts w:ascii="Arial MT"/>
          <w:spacing w:val="-5"/>
          <w:sz w:val="20"/>
        </w:rPr>
        <w:t>Cl</w:t>
      </w:r>
    </w:p>
    <w:p>
      <w:pPr>
        <w:spacing w:after="0"/>
        <w:jc w:val="left"/>
        <w:rPr>
          <w:rFonts w:ascii="Arial MT"/>
          <w:sz w:val="20"/>
        </w:rPr>
        <w:sectPr>
          <w:pgSz w:w="12240" w:h="15840"/>
          <w:pgMar w:header="0" w:footer="1066" w:top="1320" w:bottom="1260" w:left="1480" w:right="1160"/>
        </w:sectPr>
      </w:pPr>
    </w:p>
    <w:p>
      <w:pPr>
        <w:pStyle w:val="Heading2"/>
        <w:spacing w:before="117"/>
        <w:jc w:val="left"/>
      </w:pPr>
      <w:r>
        <w:rPr/>
        <w:t>Table</w:t>
      </w:r>
      <w:r>
        <w:rPr>
          <w:spacing w:val="-1"/>
        </w:rPr>
        <w:t> </w:t>
      </w:r>
      <w:r>
        <w:rPr/>
        <w:t>4.6:</w:t>
      </w:r>
      <w:r>
        <w:rPr>
          <w:spacing w:val="1"/>
        </w:rPr>
        <w:t> </w:t>
      </w:r>
      <w:r>
        <w:rPr/>
        <w:t>H</w:t>
      </w:r>
      <w:r>
        <w:rPr>
          <w:vertAlign w:val="superscript"/>
        </w:rPr>
        <w:t>1</w:t>
      </w:r>
      <w:r>
        <w:rPr>
          <w:spacing w:val="-2"/>
          <w:vertAlign w:val="baseline"/>
        </w:rPr>
        <w:t> </w:t>
      </w:r>
      <w:r>
        <w:rPr>
          <w:vertAlign w:val="baseline"/>
        </w:rPr>
        <w:t>and</w:t>
      </w:r>
      <w:r>
        <w:rPr>
          <w:spacing w:val="-4"/>
          <w:vertAlign w:val="baseline"/>
        </w:rPr>
        <w:t> </w:t>
      </w:r>
      <w:r>
        <w:rPr>
          <w:vertAlign w:val="superscript"/>
        </w:rPr>
        <w:t>13</w:t>
      </w:r>
      <w:r>
        <w:rPr>
          <w:vertAlign w:val="baseline"/>
        </w:rPr>
        <w:t>C</w:t>
      </w:r>
      <w:r>
        <w:rPr>
          <w:spacing w:val="-5"/>
          <w:vertAlign w:val="baseline"/>
        </w:rPr>
        <w:t> </w:t>
      </w:r>
      <w:r>
        <w:rPr>
          <w:vertAlign w:val="baseline"/>
        </w:rPr>
        <w:t>NMR</w:t>
      </w:r>
      <w:r>
        <w:rPr>
          <w:spacing w:val="-6"/>
          <w:vertAlign w:val="baseline"/>
        </w:rPr>
        <w:t> </w:t>
      </w:r>
      <w:r>
        <w:rPr>
          <w:vertAlign w:val="baseline"/>
        </w:rPr>
        <w:t>Interpretation</w:t>
      </w:r>
      <w:r>
        <w:rPr>
          <w:spacing w:val="1"/>
          <w:vertAlign w:val="baseline"/>
        </w:rPr>
        <w:t> </w:t>
      </w:r>
      <w:r>
        <w:rPr>
          <w:vertAlign w:val="baseline"/>
        </w:rPr>
        <w:t>of</w:t>
      </w:r>
      <w:r>
        <w:rPr>
          <w:spacing w:val="-3"/>
          <w:vertAlign w:val="baseline"/>
        </w:rPr>
        <w:t> </w:t>
      </w:r>
      <w:r>
        <w:rPr>
          <w:vertAlign w:val="baseline"/>
        </w:rPr>
        <w:t>the DCP25 </w:t>
      </w:r>
      <w:r>
        <w:rPr>
          <w:spacing w:val="-2"/>
          <w:vertAlign w:val="baseline"/>
        </w:rPr>
        <w:t>Isomer</w:t>
      </w:r>
    </w:p>
    <w:p>
      <w:pPr>
        <w:pStyle w:val="BodyText"/>
        <w:spacing w:before="197"/>
        <w:rPr>
          <w:b/>
          <w:sz w:val="20"/>
        </w:rPr>
      </w:pPr>
      <w:r>
        <w:rPr/>
        <mc:AlternateContent>
          <mc:Choice Requires="wps">
            <w:drawing>
              <wp:anchor distT="0" distB="0" distL="0" distR="0" allowOverlap="1" layoutInCell="1" locked="0" behindDoc="1" simplePos="0" relativeHeight="487634944">
                <wp:simplePos x="0" y="0"/>
                <wp:positionH relativeFrom="page">
                  <wp:posOffset>1828800</wp:posOffset>
                </wp:positionH>
                <wp:positionV relativeFrom="paragraph">
                  <wp:posOffset>286399</wp:posOffset>
                </wp:positionV>
                <wp:extent cx="331470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3314700" cy="1270"/>
                        </a:xfrm>
                        <a:custGeom>
                          <a:avLst/>
                          <a:gdLst/>
                          <a:ahLst/>
                          <a:cxnLst/>
                          <a:rect l="l" t="t" r="r" b="b"/>
                          <a:pathLst>
                            <a:path w="3314700" h="0">
                              <a:moveTo>
                                <a:pt x="0" y="0"/>
                              </a:moveTo>
                              <a:lnTo>
                                <a:pt x="331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pt;margin-top:22.551172pt;width:261pt;height:.1pt;mso-position-horizontal-relative:page;mso-position-vertical-relative:paragraph;z-index:-15681536;mso-wrap-distance-left:0;mso-wrap-distance-right:0" id="docshape85" coordorigin="2880,451" coordsize="5220,0" path="m2880,451l8100,451e" filled="false" stroked="true" strokeweight=".75pt" strokecolor="#000000">
                <v:path arrowok="t"/>
                <v:stroke dashstyle="solid"/>
                <w10:wrap type="topAndBottom"/>
              </v:shape>
            </w:pict>
          </mc:Fallback>
        </mc:AlternateContent>
      </w:r>
    </w:p>
    <w:p>
      <w:pPr>
        <w:tabs>
          <w:tab w:pos="3561" w:val="left" w:leader="none"/>
          <w:tab w:pos="5002" w:val="left" w:leader="none"/>
        </w:tabs>
        <w:spacing w:before="75"/>
        <w:ind w:left="1401" w:right="0" w:firstLine="0"/>
        <w:jc w:val="left"/>
        <w:rPr>
          <w:sz w:val="48"/>
          <w:szCs w:val="48"/>
        </w:rPr>
      </w:pPr>
      <w:r>
        <w:rPr>
          <w:spacing w:val="-2"/>
          <w:sz w:val="24"/>
          <w:szCs w:val="24"/>
        </w:rPr>
        <w:t>Position</w:t>
      </w:r>
      <w:r>
        <w:rPr>
          <w:sz w:val="24"/>
          <w:szCs w:val="24"/>
        </w:rPr>
        <w:tab/>
      </w:r>
      <w:r>
        <w:rPr>
          <w:spacing w:val="-5"/>
          <w:sz w:val="72"/>
          <w:szCs w:val="72"/>
        </w:rPr>
        <w:t>ᵟ</w:t>
      </w:r>
      <w:r>
        <w:rPr>
          <w:spacing w:val="-5"/>
          <w:sz w:val="48"/>
          <w:szCs w:val="48"/>
        </w:rPr>
        <w:t>H</w:t>
      </w:r>
      <w:r>
        <w:rPr>
          <w:sz w:val="48"/>
          <w:szCs w:val="48"/>
        </w:rPr>
        <w:tab/>
      </w:r>
      <w:r>
        <w:rPr>
          <w:spacing w:val="-5"/>
          <w:sz w:val="72"/>
          <w:szCs w:val="72"/>
        </w:rPr>
        <w:t>ᵟ</w:t>
      </w:r>
      <w:r>
        <w:rPr>
          <w:spacing w:val="-5"/>
          <w:sz w:val="48"/>
          <w:szCs w:val="48"/>
        </w:rPr>
        <w:t>C</w:t>
      </w: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5"/>
        <w:gridCol w:w="1619"/>
        <w:gridCol w:w="2127"/>
      </w:tblGrid>
      <w:tr>
        <w:trPr>
          <w:trHeight w:val="452" w:hRule="atLeast"/>
        </w:trPr>
        <w:tc>
          <w:tcPr>
            <w:tcW w:w="1475" w:type="dxa"/>
            <w:tcBorders>
              <w:top w:val="single" w:sz="6" w:space="0" w:color="000000"/>
            </w:tcBorders>
          </w:tcPr>
          <w:p>
            <w:pPr>
              <w:pStyle w:val="TableParagraph"/>
              <w:spacing w:before="7"/>
              <w:ind w:left="1"/>
              <w:rPr>
                <w:sz w:val="24"/>
              </w:rPr>
            </w:pPr>
            <w:r>
              <w:rPr>
                <w:spacing w:val="-10"/>
                <w:sz w:val="24"/>
              </w:rPr>
              <w:t>1</w:t>
            </w:r>
          </w:p>
        </w:tc>
        <w:tc>
          <w:tcPr>
            <w:tcW w:w="1619" w:type="dxa"/>
            <w:tcBorders>
              <w:top w:val="single" w:sz="6" w:space="0" w:color="000000"/>
            </w:tcBorders>
          </w:tcPr>
          <w:p>
            <w:pPr>
              <w:pStyle w:val="TableParagraph"/>
              <w:spacing w:before="7"/>
              <w:ind w:left="686"/>
              <w:rPr>
                <w:sz w:val="24"/>
              </w:rPr>
            </w:pPr>
            <w:r>
              <w:rPr>
                <w:spacing w:val="-10"/>
                <w:sz w:val="24"/>
              </w:rPr>
              <w:t>-</w:t>
            </w:r>
          </w:p>
        </w:tc>
        <w:tc>
          <w:tcPr>
            <w:tcW w:w="2127" w:type="dxa"/>
            <w:tcBorders>
              <w:top w:val="single" w:sz="6" w:space="0" w:color="000000"/>
            </w:tcBorders>
          </w:tcPr>
          <w:p>
            <w:pPr>
              <w:pStyle w:val="TableParagraph"/>
              <w:spacing w:before="7"/>
              <w:ind w:left="508"/>
              <w:rPr>
                <w:sz w:val="24"/>
              </w:rPr>
            </w:pPr>
            <w:r>
              <w:rPr>
                <w:spacing w:val="-2"/>
                <w:sz w:val="24"/>
              </w:rPr>
              <w:t>167.82</w:t>
            </w:r>
          </w:p>
        </w:tc>
      </w:tr>
      <w:tr>
        <w:trPr>
          <w:trHeight w:val="552" w:hRule="atLeast"/>
        </w:trPr>
        <w:tc>
          <w:tcPr>
            <w:tcW w:w="1475" w:type="dxa"/>
          </w:tcPr>
          <w:p>
            <w:pPr>
              <w:pStyle w:val="TableParagraph"/>
              <w:spacing w:before="106"/>
              <w:ind w:left="1"/>
              <w:rPr>
                <w:sz w:val="24"/>
              </w:rPr>
            </w:pPr>
            <w:r>
              <w:rPr>
                <w:spacing w:val="-10"/>
                <w:sz w:val="24"/>
              </w:rPr>
              <w:t>2</w:t>
            </w:r>
          </w:p>
        </w:tc>
        <w:tc>
          <w:tcPr>
            <w:tcW w:w="1619" w:type="dxa"/>
          </w:tcPr>
          <w:p>
            <w:pPr>
              <w:pStyle w:val="TableParagraph"/>
              <w:spacing w:before="106"/>
              <w:ind w:left="686"/>
              <w:rPr>
                <w:sz w:val="24"/>
              </w:rPr>
            </w:pPr>
            <w:r>
              <w:rPr>
                <w:spacing w:val="-4"/>
                <w:sz w:val="24"/>
              </w:rPr>
              <w:t>6.09</w:t>
            </w:r>
          </w:p>
        </w:tc>
        <w:tc>
          <w:tcPr>
            <w:tcW w:w="2127" w:type="dxa"/>
          </w:tcPr>
          <w:p>
            <w:pPr>
              <w:pStyle w:val="TableParagraph"/>
              <w:spacing w:before="106"/>
              <w:ind w:left="508"/>
              <w:rPr>
                <w:sz w:val="24"/>
              </w:rPr>
            </w:pPr>
            <w:r>
              <w:rPr>
                <w:spacing w:val="-2"/>
                <w:sz w:val="24"/>
              </w:rPr>
              <w:t>115.35</w:t>
            </w:r>
          </w:p>
        </w:tc>
      </w:tr>
      <w:tr>
        <w:trPr>
          <w:trHeight w:val="552" w:hRule="atLeast"/>
        </w:trPr>
        <w:tc>
          <w:tcPr>
            <w:tcW w:w="1475" w:type="dxa"/>
          </w:tcPr>
          <w:p>
            <w:pPr>
              <w:pStyle w:val="TableParagraph"/>
              <w:spacing w:before="106"/>
              <w:ind w:left="1"/>
              <w:rPr>
                <w:sz w:val="24"/>
              </w:rPr>
            </w:pPr>
            <w:r>
              <w:rPr>
                <w:spacing w:val="-10"/>
                <w:sz w:val="24"/>
              </w:rPr>
              <w:t>3</w:t>
            </w:r>
          </w:p>
        </w:tc>
        <w:tc>
          <w:tcPr>
            <w:tcW w:w="1619" w:type="dxa"/>
          </w:tcPr>
          <w:p>
            <w:pPr>
              <w:pStyle w:val="TableParagraph"/>
              <w:spacing w:before="106"/>
              <w:ind w:left="686"/>
              <w:rPr>
                <w:sz w:val="24"/>
              </w:rPr>
            </w:pPr>
            <w:r>
              <w:rPr>
                <w:spacing w:val="-4"/>
                <w:sz w:val="24"/>
              </w:rPr>
              <w:t>6.16</w:t>
            </w:r>
          </w:p>
        </w:tc>
        <w:tc>
          <w:tcPr>
            <w:tcW w:w="2127" w:type="dxa"/>
          </w:tcPr>
          <w:p>
            <w:pPr>
              <w:pStyle w:val="TableParagraph"/>
              <w:spacing w:before="106"/>
              <w:ind w:left="508"/>
              <w:rPr>
                <w:sz w:val="24"/>
              </w:rPr>
            </w:pPr>
            <w:r>
              <w:rPr>
                <w:spacing w:val="-2"/>
                <w:sz w:val="24"/>
              </w:rPr>
              <w:t>118.73</w:t>
            </w:r>
          </w:p>
        </w:tc>
      </w:tr>
      <w:tr>
        <w:trPr>
          <w:trHeight w:val="551" w:hRule="atLeast"/>
        </w:trPr>
        <w:tc>
          <w:tcPr>
            <w:tcW w:w="1475" w:type="dxa"/>
          </w:tcPr>
          <w:p>
            <w:pPr>
              <w:pStyle w:val="TableParagraph"/>
              <w:spacing w:before="106"/>
              <w:ind w:left="1"/>
              <w:rPr>
                <w:sz w:val="24"/>
              </w:rPr>
            </w:pPr>
            <w:r>
              <w:rPr>
                <w:spacing w:val="-5"/>
                <w:sz w:val="24"/>
              </w:rPr>
              <w:t>1'</w:t>
            </w:r>
          </w:p>
        </w:tc>
        <w:tc>
          <w:tcPr>
            <w:tcW w:w="1619" w:type="dxa"/>
          </w:tcPr>
          <w:p>
            <w:pPr>
              <w:pStyle w:val="TableParagraph"/>
              <w:spacing w:before="106"/>
              <w:ind w:left="686"/>
              <w:rPr>
                <w:sz w:val="24"/>
              </w:rPr>
            </w:pPr>
            <w:r>
              <w:rPr>
                <w:spacing w:val="-10"/>
                <w:sz w:val="24"/>
              </w:rPr>
              <w:t>-</w:t>
            </w:r>
          </w:p>
        </w:tc>
        <w:tc>
          <w:tcPr>
            <w:tcW w:w="2127" w:type="dxa"/>
          </w:tcPr>
          <w:p>
            <w:pPr>
              <w:pStyle w:val="TableParagraph"/>
              <w:spacing w:before="106"/>
              <w:ind w:left="508"/>
              <w:rPr>
                <w:sz w:val="24"/>
              </w:rPr>
            </w:pPr>
            <w:r>
              <w:rPr>
                <w:spacing w:val="-2"/>
                <w:sz w:val="24"/>
              </w:rPr>
              <w:t>143.88</w:t>
            </w:r>
          </w:p>
        </w:tc>
      </w:tr>
      <w:tr>
        <w:trPr>
          <w:trHeight w:val="552" w:hRule="atLeast"/>
        </w:trPr>
        <w:tc>
          <w:tcPr>
            <w:tcW w:w="1475" w:type="dxa"/>
          </w:tcPr>
          <w:p>
            <w:pPr>
              <w:pStyle w:val="TableParagraph"/>
              <w:spacing w:before="106"/>
              <w:ind w:left="1"/>
              <w:rPr>
                <w:sz w:val="24"/>
              </w:rPr>
            </w:pPr>
            <w:r>
              <w:rPr>
                <w:spacing w:val="-5"/>
                <w:sz w:val="24"/>
              </w:rPr>
              <w:t>2'</w:t>
            </w:r>
          </w:p>
        </w:tc>
        <w:tc>
          <w:tcPr>
            <w:tcW w:w="1619" w:type="dxa"/>
          </w:tcPr>
          <w:p>
            <w:pPr>
              <w:pStyle w:val="TableParagraph"/>
              <w:spacing w:before="106"/>
              <w:ind w:left="686"/>
              <w:rPr>
                <w:sz w:val="24"/>
              </w:rPr>
            </w:pPr>
            <w:r>
              <w:rPr>
                <w:spacing w:val="-10"/>
                <w:sz w:val="24"/>
              </w:rPr>
              <w:t>-</w:t>
            </w:r>
          </w:p>
        </w:tc>
        <w:tc>
          <w:tcPr>
            <w:tcW w:w="2127" w:type="dxa"/>
          </w:tcPr>
          <w:p>
            <w:pPr>
              <w:pStyle w:val="TableParagraph"/>
              <w:spacing w:before="106"/>
              <w:ind w:left="508"/>
              <w:rPr>
                <w:sz w:val="24"/>
              </w:rPr>
            </w:pPr>
            <w:r>
              <w:rPr>
                <w:spacing w:val="-2"/>
                <w:sz w:val="24"/>
              </w:rPr>
              <w:t>133.08</w:t>
            </w:r>
          </w:p>
        </w:tc>
      </w:tr>
      <w:tr>
        <w:trPr>
          <w:trHeight w:val="552" w:hRule="atLeast"/>
        </w:trPr>
        <w:tc>
          <w:tcPr>
            <w:tcW w:w="1475" w:type="dxa"/>
          </w:tcPr>
          <w:p>
            <w:pPr>
              <w:pStyle w:val="TableParagraph"/>
              <w:spacing w:before="106"/>
              <w:ind w:left="1"/>
              <w:rPr>
                <w:sz w:val="24"/>
              </w:rPr>
            </w:pPr>
            <w:r>
              <w:rPr>
                <w:spacing w:val="-5"/>
                <w:sz w:val="24"/>
              </w:rPr>
              <w:t>3'</w:t>
            </w:r>
          </w:p>
        </w:tc>
        <w:tc>
          <w:tcPr>
            <w:tcW w:w="1619" w:type="dxa"/>
          </w:tcPr>
          <w:p>
            <w:pPr>
              <w:pStyle w:val="TableParagraph"/>
              <w:spacing w:before="106"/>
              <w:ind w:left="686"/>
              <w:rPr>
                <w:sz w:val="24"/>
              </w:rPr>
            </w:pPr>
            <w:r>
              <w:rPr>
                <w:spacing w:val="-4"/>
                <w:sz w:val="24"/>
              </w:rPr>
              <w:t>7.10</w:t>
            </w:r>
          </w:p>
        </w:tc>
        <w:tc>
          <w:tcPr>
            <w:tcW w:w="2127" w:type="dxa"/>
          </w:tcPr>
          <w:p>
            <w:pPr>
              <w:pStyle w:val="TableParagraph"/>
              <w:spacing w:before="106"/>
              <w:ind w:left="508"/>
              <w:rPr>
                <w:sz w:val="24"/>
              </w:rPr>
            </w:pPr>
            <w:r>
              <w:rPr>
                <w:spacing w:val="-2"/>
                <w:sz w:val="24"/>
              </w:rPr>
              <w:t>130.14</w:t>
            </w:r>
          </w:p>
        </w:tc>
      </w:tr>
      <w:tr>
        <w:trPr>
          <w:trHeight w:val="552" w:hRule="atLeast"/>
        </w:trPr>
        <w:tc>
          <w:tcPr>
            <w:tcW w:w="1475" w:type="dxa"/>
          </w:tcPr>
          <w:p>
            <w:pPr>
              <w:pStyle w:val="TableParagraph"/>
              <w:spacing w:before="106"/>
              <w:ind w:left="1"/>
              <w:rPr>
                <w:sz w:val="24"/>
              </w:rPr>
            </w:pPr>
            <w:r>
              <w:rPr>
                <w:spacing w:val="-5"/>
                <w:sz w:val="24"/>
              </w:rPr>
              <w:t>4'</w:t>
            </w:r>
          </w:p>
        </w:tc>
        <w:tc>
          <w:tcPr>
            <w:tcW w:w="1619" w:type="dxa"/>
          </w:tcPr>
          <w:p>
            <w:pPr>
              <w:pStyle w:val="TableParagraph"/>
              <w:spacing w:before="106"/>
              <w:ind w:left="686"/>
              <w:rPr>
                <w:sz w:val="24"/>
              </w:rPr>
            </w:pPr>
            <w:r>
              <w:rPr>
                <w:spacing w:val="-4"/>
                <w:sz w:val="24"/>
              </w:rPr>
              <w:t>7.09</w:t>
            </w:r>
          </w:p>
        </w:tc>
        <w:tc>
          <w:tcPr>
            <w:tcW w:w="2127" w:type="dxa"/>
          </w:tcPr>
          <w:p>
            <w:pPr>
              <w:pStyle w:val="TableParagraph"/>
              <w:spacing w:before="106"/>
              <w:ind w:left="508"/>
              <w:rPr>
                <w:sz w:val="24"/>
              </w:rPr>
            </w:pPr>
            <w:r>
              <w:rPr>
                <w:spacing w:val="-2"/>
                <w:sz w:val="24"/>
              </w:rPr>
              <w:t>130.19</w:t>
            </w:r>
          </w:p>
        </w:tc>
      </w:tr>
      <w:tr>
        <w:trPr>
          <w:trHeight w:val="552" w:hRule="atLeast"/>
        </w:trPr>
        <w:tc>
          <w:tcPr>
            <w:tcW w:w="1475" w:type="dxa"/>
          </w:tcPr>
          <w:p>
            <w:pPr>
              <w:pStyle w:val="TableParagraph"/>
              <w:spacing w:before="106"/>
              <w:ind w:left="1"/>
              <w:rPr>
                <w:sz w:val="24"/>
              </w:rPr>
            </w:pPr>
            <w:r>
              <w:rPr>
                <w:spacing w:val="-5"/>
                <w:sz w:val="24"/>
              </w:rPr>
              <w:t>5'</w:t>
            </w:r>
          </w:p>
        </w:tc>
        <w:tc>
          <w:tcPr>
            <w:tcW w:w="1619" w:type="dxa"/>
          </w:tcPr>
          <w:p>
            <w:pPr>
              <w:pStyle w:val="TableParagraph"/>
              <w:spacing w:before="106"/>
              <w:ind w:left="686"/>
              <w:rPr>
                <w:sz w:val="24"/>
              </w:rPr>
            </w:pPr>
            <w:r>
              <w:rPr>
                <w:spacing w:val="-10"/>
                <w:sz w:val="24"/>
              </w:rPr>
              <w:t>-</w:t>
            </w:r>
          </w:p>
        </w:tc>
        <w:tc>
          <w:tcPr>
            <w:tcW w:w="2127" w:type="dxa"/>
          </w:tcPr>
          <w:p>
            <w:pPr>
              <w:pStyle w:val="TableParagraph"/>
              <w:spacing w:before="106"/>
              <w:ind w:left="508"/>
              <w:rPr>
                <w:sz w:val="24"/>
              </w:rPr>
            </w:pPr>
            <w:r>
              <w:rPr>
                <w:spacing w:val="-2"/>
                <w:sz w:val="24"/>
              </w:rPr>
              <w:t>117.38</w:t>
            </w:r>
          </w:p>
        </w:tc>
      </w:tr>
      <w:tr>
        <w:trPr>
          <w:trHeight w:val="552" w:hRule="atLeast"/>
        </w:trPr>
        <w:tc>
          <w:tcPr>
            <w:tcW w:w="1475" w:type="dxa"/>
          </w:tcPr>
          <w:p>
            <w:pPr>
              <w:pStyle w:val="TableParagraph"/>
              <w:spacing w:before="106"/>
              <w:ind w:left="1"/>
              <w:rPr>
                <w:sz w:val="24"/>
              </w:rPr>
            </w:pPr>
            <w:r>
              <w:rPr>
                <w:spacing w:val="-5"/>
                <w:sz w:val="24"/>
              </w:rPr>
              <w:t>6'</w:t>
            </w:r>
          </w:p>
        </w:tc>
        <w:tc>
          <w:tcPr>
            <w:tcW w:w="1619" w:type="dxa"/>
          </w:tcPr>
          <w:p>
            <w:pPr>
              <w:pStyle w:val="TableParagraph"/>
              <w:spacing w:before="106"/>
              <w:ind w:left="686"/>
              <w:rPr>
                <w:sz w:val="24"/>
              </w:rPr>
            </w:pPr>
            <w:r>
              <w:rPr>
                <w:spacing w:val="-4"/>
                <w:sz w:val="24"/>
              </w:rPr>
              <w:t>7.28</w:t>
            </w:r>
          </w:p>
        </w:tc>
        <w:tc>
          <w:tcPr>
            <w:tcW w:w="2127" w:type="dxa"/>
          </w:tcPr>
          <w:p>
            <w:pPr>
              <w:pStyle w:val="TableParagraph"/>
              <w:spacing w:before="106"/>
              <w:ind w:left="508"/>
              <w:rPr>
                <w:sz w:val="24"/>
              </w:rPr>
            </w:pPr>
            <w:r>
              <w:rPr>
                <w:spacing w:val="-2"/>
                <w:sz w:val="24"/>
              </w:rPr>
              <w:t>127.65</w:t>
            </w:r>
          </w:p>
        </w:tc>
      </w:tr>
      <w:tr>
        <w:trPr>
          <w:trHeight w:val="552" w:hRule="atLeast"/>
        </w:trPr>
        <w:tc>
          <w:tcPr>
            <w:tcW w:w="1475" w:type="dxa"/>
          </w:tcPr>
          <w:p>
            <w:pPr>
              <w:pStyle w:val="TableParagraph"/>
              <w:spacing w:before="106"/>
              <w:ind w:left="1"/>
              <w:rPr>
                <w:sz w:val="24"/>
              </w:rPr>
            </w:pPr>
            <w:r>
              <w:rPr>
                <w:sz w:val="24"/>
              </w:rPr>
              <w:t>-</w:t>
            </w:r>
            <w:r>
              <w:rPr>
                <w:spacing w:val="-5"/>
                <w:sz w:val="24"/>
              </w:rPr>
              <w:t>NH2</w:t>
            </w:r>
          </w:p>
        </w:tc>
        <w:tc>
          <w:tcPr>
            <w:tcW w:w="1619" w:type="dxa"/>
          </w:tcPr>
          <w:p>
            <w:pPr>
              <w:pStyle w:val="TableParagraph"/>
              <w:spacing w:before="106"/>
              <w:ind w:left="686"/>
              <w:rPr>
                <w:sz w:val="24"/>
              </w:rPr>
            </w:pPr>
            <w:r>
              <w:rPr>
                <w:spacing w:val="-4"/>
                <w:sz w:val="24"/>
              </w:rPr>
              <w:t>4.12</w:t>
            </w:r>
          </w:p>
        </w:tc>
        <w:tc>
          <w:tcPr>
            <w:tcW w:w="2127" w:type="dxa"/>
          </w:tcPr>
          <w:p>
            <w:pPr>
              <w:pStyle w:val="TableParagraph"/>
              <w:spacing w:before="106"/>
              <w:ind w:left="508"/>
              <w:rPr>
                <w:sz w:val="24"/>
              </w:rPr>
            </w:pPr>
            <w:r>
              <w:rPr>
                <w:spacing w:val="-10"/>
                <w:sz w:val="24"/>
              </w:rPr>
              <w:t>-</w:t>
            </w:r>
          </w:p>
        </w:tc>
      </w:tr>
      <w:tr>
        <w:trPr>
          <w:trHeight w:val="447" w:hRule="atLeast"/>
        </w:trPr>
        <w:tc>
          <w:tcPr>
            <w:tcW w:w="1475" w:type="dxa"/>
            <w:tcBorders>
              <w:bottom w:val="single" w:sz="6" w:space="0" w:color="000000"/>
            </w:tcBorders>
          </w:tcPr>
          <w:p>
            <w:pPr>
              <w:pStyle w:val="TableParagraph"/>
              <w:spacing w:before="106"/>
              <w:ind w:left="1"/>
              <w:rPr>
                <w:sz w:val="24"/>
              </w:rPr>
            </w:pPr>
            <w:r>
              <w:rPr>
                <w:sz w:val="24"/>
              </w:rPr>
              <w:t>-</w:t>
            </w:r>
            <w:r>
              <w:rPr>
                <w:spacing w:val="-5"/>
                <w:sz w:val="24"/>
              </w:rPr>
              <w:t>NH</w:t>
            </w:r>
          </w:p>
        </w:tc>
        <w:tc>
          <w:tcPr>
            <w:tcW w:w="1619" w:type="dxa"/>
            <w:tcBorders>
              <w:bottom w:val="single" w:sz="6" w:space="0" w:color="000000"/>
            </w:tcBorders>
          </w:tcPr>
          <w:p>
            <w:pPr>
              <w:pStyle w:val="TableParagraph"/>
              <w:spacing w:before="106"/>
              <w:ind w:left="686"/>
              <w:rPr>
                <w:sz w:val="24"/>
              </w:rPr>
            </w:pPr>
            <w:r>
              <w:rPr>
                <w:spacing w:val="-5"/>
                <w:sz w:val="24"/>
              </w:rPr>
              <w:t>5.7</w:t>
            </w:r>
          </w:p>
        </w:tc>
        <w:tc>
          <w:tcPr>
            <w:tcW w:w="2127" w:type="dxa"/>
            <w:tcBorders>
              <w:bottom w:val="single" w:sz="6" w:space="0" w:color="000000"/>
            </w:tcBorders>
          </w:tcPr>
          <w:p>
            <w:pPr>
              <w:pStyle w:val="TableParagraph"/>
              <w:spacing w:before="106"/>
              <w:ind w:left="508"/>
              <w:rPr>
                <w:sz w:val="24"/>
              </w:rPr>
            </w:pPr>
            <w:r>
              <w:rPr>
                <w:spacing w:val="-10"/>
                <w:sz w:val="24"/>
              </w:rPr>
              <w:t>-</w:t>
            </w:r>
          </w:p>
        </w:tc>
      </w:tr>
    </w:tbl>
    <w:p>
      <w:pPr>
        <w:pStyle w:val="BodyText"/>
        <w:rPr>
          <w:sz w:val="20"/>
        </w:rPr>
      </w:pPr>
    </w:p>
    <w:p>
      <w:pPr>
        <w:pStyle w:val="BodyText"/>
        <w:rPr>
          <w:sz w:val="20"/>
        </w:rPr>
      </w:pPr>
    </w:p>
    <w:p>
      <w:pPr>
        <w:pStyle w:val="BodyText"/>
        <w:spacing w:before="30"/>
        <w:rPr>
          <w:sz w:val="20"/>
        </w:rPr>
      </w:pPr>
    </w:p>
    <w:p>
      <w:pPr>
        <w:tabs>
          <w:tab w:pos="5229" w:val="left" w:leader="none"/>
          <w:tab w:pos="5830" w:val="left" w:leader="none"/>
          <w:tab w:pos="6426" w:val="left" w:leader="none"/>
        </w:tabs>
        <w:spacing w:before="0"/>
        <w:ind w:left="4504" w:right="0" w:firstLine="0"/>
        <w:jc w:val="left"/>
        <w:rPr>
          <w:rFonts w:ascii="Arial MT"/>
          <w:sz w:val="20"/>
        </w:rPr>
      </w:pPr>
      <w:r>
        <w:rPr/>
        <mc:AlternateContent>
          <mc:Choice Requires="wps">
            <w:drawing>
              <wp:anchor distT="0" distB="0" distL="0" distR="0" allowOverlap="1" layoutInCell="1" locked="0" behindDoc="1" simplePos="0" relativeHeight="483959296">
                <wp:simplePos x="0" y="0"/>
                <wp:positionH relativeFrom="page">
                  <wp:posOffset>3845581</wp:posOffset>
                </wp:positionH>
                <wp:positionV relativeFrom="paragraph">
                  <wp:posOffset>142914</wp:posOffset>
                </wp:positionV>
                <wp:extent cx="1270" cy="241935"/>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1270" cy="241935"/>
                        </a:xfrm>
                        <a:custGeom>
                          <a:avLst/>
                          <a:gdLst/>
                          <a:ahLst/>
                          <a:cxnLst/>
                          <a:rect l="l" t="t" r="r" b="b"/>
                          <a:pathLst>
                            <a:path w="0" h="241935">
                              <a:moveTo>
                                <a:pt x="0" y="241670"/>
                              </a:moveTo>
                              <a:lnTo>
                                <a:pt x="0" y="0"/>
                              </a:lnTo>
                            </a:path>
                          </a:pathLst>
                        </a:custGeom>
                        <a:ln w="122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7184" from="302.801727pt,30.282304pt" to="302.801727pt,11.253139pt" stroked="true" strokeweight=".967396pt" strokecolor="#000000">
                <v:stroke dashstyle="solid"/>
                <w10:wrap type="none"/>
              </v:line>
            </w:pict>
          </mc:Fallback>
        </mc:AlternateContent>
      </w:r>
      <w:r>
        <w:rPr/>
        <mc:AlternateContent>
          <mc:Choice Requires="wps">
            <w:drawing>
              <wp:anchor distT="0" distB="0" distL="0" distR="0" allowOverlap="1" layoutInCell="1" locked="0" behindDoc="1" simplePos="0" relativeHeight="483960320">
                <wp:simplePos x="0" y="0"/>
                <wp:positionH relativeFrom="page">
                  <wp:posOffset>4306613</wp:posOffset>
                </wp:positionH>
                <wp:positionV relativeFrom="paragraph">
                  <wp:posOffset>162785</wp:posOffset>
                </wp:positionV>
                <wp:extent cx="1270" cy="240665"/>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1270" cy="240665"/>
                        </a:xfrm>
                        <a:custGeom>
                          <a:avLst/>
                          <a:gdLst/>
                          <a:ahLst/>
                          <a:cxnLst/>
                          <a:rect l="l" t="t" r="r" b="b"/>
                          <a:pathLst>
                            <a:path w="0" h="240665">
                              <a:moveTo>
                                <a:pt x="0" y="240269"/>
                              </a:moveTo>
                              <a:lnTo>
                                <a:pt x="0" y="0"/>
                              </a:lnTo>
                            </a:path>
                          </a:pathLst>
                        </a:custGeom>
                        <a:ln w="122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6160" from="339.103424pt,31.736687pt" to="339.103424pt,12.817793pt" stroked="true" strokeweight=".967396pt" strokecolor="#000000">
                <v:stroke dashstyle="solid"/>
                <w10:wrap type="none"/>
              </v:line>
            </w:pict>
          </mc:Fallback>
        </mc:AlternateContent>
      </w:r>
      <w:r>
        <w:rPr/>
        <mc:AlternateContent>
          <mc:Choice Requires="wps">
            <w:drawing>
              <wp:anchor distT="0" distB="0" distL="0" distR="0" allowOverlap="1" layoutInCell="1" locked="0" behindDoc="1" simplePos="0" relativeHeight="483961856">
                <wp:simplePos x="0" y="0"/>
                <wp:positionH relativeFrom="page">
                  <wp:posOffset>4687923</wp:posOffset>
                </wp:positionH>
                <wp:positionV relativeFrom="paragraph">
                  <wp:posOffset>162785</wp:posOffset>
                </wp:positionV>
                <wp:extent cx="1270" cy="24066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1270" cy="240665"/>
                        </a:xfrm>
                        <a:custGeom>
                          <a:avLst/>
                          <a:gdLst/>
                          <a:ahLst/>
                          <a:cxnLst/>
                          <a:rect l="l" t="t" r="r" b="b"/>
                          <a:pathLst>
                            <a:path w="0" h="240665">
                              <a:moveTo>
                                <a:pt x="0" y="240269"/>
                              </a:moveTo>
                              <a:lnTo>
                                <a:pt x="0" y="0"/>
                              </a:lnTo>
                            </a:path>
                          </a:pathLst>
                        </a:custGeom>
                        <a:ln w="122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4624" from="369.127869pt,31.736687pt" to="369.127869pt,12.817793pt" stroked="true" strokeweight=".967396pt" strokecolor="#000000">
                <v:stroke dashstyle="solid"/>
                <w10:wrap type="none"/>
              </v:line>
            </w:pict>
          </mc:Fallback>
        </mc:AlternateContent>
      </w:r>
      <w:r>
        <w:rPr/>
        <mc:AlternateContent>
          <mc:Choice Requires="wps">
            <w:drawing>
              <wp:anchor distT="0" distB="0" distL="0" distR="0" allowOverlap="1" layoutInCell="1" locked="0" behindDoc="1" simplePos="0" relativeHeight="483963392">
                <wp:simplePos x="0" y="0"/>
                <wp:positionH relativeFrom="page">
                  <wp:posOffset>5046810</wp:posOffset>
                </wp:positionH>
                <wp:positionV relativeFrom="paragraph">
                  <wp:posOffset>164110</wp:posOffset>
                </wp:positionV>
                <wp:extent cx="45720" cy="23939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45720" cy="239395"/>
                        </a:xfrm>
                        <a:custGeom>
                          <a:avLst/>
                          <a:gdLst/>
                          <a:ahLst/>
                          <a:cxnLst/>
                          <a:rect l="l" t="t" r="r" b="b"/>
                          <a:pathLst>
                            <a:path w="45720" h="239395">
                              <a:moveTo>
                                <a:pt x="0" y="238945"/>
                              </a:moveTo>
                              <a:lnTo>
                                <a:pt x="0" y="0"/>
                              </a:lnTo>
                            </a:path>
                            <a:path w="45720" h="239395">
                              <a:moveTo>
                                <a:pt x="45609" y="238945"/>
                              </a:moveTo>
                              <a:lnTo>
                                <a:pt x="45609" y="0"/>
                              </a:lnTo>
                            </a:path>
                          </a:pathLst>
                        </a:custGeom>
                        <a:ln w="122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7.386627pt;margin-top:12.922103pt;width:3.6pt;height:18.850pt;mso-position-horizontal-relative:page;mso-position-vertical-relative:paragraph;z-index:-19353088" id="docshape86" coordorigin="7948,258" coordsize="72,377" path="m7948,635l7948,258m8020,635l8020,258e" filled="false" stroked="true" strokeweight=".965388pt" strokecolor="#000000">
                <v:path arrowok="t"/>
                <v:stroke dashstyle="solid"/>
                <w10:wrap type="none"/>
              </v:shape>
            </w:pict>
          </mc:Fallback>
        </mc:AlternateContent>
      </w:r>
      <w:r>
        <w:rPr>
          <w:rFonts w:ascii="Arial MT"/>
          <w:spacing w:val="-10"/>
          <w:position w:val="3"/>
          <w:sz w:val="20"/>
        </w:rPr>
        <w:t>H</w:t>
      </w:r>
      <w:r>
        <w:rPr>
          <w:rFonts w:ascii="Arial MT"/>
          <w:position w:val="3"/>
          <w:sz w:val="20"/>
        </w:rPr>
        <w:tab/>
      </w:r>
      <w:r>
        <w:rPr>
          <w:rFonts w:ascii="Arial MT"/>
          <w:spacing w:val="-10"/>
          <w:sz w:val="20"/>
        </w:rPr>
        <w:t>H</w:t>
      </w:r>
      <w:r>
        <w:rPr>
          <w:rFonts w:ascii="Arial MT"/>
          <w:sz w:val="20"/>
        </w:rPr>
        <w:tab/>
      </w:r>
      <w:r>
        <w:rPr>
          <w:rFonts w:ascii="Arial MT"/>
          <w:spacing w:val="-10"/>
          <w:sz w:val="20"/>
        </w:rPr>
        <w:t>H</w:t>
      </w:r>
      <w:r>
        <w:rPr>
          <w:rFonts w:ascii="Arial MT"/>
          <w:sz w:val="20"/>
        </w:rPr>
        <w:tab/>
      </w:r>
      <w:r>
        <w:rPr>
          <w:rFonts w:ascii="Arial MT"/>
          <w:spacing w:val="-10"/>
          <w:sz w:val="20"/>
        </w:rPr>
        <w:t>O</w:t>
      </w:r>
    </w:p>
    <w:p>
      <w:pPr>
        <w:spacing w:line="180" w:lineRule="exact" w:before="42"/>
        <w:ind w:left="2247" w:right="0" w:firstLine="0"/>
        <w:jc w:val="left"/>
        <w:rPr>
          <w:rFonts w:ascii="Arial MT"/>
          <w:sz w:val="20"/>
        </w:rPr>
      </w:pPr>
      <w:r>
        <w:rPr/>
        <mc:AlternateContent>
          <mc:Choice Requires="wps">
            <w:drawing>
              <wp:anchor distT="0" distB="0" distL="0" distR="0" allowOverlap="1" layoutInCell="1" locked="0" behindDoc="1" simplePos="0" relativeHeight="483958272">
                <wp:simplePos x="0" y="0"/>
                <wp:positionH relativeFrom="page">
                  <wp:posOffset>2508899</wp:posOffset>
                </wp:positionH>
                <wp:positionV relativeFrom="paragraph">
                  <wp:posOffset>89415</wp:posOffset>
                </wp:positionV>
                <wp:extent cx="1277620" cy="80835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1277620" cy="808355"/>
                          <a:chExt cx="1277620" cy="808355"/>
                        </a:xfrm>
                      </wpg:grpSpPr>
                      <wps:wsp>
                        <wps:cNvPr id="154" name="Graphic 154"/>
                        <wps:cNvSpPr/>
                        <wps:spPr>
                          <a:xfrm>
                            <a:off x="6123" y="6123"/>
                            <a:ext cx="1271270" cy="796290"/>
                          </a:xfrm>
                          <a:custGeom>
                            <a:avLst/>
                            <a:gdLst/>
                            <a:ahLst/>
                            <a:cxnLst/>
                            <a:rect l="l" t="t" r="r" b="b"/>
                            <a:pathLst>
                              <a:path w="1271270" h="796290">
                                <a:moveTo>
                                  <a:pt x="288363" y="191368"/>
                                </a:moveTo>
                                <a:lnTo>
                                  <a:pt x="288363" y="574113"/>
                                </a:lnTo>
                              </a:path>
                              <a:path w="1271270" h="796290">
                                <a:moveTo>
                                  <a:pt x="334029" y="218837"/>
                                </a:moveTo>
                                <a:lnTo>
                                  <a:pt x="334029" y="548025"/>
                                </a:lnTo>
                              </a:path>
                              <a:path w="1271270" h="796290">
                                <a:moveTo>
                                  <a:pt x="288363" y="574113"/>
                                </a:moveTo>
                                <a:lnTo>
                                  <a:pt x="619608" y="765491"/>
                                </a:lnTo>
                              </a:path>
                              <a:path w="1271270" h="796290">
                                <a:moveTo>
                                  <a:pt x="619608" y="765491"/>
                                </a:moveTo>
                                <a:lnTo>
                                  <a:pt x="949247" y="574113"/>
                                </a:lnTo>
                              </a:path>
                              <a:path w="1271270" h="796290">
                                <a:moveTo>
                                  <a:pt x="617983" y="713315"/>
                                </a:moveTo>
                                <a:lnTo>
                                  <a:pt x="903353" y="548025"/>
                                </a:lnTo>
                              </a:path>
                              <a:path w="1271270" h="796290">
                                <a:moveTo>
                                  <a:pt x="949247" y="574113"/>
                                </a:moveTo>
                                <a:lnTo>
                                  <a:pt x="949247" y="191368"/>
                                </a:lnTo>
                              </a:path>
                              <a:path w="1271270" h="796290">
                                <a:moveTo>
                                  <a:pt x="949247" y="191368"/>
                                </a:moveTo>
                                <a:lnTo>
                                  <a:pt x="619608" y="0"/>
                                </a:lnTo>
                              </a:path>
                              <a:path w="1271270" h="796290">
                                <a:moveTo>
                                  <a:pt x="903353" y="218837"/>
                                </a:moveTo>
                                <a:lnTo>
                                  <a:pt x="617983" y="53547"/>
                                </a:lnTo>
                              </a:path>
                              <a:path w="1271270" h="796290">
                                <a:moveTo>
                                  <a:pt x="619608" y="0"/>
                                </a:moveTo>
                                <a:lnTo>
                                  <a:pt x="288363" y="191368"/>
                                </a:lnTo>
                              </a:path>
                              <a:path w="1271270" h="796290">
                                <a:moveTo>
                                  <a:pt x="949247" y="191368"/>
                                </a:moveTo>
                                <a:lnTo>
                                  <a:pt x="1271171" y="191368"/>
                                </a:lnTo>
                              </a:path>
                              <a:path w="1271270" h="796290">
                                <a:moveTo>
                                  <a:pt x="949247" y="574113"/>
                                </a:moveTo>
                                <a:lnTo>
                                  <a:pt x="1170356" y="795960"/>
                                </a:lnTo>
                              </a:path>
                              <a:path w="1271270" h="796290">
                                <a:moveTo>
                                  <a:pt x="288363" y="191368"/>
                                </a:moveTo>
                                <a:lnTo>
                                  <a:pt x="0" y="24469"/>
                                </a:lnTo>
                              </a:path>
                            </a:pathLst>
                          </a:custGeom>
                          <a:ln w="12260">
                            <a:solidFill>
                              <a:srgbClr val="000000"/>
                            </a:solidFill>
                            <a:prstDash val="solid"/>
                          </a:ln>
                        </wps:spPr>
                        <wps:bodyPr wrap="square" lIns="0" tIns="0" rIns="0" bIns="0" rtlCol="0">
                          <a:prstTxWarp prst="textNoShape">
                            <a:avLst/>
                          </a:prstTxWarp>
                          <a:noAutofit/>
                        </wps:bodyPr>
                      </wps:wsp>
                      <wps:wsp>
                        <wps:cNvPr id="155" name="Textbox 155"/>
                        <wps:cNvSpPr txBox="1"/>
                        <wps:spPr>
                          <a:xfrm>
                            <a:off x="415027" y="195922"/>
                            <a:ext cx="116839" cy="169545"/>
                          </a:xfrm>
                          <a:prstGeom prst="rect">
                            <a:avLst/>
                          </a:prstGeom>
                        </wps:spPr>
                        <wps:txbx>
                          <w:txbxContent>
                            <w:p>
                              <w:pPr>
                                <w:spacing w:line="267" w:lineRule="exact" w:before="0"/>
                                <w:ind w:left="0" w:right="0" w:firstLine="0"/>
                                <w:jc w:val="left"/>
                                <w:rPr>
                                  <w:sz w:val="24"/>
                                </w:rPr>
                              </w:pPr>
                              <w:r>
                                <w:rPr>
                                  <w:spacing w:val="-5"/>
                                  <w:sz w:val="24"/>
                                </w:rPr>
                                <w:t>5'</w:t>
                              </w:r>
                            </w:p>
                          </w:txbxContent>
                        </wps:txbx>
                        <wps:bodyPr wrap="square" lIns="0" tIns="0" rIns="0" bIns="0" rtlCol="0">
                          <a:noAutofit/>
                        </wps:bodyPr>
                      </wps:wsp>
                      <wps:wsp>
                        <wps:cNvPr id="156" name="Textbox 156"/>
                        <wps:cNvSpPr txBox="1"/>
                        <wps:spPr>
                          <a:xfrm>
                            <a:off x="549242" y="61111"/>
                            <a:ext cx="117475" cy="169545"/>
                          </a:xfrm>
                          <a:prstGeom prst="rect">
                            <a:avLst/>
                          </a:prstGeom>
                        </wps:spPr>
                        <wps:txbx>
                          <w:txbxContent>
                            <w:p>
                              <w:pPr>
                                <w:spacing w:line="267" w:lineRule="exact" w:before="0"/>
                                <w:ind w:left="0" w:right="0" w:firstLine="0"/>
                                <w:jc w:val="left"/>
                                <w:rPr>
                                  <w:sz w:val="24"/>
                                </w:rPr>
                              </w:pPr>
                              <w:r>
                                <w:rPr>
                                  <w:spacing w:val="-5"/>
                                  <w:sz w:val="24"/>
                                </w:rPr>
                                <w:t>6'</w:t>
                              </w:r>
                            </w:p>
                          </w:txbxContent>
                        </wps:txbx>
                        <wps:bodyPr wrap="square" lIns="0" tIns="0" rIns="0" bIns="0" rtlCol="0">
                          <a:noAutofit/>
                        </wps:bodyPr>
                      </wps:wsp>
                      <wps:wsp>
                        <wps:cNvPr id="157" name="Textbox 157"/>
                        <wps:cNvSpPr txBox="1"/>
                        <wps:spPr>
                          <a:xfrm>
                            <a:off x="415027" y="454473"/>
                            <a:ext cx="307975" cy="226695"/>
                          </a:xfrm>
                          <a:prstGeom prst="rect">
                            <a:avLst/>
                          </a:prstGeom>
                        </wps:spPr>
                        <wps:txbx>
                          <w:txbxContent>
                            <w:p>
                              <w:pPr>
                                <w:spacing w:line="228" w:lineRule="auto" w:before="0"/>
                                <w:ind w:left="0" w:right="0" w:firstLine="0"/>
                                <w:jc w:val="left"/>
                                <w:rPr>
                                  <w:sz w:val="24"/>
                                </w:rPr>
                              </w:pPr>
                              <w:r>
                                <w:rPr>
                                  <w:sz w:val="24"/>
                                </w:rPr>
                                <w:t>4'</w:t>
                              </w:r>
                              <w:r>
                                <w:rPr>
                                  <w:spacing w:val="75"/>
                                  <w:sz w:val="24"/>
                                </w:rPr>
                                <w:t> </w:t>
                              </w:r>
                              <w:r>
                                <w:rPr>
                                  <w:spacing w:val="-5"/>
                                  <w:position w:val="-8"/>
                                  <w:sz w:val="24"/>
                                </w:rPr>
                                <w:t>3'</w:t>
                              </w:r>
                            </w:p>
                          </w:txbxContent>
                        </wps:txbx>
                        <wps:bodyPr wrap="square" lIns="0" tIns="0" rIns="0" bIns="0" rtlCol="0">
                          <a:noAutofit/>
                        </wps:bodyPr>
                      </wps:wsp>
                      <wps:wsp>
                        <wps:cNvPr id="158" name="Textbox 158"/>
                        <wps:cNvSpPr txBox="1"/>
                        <wps:spPr>
                          <a:xfrm>
                            <a:off x="816263" y="186696"/>
                            <a:ext cx="135255" cy="361315"/>
                          </a:xfrm>
                          <a:prstGeom prst="rect">
                            <a:avLst/>
                          </a:prstGeom>
                        </wps:spPr>
                        <wps:txbx>
                          <w:txbxContent>
                            <w:p>
                              <w:pPr>
                                <w:spacing w:line="267" w:lineRule="exact" w:before="0"/>
                                <w:ind w:left="0" w:right="0" w:firstLine="0"/>
                                <w:jc w:val="left"/>
                                <w:rPr>
                                  <w:sz w:val="24"/>
                                </w:rPr>
                              </w:pPr>
                              <w:r>
                                <w:rPr>
                                  <w:spacing w:val="-5"/>
                                  <w:sz w:val="24"/>
                                </w:rPr>
                                <w:t>1'</w:t>
                              </w:r>
                            </w:p>
                            <w:p>
                              <w:pPr>
                                <w:spacing w:before="25"/>
                                <w:ind w:left="28" w:right="0" w:firstLine="0"/>
                                <w:jc w:val="left"/>
                                <w:rPr>
                                  <w:sz w:val="24"/>
                                </w:rPr>
                              </w:pPr>
                              <w:r>
                                <w:rPr>
                                  <w:spacing w:val="-5"/>
                                  <w:sz w:val="24"/>
                                </w:rPr>
                                <w:t>2'</w:t>
                              </w:r>
                            </w:p>
                          </w:txbxContent>
                        </wps:txbx>
                        <wps:bodyPr wrap="square" lIns="0" tIns="0" rIns="0" bIns="0" rtlCol="0">
                          <a:noAutofit/>
                        </wps:bodyPr>
                      </wps:wsp>
                    </wpg:wgp>
                  </a:graphicData>
                </a:graphic>
              </wp:anchor>
            </w:drawing>
          </mc:Choice>
          <mc:Fallback>
            <w:pict>
              <v:group style="position:absolute;margin-left:197.551178pt;margin-top:7.040625pt;width:100.6pt;height:63.65pt;mso-position-horizontal-relative:page;mso-position-vertical-relative:paragraph;z-index:-19358208" id="docshapegroup87" coordorigin="3951,141" coordsize="2012,1273">
                <v:shape style="position:absolute;left:3960;top:150;width:2002;height:1254" id="docshape88" coordorigin="3961,150" coordsize="2002,1254" path="m4415,452l4415,1055m4487,495l4487,1013m4415,1055l4936,1356m4936,1356l5456,1055m4934,1274l5383,1013m5456,1055l5456,452m5456,452l4936,150m5383,495l4934,235m4936,150l4415,452m5456,452l5963,452m5456,1055l5804,1404m4415,452l3961,189e" filled="false" stroked="true" strokeweight=".965388pt" strokecolor="#000000">
                  <v:path arrowok="t"/>
                  <v:stroke dashstyle="solid"/>
                </v:shape>
                <v:shape style="position:absolute;left:4604;top:449;width:184;height:267" type="#_x0000_t202" id="docshape89" filled="false" stroked="false">
                  <v:textbox inset="0,0,0,0">
                    <w:txbxContent>
                      <w:p>
                        <w:pPr>
                          <w:spacing w:line="267" w:lineRule="exact" w:before="0"/>
                          <w:ind w:left="0" w:right="0" w:firstLine="0"/>
                          <w:jc w:val="left"/>
                          <w:rPr>
                            <w:sz w:val="24"/>
                          </w:rPr>
                        </w:pPr>
                        <w:r>
                          <w:rPr>
                            <w:spacing w:val="-5"/>
                            <w:sz w:val="24"/>
                          </w:rPr>
                          <w:t>5'</w:t>
                        </w:r>
                      </w:p>
                    </w:txbxContent>
                  </v:textbox>
                  <w10:wrap type="none"/>
                </v:shape>
                <v:shape style="position:absolute;left:4815;top:237;width:185;height:267" type="#_x0000_t202" id="docshape90" filled="false" stroked="false">
                  <v:textbox inset="0,0,0,0">
                    <w:txbxContent>
                      <w:p>
                        <w:pPr>
                          <w:spacing w:line="267" w:lineRule="exact" w:before="0"/>
                          <w:ind w:left="0" w:right="0" w:firstLine="0"/>
                          <w:jc w:val="left"/>
                          <w:rPr>
                            <w:sz w:val="24"/>
                          </w:rPr>
                        </w:pPr>
                        <w:r>
                          <w:rPr>
                            <w:spacing w:val="-5"/>
                            <w:sz w:val="24"/>
                          </w:rPr>
                          <w:t>6'</w:t>
                        </w:r>
                      </w:p>
                    </w:txbxContent>
                  </v:textbox>
                  <w10:wrap type="none"/>
                </v:shape>
                <v:shape style="position:absolute;left:4604;top:856;width:485;height:357" type="#_x0000_t202" id="docshape91" filled="false" stroked="false">
                  <v:textbox inset="0,0,0,0">
                    <w:txbxContent>
                      <w:p>
                        <w:pPr>
                          <w:spacing w:line="228" w:lineRule="auto" w:before="0"/>
                          <w:ind w:left="0" w:right="0" w:firstLine="0"/>
                          <w:jc w:val="left"/>
                          <w:rPr>
                            <w:sz w:val="24"/>
                          </w:rPr>
                        </w:pPr>
                        <w:r>
                          <w:rPr>
                            <w:sz w:val="24"/>
                          </w:rPr>
                          <w:t>4'</w:t>
                        </w:r>
                        <w:r>
                          <w:rPr>
                            <w:spacing w:val="75"/>
                            <w:sz w:val="24"/>
                          </w:rPr>
                          <w:t> </w:t>
                        </w:r>
                        <w:r>
                          <w:rPr>
                            <w:spacing w:val="-5"/>
                            <w:position w:val="-8"/>
                            <w:sz w:val="24"/>
                          </w:rPr>
                          <w:t>3'</w:t>
                        </w:r>
                      </w:p>
                    </w:txbxContent>
                  </v:textbox>
                  <w10:wrap type="none"/>
                </v:shape>
                <v:shape style="position:absolute;left:5236;top:434;width:213;height:569" type="#_x0000_t202" id="docshape92" filled="false" stroked="false">
                  <v:textbox inset="0,0,0,0">
                    <w:txbxContent>
                      <w:p>
                        <w:pPr>
                          <w:spacing w:line="267" w:lineRule="exact" w:before="0"/>
                          <w:ind w:left="0" w:right="0" w:firstLine="0"/>
                          <w:jc w:val="left"/>
                          <w:rPr>
                            <w:sz w:val="24"/>
                          </w:rPr>
                        </w:pPr>
                        <w:r>
                          <w:rPr>
                            <w:spacing w:val="-5"/>
                            <w:sz w:val="24"/>
                          </w:rPr>
                          <w:t>1'</w:t>
                        </w:r>
                      </w:p>
                      <w:p>
                        <w:pPr>
                          <w:spacing w:before="25"/>
                          <w:ind w:left="28" w:right="0" w:firstLine="0"/>
                          <w:jc w:val="left"/>
                          <w:rPr>
                            <w:sz w:val="24"/>
                          </w:rPr>
                        </w:pPr>
                        <w:r>
                          <w:rPr>
                            <w:spacing w:val="-5"/>
                            <w:sz w:val="24"/>
                          </w:rPr>
                          <w:t>2'</w:t>
                        </w:r>
                      </w:p>
                    </w:txbxContent>
                  </v:textbox>
                  <w10:wrap type="none"/>
                </v:shape>
                <w10:wrap type="none"/>
              </v:group>
            </w:pict>
          </mc:Fallback>
        </mc:AlternateContent>
      </w:r>
      <w:r>
        <w:rPr>
          <w:rFonts w:ascii="Arial MT"/>
          <w:spacing w:val="-5"/>
          <w:sz w:val="20"/>
        </w:rPr>
        <w:t>Cl</w:t>
      </w:r>
    </w:p>
    <w:p>
      <w:pPr>
        <w:tabs>
          <w:tab w:pos="5229" w:val="left" w:leader="none"/>
          <w:tab w:pos="5830" w:val="left" w:leader="none"/>
          <w:tab w:pos="6431" w:val="left" w:leader="none"/>
          <w:tab w:pos="7034" w:val="left" w:leader="none"/>
        </w:tabs>
        <w:spacing w:line="322" w:lineRule="exact" w:before="0"/>
        <w:ind w:left="4506" w:right="0" w:firstLine="0"/>
        <w:jc w:val="left"/>
        <w:rPr>
          <w:rFonts w:ascii="Arial MT"/>
          <w:sz w:val="20"/>
        </w:rPr>
      </w:pPr>
      <w:r>
        <w:rPr/>
        <mc:AlternateContent>
          <mc:Choice Requires="wps">
            <w:drawing>
              <wp:anchor distT="0" distB="0" distL="0" distR="0" allowOverlap="1" layoutInCell="1" locked="0" behindDoc="1" simplePos="0" relativeHeight="483958784">
                <wp:simplePos x="0" y="0"/>
                <wp:positionH relativeFrom="page">
                  <wp:posOffset>3925112</wp:posOffset>
                </wp:positionH>
                <wp:positionV relativeFrom="paragraph">
                  <wp:posOffset>165629</wp:posOffset>
                </wp:positionV>
                <wp:extent cx="316230" cy="127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316230" cy="1270"/>
                        </a:xfrm>
                        <a:custGeom>
                          <a:avLst/>
                          <a:gdLst/>
                          <a:ahLst/>
                          <a:cxnLst/>
                          <a:rect l="l" t="t" r="r" b="b"/>
                          <a:pathLst>
                            <a:path w="316230" h="0">
                              <a:moveTo>
                                <a:pt x="0" y="0"/>
                              </a:moveTo>
                              <a:lnTo>
                                <a:pt x="315937" y="0"/>
                              </a:lnTo>
                            </a:path>
                          </a:pathLst>
                        </a:custGeom>
                        <a:ln w="1223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7696" from="309.063995pt,13.04169pt" to="333.940973pt,13.04169pt" stroked="true" strokeweight=".963379pt" strokecolor="#000000">
                <v:stroke dashstyle="solid"/>
                <w10:wrap type="none"/>
              </v:line>
            </w:pict>
          </mc:Fallback>
        </mc:AlternateContent>
      </w:r>
      <w:r>
        <w:rPr/>
        <mc:AlternateContent>
          <mc:Choice Requires="wps">
            <w:drawing>
              <wp:anchor distT="0" distB="0" distL="0" distR="0" allowOverlap="1" layoutInCell="1" locked="0" behindDoc="1" simplePos="0" relativeHeight="483961344">
                <wp:simplePos x="0" y="0"/>
                <wp:positionH relativeFrom="page">
                  <wp:posOffset>4370656</wp:posOffset>
                </wp:positionH>
                <wp:positionV relativeFrom="paragraph">
                  <wp:posOffset>165629</wp:posOffset>
                </wp:positionV>
                <wp:extent cx="252095" cy="127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252095" cy="1270"/>
                        </a:xfrm>
                        <a:custGeom>
                          <a:avLst/>
                          <a:gdLst/>
                          <a:ahLst/>
                          <a:cxnLst/>
                          <a:rect l="l" t="t" r="r" b="b"/>
                          <a:pathLst>
                            <a:path w="252095" h="0">
                              <a:moveTo>
                                <a:pt x="0" y="0"/>
                              </a:moveTo>
                              <a:lnTo>
                                <a:pt x="251704" y="0"/>
                              </a:lnTo>
                            </a:path>
                          </a:pathLst>
                        </a:custGeom>
                        <a:ln w="1223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5136" from="344.146149pt,13.04169pt" to="363.965431pt,13.04169pt" stroked="true" strokeweight=".963379pt" strokecolor="#000000">
                <v:stroke dashstyle="solid"/>
                <w10:wrap type="none"/>
              </v:line>
            </w:pict>
          </mc:Fallback>
        </mc:AlternateContent>
      </w:r>
      <w:r>
        <w:rPr/>
        <mc:AlternateContent>
          <mc:Choice Requires="wps">
            <w:drawing>
              <wp:anchor distT="0" distB="0" distL="0" distR="0" allowOverlap="1" layoutInCell="1" locked="0" behindDoc="1" simplePos="0" relativeHeight="483962880">
                <wp:simplePos x="0" y="0"/>
                <wp:positionH relativeFrom="page">
                  <wp:posOffset>4752156</wp:posOffset>
                </wp:positionH>
                <wp:positionV relativeFrom="paragraph">
                  <wp:posOffset>165629</wp:posOffset>
                </wp:positionV>
                <wp:extent cx="252095" cy="127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252095" cy="1270"/>
                        </a:xfrm>
                        <a:custGeom>
                          <a:avLst/>
                          <a:gdLst/>
                          <a:ahLst/>
                          <a:cxnLst/>
                          <a:rect l="l" t="t" r="r" b="b"/>
                          <a:pathLst>
                            <a:path w="252095" h="0">
                              <a:moveTo>
                                <a:pt x="0" y="0"/>
                              </a:moveTo>
                              <a:lnTo>
                                <a:pt x="251704" y="0"/>
                              </a:lnTo>
                            </a:path>
                          </a:pathLst>
                        </a:custGeom>
                        <a:ln w="1223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3600" from="374.185577pt,13.04169pt" to="394.00486pt,13.04169pt" stroked="true" strokeweight=".963379pt" strokecolor="#000000">
                <v:stroke dashstyle="solid"/>
                <w10:wrap type="none"/>
              </v:line>
            </w:pict>
          </mc:Fallback>
        </mc:AlternateContent>
      </w:r>
      <w:r>
        <w:rPr/>
        <mc:AlternateContent>
          <mc:Choice Requires="wps">
            <w:drawing>
              <wp:anchor distT="0" distB="0" distL="0" distR="0" allowOverlap="1" layoutInCell="1" locked="0" behindDoc="1" simplePos="0" relativeHeight="483963904">
                <wp:simplePos x="0" y="0"/>
                <wp:positionH relativeFrom="page">
                  <wp:posOffset>5133752</wp:posOffset>
                </wp:positionH>
                <wp:positionV relativeFrom="paragraph">
                  <wp:posOffset>165629</wp:posOffset>
                </wp:positionV>
                <wp:extent cx="257810" cy="127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257810" cy="1270"/>
                        </a:xfrm>
                        <a:custGeom>
                          <a:avLst/>
                          <a:gdLst/>
                          <a:ahLst/>
                          <a:cxnLst/>
                          <a:rect l="l" t="t" r="r" b="b"/>
                          <a:pathLst>
                            <a:path w="257810" h="0">
                              <a:moveTo>
                                <a:pt x="0" y="0"/>
                              </a:moveTo>
                              <a:lnTo>
                                <a:pt x="257691" y="0"/>
                              </a:lnTo>
                            </a:path>
                          </a:pathLst>
                        </a:custGeom>
                        <a:ln w="1223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2576" from="404.232483pt,13.04169pt" to="424.523119pt,13.04169pt" stroked="true" strokeweight=".963379pt" strokecolor="#000000">
                <v:stroke dashstyle="solid"/>
                <w10:wrap type="none"/>
              </v:line>
            </w:pict>
          </mc:Fallback>
        </mc:AlternateContent>
      </w:r>
      <w:r>
        <w:rPr/>
        <mc:AlternateContent>
          <mc:Choice Requires="wps">
            <w:drawing>
              <wp:anchor distT="0" distB="0" distL="0" distR="0" allowOverlap="1" layoutInCell="1" locked="0" behindDoc="1" simplePos="0" relativeHeight="483964416">
                <wp:simplePos x="0" y="0"/>
                <wp:positionH relativeFrom="page">
                  <wp:posOffset>5521334</wp:posOffset>
                </wp:positionH>
                <wp:positionV relativeFrom="paragraph">
                  <wp:posOffset>205570</wp:posOffset>
                </wp:positionV>
                <wp:extent cx="194310" cy="113664"/>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194310" cy="113664"/>
                        </a:xfrm>
                        <a:custGeom>
                          <a:avLst/>
                          <a:gdLst/>
                          <a:ahLst/>
                          <a:cxnLst/>
                          <a:rect l="l" t="t" r="r" b="b"/>
                          <a:pathLst>
                            <a:path w="194310" h="113664">
                              <a:moveTo>
                                <a:pt x="0" y="0"/>
                              </a:moveTo>
                              <a:lnTo>
                                <a:pt x="193743" y="113113"/>
                              </a:lnTo>
                            </a:path>
                          </a:pathLst>
                        </a:custGeom>
                        <a:ln w="122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2064" from="434.750732pt,16.186644pt" to="450.006118pt,25.093246pt" stroked="true" strokeweight=".964401pt" strokecolor="#000000">
                <v:stroke dashstyle="solid"/>
                <w10:wrap type="none"/>
              </v:line>
            </w:pict>
          </mc:Fallback>
        </mc:AlternateContent>
      </w:r>
      <w:r>
        <w:rPr>
          <w:rFonts w:ascii="Arial MT"/>
          <w:spacing w:val="-10"/>
          <w:position w:val="3"/>
          <w:sz w:val="20"/>
        </w:rPr>
        <w:t>N</w:t>
      </w:r>
      <w:r>
        <w:rPr>
          <w:rFonts w:ascii="Arial MT"/>
          <w:position w:val="3"/>
          <w:sz w:val="20"/>
        </w:rPr>
        <w:tab/>
      </w:r>
      <w:r>
        <w:rPr>
          <w:rFonts w:ascii="Arial MT"/>
          <w:spacing w:val="-10"/>
          <w:sz w:val="20"/>
        </w:rPr>
        <w:t>C</w:t>
      </w:r>
      <w:r>
        <w:rPr>
          <w:rFonts w:ascii="Arial MT"/>
          <w:sz w:val="20"/>
        </w:rPr>
        <w:tab/>
      </w:r>
      <w:r>
        <w:rPr>
          <w:rFonts w:ascii="Arial MT"/>
          <w:spacing w:val="-10"/>
          <w:sz w:val="20"/>
        </w:rPr>
        <w:t>C</w:t>
      </w:r>
      <w:r>
        <w:rPr>
          <w:rFonts w:ascii="Arial MT"/>
          <w:sz w:val="20"/>
        </w:rPr>
        <w:tab/>
      </w:r>
      <w:r>
        <w:rPr>
          <w:rFonts w:ascii="Arial MT"/>
          <w:spacing w:val="-10"/>
          <w:sz w:val="20"/>
        </w:rPr>
        <w:t>C</w:t>
      </w:r>
      <w:r>
        <w:rPr>
          <w:rFonts w:ascii="Arial MT"/>
          <w:sz w:val="20"/>
        </w:rPr>
        <w:tab/>
        <w:t>N</w:t>
      </w:r>
      <w:r>
        <w:rPr>
          <w:rFonts w:ascii="Arial MT"/>
          <w:spacing w:val="-35"/>
          <w:sz w:val="20"/>
        </w:rPr>
        <w:t> </w:t>
      </w:r>
      <w:r>
        <w:rPr>
          <w:rFonts w:ascii="Arial MT"/>
          <w:spacing w:val="-35"/>
          <w:position w:val="10"/>
          <w:sz w:val="20"/>
        </w:rPr>
        <w:drawing>
          <wp:inline distT="0" distB="0" distL="0" distR="0">
            <wp:extent cx="244274" cy="75031"/>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12" cstate="print"/>
                    <a:stretch>
                      <a:fillRect/>
                    </a:stretch>
                  </pic:blipFill>
                  <pic:spPr>
                    <a:xfrm>
                      <a:off x="0" y="0"/>
                      <a:ext cx="244274" cy="75031"/>
                    </a:xfrm>
                    <a:prstGeom prst="rect">
                      <a:avLst/>
                    </a:prstGeom>
                  </pic:spPr>
                </pic:pic>
              </a:graphicData>
            </a:graphic>
          </wp:inline>
        </w:drawing>
      </w:r>
      <w:r>
        <w:rPr>
          <w:rFonts w:ascii="Arial MT"/>
          <w:spacing w:val="-35"/>
          <w:position w:val="10"/>
          <w:sz w:val="20"/>
        </w:rPr>
      </w:r>
      <w:r>
        <w:rPr>
          <w:spacing w:val="12"/>
          <w:position w:val="15"/>
          <w:sz w:val="20"/>
        </w:rPr>
        <w:t> </w:t>
      </w:r>
      <w:r>
        <w:rPr>
          <w:rFonts w:ascii="Arial MT"/>
          <w:spacing w:val="-10"/>
          <w:position w:val="15"/>
          <w:sz w:val="20"/>
        </w:rPr>
        <w:t>H</w:t>
      </w:r>
    </w:p>
    <w:p>
      <w:pPr>
        <w:pStyle w:val="BodyText"/>
        <w:tabs>
          <w:tab w:pos="5722" w:val="left" w:leader="none"/>
          <w:tab w:pos="6503" w:val="left" w:leader="none"/>
          <w:tab w:pos="7553" w:val="left" w:leader="none"/>
        </w:tabs>
        <w:spacing w:line="175" w:lineRule="auto"/>
        <w:ind w:left="5047"/>
        <w:rPr>
          <w:rFonts w:ascii="Arial MT"/>
          <w:sz w:val="20"/>
        </w:rPr>
      </w:pPr>
      <w:r>
        <w:rPr/>
        <mc:AlternateContent>
          <mc:Choice Requires="wps">
            <w:drawing>
              <wp:anchor distT="0" distB="0" distL="0" distR="0" allowOverlap="1" layoutInCell="1" locked="0" behindDoc="0" simplePos="0" relativeHeight="15777792">
                <wp:simplePos x="0" y="0"/>
                <wp:positionH relativeFrom="page">
                  <wp:posOffset>3845581</wp:posOffset>
                </wp:positionH>
                <wp:positionV relativeFrom="paragraph">
                  <wp:posOffset>14942</wp:posOffset>
                </wp:positionV>
                <wp:extent cx="1270" cy="241935"/>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1270" cy="241935"/>
                        </a:xfrm>
                        <a:custGeom>
                          <a:avLst/>
                          <a:gdLst/>
                          <a:ahLst/>
                          <a:cxnLst/>
                          <a:rect l="l" t="t" r="r" b="b"/>
                          <a:pathLst>
                            <a:path w="0" h="241935">
                              <a:moveTo>
                                <a:pt x="0" y="0"/>
                              </a:moveTo>
                              <a:lnTo>
                                <a:pt x="0" y="241925"/>
                              </a:lnTo>
                            </a:path>
                          </a:pathLst>
                        </a:custGeom>
                        <a:ln w="122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792" from="302.801727pt,1.176559pt" to="302.801727pt,20.225841pt" stroked="true" strokeweight=".967396pt" strokecolor="#000000">
                <v:stroke dashstyle="solid"/>
                <w10:wrap type="none"/>
              </v:line>
            </w:pict>
          </mc:Fallback>
        </mc:AlternateContent>
      </w:r>
      <w:r>
        <w:rPr/>
        <mc:AlternateContent>
          <mc:Choice Requires="wps">
            <w:drawing>
              <wp:anchor distT="0" distB="0" distL="0" distR="0" allowOverlap="1" layoutInCell="1" locked="0" behindDoc="1" simplePos="0" relativeHeight="483960832">
                <wp:simplePos x="0" y="0"/>
                <wp:positionH relativeFrom="page">
                  <wp:posOffset>4306613</wp:posOffset>
                </wp:positionH>
                <wp:positionV relativeFrom="paragraph">
                  <wp:posOffset>36412</wp:posOffset>
                </wp:positionV>
                <wp:extent cx="1270" cy="240665"/>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1270" cy="240665"/>
                        </a:xfrm>
                        <a:custGeom>
                          <a:avLst/>
                          <a:gdLst/>
                          <a:ahLst/>
                          <a:cxnLst/>
                          <a:rect l="l" t="t" r="r" b="b"/>
                          <a:pathLst>
                            <a:path w="0" h="240665">
                              <a:moveTo>
                                <a:pt x="0" y="0"/>
                              </a:moveTo>
                              <a:lnTo>
                                <a:pt x="0" y="240307"/>
                              </a:lnTo>
                            </a:path>
                          </a:pathLst>
                        </a:custGeom>
                        <a:ln w="122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5648" from="339.103424pt,2.867129pt" to="339.103424pt,21.789004pt" stroked="true" strokeweight=".967396pt" strokecolor="#000000">
                <v:stroke dashstyle="solid"/>
                <w10:wrap type="none"/>
              </v:line>
            </w:pict>
          </mc:Fallback>
        </mc:AlternateContent>
      </w:r>
      <w:r>
        <w:rPr/>
        <mc:AlternateContent>
          <mc:Choice Requires="wps">
            <w:drawing>
              <wp:anchor distT="0" distB="0" distL="0" distR="0" allowOverlap="1" layoutInCell="1" locked="0" behindDoc="1" simplePos="0" relativeHeight="483962368">
                <wp:simplePos x="0" y="0"/>
                <wp:positionH relativeFrom="page">
                  <wp:posOffset>4687923</wp:posOffset>
                </wp:positionH>
                <wp:positionV relativeFrom="paragraph">
                  <wp:posOffset>36412</wp:posOffset>
                </wp:positionV>
                <wp:extent cx="1270" cy="240665"/>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1270" cy="240665"/>
                        </a:xfrm>
                        <a:custGeom>
                          <a:avLst/>
                          <a:gdLst/>
                          <a:ahLst/>
                          <a:cxnLst/>
                          <a:rect l="l" t="t" r="r" b="b"/>
                          <a:pathLst>
                            <a:path w="0" h="240665">
                              <a:moveTo>
                                <a:pt x="0" y="0"/>
                              </a:moveTo>
                              <a:lnTo>
                                <a:pt x="0" y="240307"/>
                              </a:lnTo>
                            </a:path>
                          </a:pathLst>
                        </a:custGeom>
                        <a:ln w="122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4112" from="369.127869pt,2.867129pt" to="369.127869pt,21.789004pt" stroked="true" strokeweight=".967396pt" strokecolor="#000000">
                <v:stroke dashstyle="solid"/>
                <w10:wrap type="none"/>
              </v:line>
            </w:pict>
          </mc:Fallback>
        </mc:AlternateContent>
      </w:r>
      <w:r>
        <w:rPr>
          <w:spacing w:val="-10"/>
          <w:position w:val="-2"/>
        </w:rPr>
        <w:t>3</w:t>
      </w:r>
      <w:r>
        <w:rPr>
          <w:position w:val="-2"/>
        </w:rPr>
        <w:tab/>
      </w:r>
      <w:r>
        <w:rPr>
          <w:spacing w:val="-10"/>
        </w:rPr>
        <w:t>2</w:t>
      </w:r>
      <w:r>
        <w:rPr/>
        <w:tab/>
      </w:r>
      <w:r>
        <w:rPr>
          <w:spacing w:val="-10"/>
          <w:position w:val="-6"/>
        </w:rPr>
        <w:t>1</w:t>
      </w:r>
      <w:r>
        <w:rPr>
          <w:position w:val="-6"/>
        </w:rPr>
        <w:tab/>
      </w:r>
      <w:r>
        <w:rPr>
          <w:rFonts w:ascii="Arial MT"/>
          <w:spacing w:val="-10"/>
          <w:position w:val="-14"/>
          <w:sz w:val="20"/>
        </w:rPr>
        <w:t>H</w:t>
      </w:r>
    </w:p>
    <w:p>
      <w:pPr>
        <w:tabs>
          <w:tab w:pos="1607" w:val="left" w:leader="none"/>
          <w:tab w:pos="2208" w:val="left" w:leader="none"/>
        </w:tabs>
        <w:spacing w:before="56"/>
        <w:ind w:left="881" w:right="0" w:firstLine="0"/>
        <w:jc w:val="center"/>
        <w:rPr>
          <w:rFonts w:ascii="Arial MT"/>
          <w:sz w:val="20"/>
        </w:rPr>
      </w:pPr>
      <w:r>
        <w:rPr>
          <w:rFonts w:ascii="Arial MT"/>
          <w:spacing w:val="-10"/>
          <w:position w:val="3"/>
          <w:sz w:val="20"/>
        </w:rPr>
        <w:t>H</w:t>
      </w:r>
      <w:r>
        <w:rPr>
          <w:rFonts w:ascii="Arial MT"/>
          <w:position w:val="3"/>
          <w:sz w:val="20"/>
        </w:rPr>
        <w:tab/>
      </w:r>
      <w:r>
        <w:rPr>
          <w:rFonts w:ascii="Arial MT"/>
          <w:spacing w:val="-10"/>
          <w:sz w:val="20"/>
        </w:rPr>
        <w:t>H</w:t>
      </w:r>
      <w:r>
        <w:rPr>
          <w:rFonts w:ascii="Arial MT"/>
          <w:sz w:val="20"/>
        </w:rPr>
        <w:tab/>
      </w:r>
      <w:r>
        <w:rPr>
          <w:rFonts w:ascii="Arial MT"/>
          <w:spacing w:val="-10"/>
          <w:sz w:val="20"/>
        </w:rPr>
        <w:t>H</w:t>
      </w:r>
    </w:p>
    <w:p>
      <w:pPr>
        <w:spacing w:before="169"/>
        <w:ind w:left="0" w:right="757" w:firstLine="0"/>
        <w:jc w:val="center"/>
        <w:rPr>
          <w:rFonts w:ascii="Arial MT"/>
          <w:sz w:val="20"/>
        </w:rPr>
      </w:pPr>
      <w:r>
        <w:rPr>
          <w:rFonts w:ascii="Arial MT"/>
          <w:spacing w:val="-5"/>
          <w:sz w:val="20"/>
        </w:rPr>
        <w:t>Cl</w:t>
      </w:r>
    </w:p>
    <w:p>
      <w:pPr>
        <w:spacing w:after="0"/>
        <w:jc w:val="center"/>
        <w:rPr>
          <w:rFonts w:ascii="Arial MT"/>
          <w:sz w:val="20"/>
        </w:rPr>
        <w:sectPr>
          <w:pgSz w:w="12240" w:h="15840"/>
          <w:pgMar w:header="0" w:footer="1066" w:top="1320" w:bottom="1260" w:left="1480" w:right="1160"/>
        </w:sectPr>
      </w:pPr>
    </w:p>
    <w:p>
      <w:pPr>
        <w:pStyle w:val="Heading2"/>
        <w:spacing w:before="117"/>
        <w:jc w:val="left"/>
      </w:pPr>
      <w:r>
        <w:rPr/>
        <w:t>Table</w:t>
      </w:r>
      <w:r>
        <w:rPr>
          <w:spacing w:val="-1"/>
        </w:rPr>
        <w:t> </w:t>
      </w:r>
      <w:r>
        <w:rPr/>
        <w:t>4.7:</w:t>
      </w:r>
      <w:r>
        <w:rPr>
          <w:spacing w:val="1"/>
        </w:rPr>
        <w:t> </w:t>
      </w:r>
      <w:r>
        <w:rPr/>
        <w:t>H</w:t>
      </w:r>
      <w:r>
        <w:rPr>
          <w:vertAlign w:val="superscript"/>
        </w:rPr>
        <w:t>1</w:t>
      </w:r>
      <w:r>
        <w:rPr>
          <w:spacing w:val="-2"/>
          <w:vertAlign w:val="baseline"/>
        </w:rPr>
        <w:t> </w:t>
      </w:r>
      <w:r>
        <w:rPr>
          <w:vertAlign w:val="baseline"/>
        </w:rPr>
        <w:t>and</w:t>
      </w:r>
      <w:r>
        <w:rPr>
          <w:spacing w:val="-3"/>
          <w:vertAlign w:val="baseline"/>
        </w:rPr>
        <w:t> </w:t>
      </w:r>
      <w:r>
        <w:rPr>
          <w:vertAlign w:val="superscript"/>
        </w:rPr>
        <w:t>13</w:t>
      </w:r>
      <w:r>
        <w:rPr>
          <w:vertAlign w:val="baseline"/>
        </w:rPr>
        <w:t>C</w:t>
      </w:r>
      <w:r>
        <w:rPr>
          <w:spacing w:val="-6"/>
          <w:vertAlign w:val="baseline"/>
        </w:rPr>
        <w:t> </w:t>
      </w:r>
      <w:r>
        <w:rPr>
          <w:vertAlign w:val="baseline"/>
        </w:rPr>
        <w:t>NMR</w:t>
      </w:r>
      <w:r>
        <w:rPr>
          <w:spacing w:val="-5"/>
          <w:vertAlign w:val="baseline"/>
        </w:rPr>
        <w:t> </w:t>
      </w:r>
      <w:r>
        <w:rPr>
          <w:vertAlign w:val="baseline"/>
        </w:rPr>
        <w:t>Interpretation</w:t>
      </w:r>
      <w:r>
        <w:rPr>
          <w:spacing w:val="1"/>
          <w:vertAlign w:val="baseline"/>
        </w:rPr>
        <w:t> </w:t>
      </w:r>
      <w:r>
        <w:rPr>
          <w:vertAlign w:val="baseline"/>
        </w:rPr>
        <w:t>of</w:t>
      </w:r>
      <w:r>
        <w:rPr>
          <w:spacing w:val="-3"/>
          <w:vertAlign w:val="baseline"/>
        </w:rPr>
        <w:t> </w:t>
      </w:r>
      <w:r>
        <w:rPr>
          <w:vertAlign w:val="baseline"/>
        </w:rPr>
        <w:t>the</w:t>
      </w:r>
      <w:r>
        <w:rPr>
          <w:spacing w:val="-1"/>
          <w:vertAlign w:val="baseline"/>
        </w:rPr>
        <w:t> </w:t>
      </w:r>
      <w:r>
        <w:rPr>
          <w:vertAlign w:val="baseline"/>
        </w:rPr>
        <w:t>DCP34</w:t>
      </w:r>
      <w:r>
        <w:rPr>
          <w:spacing w:val="1"/>
          <w:vertAlign w:val="baseline"/>
        </w:rPr>
        <w:t> </w:t>
      </w:r>
      <w:r>
        <w:rPr>
          <w:spacing w:val="-2"/>
          <w:vertAlign w:val="baseline"/>
        </w:rPr>
        <w:t>Isomer</w:t>
      </w:r>
    </w:p>
    <w:p>
      <w:pPr>
        <w:pStyle w:val="BodyText"/>
        <w:spacing w:before="165"/>
        <w:rPr>
          <w:b/>
          <w:sz w:val="20"/>
        </w:rPr>
      </w:pPr>
      <w:r>
        <w:rPr/>
        <mc:AlternateContent>
          <mc:Choice Requires="wps">
            <w:drawing>
              <wp:anchor distT="0" distB="0" distL="0" distR="0" allowOverlap="1" layoutInCell="1" locked="0" behindDoc="1" simplePos="0" relativeHeight="487642112">
                <wp:simplePos x="0" y="0"/>
                <wp:positionH relativeFrom="page">
                  <wp:posOffset>1828800</wp:posOffset>
                </wp:positionH>
                <wp:positionV relativeFrom="paragraph">
                  <wp:posOffset>266079</wp:posOffset>
                </wp:positionV>
                <wp:extent cx="3314700" cy="127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3314700" cy="1270"/>
                        </a:xfrm>
                        <a:custGeom>
                          <a:avLst/>
                          <a:gdLst/>
                          <a:ahLst/>
                          <a:cxnLst/>
                          <a:rect l="l" t="t" r="r" b="b"/>
                          <a:pathLst>
                            <a:path w="3314700" h="0">
                              <a:moveTo>
                                <a:pt x="0" y="0"/>
                              </a:moveTo>
                              <a:lnTo>
                                <a:pt x="331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4pt;margin-top:20.951172pt;width:261pt;height:.1pt;mso-position-horizontal-relative:page;mso-position-vertical-relative:paragraph;z-index:-15674368;mso-wrap-distance-left:0;mso-wrap-distance-right:0" id="docshape93" coordorigin="2880,419" coordsize="5220,0" path="m2880,419l8100,419e" filled="false" stroked="true" strokeweight=".75pt" strokecolor="#000000">
                <v:path arrowok="t"/>
                <v:stroke dashstyle="solid"/>
                <w10:wrap type="topAndBottom"/>
              </v:shape>
            </w:pict>
          </mc:Fallback>
        </mc:AlternateContent>
      </w:r>
    </w:p>
    <w:p>
      <w:pPr>
        <w:tabs>
          <w:tab w:pos="3561" w:val="left" w:leader="none"/>
          <w:tab w:pos="5002" w:val="left" w:leader="none"/>
        </w:tabs>
        <w:spacing w:before="107"/>
        <w:ind w:left="1401" w:right="0" w:firstLine="0"/>
        <w:jc w:val="left"/>
        <w:rPr>
          <w:sz w:val="48"/>
          <w:szCs w:val="48"/>
        </w:rPr>
      </w:pPr>
      <w:r>
        <w:rPr>
          <w:spacing w:val="-2"/>
          <w:sz w:val="24"/>
          <w:szCs w:val="24"/>
        </w:rPr>
        <w:t>Position</w:t>
      </w:r>
      <w:r>
        <w:rPr>
          <w:sz w:val="24"/>
          <w:szCs w:val="24"/>
        </w:rPr>
        <w:tab/>
      </w:r>
      <w:r>
        <w:rPr>
          <w:spacing w:val="-5"/>
          <w:sz w:val="72"/>
          <w:szCs w:val="72"/>
        </w:rPr>
        <w:t>ᵟ</w:t>
      </w:r>
      <w:r>
        <w:rPr>
          <w:spacing w:val="-5"/>
          <w:sz w:val="48"/>
          <w:szCs w:val="48"/>
        </w:rPr>
        <w:t>H</w:t>
      </w:r>
      <w:r>
        <w:rPr>
          <w:sz w:val="48"/>
          <w:szCs w:val="48"/>
        </w:rPr>
        <w:tab/>
      </w:r>
      <w:r>
        <w:rPr>
          <w:spacing w:val="-5"/>
          <w:sz w:val="72"/>
          <w:szCs w:val="72"/>
        </w:rPr>
        <w:t>ᵟ</w:t>
      </w:r>
      <w:r>
        <w:rPr>
          <w:spacing w:val="-5"/>
          <w:sz w:val="48"/>
          <w:szCs w:val="48"/>
        </w:rPr>
        <w:t>C</w:t>
      </w: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5"/>
        <w:gridCol w:w="1619"/>
        <w:gridCol w:w="2127"/>
      </w:tblGrid>
      <w:tr>
        <w:trPr>
          <w:trHeight w:val="452" w:hRule="atLeast"/>
        </w:trPr>
        <w:tc>
          <w:tcPr>
            <w:tcW w:w="1475" w:type="dxa"/>
            <w:tcBorders>
              <w:top w:val="single" w:sz="6" w:space="0" w:color="000000"/>
            </w:tcBorders>
          </w:tcPr>
          <w:p>
            <w:pPr>
              <w:pStyle w:val="TableParagraph"/>
              <w:spacing w:before="7"/>
              <w:ind w:left="1"/>
              <w:rPr>
                <w:sz w:val="24"/>
              </w:rPr>
            </w:pPr>
            <w:r>
              <w:rPr>
                <w:spacing w:val="-10"/>
                <w:sz w:val="24"/>
              </w:rPr>
              <w:t>1</w:t>
            </w:r>
          </w:p>
        </w:tc>
        <w:tc>
          <w:tcPr>
            <w:tcW w:w="1619" w:type="dxa"/>
            <w:tcBorders>
              <w:top w:val="single" w:sz="6" w:space="0" w:color="000000"/>
            </w:tcBorders>
          </w:tcPr>
          <w:p>
            <w:pPr>
              <w:pStyle w:val="TableParagraph"/>
              <w:spacing w:before="7"/>
              <w:ind w:left="686"/>
              <w:rPr>
                <w:sz w:val="24"/>
              </w:rPr>
            </w:pPr>
            <w:r>
              <w:rPr>
                <w:spacing w:val="-10"/>
                <w:sz w:val="24"/>
              </w:rPr>
              <w:t>-</w:t>
            </w:r>
          </w:p>
        </w:tc>
        <w:tc>
          <w:tcPr>
            <w:tcW w:w="2127" w:type="dxa"/>
            <w:tcBorders>
              <w:top w:val="single" w:sz="6" w:space="0" w:color="000000"/>
            </w:tcBorders>
          </w:tcPr>
          <w:p>
            <w:pPr>
              <w:pStyle w:val="TableParagraph"/>
              <w:spacing w:before="7"/>
              <w:ind w:left="508"/>
              <w:rPr>
                <w:sz w:val="24"/>
              </w:rPr>
            </w:pPr>
            <w:r>
              <w:rPr>
                <w:spacing w:val="-2"/>
                <w:sz w:val="24"/>
              </w:rPr>
              <w:t>167.76</w:t>
            </w:r>
          </w:p>
        </w:tc>
      </w:tr>
      <w:tr>
        <w:trPr>
          <w:trHeight w:val="552" w:hRule="atLeast"/>
        </w:trPr>
        <w:tc>
          <w:tcPr>
            <w:tcW w:w="1475" w:type="dxa"/>
          </w:tcPr>
          <w:p>
            <w:pPr>
              <w:pStyle w:val="TableParagraph"/>
              <w:spacing w:before="106"/>
              <w:ind w:left="1"/>
              <w:rPr>
                <w:sz w:val="24"/>
              </w:rPr>
            </w:pPr>
            <w:r>
              <w:rPr>
                <w:spacing w:val="-10"/>
                <w:sz w:val="24"/>
              </w:rPr>
              <w:t>2</w:t>
            </w:r>
          </w:p>
        </w:tc>
        <w:tc>
          <w:tcPr>
            <w:tcW w:w="1619" w:type="dxa"/>
          </w:tcPr>
          <w:p>
            <w:pPr>
              <w:pStyle w:val="TableParagraph"/>
              <w:spacing w:before="106"/>
              <w:ind w:left="686"/>
              <w:rPr>
                <w:sz w:val="24"/>
              </w:rPr>
            </w:pPr>
            <w:r>
              <w:rPr>
                <w:spacing w:val="-4"/>
                <w:sz w:val="24"/>
              </w:rPr>
              <w:t>6.13</w:t>
            </w:r>
          </w:p>
        </w:tc>
        <w:tc>
          <w:tcPr>
            <w:tcW w:w="2127" w:type="dxa"/>
          </w:tcPr>
          <w:p>
            <w:pPr>
              <w:pStyle w:val="TableParagraph"/>
              <w:spacing w:before="106"/>
              <w:ind w:left="508"/>
              <w:rPr>
                <w:sz w:val="24"/>
              </w:rPr>
            </w:pPr>
            <w:r>
              <w:rPr>
                <w:spacing w:val="-2"/>
                <w:sz w:val="24"/>
              </w:rPr>
              <w:t>114.61</w:t>
            </w:r>
          </w:p>
        </w:tc>
      </w:tr>
      <w:tr>
        <w:trPr>
          <w:trHeight w:val="552" w:hRule="atLeast"/>
        </w:trPr>
        <w:tc>
          <w:tcPr>
            <w:tcW w:w="1475" w:type="dxa"/>
          </w:tcPr>
          <w:p>
            <w:pPr>
              <w:pStyle w:val="TableParagraph"/>
              <w:spacing w:before="106"/>
              <w:ind w:left="1"/>
              <w:rPr>
                <w:sz w:val="24"/>
              </w:rPr>
            </w:pPr>
            <w:r>
              <w:rPr>
                <w:spacing w:val="-10"/>
                <w:sz w:val="24"/>
              </w:rPr>
              <w:t>3</w:t>
            </w:r>
          </w:p>
        </w:tc>
        <w:tc>
          <w:tcPr>
            <w:tcW w:w="1619" w:type="dxa"/>
          </w:tcPr>
          <w:p>
            <w:pPr>
              <w:pStyle w:val="TableParagraph"/>
              <w:spacing w:before="106"/>
              <w:ind w:left="686"/>
              <w:rPr>
                <w:sz w:val="24"/>
              </w:rPr>
            </w:pPr>
            <w:r>
              <w:rPr>
                <w:spacing w:val="-4"/>
                <w:sz w:val="24"/>
              </w:rPr>
              <w:t>6.27</w:t>
            </w:r>
          </w:p>
        </w:tc>
        <w:tc>
          <w:tcPr>
            <w:tcW w:w="2127" w:type="dxa"/>
          </w:tcPr>
          <w:p>
            <w:pPr>
              <w:pStyle w:val="TableParagraph"/>
              <w:spacing w:before="106"/>
              <w:ind w:left="508"/>
              <w:rPr>
                <w:sz w:val="24"/>
              </w:rPr>
            </w:pPr>
            <w:r>
              <w:rPr>
                <w:spacing w:val="-2"/>
                <w:sz w:val="24"/>
              </w:rPr>
              <w:t>116.38</w:t>
            </w:r>
          </w:p>
        </w:tc>
      </w:tr>
      <w:tr>
        <w:trPr>
          <w:trHeight w:val="551" w:hRule="atLeast"/>
        </w:trPr>
        <w:tc>
          <w:tcPr>
            <w:tcW w:w="1475" w:type="dxa"/>
          </w:tcPr>
          <w:p>
            <w:pPr>
              <w:pStyle w:val="TableParagraph"/>
              <w:spacing w:before="106"/>
              <w:ind w:left="1"/>
              <w:rPr>
                <w:sz w:val="24"/>
              </w:rPr>
            </w:pPr>
            <w:r>
              <w:rPr>
                <w:spacing w:val="-5"/>
                <w:sz w:val="24"/>
              </w:rPr>
              <w:t>1'</w:t>
            </w:r>
          </w:p>
        </w:tc>
        <w:tc>
          <w:tcPr>
            <w:tcW w:w="1619" w:type="dxa"/>
          </w:tcPr>
          <w:p>
            <w:pPr>
              <w:pStyle w:val="TableParagraph"/>
              <w:spacing w:before="106"/>
              <w:ind w:left="686"/>
              <w:rPr>
                <w:sz w:val="24"/>
              </w:rPr>
            </w:pPr>
            <w:r>
              <w:rPr>
                <w:spacing w:val="-10"/>
                <w:sz w:val="24"/>
              </w:rPr>
              <w:t>-</w:t>
            </w:r>
          </w:p>
        </w:tc>
        <w:tc>
          <w:tcPr>
            <w:tcW w:w="2127" w:type="dxa"/>
          </w:tcPr>
          <w:p>
            <w:pPr>
              <w:pStyle w:val="TableParagraph"/>
              <w:spacing w:before="106"/>
              <w:ind w:left="508"/>
              <w:rPr>
                <w:sz w:val="24"/>
              </w:rPr>
            </w:pPr>
            <w:r>
              <w:rPr>
                <w:spacing w:val="-2"/>
                <w:sz w:val="24"/>
              </w:rPr>
              <w:t>146.10</w:t>
            </w:r>
          </w:p>
        </w:tc>
      </w:tr>
      <w:tr>
        <w:trPr>
          <w:trHeight w:val="552" w:hRule="atLeast"/>
        </w:trPr>
        <w:tc>
          <w:tcPr>
            <w:tcW w:w="1475" w:type="dxa"/>
          </w:tcPr>
          <w:p>
            <w:pPr>
              <w:pStyle w:val="TableParagraph"/>
              <w:spacing w:before="106"/>
              <w:ind w:left="1"/>
              <w:rPr>
                <w:sz w:val="24"/>
              </w:rPr>
            </w:pPr>
            <w:r>
              <w:rPr>
                <w:spacing w:val="-5"/>
                <w:sz w:val="24"/>
              </w:rPr>
              <w:t>2'</w:t>
            </w:r>
          </w:p>
        </w:tc>
        <w:tc>
          <w:tcPr>
            <w:tcW w:w="1619" w:type="dxa"/>
          </w:tcPr>
          <w:p>
            <w:pPr>
              <w:pStyle w:val="TableParagraph"/>
              <w:spacing w:before="106"/>
              <w:ind w:left="686"/>
              <w:rPr>
                <w:sz w:val="24"/>
              </w:rPr>
            </w:pPr>
            <w:r>
              <w:rPr>
                <w:spacing w:val="-4"/>
                <w:sz w:val="24"/>
              </w:rPr>
              <w:t>6.74</w:t>
            </w:r>
          </w:p>
        </w:tc>
        <w:tc>
          <w:tcPr>
            <w:tcW w:w="2127" w:type="dxa"/>
          </w:tcPr>
          <w:p>
            <w:pPr>
              <w:pStyle w:val="TableParagraph"/>
              <w:spacing w:before="106"/>
              <w:ind w:left="508"/>
              <w:rPr>
                <w:sz w:val="24"/>
              </w:rPr>
            </w:pPr>
            <w:r>
              <w:rPr>
                <w:spacing w:val="-2"/>
                <w:sz w:val="24"/>
              </w:rPr>
              <w:t>130.16</w:t>
            </w:r>
          </w:p>
        </w:tc>
      </w:tr>
      <w:tr>
        <w:trPr>
          <w:trHeight w:val="552" w:hRule="atLeast"/>
        </w:trPr>
        <w:tc>
          <w:tcPr>
            <w:tcW w:w="1475" w:type="dxa"/>
          </w:tcPr>
          <w:p>
            <w:pPr>
              <w:pStyle w:val="TableParagraph"/>
              <w:spacing w:before="106"/>
              <w:ind w:left="1"/>
              <w:rPr>
                <w:sz w:val="24"/>
              </w:rPr>
            </w:pPr>
            <w:r>
              <w:rPr>
                <w:spacing w:val="-5"/>
                <w:sz w:val="24"/>
              </w:rPr>
              <w:t>3'</w:t>
            </w:r>
          </w:p>
        </w:tc>
        <w:tc>
          <w:tcPr>
            <w:tcW w:w="1619" w:type="dxa"/>
          </w:tcPr>
          <w:p>
            <w:pPr>
              <w:pStyle w:val="TableParagraph"/>
              <w:spacing w:before="106"/>
              <w:ind w:left="686"/>
              <w:rPr>
                <w:sz w:val="24"/>
              </w:rPr>
            </w:pPr>
            <w:r>
              <w:rPr>
                <w:spacing w:val="-10"/>
                <w:sz w:val="24"/>
              </w:rPr>
              <w:t>-</w:t>
            </w:r>
          </w:p>
        </w:tc>
        <w:tc>
          <w:tcPr>
            <w:tcW w:w="2127" w:type="dxa"/>
          </w:tcPr>
          <w:p>
            <w:pPr>
              <w:pStyle w:val="TableParagraph"/>
              <w:spacing w:before="106"/>
              <w:ind w:left="508"/>
              <w:rPr>
                <w:sz w:val="24"/>
              </w:rPr>
            </w:pPr>
            <w:r>
              <w:rPr>
                <w:spacing w:val="-2"/>
                <w:sz w:val="24"/>
              </w:rPr>
              <w:t>132.63</w:t>
            </w:r>
          </w:p>
        </w:tc>
      </w:tr>
      <w:tr>
        <w:trPr>
          <w:trHeight w:val="552" w:hRule="atLeast"/>
        </w:trPr>
        <w:tc>
          <w:tcPr>
            <w:tcW w:w="1475" w:type="dxa"/>
          </w:tcPr>
          <w:p>
            <w:pPr>
              <w:pStyle w:val="TableParagraph"/>
              <w:spacing w:before="106"/>
              <w:ind w:left="1"/>
              <w:rPr>
                <w:sz w:val="24"/>
              </w:rPr>
            </w:pPr>
            <w:r>
              <w:rPr>
                <w:spacing w:val="-5"/>
                <w:sz w:val="24"/>
              </w:rPr>
              <w:t>4'</w:t>
            </w:r>
          </w:p>
        </w:tc>
        <w:tc>
          <w:tcPr>
            <w:tcW w:w="1619" w:type="dxa"/>
          </w:tcPr>
          <w:p>
            <w:pPr>
              <w:pStyle w:val="TableParagraph"/>
              <w:spacing w:before="106"/>
              <w:ind w:left="686"/>
              <w:rPr>
                <w:sz w:val="24"/>
              </w:rPr>
            </w:pPr>
            <w:r>
              <w:rPr>
                <w:spacing w:val="-10"/>
                <w:sz w:val="24"/>
              </w:rPr>
              <w:t>-</w:t>
            </w:r>
          </w:p>
        </w:tc>
        <w:tc>
          <w:tcPr>
            <w:tcW w:w="2127" w:type="dxa"/>
          </w:tcPr>
          <w:p>
            <w:pPr>
              <w:pStyle w:val="TableParagraph"/>
              <w:spacing w:before="106"/>
              <w:ind w:left="508"/>
              <w:rPr>
                <w:sz w:val="24"/>
              </w:rPr>
            </w:pPr>
            <w:r>
              <w:rPr>
                <w:spacing w:val="-2"/>
                <w:sz w:val="24"/>
              </w:rPr>
              <w:t>130.69</w:t>
            </w:r>
          </w:p>
        </w:tc>
      </w:tr>
      <w:tr>
        <w:trPr>
          <w:trHeight w:val="552" w:hRule="atLeast"/>
        </w:trPr>
        <w:tc>
          <w:tcPr>
            <w:tcW w:w="1475" w:type="dxa"/>
          </w:tcPr>
          <w:p>
            <w:pPr>
              <w:pStyle w:val="TableParagraph"/>
              <w:spacing w:before="106"/>
              <w:ind w:left="1"/>
              <w:rPr>
                <w:sz w:val="24"/>
              </w:rPr>
            </w:pPr>
            <w:r>
              <w:rPr>
                <w:spacing w:val="-5"/>
                <w:sz w:val="24"/>
              </w:rPr>
              <w:t>5'</w:t>
            </w:r>
          </w:p>
        </w:tc>
        <w:tc>
          <w:tcPr>
            <w:tcW w:w="1619" w:type="dxa"/>
          </w:tcPr>
          <w:p>
            <w:pPr>
              <w:pStyle w:val="TableParagraph"/>
              <w:spacing w:before="106"/>
              <w:ind w:left="686"/>
              <w:rPr>
                <w:sz w:val="24"/>
              </w:rPr>
            </w:pPr>
            <w:r>
              <w:rPr>
                <w:spacing w:val="-4"/>
                <w:sz w:val="24"/>
              </w:rPr>
              <w:t>6.46</w:t>
            </w:r>
          </w:p>
        </w:tc>
        <w:tc>
          <w:tcPr>
            <w:tcW w:w="2127" w:type="dxa"/>
          </w:tcPr>
          <w:p>
            <w:pPr>
              <w:pStyle w:val="TableParagraph"/>
              <w:spacing w:before="106"/>
              <w:ind w:left="508"/>
              <w:rPr>
                <w:sz w:val="24"/>
              </w:rPr>
            </w:pPr>
            <w:r>
              <w:rPr>
                <w:spacing w:val="-2"/>
                <w:sz w:val="24"/>
              </w:rPr>
              <w:t>127.69</w:t>
            </w:r>
          </w:p>
        </w:tc>
      </w:tr>
      <w:tr>
        <w:trPr>
          <w:trHeight w:val="552" w:hRule="atLeast"/>
        </w:trPr>
        <w:tc>
          <w:tcPr>
            <w:tcW w:w="1475" w:type="dxa"/>
          </w:tcPr>
          <w:p>
            <w:pPr>
              <w:pStyle w:val="TableParagraph"/>
              <w:spacing w:before="106"/>
              <w:ind w:left="1"/>
              <w:rPr>
                <w:sz w:val="24"/>
              </w:rPr>
            </w:pPr>
            <w:r>
              <w:rPr>
                <w:spacing w:val="-5"/>
                <w:sz w:val="24"/>
              </w:rPr>
              <w:t>6'</w:t>
            </w:r>
          </w:p>
        </w:tc>
        <w:tc>
          <w:tcPr>
            <w:tcW w:w="1619" w:type="dxa"/>
          </w:tcPr>
          <w:p>
            <w:pPr>
              <w:pStyle w:val="TableParagraph"/>
              <w:spacing w:before="106"/>
              <w:ind w:left="686"/>
              <w:rPr>
                <w:sz w:val="24"/>
              </w:rPr>
            </w:pPr>
            <w:r>
              <w:rPr>
                <w:spacing w:val="-4"/>
                <w:sz w:val="24"/>
              </w:rPr>
              <w:t>7.16</w:t>
            </w:r>
          </w:p>
        </w:tc>
        <w:tc>
          <w:tcPr>
            <w:tcW w:w="2127" w:type="dxa"/>
          </w:tcPr>
          <w:p>
            <w:pPr>
              <w:pStyle w:val="TableParagraph"/>
              <w:spacing w:before="106"/>
              <w:ind w:left="508"/>
              <w:rPr>
                <w:sz w:val="24"/>
              </w:rPr>
            </w:pPr>
            <w:r>
              <w:rPr>
                <w:spacing w:val="-2"/>
                <w:sz w:val="24"/>
              </w:rPr>
              <w:t>120.97</w:t>
            </w:r>
          </w:p>
        </w:tc>
      </w:tr>
      <w:tr>
        <w:trPr>
          <w:trHeight w:val="552" w:hRule="atLeast"/>
        </w:trPr>
        <w:tc>
          <w:tcPr>
            <w:tcW w:w="1475" w:type="dxa"/>
          </w:tcPr>
          <w:p>
            <w:pPr>
              <w:pStyle w:val="TableParagraph"/>
              <w:spacing w:before="106"/>
              <w:ind w:left="1"/>
              <w:rPr>
                <w:sz w:val="24"/>
              </w:rPr>
            </w:pPr>
            <w:r>
              <w:rPr>
                <w:sz w:val="24"/>
              </w:rPr>
              <w:t>-</w:t>
            </w:r>
            <w:r>
              <w:rPr>
                <w:spacing w:val="-5"/>
                <w:sz w:val="24"/>
              </w:rPr>
              <w:t>NH2</w:t>
            </w:r>
          </w:p>
        </w:tc>
        <w:tc>
          <w:tcPr>
            <w:tcW w:w="1619" w:type="dxa"/>
          </w:tcPr>
          <w:p>
            <w:pPr>
              <w:pStyle w:val="TableParagraph"/>
              <w:spacing w:before="106"/>
              <w:ind w:left="686"/>
              <w:rPr>
                <w:sz w:val="24"/>
              </w:rPr>
            </w:pPr>
            <w:r>
              <w:rPr>
                <w:spacing w:val="-4"/>
                <w:sz w:val="24"/>
              </w:rPr>
              <w:t>3.75</w:t>
            </w:r>
          </w:p>
        </w:tc>
        <w:tc>
          <w:tcPr>
            <w:tcW w:w="2127" w:type="dxa"/>
          </w:tcPr>
          <w:p>
            <w:pPr>
              <w:pStyle w:val="TableParagraph"/>
              <w:spacing w:before="106"/>
              <w:ind w:left="508"/>
              <w:rPr>
                <w:sz w:val="24"/>
              </w:rPr>
            </w:pPr>
            <w:r>
              <w:rPr>
                <w:spacing w:val="-10"/>
                <w:sz w:val="24"/>
              </w:rPr>
              <w:t>-</w:t>
            </w:r>
          </w:p>
        </w:tc>
      </w:tr>
      <w:tr>
        <w:trPr>
          <w:trHeight w:val="447" w:hRule="atLeast"/>
        </w:trPr>
        <w:tc>
          <w:tcPr>
            <w:tcW w:w="1475" w:type="dxa"/>
            <w:tcBorders>
              <w:bottom w:val="single" w:sz="6" w:space="0" w:color="000000"/>
            </w:tcBorders>
          </w:tcPr>
          <w:p>
            <w:pPr>
              <w:pStyle w:val="TableParagraph"/>
              <w:spacing w:before="106"/>
              <w:ind w:left="1"/>
              <w:rPr>
                <w:sz w:val="24"/>
              </w:rPr>
            </w:pPr>
            <w:r>
              <w:rPr>
                <w:sz w:val="24"/>
              </w:rPr>
              <w:t>-</w:t>
            </w:r>
            <w:r>
              <w:rPr>
                <w:spacing w:val="-5"/>
                <w:sz w:val="24"/>
              </w:rPr>
              <w:t>NH</w:t>
            </w:r>
          </w:p>
        </w:tc>
        <w:tc>
          <w:tcPr>
            <w:tcW w:w="1619" w:type="dxa"/>
            <w:tcBorders>
              <w:bottom w:val="single" w:sz="6" w:space="0" w:color="000000"/>
            </w:tcBorders>
          </w:tcPr>
          <w:p>
            <w:pPr>
              <w:pStyle w:val="TableParagraph"/>
              <w:spacing w:before="106"/>
              <w:ind w:left="686"/>
              <w:rPr>
                <w:sz w:val="24"/>
              </w:rPr>
            </w:pPr>
            <w:r>
              <w:rPr>
                <w:spacing w:val="-4"/>
                <w:sz w:val="24"/>
              </w:rPr>
              <w:t>5.66</w:t>
            </w:r>
          </w:p>
        </w:tc>
        <w:tc>
          <w:tcPr>
            <w:tcW w:w="2127" w:type="dxa"/>
            <w:tcBorders>
              <w:bottom w:val="single" w:sz="6" w:space="0" w:color="000000"/>
            </w:tcBorders>
          </w:tcPr>
          <w:p>
            <w:pPr>
              <w:pStyle w:val="TableParagraph"/>
              <w:spacing w:before="106"/>
              <w:ind w:left="508"/>
              <w:rPr>
                <w:sz w:val="24"/>
              </w:rPr>
            </w:pPr>
            <w:r>
              <w:rPr>
                <w:spacing w:val="-10"/>
                <w:sz w:val="24"/>
              </w:rPr>
              <w:t>-</w:t>
            </w:r>
          </w:p>
        </w:tc>
      </w:tr>
    </w:tbl>
    <w:p>
      <w:pPr>
        <w:pStyle w:val="BodyText"/>
        <w:rPr>
          <w:sz w:val="20"/>
        </w:rPr>
      </w:pPr>
    </w:p>
    <w:p>
      <w:pPr>
        <w:pStyle w:val="BodyText"/>
        <w:rPr>
          <w:sz w:val="20"/>
        </w:rPr>
      </w:pPr>
    </w:p>
    <w:p>
      <w:pPr>
        <w:pStyle w:val="BodyText"/>
        <w:spacing w:before="31"/>
        <w:rPr>
          <w:sz w:val="20"/>
        </w:rPr>
      </w:pPr>
    </w:p>
    <w:p>
      <w:pPr>
        <w:tabs>
          <w:tab w:pos="5263" w:val="left" w:leader="none"/>
          <w:tab w:pos="5864" w:val="left" w:leader="none"/>
          <w:tab w:pos="6460" w:val="left" w:leader="none"/>
        </w:tabs>
        <w:spacing w:before="0"/>
        <w:ind w:left="4536" w:right="0" w:firstLine="0"/>
        <w:jc w:val="left"/>
        <w:rPr>
          <w:rFonts w:ascii="Arial MT"/>
          <w:sz w:val="20"/>
        </w:rPr>
      </w:pPr>
      <w:r>
        <w:rPr/>
        <mc:AlternateContent>
          <mc:Choice Requires="wps">
            <w:drawing>
              <wp:anchor distT="0" distB="0" distL="0" distR="0" allowOverlap="1" layoutInCell="1" locked="0" behindDoc="1" simplePos="0" relativeHeight="483966464">
                <wp:simplePos x="0" y="0"/>
                <wp:positionH relativeFrom="page">
                  <wp:posOffset>3866359</wp:posOffset>
                </wp:positionH>
                <wp:positionV relativeFrom="paragraph">
                  <wp:posOffset>142701</wp:posOffset>
                </wp:positionV>
                <wp:extent cx="1270" cy="243204"/>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1270" cy="243204"/>
                        </a:xfrm>
                        <a:custGeom>
                          <a:avLst/>
                          <a:gdLst/>
                          <a:ahLst/>
                          <a:cxnLst/>
                          <a:rect l="l" t="t" r="r" b="b"/>
                          <a:pathLst>
                            <a:path w="0" h="243204">
                              <a:moveTo>
                                <a:pt x="0" y="243114"/>
                              </a:moveTo>
                              <a:lnTo>
                                <a:pt x="0" y="0"/>
                              </a:lnTo>
                            </a:path>
                          </a:pathLst>
                        </a:custGeom>
                        <a:ln w="1229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0016" from="304.437744pt,30.379211pt" to="304.437744pt,11.236358pt" stroked="true" strokeweight=".968031pt" strokecolor="#000000">
                <v:stroke dashstyle="solid"/>
                <w10:wrap type="none"/>
              </v:line>
            </w:pict>
          </mc:Fallback>
        </mc:AlternateContent>
      </w:r>
      <w:r>
        <w:rPr/>
        <mc:AlternateContent>
          <mc:Choice Requires="wps">
            <w:drawing>
              <wp:anchor distT="0" distB="0" distL="0" distR="0" allowOverlap="1" layoutInCell="1" locked="0" behindDoc="1" simplePos="0" relativeHeight="483967488">
                <wp:simplePos x="0" y="0"/>
                <wp:positionH relativeFrom="page">
                  <wp:posOffset>4327788</wp:posOffset>
                </wp:positionH>
                <wp:positionV relativeFrom="paragraph">
                  <wp:posOffset>162826</wp:posOffset>
                </wp:positionV>
                <wp:extent cx="1270" cy="241935"/>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1270" cy="241935"/>
                        </a:xfrm>
                        <a:custGeom>
                          <a:avLst/>
                          <a:gdLst/>
                          <a:ahLst/>
                          <a:cxnLst/>
                          <a:rect l="l" t="t" r="r" b="b"/>
                          <a:pathLst>
                            <a:path w="0" h="241935">
                              <a:moveTo>
                                <a:pt x="0" y="241595"/>
                              </a:moveTo>
                              <a:lnTo>
                                <a:pt x="0" y="0"/>
                              </a:lnTo>
                            </a:path>
                          </a:pathLst>
                        </a:custGeom>
                        <a:ln w="1229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48992" from="340.770721pt,31.844264pt" to="340.770721pt,12.821007pt" stroked="true" strokeweight=".968031pt" strokecolor="#000000">
                <v:stroke dashstyle="solid"/>
                <w10:wrap type="none"/>
              </v:line>
            </w:pict>
          </mc:Fallback>
        </mc:AlternateContent>
      </w:r>
      <w:r>
        <w:rPr/>
        <mc:AlternateContent>
          <mc:Choice Requires="wps">
            <w:drawing>
              <wp:anchor distT="0" distB="0" distL="0" distR="0" allowOverlap="1" layoutInCell="1" locked="0" behindDoc="1" simplePos="0" relativeHeight="483969024">
                <wp:simplePos x="0" y="0"/>
                <wp:positionH relativeFrom="page">
                  <wp:posOffset>4709538</wp:posOffset>
                </wp:positionH>
                <wp:positionV relativeFrom="paragraph">
                  <wp:posOffset>162826</wp:posOffset>
                </wp:positionV>
                <wp:extent cx="1270" cy="24193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1270" cy="241935"/>
                        </a:xfrm>
                        <a:custGeom>
                          <a:avLst/>
                          <a:gdLst/>
                          <a:ahLst/>
                          <a:cxnLst/>
                          <a:rect l="l" t="t" r="r" b="b"/>
                          <a:pathLst>
                            <a:path w="0" h="241935">
                              <a:moveTo>
                                <a:pt x="0" y="241595"/>
                              </a:moveTo>
                              <a:lnTo>
                                <a:pt x="0" y="0"/>
                              </a:lnTo>
                            </a:path>
                          </a:pathLst>
                        </a:custGeom>
                        <a:ln w="1229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47456" from="370.829834pt,31.844264pt" to="370.829834pt,12.821007pt" stroked="true" strokeweight=".968031pt" strokecolor="#000000">
                <v:stroke dashstyle="solid"/>
                <w10:wrap type="none"/>
              </v:line>
            </w:pict>
          </mc:Fallback>
        </mc:AlternateContent>
      </w:r>
      <w:r>
        <w:rPr/>
        <mc:AlternateContent>
          <mc:Choice Requires="wps">
            <w:drawing>
              <wp:anchor distT="0" distB="0" distL="0" distR="0" allowOverlap="1" layoutInCell="1" locked="0" behindDoc="1" simplePos="0" relativeHeight="483970560">
                <wp:simplePos x="0" y="0"/>
                <wp:positionH relativeFrom="page">
                  <wp:posOffset>5068375</wp:posOffset>
                </wp:positionH>
                <wp:positionV relativeFrom="paragraph">
                  <wp:posOffset>164250</wp:posOffset>
                </wp:positionV>
                <wp:extent cx="46355" cy="240665"/>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46355" cy="240665"/>
                        </a:xfrm>
                        <a:custGeom>
                          <a:avLst/>
                          <a:gdLst/>
                          <a:ahLst/>
                          <a:cxnLst/>
                          <a:rect l="l" t="t" r="r" b="b"/>
                          <a:pathLst>
                            <a:path w="46355" h="240665">
                              <a:moveTo>
                                <a:pt x="0" y="240171"/>
                              </a:moveTo>
                              <a:lnTo>
                                <a:pt x="0" y="0"/>
                              </a:lnTo>
                            </a:path>
                            <a:path w="46355" h="240665">
                              <a:moveTo>
                                <a:pt x="45734" y="240171"/>
                              </a:moveTo>
                              <a:lnTo>
                                <a:pt x="45734" y="0"/>
                              </a:lnTo>
                            </a:path>
                          </a:pathLst>
                        </a:custGeom>
                        <a:ln w="122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9.084686pt;margin-top:12.933127pt;width:3.65pt;height:18.95pt;mso-position-horizontal-relative:page;mso-position-vertical-relative:paragraph;z-index:-19345920" id="docshape94" coordorigin="7982,259" coordsize="73,379" path="m7982,637l7982,259m8054,637l8054,259e" filled="false" stroked="true" strokeweight=".967259pt" strokecolor="#000000">
                <v:path arrowok="t"/>
                <v:stroke dashstyle="solid"/>
                <w10:wrap type="none"/>
              </v:shape>
            </w:pict>
          </mc:Fallback>
        </mc:AlternateContent>
      </w:r>
      <w:r>
        <w:rPr>
          <w:rFonts w:ascii="Arial MT"/>
          <w:spacing w:val="-10"/>
          <w:position w:val="3"/>
          <w:sz w:val="20"/>
        </w:rPr>
        <w:t>H</w:t>
      </w:r>
      <w:r>
        <w:rPr>
          <w:rFonts w:ascii="Arial MT"/>
          <w:position w:val="3"/>
          <w:sz w:val="20"/>
        </w:rPr>
        <w:tab/>
      </w:r>
      <w:r>
        <w:rPr>
          <w:rFonts w:ascii="Arial MT"/>
          <w:spacing w:val="-10"/>
          <w:sz w:val="20"/>
        </w:rPr>
        <w:t>H</w:t>
      </w:r>
      <w:r>
        <w:rPr>
          <w:rFonts w:ascii="Arial MT"/>
          <w:sz w:val="20"/>
        </w:rPr>
        <w:tab/>
      </w:r>
      <w:r>
        <w:rPr>
          <w:rFonts w:ascii="Arial MT"/>
          <w:spacing w:val="-10"/>
          <w:sz w:val="20"/>
        </w:rPr>
        <w:t>H</w:t>
      </w:r>
      <w:r>
        <w:rPr>
          <w:rFonts w:ascii="Arial MT"/>
          <w:sz w:val="20"/>
        </w:rPr>
        <w:tab/>
      </w:r>
      <w:r>
        <w:rPr>
          <w:rFonts w:ascii="Arial MT"/>
          <w:spacing w:val="-10"/>
          <w:sz w:val="20"/>
        </w:rPr>
        <w:t>O</w:t>
      </w:r>
    </w:p>
    <w:p>
      <w:pPr>
        <w:tabs>
          <w:tab w:pos="5263" w:val="left" w:leader="none"/>
          <w:tab w:pos="5864" w:val="left" w:leader="none"/>
          <w:tab w:pos="6465" w:val="left" w:leader="none"/>
          <w:tab w:pos="7068" w:val="left" w:leader="none"/>
        </w:tabs>
        <w:spacing w:line="332" w:lineRule="exact" w:before="215"/>
        <w:ind w:left="4539" w:right="0" w:firstLine="0"/>
        <w:jc w:val="left"/>
        <w:rPr>
          <w:rFonts w:ascii="Arial MT"/>
          <w:sz w:val="20"/>
        </w:rPr>
      </w:pPr>
      <w:r>
        <w:rPr/>
        <mc:AlternateContent>
          <mc:Choice Requires="wps">
            <w:drawing>
              <wp:anchor distT="0" distB="0" distL="0" distR="0" allowOverlap="1" layoutInCell="1" locked="0" behindDoc="0" simplePos="0" relativeHeight="15783424">
                <wp:simplePos x="0" y="0"/>
                <wp:positionH relativeFrom="page">
                  <wp:posOffset>2485928</wp:posOffset>
                </wp:positionH>
                <wp:positionV relativeFrom="paragraph">
                  <wp:posOffset>90041</wp:posOffset>
                </wp:positionV>
                <wp:extent cx="1321435" cy="1090930"/>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1321435" cy="1090930"/>
                          <a:chExt cx="1321435" cy="1090930"/>
                        </a:xfrm>
                      </wpg:grpSpPr>
                      <wps:wsp>
                        <wps:cNvPr id="174" name="Graphic 174"/>
                        <wps:cNvSpPr/>
                        <wps:spPr>
                          <a:xfrm>
                            <a:off x="6137" y="6139"/>
                            <a:ext cx="1315085" cy="1084580"/>
                          </a:xfrm>
                          <a:custGeom>
                            <a:avLst/>
                            <a:gdLst/>
                            <a:ahLst/>
                            <a:cxnLst/>
                            <a:rect l="l" t="t" r="r" b="b"/>
                            <a:pathLst>
                              <a:path w="1315085" h="1084580">
                                <a:moveTo>
                                  <a:pt x="331462" y="192232"/>
                                </a:moveTo>
                                <a:lnTo>
                                  <a:pt x="331462" y="576886"/>
                                </a:lnTo>
                              </a:path>
                              <a:path w="1315085" h="1084580">
                                <a:moveTo>
                                  <a:pt x="377158" y="220046"/>
                                </a:moveTo>
                                <a:lnTo>
                                  <a:pt x="377158" y="550714"/>
                                </a:lnTo>
                              </a:path>
                              <a:path w="1315085" h="1084580">
                                <a:moveTo>
                                  <a:pt x="331462" y="576886"/>
                                </a:moveTo>
                                <a:lnTo>
                                  <a:pt x="662696" y="769108"/>
                                </a:lnTo>
                              </a:path>
                              <a:path w="1315085" h="1084580">
                                <a:moveTo>
                                  <a:pt x="662696" y="769108"/>
                                </a:moveTo>
                                <a:lnTo>
                                  <a:pt x="992542" y="576886"/>
                                </a:lnTo>
                              </a:path>
                              <a:path w="1315085" h="1084580">
                                <a:moveTo>
                                  <a:pt x="661308" y="716992"/>
                                </a:moveTo>
                                <a:lnTo>
                                  <a:pt x="946808" y="550714"/>
                                </a:lnTo>
                              </a:path>
                              <a:path w="1315085" h="1084580">
                                <a:moveTo>
                                  <a:pt x="992542" y="576886"/>
                                </a:moveTo>
                                <a:lnTo>
                                  <a:pt x="992542" y="192232"/>
                                </a:lnTo>
                              </a:path>
                              <a:path w="1315085" h="1084580">
                                <a:moveTo>
                                  <a:pt x="992542" y="192232"/>
                                </a:moveTo>
                                <a:lnTo>
                                  <a:pt x="662696" y="0"/>
                                </a:lnTo>
                              </a:path>
                              <a:path w="1315085" h="1084580">
                                <a:moveTo>
                                  <a:pt x="946808" y="220046"/>
                                </a:moveTo>
                                <a:lnTo>
                                  <a:pt x="661308" y="53730"/>
                                </a:lnTo>
                              </a:path>
                              <a:path w="1315085" h="1084580">
                                <a:moveTo>
                                  <a:pt x="662696" y="0"/>
                                </a:moveTo>
                                <a:lnTo>
                                  <a:pt x="331462" y="192232"/>
                                </a:lnTo>
                              </a:path>
                              <a:path w="1315085" h="1084580">
                                <a:moveTo>
                                  <a:pt x="992542" y="192232"/>
                                </a:moveTo>
                                <a:lnTo>
                                  <a:pt x="1314772" y="192232"/>
                                </a:lnTo>
                              </a:path>
                              <a:path w="1315085" h="1084580">
                                <a:moveTo>
                                  <a:pt x="662696" y="769108"/>
                                </a:moveTo>
                                <a:lnTo>
                                  <a:pt x="662696" y="1084530"/>
                                </a:lnTo>
                              </a:path>
                              <a:path w="1315085" h="1084580">
                                <a:moveTo>
                                  <a:pt x="331462" y="576886"/>
                                </a:moveTo>
                                <a:lnTo>
                                  <a:pt x="0" y="667667"/>
                                </a:lnTo>
                              </a:path>
                            </a:pathLst>
                          </a:custGeom>
                          <a:ln w="12284">
                            <a:solidFill>
                              <a:srgbClr val="000000"/>
                            </a:solidFill>
                            <a:prstDash val="solid"/>
                          </a:ln>
                        </wps:spPr>
                        <wps:bodyPr wrap="square" lIns="0" tIns="0" rIns="0" bIns="0" rtlCol="0">
                          <a:prstTxWarp prst="textNoShape">
                            <a:avLst/>
                          </a:prstTxWarp>
                          <a:noAutofit/>
                        </wps:bodyPr>
                      </wps:wsp>
                      <wps:wsp>
                        <wps:cNvPr id="175" name="Textbox 175"/>
                        <wps:cNvSpPr txBox="1"/>
                        <wps:spPr>
                          <a:xfrm>
                            <a:off x="458220" y="196591"/>
                            <a:ext cx="116839" cy="170815"/>
                          </a:xfrm>
                          <a:prstGeom prst="rect">
                            <a:avLst/>
                          </a:prstGeom>
                        </wps:spPr>
                        <wps:txbx>
                          <w:txbxContent>
                            <w:p>
                              <w:pPr>
                                <w:spacing w:line="268" w:lineRule="exact" w:before="0"/>
                                <w:ind w:left="0" w:right="0" w:firstLine="0"/>
                                <w:jc w:val="left"/>
                                <w:rPr>
                                  <w:sz w:val="24"/>
                                </w:rPr>
                              </w:pPr>
                              <w:r>
                                <w:rPr>
                                  <w:spacing w:val="-5"/>
                                  <w:sz w:val="24"/>
                                </w:rPr>
                                <w:t>5'</w:t>
                              </w:r>
                            </w:p>
                          </w:txbxContent>
                        </wps:txbx>
                        <wps:bodyPr wrap="square" lIns="0" tIns="0" rIns="0" bIns="0" rtlCol="0">
                          <a:noAutofit/>
                        </wps:bodyPr>
                      </wps:wsp>
                      <wps:wsp>
                        <wps:cNvPr id="176" name="Textbox 176"/>
                        <wps:cNvSpPr txBox="1"/>
                        <wps:spPr>
                          <a:xfrm>
                            <a:off x="592522" y="61136"/>
                            <a:ext cx="116839" cy="170815"/>
                          </a:xfrm>
                          <a:prstGeom prst="rect">
                            <a:avLst/>
                          </a:prstGeom>
                        </wps:spPr>
                        <wps:txbx>
                          <w:txbxContent>
                            <w:p>
                              <w:pPr>
                                <w:spacing w:line="268" w:lineRule="exact" w:before="0"/>
                                <w:ind w:left="0" w:right="0" w:firstLine="0"/>
                                <w:jc w:val="left"/>
                                <w:rPr>
                                  <w:sz w:val="24"/>
                                </w:rPr>
                              </w:pPr>
                              <w:r>
                                <w:rPr>
                                  <w:spacing w:val="-5"/>
                                  <w:sz w:val="24"/>
                                </w:rPr>
                                <w:t>6'</w:t>
                              </w:r>
                            </w:p>
                          </w:txbxContent>
                        </wps:txbx>
                        <wps:bodyPr wrap="square" lIns="0" tIns="0" rIns="0" bIns="0" rtlCol="0">
                          <a:noAutofit/>
                        </wps:bodyPr>
                      </wps:wsp>
                      <wps:wsp>
                        <wps:cNvPr id="177" name="Textbox 177"/>
                        <wps:cNvSpPr txBox="1"/>
                        <wps:spPr>
                          <a:xfrm>
                            <a:off x="458220" y="456669"/>
                            <a:ext cx="307975" cy="227329"/>
                          </a:xfrm>
                          <a:prstGeom prst="rect">
                            <a:avLst/>
                          </a:prstGeom>
                        </wps:spPr>
                        <wps:txbx>
                          <w:txbxContent>
                            <w:p>
                              <w:pPr>
                                <w:spacing w:line="230" w:lineRule="auto" w:before="0"/>
                                <w:ind w:left="0" w:right="0" w:firstLine="0"/>
                                <w:jc w:val="left"/>
                                <w:rPr>
                                  <w:sz w:val="24"/>
                                </w:rPr>
                              </w:pPr>
                              <w:r>
                                <w:rPr>
                                  <w:sz w:val="24"/>
                                </w:rPr>
                                <w:t>4'</w:t>
                              </w:r>
                              <w:r>
                                <w:rPr>
                                  <w:spacing w:val="75"/>
                                  <w:sz w:val="24"/>
                                </w:rPr>
                                <w:t> </w:t>
                              </w:r>
                              <w:r>
                                <w:rPr>
                                  <w:spacing w:val="-7"/>
                                  <w:position w:val="-8"/>
                                  <w:sz w:val="24"/>
                                </w:rPr>
                                <w:t>3'</w:t>
                              </w:r>
                            </w:p>
                          </w:txbxContent>
                        </wps:txbx>
                        <wps:bodyPr wrap="square" lIns="0" tIns="0" rIns="0" bIns="0" rtlCol="0">
                          <a:noAutofit/>
                        </wps:bodyPr>
                      </wps:wsp>
                      <wps:wsp>
                        <wps:cNvPr id="178" name="Textbox 178"/>
                        <wps:cNvSpPr txBox="1"/>
                        <wps:spPr>
                          <a:xfrm>
                            <a:off x="859766" y="187335"/>
                            <a:ext cx="135255" cy="363220"/>
                          </a:xfrm>
                          <a:prstGeom prst="rect">
                            <a:avLst/>
                          </a:prstGeom>
                        </wps:spPr>
                        <wps:txbx>
                          <w:txbxContent>
                            <w:p>
                              <w:pPr>
                                <w:spacing w:line="268" w:lineRule="exact" w:before="0"/>
                                <w:ind w:left="0" w:right="0" w:firstLine="0"/>
                                <w:jc w:val="left"/>
                                <w:rPr>
                                  <w:sz w:val="24"/>
                                </w:rPr>
                              </w:pPr>
                              <w:r>
                                <w:rPr>
                                  <w:spacing w:val="-5"/>
                                  <w:sz w:val="24"/>
                                </w:rPr>
                                <w:t>1'</w:t>
                              </w:r>
                            </w:p>
                            <w:p>
                              <w:pPr>
                                <w:spacing w:before="26"/>
                                <w:ind w:left="28" w:right="0" w:firstLine="0"/>
                                <w:jc w:val="left"/>
                                <w:rPr>
                                  <w:sz w:val="24"/>
                                </w:rPr>
                              </w:pPr>
                              <w:r>
                                <w:rPr>
                                  <w:spacing w:val="-5"/>
                                  <w:sz w:val="24"/>
                                </w:rPr>
                                <w:t>2'</w:t>
                              </w:r>
                            </w:p>
                          </w:txbxContent>
                        </wps:txbx>
                        <wps:bodyPr wrap="square" lIns="0" tIns="0" rIns="0" bIns="0" rtlCol="0">
                          <a:noAutofit/>
                        </wps:bodyPr>
                      </wps:wsp>
                    </wpg:wgp>
                  </a:graphicData>
                </a:graphic>
              </wp:anchor>
            </w:drawing>
          </mc:Choice>
          <mc:Fallback>
            <w:pict>
              <v:group style="position:absolute;margin-left:195.742371pt;margin-top:7.089867pt;width:104.05pt;height:85.9pt;mso-position-horizontal-relative:page;mso-position-vertical-relative:paragraph;z-index:15783424" id="docshapegroup95" coordorigin="3915,142" coordsize="2081,1718">
                <v:shape style="position:absolute;left:3924;top:151;width:2071;height:1708" id="docshape96" coordorigin="3925,151" coordsize="2071,1708" path="m4447,454l4447,1060m4518,498l4518,1019m4447,1060l4968,1363m4968,1363l5488,1060m4966,1281l5416,1019m5488,1060l5488,454m5488,454l4968,151m5416,498l4966,236m4968,151l4447,454m5488,454l5995,454m4968,1363l4968,1859m4447,1060l3925,1203e" filled="false" stroked="true" strokeweight=".967259pt" strokecolor="#000000">
                  <v:path arrowok="t"/>
                  <v:stroke dashstyle="solid"/>
                </v:shape>
                <v:shape style="position:absolute;left:4636;top:451;width:184;height:269" type="#_x0000_t202" id="docshape97" filled="false" stroked="false">
                  <v:textbox inset="0,0,0,0">
                    <w:txbxContent>
                      <w:p>
                        <w:pPr>
                          <w:spacing w:line="268" w:lineRule="exact" w:before="0"/>
                          <w:ind w:left="0" w:right="0" w:firstLine="0"/>
                          <w:jc w:val="left"/>
                          <w:rPr>
                            <w:sz w:val="24"/>
                          </w:rPr>
                        </w:pPr>
                        <w:r>
                          <w:rPr>
                            <w:spacing w:val="-5"/>
                            <w:sz w:val="24"/>
                          </w:rPr>
                          <w:t>5'</w:t>
                        </w:r>
                      </w:p>
                    </w:txbxContent>
                  </v:textbox>
                  <w10:wrap type="none"/>
                </v:shape>
                <v:shape style="position:absolute;left:4847;top:238;width:184;height:269" type="#_x0000_t202" id="docshape98" filled="false" stroked="false">
                  <v:textbox inset="0,0,0,0">
                    <w:txbxContent>
                      <w:p>
                        <w:pPr>
                          <w:spacing w:line="268" w:lineRule="exact" w:before="0"/>
                          <w:ind w:left="0" w:right="0" w:firstLine="0"/>
                          <w:jc w:val="left"/>
                          <w:rPr>
                            <w:sz w:val="24"/>
                          </w:rPr>
                        </w:pPr>
                        <w:r>
                          <w:rPr>
                            <w:spacing w:val="-5"/>
                            <w:sz w:val="24"/>
                          </w:rPr>
                          <w:t>6'</w:t>
                        </w:r>
                      </w:p>
                    </w:txbxContent>
                  </v:textbox>
                  <w10:wrap type="none"/>
                </v:shape>
                <v:shape style="position:absolute;left:4636;top:860;width:485;height:358" type="#_x0000_t202" id="docshape99" filled="false" stroked="false">
                  <v:textbox inset="0,0,0,0">
                    <w:txbxContent>
                      <w:p>
                        <w:pPr>
                          <w:spacing w:line="230" w:lineRule="auto" w:before="0"/>
                          <w:ind w:left="0" w:right="0" w:firstLine="0"/>
                          <w:jc w:val="left"/>
                          <w:rPr>
                            <w:sz w:val="24"/>
                          </w:rPr>
                        </w:pPr>
                        <w:r>
                          <w:rPr>
                            <w:sz w:val="24"/>
                          </w:rPr>
                          <w:t>4'</w:t>
                        </w:r>
                        <w:r>
                          <w:rPr>
                            <w:spacing w:val="75"/>
                            <w:sz w:val="24"/>
                          </w:rPr>
                          <w:t> </w:t>
                        </w:r>
                        <w:r>
                          <w:rPr>
                            <w:spacing w:val="-7"/>
                            <w:position w:val="-8"/>
                            <w:sz w:val="24"/>
                          </w:rPr>
                          <w:t>3'</w:t>
                        </w:r>
                      </w:p>
                    </w:txbxContent>
                  </v:textbox>
                  <w10:wrap type="none"/>
                </v:shape>
                <v:shape style="position:absolute;left:5268;top:436;width:213;height:572" type="#_x0000_t202" id="docshape100" filled="false" stroked="false">
                  <v:textbox inset="0,0,0,0">
                    <w:txbxContent>
                      <w:p>
                        <w:pPr>
                          <w:spacing w:line="268" w:lineRule="exact" w:before="0"/>
                          <w:ind w:left="0" w:right="0" w:firstLine="0"/>
                          <w:jc w:val="left"/>
                          <w:rPr>
                            <w:sz w:val="24"/>
                          </w:rPr>
                        </w:pPr>
                        <w:r>
                          <w:rPr>
                            <w:spacing w:val="-5"/>
                            <w:sz w:val="24"/>
                          </w:rPr>
                          <w:t>1'</w:t>
                        </w:r>
                      </w:p>
                      <w:p>
                        <w:pPr>
                          <w:spacing w:before="26"/>
                          <w:ind w:left="28" w:right="0" w:firstLine="0"/>
                          <w:jc w:val="left"/>
                          <w:rPr>
                            <w:sz w:val="24"/>
                          </w:rPr>
                        </w:pPr>
                        <w:r>
                          <w:rPr>
                            <w:spacing w:val="-5"/>
                            <w:sz w:val="24"/>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965952">
                <wp:simplePos x="0" y="0"/>
                <wp:positionH relativeFrom="page">
                  <wp:posOffset>3945942</wp:posOffset>
                </wp:positionH>
                <wp:positionV relativeFrom="paragraph">
                  <wp:posOffset>308538</wp:posOffset>
                </wp:positionV>
                <wp:extent cx="316230" cy="127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316230" cy="1270"/>
                        </a:xfrm>
                        <a:custGeom>
                          <a:avLst/>
                          <a:gdLst/>
                          <a:ahLst/>
                          <a:cxnLst/>
                          <a:rect l="l" t="t" r="r" b="b"/>
                          <a:pathLst>
                            <a:path w="316230" h="0">
                              <a:moveTo>
                                <a:pt x="0" y="0"/>
                              </a:moveTo>
                              <a:lnTo>
                                <a:pt x="315954" y="0"/>
                              </a:lnTo>
                            </a:path>
                          </a:pathLst>
                        </a:custGeom>
                        <a:ln w="1227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50528" from="310.704132pt,24.294338pt" to="335.582451pt,24.294338pt" stroked="true" strokeweight=".966486pt" strokecolor="#000000">
                <v:stroke dashstyle="solid"/>
                <w10:wrap type="none"/>
              </v:line>
            </w:pict>
          </mc:Fallback>
        </mc:AlternateContent>
      </w:r>
      <w:r>
        <w:rPr/>
        <mc:AlternateContent>
          <mc:Choice Requires="wps">
            <w:drawing>
              <wp:anchor distT="0" distB="0" distL="0" distR="0" allowOverlap="1" layoutInCell="1" locked="0" behindDoc="1" simplePos="0" relativeHeight="483968512">
                <wp:simplePos x="0" y="0"/>
                <wp:positionH relativeFrom="page">
                  <wp:posOffset>4391778</wp:posOffset>
                </wp:positionH>
                <wp:positionV relativeFrom="paragraph">
                  <wp:posOffset>308538</wp:posOffset>
                </wp:positionV>
                <wp:extent cx="252095" cy="127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252095" cy="1270"/>
                        </a:xfrm>
                        <a:custGeom>
                          <a:avLst/>
                          <a:gdLst/>
                          <a:ahLst/>
                          <a:cxnLst/>
                          <a:rect l="l" t="t" r="r" b="b"/>
                          <a:pathLst>
                            <a:path w="252095" h="0">
                              <a:moveTo>
                                <a:pt x="0" y="0"/>
                              </a:moveTo>
                              <a:lnTo>
                                <a:pt x="251869" y="0"/>
                              </a:lnTo>
                            </a:path>
                          </a:pathLst>
                        </a:custGeom>
                        <a:ln w="1227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47968" from="345.809296pt,24.294338pt" to="365.641576pt,24.294338pt" stroked="true" strokeweight=".966486pt" strokecolor="#000000">
                <v:stroke dashstyle="solid"/>
                <w10:wrap type="none"/>
              </v:line>
            </w:pict>
          </mc:Fallback>
        </mc:AlternateContent>
      </w:r>
      <w:r>
        <w:rPr/>
        <mc:AlternateContent>
          <mc:Choice Requires="wps">
            <w:drawing>
              <wp:anchor distT="0" distB="0" distL="0" distR="0" allowOverlap="1" layoutInCell="1" locked="0" behindDoc="1" simplePos="0" relativeHeight="483970048">
                <wp:simplePos x="0" y="0"/>
                <wp:positionH relativeFrom="page">
                  <wp:posOffset>4773623</wp:posOffset>
                </wp:positionH>
                <wp:positionV relativeFrom="paragraph">
                  <wp:posOffset>308538</wp:posOffset>
                </wp:positionV>
                <wp:extent cx="252095" cy="127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252095" cy="1270"/>
                        </a:xfrm>
                        <a:custGeom>
                          <a:avLst/>
                          <a:gdLst/>
                          <a:ahLst/>
                          <a:cxnLst/>
                          <a:rect l="l" t="t" r="r" b="b"/>
                          <a:pathLst>
                            <a:path w="252095" h="0">
                              <a:moveTo>
                                <a:pt x="0" y="0"/>
                              </a:moveTo>
                              <a:lnTo>
                                <a:pt x="251869" y="0"/>
                              </a:lnTo>
                            </a:path>
                          </a:pathLst>
                        </a:custGeom>
                        <a:ln w="1227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46432" from="375.875885pt,24.294338pt" to="395.708165pt,24.294338pt" stroked="true" strokeweight=".966486pt" strokecolor="#000000">
                <v:stroke dashstyle="solid"/>
                <w10:wrap type="none"/>
              </v:line>
            </w:pict>
          </mc:Fallback>
        </mc:AlternateContent>
      </w:r>
      <w:r>
        <w:rPr/>
        <mc:AlternateContent>
          <mc:Choice Requires="wps">
            <w:drawing>
              <wp:anchor distT="0" distB="0" distL="0" distR="0" allowOverlap="1" layoutInCell="1" locked="0" behindDoc="1" simplePos="0" relativeHeight="483971072">
                <wp:simplePos x="0" y="0"/>
                <wp:positionH relativeFrom="page">
                  <wp:posOffset>5155374</wp:posOffset>
                </wp:positionH>
                <wp:positionV relativeFrom="paragraph">
                  <wp:posOffset>308538</wp:posOffset>
                </wp:positionV>
                <wp:extent cx="258445" cy="127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258445" cy="1270"/>
                        </a:xfrm>
                        <a:custGeom>
                          <a:avLst/>
                          <a:gdLst/>
                          <a:ahLst/>
                          <a:cxnLst/>
                          <a:rect l="l" t="t" r="r" b="b"/>
                          <a:pathLst>
                            <a:path w="258445" h="0">
                              <a:moveTo>
                                <a:pt x="0" y="0"/>
                              </a:moveTo>
                              <a:lnTo>
                                <a:pt x="258145" y="0"/>
                              </a:lnTo>
                            </a:path>
                          </a:pathLst>
                        </a:custGeom>
                        <a:ln w="1227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45408" from="405.934998pt,24.294338pt" to="426.261401pt,24.294338pt" stroked="true" strokeweight=".966486pt" strokecolor="#000000">
                <v:stroke dashstyle="solid"/>
                <w10:wrap type="none"/>
              </v:line>
            </w:pict>
          </mc:Fallback>
        </mc:AlternateContent>
      </w:r>
      <w:r>
        <w:rPr/>
        <mc:AlternateContent>
          <mc:Choice Requires="wps">
            <w:drawing>
              <wp:anchor distT="0" distB="0" distL="0" distR="0" allowOverlap="1" layoutInCell="1" locked="0" behindDoc="1" simplePos="0" relativeHeight="483971584">
                <wp:simplePos x="0" y="0"/>
                <wp:positionH relativeFrom="page">
                  <wp:posOffset>5543210</wp:posOffset>
                </wp:positionH>
                <wp:positionV relativeFrom="paragraph">
                  <wp:posOffset>348370</wp:posOffset>
                </wp:positionV>
                <wp:extent cx="194310" cy="11430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194310" cy="114300"/>
                        </a:xfrm>
                        <a:custGeom>
                          <a:avLst/>
                          <a:gdLst/>
                          <a:ahLst/>
                          <a:cxnLst/>
                          <a:rect l="l" t="t" r="r" b="b"/>
                          <a:pathLst>
                            <a:path w="194310" h="114300">
                              <a:moveTo>
                                <a:pt x="0" y="0"/>
                              </a:moveTo>
                              <a:lnTo>
                                <a:pt x="193965" y="113943"/>
                              </a:lnTo>
                            </a:path>
                          </a:pathLst>
                        </a:custGeom>
                        <a:ln w="1227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44896" from="436.473267pt,27.430746pt" to="451.746144pt,36.402697pt" stroked="true" strokeweight=".966882pt" strokecolor="#000000">
                <v:stroke dashstyle="solid"/>
                <w10:wrap type="none"/>
              </v:line>
            </w:pict>
          </mc:Fallback>
        </mc:AlternateContent>
      </w:r>
      <w:r>
        <w:rPr>
          <w:rFonts w:ascii="Arial MT"/>
          <w:spacing w:val="-10"/>
          <w:position w:val="3"/>
          <w:sz w:val="20"/>
        </w:rPr>
        <w:t>N</w:t>
      </w:r>
      <w:r>
        <w:rPr>
          <w:rFonts w:ascii="Arial MT"/>
          <w:position w:val="3"/>
          <w:sz w:val="20"/>
        </w:rPr>
        <w:tab/>
      </w:r>
      <w:r>
        <w:rPr>
          <w:rFonts w:ascii="Arial MT"/>
          <w:spacing w:val="-10"/>
          <w:sz w:val="20"/>
        </w:rPr>
        <w:t>C</w:t>
      </w:r>
      <w:r>
        <w:rPr>
          <w:rFonts w:ascii="Arial MT"/>
          <w:sz w:val="20"/>
        </w:rPr>
        <w:tab/>
      </w:r>
      <w:r>
        <w:rPr>
          <w:rFonts w:ascii="Arial MT"/>
          <w:spacing w:val="-10"/>
          <w:sz w:val="20"/>
        </w:rPr>
        <w:t>C</w:t>
      </w:r>
      <w:r>
        <w:rPr>
          <w:rFonts w:ascii="Arial MT"/>
          <w:sz w:val="20"/>
        </w:rPr>
        <w:tab/>
      </w:r>
      <w:r>
        <w:rPr>
          <w:rFonts w:ascii="Arial MT"/>
          <w:spacing w:val="-10"/>
          <w:sz w:val="20"/>
        </w:rPr>
        <w:t>C</w:t>
      </w:r>
      <w:r>
        <w:rPr>
          <w:rFonts w:ascii="Arial MT"/>
          <w:sz w:val="20"/>
        </w:rPr>
        <w:tab/>
        <w:t>N</w:t>
      </w:r>
      <w:r>
        <w:rPr>
          <w:rFonts w:ascii="Arial MT"/>
          <w:spacing w:val="-35"/>
          <w:sz w:val="20"/>
        </w:rPr>
        <w:t> </w:t>
      </w:r>
      <w:r>
        <w:rPr>
          <w:rFonts w:ascii="Arial MT"/>
          <w:spacing w:val="-35"/>
          <w:position w:val="10"/>
          <w:sz w:val="20"/>
        </w:rPr>
        <w:drawing>
          <wp:inline distT="0" distB="0" distL="0" distR="0">
            <wp:extent cx="244273" cy="75308"/>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13" cstate="print"/>
                    <a:stretch>
                      <a:fillRect/>
                    </a:stretch>
                  </pic:blipFill>
                  <pic:spPr>
                    <a:xfrm>
                      <a:off x="0" y="0"/>
                      <a:ext cx="244273" cy="75308"/>
                    </a:xfrm>
                    <a:prstGeom prst="rect">
                      <a:avLst/>
                    </a:prstGeom>
                  </pic:spPr>
                </pic:pic>
              </a:graphicData>
            </a:graphic>
          </wp:inline>
        </w:drawing>
      </w:r>
      <w:r>
        <w:rPr>
          <w:rFonts w:ascii="Arial MT"/>
          <w:spacing w:val="-35"/>
          <w:position w:val="10"/>
          <w:sz w:val="20"/>
        </w:rPr>
      </w:r>
      <w:r>
        <w:rPr>
          <w:spacing w:val="12"/>
          <w:position w:val="16"/>
          <w:sz w:val="20"/>
        </w:rPr>
        <w:t> </w:t>
      </w:r>
      <w:r>
        <w:rPr>
          <w:rFonts w:ascii="Arial MT"/>
          <w:spacing w:val="-10"/>
          <w:position w:val="16"/>
          <w:sz w:val="20"/>
        </w:rPr>
        <w:t>H</w:t>
      </w:r>
    </w:p>
    <w:p>
      <w:pPr>
        <w:pStyle w:val="BodyText"/>
        <w:tabs>
          <w:tab w:pos="5756" w:val="left" w:leader="none"/>
          <w:tab w:pos="6537" w:val="left" w:leader="none"/>
          <w:tab w:pos="7588" w:val="left" w:leader="none"/>
        </w:tabs>
        <w:spacing w:line="177" w:lineRule="auto"/>
        <w:ind w:left="5080"/>
        <w:rPr>
          <w:rFonts w:ascii="Arial MT"/>
          <w:sz w:val="20"/>
        </w:rPr>
      </w:pPr>
      <w:r>
        <w:rPr/>
        <mc:AlternateContent>
          <mc:Choice Requires="wps">
            <w:drawing>
              <wp:anchor distT="0" distB="0" distL="0" distR="0" allowOverlap="1" layoutInCell="1" locked="0" behindDoc="0" simplePos="0" relativeHeight="15784960">
                <wp:simplePos x="0" y="0"/>
                <wp:positionH relativeFrom="page">
                  <wp:posOffset>3866359</wp:posOffset>
                </wp:positionH>
                <wp:positionV relativeFrom="paragraph">
                  <wp:posOffset>14995</wp:posOffset>
                </wp:positionV>
                <wp:extent cx="1270" cy="243204"/>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1270" cy="243204"/>
                        </a:xfrm>
                        <a:custGeom>
                          <a:avLst/>
                          <a:gdLst/>
                          <a:ahLst/>
                          <a:cxnLst/>
                          <a:rect l="l" t="t" r="r" b="b"/>
                          <a:pathLst>
                            <a:path w="0" h="243204">
                              <a:moveTo>
                                <a:pt x="0" y="0"/>
                              </a:moveTo>
                              <a:lnTo>
                                <a:pt x="0" y="243171"/>
                              </a:lnTo>
                            </a:path>
                          </a:pathLst>
                        </a:custGeom>
                        <a:ln w="1229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4960" from="304.437744pt,1.180722pt" to="304.437744pt,20.32806pt" stroked="true" strokeweight=".968031pt" strokecolor="#000000">
                <v:stroke dashstyle="solid"/>
                <w10:wrap type="none"/>
              </v:line>
            </w:pict>
          </mc:Fallback>
        </mc:AlternateContent>
      </w:r>
      <w:r>
        <w:rPr/>
        <mc:AlternateContent>
          <mc:Choice Requires="wps">
            <w:drawing>
              <wp:anchor distT="0" distB="0" distL="0" distR="0" allowOverlap="1" layoutInCell="1" locked="0" behindDoc="1" simplePos="0" relativeHeight="483968000">
                <wp:simplePos x="0" y="0"/>
                <wp:positionH relativeFrom="page">
                  <wp:posOffset>4327788</wp:posOffset>
                </wp:positionH>
                <wp:positionV relativeFrom="paragraph">
                  <wp:posOffset>36534</wp:posOffset>
                </wp:positionV>
                <wp:extent cx="1270" cy="241935"/>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1270" cy="241935"/>
                        </a:xfrm>
                        <a:custGeom>
                          <a:avLst/>
                          <a:gdLst/>
                          <a:ahLst/>
                          <a:cxnLst/>
                          <a:rect l="l" t="t" r="r" b="b"/>
                          <a:pathLst>
                            <a:path w="0" h="241935">
                              <a:moveTo>
                                <a:pt x="0" y="0"/>
                              </a:moveTo>
                              <a:lnTo>
                                <a:pt x="0" y="241547"/>
                              </a:lnTo>
                            </a:path>
                          </a:pathLst>
                        </a:custGeom>
                        <a:ln w="1229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48480" from="340.770721pt,2.876744pt" to="340.770721pt,21.896264pt" stroked="true" strokeweight=".968031pt" strokecolor="#000000">
                <v:stroke dashstyle="solid"/>
                <w10:wrap type="none"/>
              </v:line>
            </w:pict>
          </mc:Fallback>
        </mc:AlternateContent>
      </w:r>
      <w:r>
        <w:rPr/>
        <mc:AlternateContent>
          <mc:Choice Requires="wps">
            <w:drawing>
              <wp:anchor distT="0" distB="0" distL="0" distR="0" allowOverlap="1" layoutInCell="1" locked="0" behindDoc="1" simplePos="0" relativeHeight="483969536">
                <wp:simplePos x="0" y="0"/>
                <wp:positionH relativeFrom="page">
                  <wp:posOffset>4709538</wp:posOffset>
                </wp:positionH>
                <wp:positionV relativeFrom="paragraph">
                  <wp:posOffset>36534</wp:posOffset>
                </wp:positionV>
                <wp:extent cx="1270" cy="24193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1270" cy="241935"/>
                        </a:xfrm>
                        <a:custGeom>
                          <a:avLst/>
                          <a:gdLst/>
                          <a:ahLst/>
                          <a:cxnLst/>
                          <a:rect l="l" t="t" r="r" b="b"/>
                          <a:pathLst>
                            <a:path w="0" h="241935">
                              <a:moveTo>
                                <a:pt x="0" y="0"/>
                              </a:moveTo>
                              <a:lnTo>
                                <a:pt x="0" y="241547"/>
                              </a:lnTo>
                            </a:path>
                          </a:pathLst>
                        </a:custGeom>
                        <a:ln w="1229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46944" from="370.829834pt,2.876744pt" to="370.829834pt,21.896264pt" stroked="true" strokeweight=".968031pt" strokecolor="#000000">
                <v:stroke dashstyle="solid"/>
                <w10:wrap type="none"/>
              </v:line>
            </w:pict>
          </mc:Fallback>
        </mc:AlternateContent>
      </w:r>
      <w:r>
        <w:rPr>
          <w:spacing w:val="-10"/>
          <w:position w:val="-2"/>
        </w:rPr>
        <w:t>3</w:t>
      </w:r>
      <w:r>
        <w:rPr>
          <w:position w:val="-2"/>
        </w:rPr>
        <w:tab/>
      </w:r>
      <w:r>
        <w:rPr>
          <w:spacing w:val="-10"/>
        </w:rPr>
        <w:t>2</w:t>
      </w:r>
      <w:r>
        <w:rPr/>
        <w:tab/>
      </w:r>
      <w:r>
        <w:rPr>
          <w:spacing w:val="-10"/>
          <w:position w:val="-7"/>
        </w:rPr>
        <w:t>1</w:t>
      </w:r>
      <w:r>
        <w:rPr>
          <w:position w:val="-7"/>
        </w:rPr>
        <w:tab/>
      </w:r>
      <w:r>
        <w:rPr>
          <w:rFonts w:ascii="Arial MT"/>
          <w:spacing w:val="-10"/>
          <w:position w:val="-14"/>
          <w:sz w:val="20"/>
        </w:rPr>
        <w:t>H</w:t>
      </w:r>
    </w:p>
    <w:p>
      <w:pPr>
        <w:spacing w:after="0" w:line="177" w:lineRule="auto"/>
        <w:rPr>
          <w:rFonts w:ascii="Arial MT"/>
          <w:sz w:val="20"/>
        </w:rPr>
        <w:sectPr>
          <w:pgSz w:w="12240" w:h="15840"/>
          <w:pgMar w:header="0" w:footer="1066" w:top="1320" w:bottom="1260" w:left="1480" w:right="1160"/>
        </w:sectPr>
      </w:pPr>
    </w:p>
    <w:p>
      <w:pPr>
        <w:spacing w:before="215"/>
        <w:ind w:left="0" w:right="0" w:firstLine="0"/>
        <w:jc w:val="right"/>
        <w:rPr>
          <w:rFonts w:ascii="Arial MT"/>
          <w:sz w:val="20"/>
        </w:rPr>
      </w:pPr>
      <w:r>
        <w:rPr>
          <w:rFonts w:ascii="Arial MT"/>
          <w:spacing w:val="-5"/>
          <w:sz w:val="20"/>
        </w:rPr>
        <w:t>Cl</w:t>
      </w:r>
    </w:p>
    <w:p>
      <w:pPr>
        <w:tabs>
          <w:tab w:pos="2815" w:val="left" w:leader="none"/>
          <w:tab w:pos="3416" w:val="left" w:leader="none"/>
        </w:tabs>
        <w:spacing w:before="60"/>
        <w:ind w:left="2088" w:right="0" w:firstLine="0"/>
        <w:jc w:val="left"/>
        <w:rPr>
          <w:rFonts w:ascii="Arial MT"/>
          <w:sz w:val="20"/>
        </w:rPr>
      </w:pPr>
      <w:r>
        <w:rPr/>
        <w:br w:type="column"/>
      </w:r>
      <w:r>
        <w:rPr>
          <w:rFonts w:ascii="Arial MT"/>
          <w:spacing w:val="-10"/>
          <w:position w:val="3"/>
          <w:sz w:val="20"/>
        </w:rPr>
        <w:t>H</w:t>
      </w:r>
      <w:r>
        <w:rPr>
          <w:rFonts w:ascii="Arial MT"/>
          <w:position w:val="3"/>
          <w:sz w:val="20"/>
        </w:rPr>
        <w:tab/>
      </w:r>
      <w:r>
        <w:rPr>
          <w:rFonts w:ascii="Arial MT"/>
          <w:spacing w:val="-10"/>
          <w:sz w:val="20"/>
        </w:rPr>
        <w:t>H</w:t>
      </w:r>
      <w:r>
        <w:rPr>
          <w:rFonts w:ascii="Arial MT"/>
          <w:sz w:val="20"/>
        </w:rPr>
        <w:tab/>
      </w:r>
      <w:r>
        <w:rPr>
          <w:rFonts w:ascii="Arial MT"/>
          <w:spacing w:val="-10"/>
          <w:sz w:val="20"/>
        </w:rPr>
        <w:t>H</w:t>
      </w:r>
    </w:p>
    <w:p>
      <w:pPr>
        <w:spacing w:after="0"/>
        <w:jc w:val="left"/>
        <w:rPr>
          <w:rFonts w:ascii="Arial MT"/>
          <w:sz w:val="20"/>
        </w:rPr>
        <w:sectPr>
          <w:type w:val="continuous"/>
          <w:pgSz w:w="12240" w:h="15840"/>
          <w:pgMar w:header="0" w:footer="1066" w:top="1320" w:bottom="960" w:left="1480" w:right="1160"/>
          <w:cols w:num="2" w:equalWidth="0">
            <w:col w:w="2408" w:space="40"/>
            <w:col w:w="7152"/>
          </w:cols>
        </w:sectPr>
      </w:pPr>
    </w:p>
    <w:p>
      <w:pPr>
        <w:pStyle w:val="BodyText"/>
        <w:rPr>
          <w:rFonts w:ascii="Arial MT"/>
          <w:sz w:val="20"/>
        </w:rPr>
      </w:pPr>
    </w:p>
    <w:p>
      <w:pPr>
        <w:pStyle w:val="BodyText"/>
        <w:spacing w:before="64"/>
        <w:rPr>
          <w:rFonts w:ascii="Arial MT"/>
          <w:sz w:val="20"/>
        </w:rPr>
      </w:pPr>
    </w:p>
    <w:p>
      <w:pPr>
        <w:spacing w:before="0"/>
        <w:ind w:left="2990" w:right="5571" w:firstLine="0"/>
        <w:jc w:val="center"/>
        <w:rPr>
          <w:rFonts w:ascii="Arial MT"/>
          <w:sz w:val="20"/>
        </w:rPr>
      </w:pPr>
      <w:r>
        <w:rPr>
          <w:rFonts w:ascii="Arial MT"/>
          <w:spacing w:val="-5"/>
          <w:sz w:val="20"/>
        </w:rPr>
        <w:t>Cl</w:t>
      </w:r>
    </w:p>
    <w:p>
      <w:pPr>
        <w:spacing w:after="0"/>
        <w:jc w:val="center"/>
        <w:rPr>
          <w:rFonts w:ascii="Arial MT"/>
          <w:sz w:val="20"/>
        </w:rPr>
        <w:sectPr>
          <w:type w:val="continuous"/>
          <w:pgSz w:w="12240" w:h="15840"/>
          <w:pgMar w:header="0" w:footer="1066" w:top="1320" w:bottom="960" w:left="1480" w:right="1160"/>
        </w:sectPr>
      </w:pPr>
    </w:p>
    <w:p>
      <w:pPr>
        <w:pStyle w:val="Heading2"/>
        <w:numPr>
          <w:ilvl w:val="1"/>
          <w:numId w:val="14"/>
        </w:numPr>
        <w:tabs>
          <w:tab w:pos="1045" w:val="left" w:leader="none"/>
        </w:tabs>
        <w:spacing w:line="240" w:lineRule="auto" w:before="77" w:after="0"/>
        <w:ind w:left="1045" w:right="0" w:hanging="364"/>
        <w:jc w:val="both"/>
      </w:pPr>
      <w:bookmarkStart w:name="_TOC_250020" w:id="64"/>
      <w:r>
        <w:rPr/>
        <w:t>Toxicity</w:t>
      </w:r>
      <w:r>
        <w:rPr>
          <w:spacing w:val="-4"/>
        </w:rPr>
        <w:t> </w:t>
      </w:r>
      <w:bookmarkEnd w:id="64"/>
      <w:r>
        <w:rPr>
          <w:spacing w:val="-2"/>
        </w:rPr>
        <w:t>Study</w:t>
      </w:r>
    </w:p>
    <w:p>
      <w:pPr>
        <w:pStyle w:val="ListParagraph"/>
        <w:numPr>
          <w:ilvl w:val="2"/>
          <w:numId w:val="14"/>
        </w:numPr>
        <w:tabs>
          <w:tab w:pos="1260" w:val="left" w:leader="none"/>
        </w:tabs>
        <w:spacing w:line="480" w:lineRule="auto" w:before="271" w:after="0"/>
        <w:ind w:left="681" w:right="275" w:firstLine="0"/>
        <w:jc w:val="both"/>
        <w:rPr>
          <w:sz w:val="24"/>
        </w:rPr>
      </w:pPr>
      <w:r>
        <w:rPr>
          <w:b/>
          <w:sz w:val="24"/>
        </w:rPr>
        <w:t>Acute Toxicity Study: </w:t>
      </w:r>
      <w:r>
        <w:rPr>
          <w:sz w:val="24"/>
        </w:rPr>
        <w:t>Species differences and route of administration were the determinant of the median lethal dose for the test compounds. The values were 177.48 mg/kg (i.p) and 471 mg/kg (p.o.) in mice;</w:t>
      </w:r>
      <w:r>
        <w:rPr>
          <w:spacing w:val="-1"/>
          <w:sz w:val="24"/>
        </w:rPr>
        <w:t> </w:t>
      </w:r>
      <w:r>
        <w:rPr>
          <w:sz w:val="24"/>
        </w:rPr>
        <w:t>288.53 mg/kg (i.p.) and 471.17 mg/kg (p.o.) in rats. However, the value for oral DCP34 in rats was 774.59 mg/kg and was higher than the other values.</w:t>
      </w:r>
    </w:p>
    <w:p>
      <w:pPr>
        <w:pStyle w:val="BodyText"/>
      </w:pPr>
    </w:p>
    <w:p>
      <w:pPr>
        <w:pStyle w:val="BodyText"/>
        <w:spacing w:before="6"/>
      </w:pPr>
    </w:p>
    <w:p>
      <w:pPr>
        <w:pStyle w:val="Heading2"/>
        <w:spacing w:line="480" w:lineRule="auto"/>
        <w:jc w:val="left"/>
      </w:pPr>
      <w:r>
        <w:rPr/>
        <w:t>Table</w:t>
      </w:r>
      <w:r>
        <w:rPr>
          <w:spacing w:val="80"/>
          <w:w w:val="150"/>
        </w:rPr>
        <w:t> </w:t>
      </w:r>
      <w:r>
        <w:rPr/>
        <w:t>4.8:</w:t>
      </w:r>
      <w:r>
        <w:rPr>
          <w:spacing w:val="80"/>
          <w:w w:val="150"/>
        </w:rPr>
        <w:t> </w:t>
      </w:r>
      <w:r>
        <w:rPr/>
        <w:t>LD</w:t>
      </w:r>
      <w:r>
        <w:rPr>
          <w:vertAlign w:val="subscript"/>
        </w:rPr>
        <w:t>50</w:t>
      </w:r>
      <w:r>
        <w:rPr>
          <w:spacing w:val="80"/>
          <w:w w:val="150"/>
          <w:vertAlign w:val="baseline"/>
        </w:rPr>
        <w:t> </w:t>
      </w:r>
      <w:r>
        <w:rPr>
          <w:vertAlign w:val="baseline"/>
        </w:rPr>
        <w:t>Values</w:t>
      </w:r>
      <w:r>
        <w:rPr>
          <w:spacing w:val="80"/>
          <w:w w:val="150"/>
          <w:vertAlign w:val="baseline"/>
        </w:rPr>
        <w:t> </w:t>
      </w:r>
      <w:r>
        <w:rPr>
          <w:vertAlign w:val="baseline"/>
        </w:rPr>
        <w:t>of</w:t>
      </w:r>
      <w:r>
        <w:rPr>
          <w:spacing w:val="80"/>
          <w:w w:val="150"/>
          <w:vertAlign w:val="baseline"/>
        </w:rPr>
        <w:t> </w:t>
      </w:r>
      <w:r>
        <w:rPr>
          <w:vertAlign w:val="baseline"/>
        </w:rPr>
        <w:t>2,3-,</w:t>
      </w:r>
      <w:r>
        <w:rPr>
          <w:spacing w:val="80"/>
          <w:w w:val="150"/>
          <w:vertAlign w:val="baseline"/>
        </w:rPr>
        <w:t> </w:t>
      </w:r>
      <w:r>
        <w:rPr>
          <w:vertAlign w:val="baseline"/>
        </w:rPr>
        <w:t>2,5-</w:t>
      </w:r>
      <w:r>
        <w:rPr>
          <w:spacing w:val="80"/>
          <w:w w:val="150"/>
          <w:vertAlign w:val="baseline"/>
        </w:rPr>
        <w:t> </w:t>
      </w:r>
      <w:r>
        <w:rPr>
          <w:vertAlign w:val="baseline"/>
        </w:rPr>
        <w:t>and</w:t>
      </w:r>
      <w:r>
        <w:rPr>
          <w:spacing w:val="80"/>
          <w:w w:val="150"/>
          <w:vertAlign w:val="baseline"/>
        </w:rPr>
        <w:t> </w:t>
      </w:r>
      <w:r>
        <w:rPr>
          <w:vertAlign w:val="baseline"/>
        </w:rPr>
        <w:t>3,4-</w:t>
      </w:r>
      <w:r>
        <w:rPr>
          <w:spacing w:val="80"/>
          <w:w w:val="150"/>
          <w:vertAlign w:val="baseline"/>
        </w:rPr>
        <w:t> </w:t>
      </w:r>
      <w:r>
        <w:rPr>
          <w:vertAlign w:val="baseline"/>
        </w:rPr>
        <w:t>Dichloro</w:t>
      </w:r>
      <w:r>
        <w:rPr>
          <w:spacing w:val="80"/>
          <w:w w:val="150"/>
          <w:vertAlign w:val="baseline"/>
        </w:rPr>
        <w:t> </w:t>
      </w:r>
      <w:r>
        <w:rPr>
          <w:vertAlign w:val="baseline"/>
        </w:rPr>
        <w:t>–</w:t>
      </w:r>
      <w:r>
        <w:rPr>
          <w:spacing w:val="80"/>
          <w:w w:val="150"/>
          <w:vertAlign w:val="baseline"/>
        </w:rPr>
        <w:t> </w:t>
      </w:r>
      <w:r>
        <w:rPr>
          <w:vertAlign w:val="baseline"/>
        </w:rPr>
        <w:t>3(aminophenyl) Propanamides in Mice and Rats via Intraperitoneal and Oral Routes</w:t>
      </w:r>
    </w:p>
    <w:p>
      <w:pPr>
        <w:pStyle w:val="BodyText"/>
        <w:rPr>
          <w:b/>
          <w:sz w:val="20"/>
        </w:rPr>
      </w:pPr>
      <w:r>
        <w:rPr/>
        <mc:AlternateContent>
          <mc:Choice Requires="wps">
            <w:drawing>
              <wp:anchor distT="0" distB="0" distL="0" distR="0" allowOverlap="1" layoutInCell="1" locked="0" behindDoc="1" simplePos="0" relativeHeight="487649280">
                <wp:simplePos x="0" y="0"/>
                <wp:positionH relativeFrom="page">
                  <wp:posOffset>1371600</wp:posOffset>
                </wp:positionH>
                <wp:positionV relativeFrom="paragraph">
                  <wp:posOffset>161543</wp:posOffset>
                </wp:positionV>
                <wp:extent cx="5486400" cy="1270"/>
                <wp:effectExtent l="0" t="0" r="0" b="0"/>
                <wp:wrapTopAndBottom/>
                <wp:docPr id="188" name="Graphic 188"/>
                <wp:cNvGraphicFramePr>
                  <a:graphicFrameLocks/>
                </wp:cNvGraphicFramePr>
                <a:graphic>
                  <a:graphicData uri="http://schemas.microsoft.com/office/word/2010/wordprocessingShape">
                    <wps:wsp>
                      <wps:cNvPr id="188" name="Graphic 188"/>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2.719922pt;width:432pt;height:.1pt;mso-position-horizontal-relative:page;mso-position-vertical-relative:paragraph;z-index:-15667200;mso-wrap-distance-left:0;mso-wrap-distance-right:0" id="docshape101" coordorigin="2160,254" coordsize="8640,0" path="m2160,254l10800,254e" filled="false" stroked="true" strokeweight=".75pt" strokecolor="#000000">
                <v:path arrowok="t"/>
                <v:stroke dashstyle="solid"/>
                <w10:wrap type="topAndBottom"/>
              </v:shape>
            </w:pict>
          </mc:Fallback>
        </mc:AlternateContent>
      </w:r>
    </w:p>
    <w:p>
      <w:pPr>
        <w:pStyle w:val="BodyText"/>
        <w:spacing w:before="10"/>
        <w:rPr>
          <w:b/>
        </w:rPr>
      </w:pPr>
    </w:p>
    <w:p>
      <w:pPr>
        <w:pStyle w:val="BodyText"/>
        <w:tabs>
          <w:tab w:pos="3806" w:val="left" w:leader="none"/>
          <w:tab w:pos="7163" w:val="left" w:leader="none"/>
        </w:tabs>
        <w:ind w:left="681"/>
      </w:pPr>
      <w:r>
        <w:rPr>
          <w:spacing w:val="-2"/>
        </w:rPr>
        <w:t>Compound</w:t>
      </w:r>
      <w:r>
        <w:rPr/>
        <w:tab/>
      </w:r>
      <w:r>
        <w:rPr>
          <w:spacing w:val="-4"/>
        </w:rPr>
        <w:t>Mice</w:t>
      </w:r>
      <w:r>
        <w:rPr/>
        <w:tab/>
      </w:r>
      <w:r>
        <w:rPr>
          <w:spacing w:val="-4"/>
        </w:rPr>
        <w:t>Rats</w:t>
      </w:r>
    </w:p>
    <w:p>
      <w:pPr>
        <w:pStyle w:val="BodyText"/>
        <w:spacing w:before="2"/>
        <w:rPr>
          <w:sz w:val="16"/>
        </w:rPr>
      </w:pPr>
      <w:r>
        <w:rPr/>
        <mc:AlternateContent>
          <mc:Choice Requires="wps">
            <w:drawing>
              <wp:anchor distT="0" distB="0" distL="0" distR="0" allowOverlap="1" layoutInCell="1" locked="0" behindDoc="1" simplePos="0" relativeHeight="487649792">
                <wp:simplePos x="0" y="0"/>
                <wp:positionH relativeFrom="page">
                  <wp:posOffset>1371600</wp:posOffset>
                </wp:positionH>
                <wp:positionV relativeFrom="paragraph">
                  <wp:posOffset>133697</wp:posOffset>
                </wp:positionV>
                <wp:extent cx="5486400" cy="1270"/>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0.527344pt;width:432pt;height:.1pt;mso-position-horizontal-relative:page;mso-position-vertical-relative:paragraph;z-index:-15666688;mso-wrap-distance-left:0;mso-wrap-distance-right:0" id="docshape102" coordorigin="2160,211" coordsize="8640,0" path="m2160,211l10800,211e" filled="false" stroked="true" strokeweight=".75pt" strokecolor="#000000">
                <v:path arrowok="t"/>
                <v:stroke dashstyle="solid"/>
                <w10:wrap type="topAndBottom"/>
              </v:shape>
            </w:pict>
          </mc:Fallback>
        </mc:AlternateContent>
      </w:r>
    </w:p>
    <w:p>
      <w:pPr>
        <w:pStyle w:val="BodyText"/>
        <w:tabs>
          <w:tab w:pos="3561" w:val="left" w:leader="none"/>
          <w:tab w:pos="5722" w:val="left" w:leader="none"/>
          <w:tab w:pos="7163" w:val="left" w:leader="none"/>
        </w:tabs>
        <w:spacing w:before="59"/>
        <w:ind w:left="2121"/>
      </w:pPr>
      <w:r>
        <w:rPr/>
        <w:t>i.p.</w:t>
      </w:r>
      <w:r>
        <w:rPr>
          <w:spacing w:val="-4"/>
        </w:rPr>
        <w:t> </w:t>
      </w:r>
      <w:r>
        <w:rPr>
          <w:spacing w:val="-2"/>
        </w:rPr>
        <w:t>(mg/kg)</w:t>
      </w:r>
      <w:r>
        <w:rPr/>
        <w:tab/>
        <w:t>p.o. </w:t>
      </w:r>
      <w:r>
        <w:rPr>
          <w:spacing w:val="-2"/>
        </w:rPr>
        <w:t>(mg/kg)</w:t>
      </w:r>
      <w:r>
        <w:rPr/>
        <w:tab/>
        <w:t>i.p.</w:t>
      </w:r>
      <w:r>
        <w:rPr>
          <w:spacing w:val="-4"/>
        </w:rPr>
        <w:t> </w:t>
      </w:r>
      <w:r>
        <w:rPr>
          <w:spacing w:val="-2"/>
        </w:rPr>
        <w:t>(mg/kg)</w:t>
      </w:r>
      <w:r>
        <w:rPr/>
        <w:tab/>
        <w:t>p.o.</w:t>
      </w:r>
      <w:r>
        <w:rPr>
          <w:spacing w:val="-2"/>
        </w:rPr>
        <w:t> (mg/kg)</w:t>
      </w:r>
    </w:p>
    <w:p>
      <w:pPr>
        <w:pStyle w:val="BodyText"/>
        <w:spacing w:before="122"/>
        <w:rPr>
          <w:sz w:val="20"/>
        </w:rPr>
      </w:pPr>
      <w:r>
        <w:rPr/>
        <mc:AlternateContent>
          <mc:Choice Requires="wps">
            <w:drawing>
              <wp:anchor distT="0" distB="0" distL="0" distR="0" allowOverlap="1" layoutInCell="1" locked="0" behindDoc="1" simplePos="0" relativeHeight="487650304">
                <wp:simplePos x="0" y="0"/>
                <wp:positionH relativeFrom="page">
                  <wp:posOffset>2286000</wp:posOffset>
                </wp:positionH>
                <wp:positionV relativeFrom="paragraph">
                  <wp:posOffset>239092</wp:posOffset>
                </wp:positionV>
                <wp:extent cx="4000500" cy="127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4000500" cy="1270"/>
                        </a:xfrm>
                        <a:custGeom>
                          <a:avLst/>
                          <a:gdLst/>
                          <a:ahLst/>
                          <a:cxnLst/>
                          <a:rect l="l" t="t" r="r" b="b"/>
                          <a:pathLst>
                            <a:path w="4000500" h="0">
                              <a:moveTo>
                                <a:pt x="0" y="0"/>
                              </a:moveTo>
                              <a:lnTo>
                                <a:pt x="40005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0pt;margin-top:18.826172pt;width:315pt;height:.1pt;mso-position-horizontal-relative:page;mso-position-vertical-relative:paragraph;z-index:-15666176;mso-wrap-distance-left:0;mso-wrap-distance-right:0" id="docshape103" coordorigin="3600,377" coordsize="6300,0" path="m3600,377l9900,377e" filled="false" stroked="true" strokeweight=".75pt" strokecolor="#000000">
                <v:path arrowok="t"/>
                <v:stroke dashstyle="solid"/>
                <w10:wrap type="topAndBottom"/>
              </v:shape>
            </w:pict>
          </mc:Fallback>
        </mc:AlternateContent>
      </w:r>
    </w:p>
    <w:p>
      <w:pPr>
        <w:pStyle w:val="BodyText"/>
        <w:spacing w:before="224"/>
        <w:rPr>
          <w:sz w:val="20"/>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8"/>
        <w:gridCol w:w="1394"/>
        <w:gridCol w:w="1808"/>
        <w:gridCol w:w="557"/>
        <w:gridCol w:w="1117"/>
        <w:gridCol w:w="2894"/>
      </w:tblGrid>
      <w:tr>
        <w:trPr>
          <w:trHeight w:val="409" w:hRule="atLeast"/>
        </w:trPr>
        <w:tc>
          <w:tcPr>
            <w:tcW w:w="868" w:type="dxa"/>
          </w:tcPr>
          <w:p>
            <w:pPr>
              <w:pStyle w:val="TableParagraph"/>
              <w:spacing w:line="266" w:lineRule="exact"/>
              <w:ind w:right="158"/>
              <w:jc w:val="center"/>
              <w:rPr>
                <w:sz w:val="24"/>
              </w:rPr>
            </w:pPr>
            <w:r>
              <w:rPr>
                <w:spacing w:val="-2"/>
                <w:sz w:val="24"/>
              </w:rPr>
              <w:t>DCP23</w:t>
            </w:r>
          </w:p>
        </w:tc>
        <w:tc>
          <w:tcPr>
            <w:tcW w:w="1394" w:type="dxa"/>
          </w:tcPr>
          <w:p>
            <w:pPr>
              <w:pStyle w:val="TableParagraph"/>
              <w:spacing w:line="266" w:lineRule="exact"/>
              <w:ind w:right="156"/>
              <w:jc w:val="right"/>
              <w:rPr>
                <w:sz w:val="24"/>
              </w:rPr>
            </w:pPr>
            <w:r>
              <w:rPr>
                <w:spacing w:val="-2"/>
                <w:sz w:val="24"/>
              </w:rPr>
              <w:t>177.48</w:t>
            </w:r>
          </w:p>
        </w:tc>
        <w:tc>
          <w:tcPr>
            <w:tcW w:w="1808" w:type="dxa"/>
          </w:tcPr>
          <w:p>
            <w:pPr>
              <w:pStyle w:val="TableParagraph"/>
              <w:spacing w:line="266" w:lineRule="exact"/>
              <w:ind w:left="94"/>
              <w:jc w:val="center"/>
              <w:rPr>
                <w:sz w:val="24"/>
              </w:rPr>
            </w:pPr>
            <w:r>
              <w:rPr>
                <w:spacing w:val="-2"/>
                <w:sz w:val="24"/>
              </w:rPr>
              <w:t>471.17</w:t>
            </w:r>
          </w:p>
        </w:tc>
        <w:tc>
          <w:tcPr>
            <w:tcW w:w="557" w:type="dxa"/>
          </w:tcPr>
          <w:p>
            <w:pPr>
              <w:pStyle w:val="TableParagraph"/>
              <w:rPr>
                <w:sz w:val="22"/>
              </w:rPr>
            </w:pPr>
          </w:p>
        </w:tc>
        <w:tc>
          <w:tcPr>
            <w:tcW w:w="1117" w:type="dxa"/>
          </w:tcPr>
          <w:p>
            <w:pPr>
              <w:pStyle w:val="TableParagraph"/>
              <w:spacing w:line="266" w:lineRule="exact"/>
              <w:ind w:right="37"/>
              <w:jc w:val="right"/>
              <w:rPr>
                <w:sz w:val="24"/>
              </w:rPr>
            </w:pPr>
            <w:r>
              <w:rPr>
                <w:spacing w:val="-2"/>
                <w:sz w:val="24"/>
              </w:rPr>
              <w:t>288.53</w:t>
            </w:r>
          </w:p>
        </w:tc>
        <w:tc>
          <w:tcPr>
            <w:tcW w:w="2894" w:type="dxa"/>
          </w:tcPr>
          <w:p>
            <w:pPr>
              <w:pStyle w:val="TableParagraph"/>
              <w:spacing w:line="266" w:lineRule="exact"/>
              <w:ind w:left="739"/>
              <w:rPr>
                <w:sz w:val="24"/>
              </w:rPr>
            </w:pPr>
            <w:r>
              <w:rPr>
                <w:spacing w:val="-2"/>
                <w:sz w:val="24"/>
              </w:rPr>
              <w:t>471.17</w:t>
            </w:r>
          </w:p>
        </w:tc>
      </w:tr>
      <w:tr>
        <w:trPr>
          <w:trHeight w:val="552" w:hRule="atLeast"/>
        </w:trPr>
        <w:tc>
          <w:tcPr>
            <w:tcW w:w="868" w:type="dxa"/>
          </w:tcPr>
          <w:p>
            <w:pPr>
              <w:pStyle w:val="TableParagraph"/>
              <w:spacing w:before="133"/>
              <w:ind w:right="158"/>
              <w:jc w:val="center"/>
              <w:rPr>
                <w:sz w:val="24"/>
              </w:rPr>
            </w:pPr>
            <w:r>
              <w:rPr>
                <w:spacing w:val="-2"/>
                <w:sz w:val="24"/>
              </w:rPr>
              <w:t>DCP25</w:t>
            </w:r>
          </w:p>
        </w:tc>
        <w:tc>
          <w:tcPr>
            <w:tcW w:w="1394" w:type="dxa"/>
          </w:tcPr>
          <w:p>
            <w:pPr>
              <w:pStyle w:val="TableParagraph"/>
              <w:spacing w:before="133"/>
              <w:ind w:right="156"/>
              <w:jc w:val="right"/>
              <w:rPr>
                <w:sz w:val="24"/>
              </w:rPr>
            </w:pPr>
            <w:r>
              <w:rPr>
                <w:spacing w:val="-2"/>
                <w:sz w:val="24"/>
              </w:rPr>
              <w:t>177.48</w:t>
            </w:r>
          </w:p>
        </w:tc>
        <w:tc>
          <w:tcPr>
            <w:tcW w:w="1808" w:type="dxa"/>
          </w:tcPr>
          <w:p>
            <w:pPr>
              <w:pStyle w:val="TableParagraph"/>
              <w:spacing w:before="133"/>
              <w:ind w:left="94"/>
              <w:jc w:val="center"/>
              <w:rPr>
                <w:sz w:val="24"/>
              </w:rPr>
            </w:pPr>
            <w:r>
              <w:rPr>
                <w:spacing w:val="-2"/>
                <w:sz w:val="24"/>
              </w:rPr>
              <w:t>471.17</w:t>
            </w:r>
          </w:p>
        </w:tc>
        <w:tc>
          <w:tcPr>
            <w:tcW w:w="557" w:type="dxa"/>
          </w:tcPr>
          <w:p>
            <w:pPr>
              <w:pStyle w:val="TableParagraph"/>
              <w:rPr>
                <w:sz w:val="22"/>
              </w:rPr>
            </w:pPr>
          </w:p>
        </w:tc>
        <w:tc>
          <w:tcPr>
            <w:tcW w:w="1117" w:type="dxa"/>
          </w:tcPr>
          <w:p>
            <w:pPr>
              <w:pStyle w:val="TableParagraph"/>
              <w:spacing w:before="133"/>
              <w:ind w:right="37"/>
              <w:jc w:val="right"/>
              <w:rPr>
                <w:sz w:val="24"/>
              </w:rPr>
            </w:pPr>
            <w:r>
              <w:rPr>
                <w:spacing w:val="-2"/>
                <w:sz w:val="24"/>
              </w:rPr>
              <w:t>288.53</w:t>
            </w:r>
          </w:p>
        </w:tc>
        <w:tc>
          <w:tcPr>
            <w:tcW w:w="2894" w:type="dxa"/>
          </w:tcPr>
          <w:p>
            <w:pPr>
              <w:pStyle w:val="TableParagraph"/>
              <w:spacing w:before="133"/>
              <w:ind w:left="739"/>
              <w:rPr>
                <w:sz w:val="24"/>
              </w:rPr>
            </w:pPr>
            <w:r>
              <w:rPr>
                <w:spacing w:val="-2"/>
                <w:sz w:val="24"/>
              </w:rPr>
              <w:t>471.17</w:t>
            </w:r>
          </w:p>
        </w:tc>
      </w:tr>
      <w:tr>
        <w:trPr>
          <w:trHeight w:val="549" w:hRule="atLeast"/>
        </w:trPr>
        <w:tc>
          <w:tcPr>
            <w:tcW w:w="868" w:type="dxa"/>
            <w:tcBorders>
              <w:bottom w:val="single" w:sz="6" w:space="0" w:color="000000"/>
            </w:tcBorders>
          </w:tcPr>
          <w:p>
            <w:pPr>
              <w:pStyle w:val="TableParagraph"/>
              <w:spacing w:before="133"/>
              <w:ind w:right="158"/>
              <w:jc w:val="center"/>
              <w:rPr>
                <w:sz w:val="24"/>
              </w:rPr>
            </w:pPr>
            <w:r>
              <w:rPr>
                <w:spacing w:val="-2"/>
                <w:sz w:val="24"/>
              </w:rPr>
              <w:t>DCP34</w:t>
            </w:r>
          </w:p>
        </w:tc>
        <w:tc>
          <w:tcPr>
            <w:tcW w:w="1394" w:type="dxa"/>
            <w:tcBorders>
              <w:bottom w:val="single" w:sz="6" w:space="0" w:color="000000"/>
            </w:tcBorders>
          </w:tcPr>
          <w:p>
            <w:pPr>
              <w:pStyle w:val="TableParagraph"/>
              <w:spacing w:before="133"/>
              <w:ind w:right="156"/>
              <w:jc w:val="right"/>
              <w:rPr>
                <w:sz w:val="24"/>
              </w:rPr>
            </w:pPr>
            <w:r>
              <w:rPr>
                <w:spacing w:val="-2"/>
                <w:sz w:val="24"/>
              </w:rPr>
              <w:t>177.48</w:t>
            </w:r>
          </w:p>
        </w:tc>
        <w:tc>
          <w:tcPr>
            <w:tcW w:w="1808" w:type="dxa"/>
            <w:tcBorders>
              <w:bottom w:val="single" w:sz="6" w:space="0" w:color="000000"/>
            </w:tcBorders>
          </w:tcPr>
          <w:p>
            <w:pPr>
              <w:pStyle w:val="TableParagraph"/>
              <w:spacing w:before="133"/>
              <w:ind w:left="94"/>
              <w:jc w:val="center"/>
              <w:rPr>
                <w:sz w:val="24"/>
              </w:rPr>
            </w:pPr>
            <w:r>
              <w:rPr>
                <w:spacing w:val="-2"/>
                <w:sz w:val="24"/>
              </w:rPr>
              <w:t>471.17</w:t>
            </w:r>
          </w:p>
        </w:tc>
        <w:tc>
          <w:tcPr>
            <w:tcW w:w="557" w:type="dxa"/>
            <w:tcBorders>
              <w:bottom w:val="single" w:sz="6" w:space="0" w:color="000000"/>
            </w:tcBorders>
          </w:tcPr>
          <w:p>
            <w:pPr>
              <w:pStyle w:val="TableParagraph"/>
              <w:rPr>
                <w:sz w:val="22"/>
              </w:rPr>
            </w:pPr>
          </w:p>
        </w:tc>
        <w:tc>
          <w:tcPr>
            <w:tcW w:w="1117" w:type="dxa"/>
            <w:tcBorders>
              <w:bottom w:val="single" w:sz="6" w:space="0" w:color="000000"/>
            </w:tcBorders>
          </w:tcPr>
          <w:p>
            <w:pPr>
              <w:pStyle w:val="TableParagraph"/>
              <w:spacing w:before="133"/>
              <w:ind w:right="37"/>
              <w:jc w:val="right"/>
              <w:rPr>
                <w:sz w:val="24"/>
              </w:rPr>
            </w:pPr>
            <w:r>
              <w:rPr>
                <w:spacing w:val="-2"/>
                <w:sz w:val="24"/>
              </w:rPr>
              <w:t>288.53</w:t>
            </w:r>
          </w:p>
        </w:tc>
        <w:tc>
          <w:tcPr>
            <w:tcW w:w="2894" w:type="dxa"/>
            <w:tcBorders>
              <w:bottom w:val="single" w:sz="6" w:space="0" w:color="000000"/>
            </w:tcBorders>
          </w:tcPr>
          <w:p>
            <w:pPr>
              <w:pStyle w:val="TableParagraph"/>
              <w:spacing w:before="133"/>
              <w:ind w:left="739"/>
              <w:rPr>
                <w:sz w:val="24"/>
              </w:rPr>
            </w:pPr>
            <w:r>
              <w:rPr>
                <w:spacing w:val="-2"/>
                <w:sz w:val="24"/>
              </w:rPr>
              <w:t>774.59</w:t>
            </w:r>
          </w:p>
        </w:tc>
      </w:tr>
      <w:tr>
        <w:trPr>
          <w:trHeight w:val="396" w:hRule="atLeast"/>
        </w:trPr>
        <w:tc>
          <w:tcPr>
            <w:tcW w:w="868" w:type="dxa"/>
            <w:tcBorders>
              <w:top w:val="single" w:sz="6" w:space="0" w:color="000000"/>
            </w:tcBorders>
          </w:tcPr>
          <w:p>
            <w:pPr>
              <w:pStyle w:val="TableParagraph"/>
              <w:spacing w:line="256" w:lineRule="exact" w:before="120"/>
              <w:ind w:right="85"/>
              <w:jc w:val="center"/>
              <w:rPr>
                <w:sz w:val="24"/>
              </w:rPr>
            </w:pPr>
            <w:r>
              <w:rPr>
                <w:spacing w:val="-2"/>
                <w:sz w:val="24"/>
              </w:rPr>
              <w:t>DCP23,</w:t>
            </w:r>
          </w:p>
        </w:tc>
        <w:tc>
          <w:tcPr>
            <w:tcW w:w="1394" w:type="dxa"/>
            <w:tcBorders>
              <w:top w:val="single" w:sz="6" w:space="0" w:color="000000"/>
            </w:tcBorders>
          </w:tcPr>
          <w:p>
            <w:pPr>
              <w:pStyle w:val="TableParagraph"/>
              <w:spacing w:line="256" w:lineRule="exact" w:before="120"/>
              <w:ind w:right="85"/>
              <w:jc w:val="right"/>
              <w:rPr>
                <w:sz w:val="24"/>
              </w:rPr>
            </w:pPr>
            <w:r>
              <w:rPr>
                <w:sz w:val="24"/>
              </w:rPr>
              <w:t>DCP25</w:t>
            </w:r>
            <w:r>
              <w:rPr>
                <w:spacing w:val="79"/>
                <w:w w:val="150"/>
                <w:sz w:val="24"/>
              </w:rPr>
              <w:t> </w:t>
            </w:r>
            <w:r>
              <w:rPr>
                <w:spacing w:val="-5"/>
                <w:sz w:val="24"/>
              </w:rPr>
              <w:t>and</w:t>
            </w:r>
          </w:p>
        </w:tc>
        <w:tc>
          <w:tcPr>
            <w:tcW w:w="1808" w:type="dxa"/>
            <w:tcBorders>
              <w:top w:val="single" w:sz="6" w:space="0" w:color="000000"/>
            </w:tcBorders>
          </w:tcPr>
          <w:p>
            <w:pPr>
              <w:pStyle w:val="TableParagraph"/>
              <w:spacing w:line="256" w:lineRule="exact" w:before="120"/>
              <w:ind w:left="3"/>
              <w:jc w:val="center"/>
              <w:rPr>
                <w:sz w:val="24"/>
              </w:rPr>
            </w:pPr>
            <w:r>
              <w:rPr>
                <w:sz w:val="24"/>
              </w:rPr>
              <w:t>DCP34</w:t>
            </w:r>
            <w:r>
              <w:rPr>
                <w:spacing w:val="26"/>
                <w:sz w:val="24"/>
              </w:rPr>
              <w:t>  </w:t>
            </w:r>
            <w:r>
              <w:rPr>
                <w:sz w:val="24"/>
              </w:rPr>
              <w:t>=</w:t>
            </w:r>
            <w:r>
              <w:rPr>
                <w:spacing w:val="27"/>
                <w:sz w:val="24"/>
              </w:rPr>
              <w:t>  </w:t>
            </w:r>
            <w:r>
              <w:rPr>
                <w:sz w:val="24"/>
              </w:rPr>
              <w:t>2,3-</w:t>
            </w:r>
            <w:r>
              <w:rPr>
                <w:spacing w:val="-10"/>
                <w:sz w:val="24"/>
              </w:rPr>
              <w:t>,</w:t>
            </w:r>
          </w:p>
        </w:tc>
        <w:tc>
          <w:tcPr>
            <w:tcW w:w="557" w:type="dxa"/>
            <w:tcBorders>
              <w:top w:val="single" w:sz="6" w:space="0" w:color="000000"/>
            </w:tcBorders>
          </w:tcPr>
          <w:p>
            <w:pPr>
              <w:pStyle w:val="TableParagraph"/>
              <w:spacing w:line="256" w:lineRule="exact" w:before="120"/>
              <w:ind w:left="88"/>
              <w:rPr>
                <w:sz w:val="24"/>
              </w:rPr>
            </w:pPr>
            <w:r>
              <w:rPr>
                <w:spacing w:val="-4"/>
                <w:sz w:val="24"/>
              </w:rPr>
              <w:t>2,5-</w:t>
            </w:r>
          </w:p>
        </w:tc>
        <w:tc>
          <w:tcPr>
            <w:tcW w:w="1117" w:type="dxa"/>
            <w:tcBorders>
              <w:top w:val="single" w:sz="6" w:space="0" w:color="000000"/>
            </w:tcBorders>
          </w:tcPr>
          <w:p>
            <w:pPr>
              <w:pStyle w:val="TableParagraph"/>
              <w:spacing w:line="256" w:lineRule="exact" w:before="120"/>
              <w:ind w:left="88"/>
              <w:rPr>
                <w:sz w:val="24"/>
              </w:rPr>
            </w:pPr>
            <w:r>
              <w:rPr>
                <w:sz w:val="24"/>
              </w:rPr>
              <w:t>and</w:t>
            </w:r>
            <w:r>
              <w:rPr>
                <w:spacing w:val="76"/>
                <w:w w:val="150"/>
                <w:sz w:val="24"/>
              </w:rPr>
              <w:t> </w:t>
            </w:r>
            <w:r>
              <w:rPr>
                <w:spacing w:val="-4"/>
                <w:sz w:val="24"/>
              </w:rPr>
              <w:t>3,4-</w:t>
            </w:r>
          </w:p>
        </w:tc>
        <w:tc>
          <w:tcPr>
            <w:tcW w:w="2894" w:type="dxa"/>
            <w:tcBorders>
              <w:top w:val="single" w:sz="6" w:space="0" w:color="000000"/>
            </w:tcBorders>
          </w:tcPr>
          <w:p>
            <w:pPr>
              <w:pStyle w:val="TableParagraph"/>
              <w:spacing w:line="256" w:lineRule="exact" w:before="120"/>
              <w:ind w:left="42"/>
              <w:rPr>
                <w:sz w:val="24"/>
              </w:rPr>
            </w:pPr>
            <w:r>
              <w:rPr>
                <w:sz w:val="24"/>
              </w:rPr>
              <w:t>Dichloro</w:t>
            </w:r>
            <w:r>
              <w:rPr>
                <w:spacing w:val="27"/>
                <w:sz w:val="24"/>
              </w:rPr>
              <w:t>  </w:t>
            </w:r>
            <w:r>
              <w:rPr>
                <w:sz w:val="24"/>
              </w:rPr>
              <w:t>–</w:t>
            </w:r>
            <w:r>
              <w:rPr>
                <w:spacing w:val="79"/>
                <w:w w:val="150"/>
                <w:sz w:val="24"/>
              </w:rPr>
              <w:t> </w:t>
            </w:r>
            <w:r>
              <w:rPr>
                <w:spacing w:val="-2"/>
                <w:sz w:val="24"/>
              </w:rPr>
              <w:t>3(aminophenyl)</w:t>
            </w:r>
          </w:p>
        </w:tc>
      </w:tr>
    </w:tbl>
    <w:p>
      <w:pPr>
        <w:pStyle w:val="BodyText"/>
        <w:ind w:left="681"/>
      </w:pPr>
      <w:r>
        <w:rPr>
          <w:spacing w:val="-2"/>
        </w:rPr>
        <w:t>propanamides</w:t>
      </w:r>
    </w:p>
    <w:p>
      <w:pPr>
        <w:spacing w:after="0"/>
        <w:sectPr>
          <w:pgSz w:w="12240" w:h="15840"/>
          <w:pgMar w:header="0" w:footer="1066" w:top="1360" w:bottom="1260" w:left="1480" w:right="1160"/>
        </w:sectPr>
      </w:pPr>
    </w:p>
    <w:p>
      <w:pPr>
        <w:pStyle w:val="Heading2"/>
        <w:numPr>
          <w:ilvl w:val="2"/>
          <w:numId w:val="14"/>
        </w:numPr>
        <w:tabs>
          <w:tab w:pos="1222" w:val="left" w:leader="none"/>
        </w:tabs>
        <w:spacing w:line="240" w:lineRule="auto" w:before="77" w:after="0"/>
        <w:ind w:left="1222" w:right="0" w:hanging="541"/>
        <w:jc w:val="both"/>
      </w:pPr>
      <w:bookmarkStart w:name="_TOC_250019" w:id="65"/>
      <w:r>
        <w:rPr/>
        <w:t>Subchronic</w:t>
      </w:r>
      <w:r>
        <w:rPr>
          <w:spacing w:val="-3"/>
        </w:rPr>
        <w:t> </w:t>
      </w:r>
      <w:r>
        <w:rPr/>
        <w:t>Toxicity</w:t>
      </w:r>
      <w:r>
        <w:rPr>
          <w:spacing w:val="-1"/>
        </w:rPr>
        <w:t> </w:t>
      </w:r>
      <w:r>
        <w:rPr/>
        <w:t>Study</w:t>
      </w:r>
      <w:r>
        <w:rPr>
          <w:spacing w:val="-5"/>
        </w:rPr>
        <w:t> </w:t>
      </w:r>
      <w:r>
        <w:rPr/>
        <w:t>in </w:t>
      </w:r>
      <w:bookmarkEnd w:id="65"/>
      <w:r>
        <w:rPr>
          <w:spacing w:val="-4"/>
        </w:rPr>
        <w:t>Rats</w:t>
      </w:r>
    </w:p>
    <w:p>
      <w:pPr>
        <w:pStyle w:val="BodyText"/>
        <w:spacing w:line="480" w:lineRule="auto" w:before="271"/>
        <w:ind w:left="681" w:right="273"/>
        <w:jc w:val="both"/>
      </w:pPr>
      <w:r>
        <w:rPr/>
        <w:t>Effects of DCP25 on some biochemical and haematological indices were evaluated after 28 days daily oral administraton. The results of this study indicated that DCP25 did not cause significant toxic effects on most of the indices evaluated. There was a general increase in liver function tests (ALT, AST and alkaline phosphatase) indices but the increase was only significant (p&lt;0.05) in the ALT at 50 mg/kg (Table 4.9). Similarly, at the highest dose, there was significant increase (p&lt;0.05) in the level of creatinine and urea, indices for renal function test, but the level of electrolytes was found to be insignificant (p&lt;0.05) (Table 4.10). There was no statistical significant (p&lt;0.05) difference in lipid profile (Table 4.11) parameters (total</w:t>
      </w:r>
      <w:r>
        <w:rPr>
          <w:spacing w:val="-5"/>
        </w:rPr>
        <w:t> </w:t>
      </w:r>
      <w:r>
        <w:rPr/>
        <w:t>cholesterol, total</w:t>
      </w:r>
      <w:r>
        <w:rPr>
          <w:spacing w:val="-5"/>
        </w:rPr>
        <w:t> </w:t>
      </w:r>
      <w:r>
        <w:rPr/>
        <w:t>glyceride, LDL and HDL) as well as in haematological (Table 4.12) indices (RBCs, PCV and WBC indices). This was true for all doses (50, 25 and 12.5 mg/kg) tested as compared with the control group.</w:t>
      </w:r>
    </w:p>
    <w:p>
      <w:pPr>
        <w:spacing w:after="0" w:line="480" w:lineRule="auto"/>
        <w:jc w:val="both"/>
        <w:sectPr>
          <w:pgSz w:w="12240" w:h="15840"/>
          <w:pgMar w:header="0" w:footer="1066" w:top="1360" w:bottom="1260" w:left="1480" w:right="1160"/>
        </w:sectPr>
      </w:pPr>
    </w:p>
    <w:p>
      <w:pPr>
        <w:pStyle w:val="Heading2"/>
        <w:spacing w:line="480" w:lineRule="auto" w:before="77"/>
        <w:ind w:right="284"/>
        <w:jc w:val="left"/>
      </w:pPr>
      <w:r>
        <w:rPr/>
        <mc:AlternateContent>
          <mc:Choice Requires="wps">
            <w:drawing>
              <wp:anchor distT="0" distB="0" distL="0" distR="0" allowOverlap="1" layoutInCell="1" locked="0" behindDoc="0" simplePos="0" relativeHeight="15793664">
                <wp:simplePos x="0" y="0"/>
                <wp:positionH relativeFrom="page">
                  <wp:posOffset>4000500</wp:posOffset>
                </wp:positionH>
                <wp:positionV relativeFrom="paragraph">
                  <wp:posOffset>1765300</wp:posOffset>
                </wp:positionV>
                <wp:extent cx="2857500" cy="127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2857500" cy="1270"/>
                        </a:xfrm>
                        <a:custGeom>
                          <a:avLst/>
                          <a:gdLst/>
                          <a:ahLst/>
                          <a:cxnLst/>
                          <a:rect l="l" t="t" r="r" b="b"/>
                          <a:pathLst>
                            <a:path w="2857500" h="0">
                              <a:moveTo>
                                <a:pt x="0" y="0"/>
                              </a:moveTo>
                              <a:lnTo>
                                <a:pt x="28575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3664" from="315pt,139pt" to="540pt,139pt" stroked="true" strokeweight=".75pt" strokecolor="#000000">
                <v:stroke dashstyle="solid"/>
                <w10:wrap type="none"/>
              </v:line>
            </w:pict>
          </mc:Fallback>
        </mc:AlternateContent>
      </w:r>
      <w:r>
        <w:rPr/>
        <w:t>Table</w:t>
      </w:r>
      <w:r>
        <w:rPr>
          <w:spacing w:val="80"/>
        </w:rPr>
        <w:t> </w:t>
      </w:r>
      <w:r>
        <w:rPr/>
        <w:t>4.9:</w:t>
      </w:r>
      <w:r>
        <w:rPr>
          <w:spacing w:val="80"/>
        </w:rPr>
        <w:t> </w:t>
      </w:r>
      <w:r>
        <w:rPr/>
        <w:t>Effect</w:t>
      </w:r>
      <w:r>
        <w:rPr>
          <w:spacing w:val="80"/>
        </w:rPr>
        <w:t> </w:t>
      </w:r>
      <w:r>
        <w:rPr/>
        <w:t>of</w:t>
      </w:r>
      <w:r>
        <w:rPr>
          <w:spacing w:val="80"/>
        </w:rPr>
        <w:t> </w:t>
      </w:r>
      <w:r>
        <w:rPr/>
        <w:t>2,5-</w:t>
      </w:r>
      <w:r>
        <w:rPr>
          <w:spacing w:val="80"/>
        </w:rPr>
        <w:t> </w:t>
      </w:r>
      <w:r>
        <w:rPr/>
        <w:t>Dichloro</w:t>
      </w:r>
      <w:r>
        <w:rPr>
          <w:spacing w:val="80"/>
        </w:rPr>
        <w:t> </w:t>
      </w:r>
      <w:r>
        <w:rPr/>
        <w:t>–</w:t>
      </w:r>
      <w:r>
        <w:rPr>
          <w:spacing w:val="80"/>
        </w:rPr>
        <w:t> </w:t>
      </w:r>
      <w:r>
        <w:rPr/>
        <w:t>3(aminophenyl)</w:t>
      </w:r>
      <w:r>
        <w:rPr>
          <w:spacing w:val="80"/>
        </w:rPr>
        <w:t> </w:t>
      </w:r>
      <w:r>
        <w:rPr/>
        <w:t>Propanamides</w:t>
      </w:r>
      <w:r>
        <w:rPr>
          <w:spacing w:val="80"/>
        </w:rPr>
        <w:t> </w:t>
      </w:r>
      <w:r>
        <w:rPr/>
        <w:t>on</w:t>
      </w:r>
      <w:r>
        <w:rPr>
          <w:spacing w:val="80"/>
        </w:rPr>
        <w:t> </w:t>
      </w:r>
      <w:r>
        <w:rPr/>
        <w:t>Liver Function Test after 28-Day Oral Admnistration in Rats</w:t>
      </w:r>
    </w:p>
    <w:p>
      <w:pPr>
        <w:pStyle w:val="BodyText"/>
        <w:spacing w:before="85"/>
        <w:rPr>
          <w:b/>
          <w:sz w:val="20"/>
        </w:rPr>
      </w:pPr>
      <w:r>
        <w:rPr/>
        <mc:AlternateContent>
          <mc:Choice Requires="wps">
            <w:drawing>
              <wp:anchor distT="0" distB="0" distL="0" distR="0" allowOverlap="1" layoutInCell="1" locked="0" behindDoc="1" simplePos="0" relativeHeight="487650816">
                <wp:simplePos x="0" y="0"/>
                <wp:positionH relativeFrom="page">
                  <wp:posOffset>1371600</wp:posOffset>
                </wp:positionH>
                <wp:positionV relativeFrom="paragraph">
                  <wp:posOffset>215324</wp:posOffset>
                </wp:positionV>
                <wp:extent cx="5486400" cy="1270"/>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6.954687pt;width:432pt;height:.1pt;mso-position-horizontal-relative:page;mso-position-vertical-relative:paragraph;z-index:-15665664;mso-wrap-distance-left:0;mso-wrap-distance-right:0" id="docshape104" coordorigin="2160,339" coordsize="8640,0" path="m2160,339l10800,339e" filled="false" stroked="true" strokeweight=".75pt" strokecolor="#000000">
                <v:path arrowok="t"/>
                <v:stroke dashstyle="solid"/>
                <w10:wrap type="topAndBottom"/>
              </v:shape>
            </w:pict>
          </mc:Fallback>
        </mc:AlternateContent>
      </w:r>
    </w:p>
    <w:p>
      <w:pPr>
        <w:tabs>
          <w:tab w:pos="5722" w:val="left" w:leader="none"/>
        </w:tabs>
        <w:spacing w:before="206"/>
        <w:ind w:left="681" w:right="0" w:firstLine="0"/>
        <w:jc w:val="left"/>
        <w:rPr>
          <w:b/>
          <w:sz w:val="24"/>
        </w:rPr>
      </w:pPr>
      <w:r>
        <w:rPr>
          <w:b/>
          <w:spacing w:val="-2"/>
          <w:sz w:val="24"/>
        </w:rPr>
        <w:t>Parameters</w:t>
      </w:r>
      <w:r>
        <w:rPr>
          <w:b/>
          <w:sz w:val="24"/>
        </w:rPr>
        <w:tab/>
      </w:r>
      <w:r>
        <w:rPr>
          <w:b/>
          <w:spacing w:val="-2"/>
          <w:sz w:val="24"/>
        </w:rPr>
        <w:t>Treatment</w:t>
      </w:r>
    </w:p>
    <w:p>
      <w:pPr>
        <w:pStyle w:val="BodyText"/>
        <w:spacing w:before="2"/>
        <w:rPr>
          <w:b/>
          <w:sz w:val="15"/>
        </w:rPr>
      </w:pPr>
      <w:r>
        <w:rPr/>
        <mc:AlternateContent>
          <mc:Choice Requires="wps">
            <w:drawing>
              <wp:anchor distT="0" distB="0" distL="0" distR="0" allowOverlap="1" layoutInCell="1" locked="0" behindDoc="1" simplePos="0" relativeHeight="487651328">
                <wp:simplePos x="0" y="0"/>
                <wp:positionH relativeFrom="page">
                  <wp:posOffset>3086100</wp:posOffset>
                </wp:positionH>
                <wp:positionV relativeFrom="paragraph">
                  <wp:posOffset>126062</wp:posOffset>
                </wp:positionV>
                <wp:extent cx="3771900" cy="1270"/>
                <wp:effectExtent l="0" t="0" r="0" b="0"/>
                <wp:wrapTopAndBottom/>
                <wp:docPr id="193" name="Graphic 193"/>
                <wp:cNvGraphicFramePr>
                  <a:graphicFrameLocks/>
                </wp:cNvGraphicFramePr>
                <a:graphic>
                  <a:graphicData uri="http://schemas.microsoft.com/office/word/2010/wordprocessingShape">
                    <wps:wsp>
                      <wps:cNvPr id="193" name="Graphic 193"/>
                      <wps:cNvSpPr/>
                      <wps:spPr>
                        <a:xfrm>
                          <a:off x="0" y="0"/>
                          <a:ext cx="3771900" cy="1270"/>
                        </a:xfrm>
                        <a:custGeom>
                          <a:avLst/>
                          <a:gdLst/>
                          <a:ahLst/>
                          <a:cxnLst/>
                          <a:rect l="l" t="t" r="r" b="b"/>
                          <a:pathLst>
                            <a:path w="3771900" h="0">
                              <a:moveTo>
                                <a:pt x="0" y="0"/>
                              </a:moveTo>
                              <a:lnTo>
                                <a:pt x="37719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3pt;margin-top:9.926172pt;width:297pt;height:.1pt;mso-position-horizontal-relative:page;mso-position-vertical-relative:paragraph;z-index:-15665152;mso-wrap-distance-left:0;mso-wrap-distance-right:0" id="docshape105" coordorigin="4860,199" coordsize="5940,0" path="m4860,199l10800,199e" filled="false" stroked="true" strokeweight=".75pt" strokecolor="#000000">
                <v:path arrowok="t"/>
                <v:stroke dashstyle="solid"/>
                <w10:wrap type="topAndBottom"/>
              </v:shape>
            </w:pict>
          </mc:Fallback>
        </mc:AlternateContent>
      </w:r>
    </w:p>
    <w:p>
      <w:pPr>
        <w:pStyle w:val="BodyText"/>
        <w:tabs>
          <w:tab w:pos="4898" w:val="left" w:leader="none"/>
          <w:tab w:pos="6505" w:val="left" w:leader="none"/>
          <w:tab w:pos="8022" w:val="left" w:leader="none"/>
        </w:tabs>
        <w:spacing w:line="480" w:lineRule="auto" w:before="65"/>
        <w:ind w:left="3624" w:right="415" w:firstLine="1080"/>
      </w:pPr>
      <w:r>
        <w:rPr/>
        <w:t>2,5-</w:t>
      </w:r>
      <w:r>
        <w:rPr>
          <w:spacing w:val="-15"/>
        </w:rPr>
        <w:t> </w:t>
      </w:r>
      <w:r>
        <w:rPr/>
        <w:t>Dichloro</w:t>
      </w:r>
      <w:r>
        <w:rPr>
          <w:spacing w:val="-8"/>
        </w:rPr>
        <w:t> </w:t>
      </w:r>
      <w:r>
        <w:rPr/>
        <w:t>–</w:t>
      </w:r>
      <w:r>
        <w:rPr>
          <w:spacing w:val="-12"/>
        </w:rPr>
        <w:t> </w:t>
      </w:r>
      <w:r>
        <w:rPr/>
        <w:t>3(aminophenyl)</w:t>
      </w:r>
      <w:r>
        <w:rPr>
          <w:spacing w:val="-12"/>
        </w:rPr>
        <w:t> </w:t>
      </w:r>
      <w:r>
        <w:rPr/>
        <w:t>Propanamides </w:t>
      </w:r>
      <w:r>
        <w:rPr>
          <w:spacing w:val="-2"/>
        </w:rPr>
        <w:t>Control</w:t>
      </w:r>
      <w:r>
        <w:rPr/>
        <w:tab/>
        <w:t>12.5 mg/kg</w:t>
        <w:tab/>
        <w:t>25 mg/kg</w:t>
        <w:tab/>
        <w:t>50 mg/kg</w:t>
      </w:r>
    </w:p>
    <w:p>
      <w:pPr>
        <w:pStyle w:val="BodyText"/>
        <w:spacing w:before="6"/>
        <w:rPr>
          <w:sz w:val="13"/>
        </w:rPr>
      </w:pPr>
      <w:r>
        <w:rPr/>
        <mc:AlternateContent>
          <mc:Choice Requires="wps">
            <w:drawing>
              <wp:anchor distT="0" distB="0" distL="0" distR="0" allowOverlap="1" layoutInCell="1" locked="0" behindDoc="1" simplePos="0" relativeHeight="487651840">
                <wp:simplePos x="0" y="0"/>
                <wp:positionH relativeFrom="page">
                  <wp:posOffset>1371600</wp:posOffset>
                </wp:positionH>
                <wp:positionV relativeFrom="paragraph">
                  <wp:posOffset>114042</wp:posOffset>
                </wp:positionV>
                <wp:extent cx="5486400" cy="1270"/>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8.979688pt;width:432pt;height:.1pt;mso-position-horizontal-relative:page;mso-position-vertical-relative:paragraph;z-index:-15664640;mso-wrap-distance-left:0;mso-wrap-distance-right:0" id="docshape106" coordorigin="2160,180" coordsize="8640,0" path="m2160,180l10800,180e" filled="false" stroked="true" strokeweight=".75pt" strokecolor="#000000">
                <v:path arrowok="t"/>
                <v:stroke dashstyle="solid"/>
                <w10:wrap type="topAndBottom"/>
              </v:shape>
            </w:pict>
          </mc:Fallback>
        </mc:AlternateContent>
      </w:r>
    </w:p>
    <w:p>
      <w:pPr>
        <w:pStyle w:val="BodyText"/>
        <w:spacing w:before="143" w:after="1"/>
        <w:rPr>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3"/>
        <w:gridCol w:w="1488"/>
        <w:gridCol w:w="1384"/>
        <w:gridCol w:w="1494"/>
        <w:gridCol w:w="1405"/>
      </w:tblGrid>
      <w:tr>
        <w:trPr>
          <w:trHeight w:val="374" w:hRule="atLeast"/>
        </w:trPr>
        <w:tc>
          <w:tcPr>
            <w:tcW w:w="2693" w:type="dxa"/>
          </w:tcPr>
          <w:p>
            <w:pPr>
              <w:pStyle w:val="TableParagraph"/>
              <w:spacing w:line="244" w:lineRule="exact"/>
              <w:ind w:left="50"/>
              <w:rPr>
                <w:sz w:val="22"/>
              </w:rPr>
            </w:pPr>
            <w:r>
              <w:rPr>
                <w:sz w:val="22"/>
              </w:rPr>
              <w:t>Aspartate</w:t>
            </w:r>
            <w:r>
              <w:rPr>
                <w:spacing w:val="-7"/>
                <w:sz w:val="22"/>
              </w:rPr>
              <w:t> </w:t>
            </w:r>
            <w:r>
              <w:rPr>
                <w:spacing w:val="-2"/>
                <w:sz w:val="22"/>
              </w:rPr>
              <w:t>Aminotransferase</w:t>
            </w:r>
          </w:p>
        </w:tc>
        <w:tc>
          <w:tcPr>
            <w:tcW w:w="1488" w:type="dxa"/>
          </w:tcPr>
          <w:p>
            <w:pPr>
              <w:pStyle w:val="TableParagraph"/>
              <w:spacing w:line="244" w:lineRule="exact"/>
              <w:ind w:left="238"/>
              <w:rPr>
                <w:sz w:val="22"/>
              </w:rPr>
            </w:pPr>
            <w:r>
              <w:rPr>
                <w:sz w:val="22"/>
              </w:rPr>
              <w:t>8.25</w:t>
            </w:r>
            <w:r>
              <w:rPr>
                <w:spacing w:val="1"/>
                <w:sz w:val="22"/>
              </w:rPr>
              <w:t> </w:t>
            </w:r>
            <w:r>
              <w:rPr>
                <w:sz w:val="22"/>
              </w:rPr>
              <w:t>±</w:t>
            </w:r>
            <w:r>
              <w:rPr>
                <w:spacing w:val="-3"/>
                <w:sz w:val="22"/>
              </w:rPr>
              <w:t> </w:t>
            </w:r>
            <w:r>
              <w:rPr>
                <w:spacing w:val="-4"/>
                <w:sz w:val="22"/>
              </w:rPr>
              <w:t>0.75</w:t>
            </w:r>
          </w:p>
        </w:tc>
        <w:tc>
          <w:tcPr>
            <w:tcW w:w="1384" w:type="dxa"/>
          </w:tcPr>
          <w:p>
            <w:pPr>
              <w:pStyle w:val="TableParagraph"/>
              <w:spacing w:line="244" w:lineRule="exact"/>
              <w:ind w:left="82"/>
              <w:rPr>
                <w:sz w:val="22"/>
              </w:rPr>
            </w:pPr>
            <w:r>
              <w:rPr>
                <w:sz w:val="22"/>
              </w:rPr>
              <w:t>7.50 ±</w:t>
            </w:r>
            <w:r>
              <w:rPr>
                <w:spacing w:val="-5"/>
                <w:sz w:val="22"/>
              </w:rPr>
              <w:t> </w:t>
            </w:r>
            <w:r>
              <w:rPr>
                <w:spacing w:val="-4"/>
                <w:sz w:val="22"/>
              </w:rPr>
              <w:t>2.06</w:t>
            </w:r>
          </w:p>
        </w:tc>
        <w:tc>
          <w:tcPr>
            <w:tcW w:w="1494" w:type="dxa"/>
          </w:tcPr>
          <w:p>
            <w:pPr>
              <w:pStyle w:val="TableParagraph"/>
              <w:spacing w:line="244" w:lineRule="exact"/>
              <w:ind w:left="137"/>
              <w:rPr>
                <w:sz w:val="22"/>
              </w:rPr>
            </w:pPr>
            <w:r>
              <w:rPr>
                <w:sz w:val="22"/>
              </w:rPr>
              <w:t>5.50 ±</w:t>
            </w:r>
            <w:r>
              <w:rPr>
                <w:spacing w:val="-5"/>
                <w:sz w:val="22"/>
              </w:rPr>
              <w:t> </w:t>
            </w:r>
            <w:r>
              <w:rPr>
                <w:spacing w:val="-4"/>
                <w:sz w:val="22"/>
              </w:rPr>
              <w:t>0.86</w:t>
            </w:r>
          </w:p>
        </w:tc>
        <w:tc>
          <w:tcPr>
            <w:tcW w:w="1405" w:type="dxa"/>
          </w:tcPr>
          <w:p>
            <w:pPr>
              <w:pStyle w:val="TableParagraph"/>
              <w:spacing w:line="244" w:lineRule="exact"/>
              <w:ind w:left="81"/>
              <w:rPr>
                <w:sz w:val="22"/>
              </w:rPr>
            </w:pPr>
            <w:r>
              <w:rPr>
                <w:sz w:val="22"/>
              </w:rPr>
              <w:t>13.25</w:t>
            </w:r>
            <w:r>
              <w:rPr>
                <w:spacing w:val="-2"/>
                <w:sz w:val="22"/>
              </w:rPr>
              <w:t> </w:t>
            </w:r>
            <w:r>
              <w:rPr>
                <w:sz w:val="22"/>
              </w:rPr>
              <w:t>±</w:t>
            </w:r>
            <w:r>
              <w:rPr>
                <w:spacing w:val="-3"/>
                <w:sz w:val="22"/>
              </w:rPr>
              <w:t> </w:t>
            </w:r>
            <w:r>
              <w:rPr>
                <w:spacing w:val="-2"/>
                <w:sz w:val="22"/>
              </w:rPr>
              <w:t>1.17*</w:t>
            </w:r>
          </w:p>
        </w:tc>
      </w:tr>
      <w:tr>
        <w:trPr>
          <w:trHeight w:val="506" w:hRule="atLeast"/>
        </w:trPr>
        <w:tc>
          <w:tcPr>
            <w:tcW w:w="2693" w:type="dxa"/>
          </w:tcPr>
          <w:p>
            <w:pPr>
              <w:pStyle w:val="TableParagraph"/>
              <w:spacing w:before="121"/>
              <w:ind w:left="50"/>
              <w:rPr>
                <w:sz w:val="22"/>
              </w:rPr>
            </w:pPr>
            <w:r>
              <w:rPr>
                <w:sz w:val="22"/>
              </w:rPr>
              <w:t>Alanine</w:t>
            </w:r>
            <w:r>
              <w:rPr>
                <w:spacing w:val="-4"/>
                <w:sz w:val="22"/>
              </w:rPr>
              <w:t> </w:t>
            </w:r>
            <w:r>
              <w:rPr>
                <w:spacing w:val="-2"/>
                <w:sz w:val="22"/>
              </w:rPr>
              <w:t>Aminotransferase</w:t>
            </w:r>
          </w:p>
        </w:tc>
        <w:tc>
          <w:tcPr>
            <w:tcW w:w="1488" w:type="dxa"/>
          </w:tcPr>
          <w:p>
            <w:pPr>
              <w:pStyle w:val="TableParagraph"/>
              <w:spacing w:before="121"/>
              <w:ind w:left="224"/>
              <w:rPr>
                <w:sz w:val="22"/>
              </w:rPr>
            </w:pPr>
            <w:r>
              <w:rPr>
                <w:sz w:val="22"/>
              </w:rPr>
              <w:t>6.75</w:t>
            </w:r>
            <w:r>
              <w:rPr>
                <w:spacing w:val="-5"/>
                <w:sz w:val="22"/>
              </w:rPr>
              <w:t> </w:t>
            </w:r>
            <w:r>
              <w:rPr>
                <w:sz w:val="22"/>
              </w:rPr>
              <w:t>± </w:t>
            </w:r>
            <w:r>
              <w:rPr>
                <w:spacing w:val="-4"/>
                <w:sz w:val="22"/>
              </w:rPr>
              <w:t>2.14</w:t>
            </w:r>
          </w:p>
        </w:tc>
        <w:tc>
          <w:tcPr>
            <w:tcW w:w="1384" w:type="dxa"/>
          </w:tcPr>
          <w:p>
            <w:pPr>
              <w:pStyle w:val="TableParagraph"/>
              <w:spacing w:before="121"/>
              <w:ind w:left="116"/>
              <w:rPr>
                <w:sz w:val="22"/>
              </w:rPr>
            </w:pPr>
            <w:r>
              <w:rPr>
                <w:sz w:val="22"/>
              </w:rPr>
              <w:t>7.00</w:t>
            </w:r>
            <w:r>
              <w:rPr>
                <w:spacing w:val="-2"/>
                <w:sz w:val="22"/>
              </w:rPr>
              <w:t> </w:t>
            </w:r>
            <w:r>
              <w:rPr>
                <w:sz w:val="22"/>
              </w:rPr>
              <w:t>±</w:t>
            </w:r>
            <w:r>
              <w:rPr>
                <w:spacing w:val="-3"/>
                <w:sz w:val="22"/>
              </w:rPr>
              <w:t> </w:t>
            </w:r>
            <w:r>
              <w:rPr>
                <w:spacing w:val="-4"/>
                <w:sz w:val="22"/>
              </w:rPr>
              <w:t>1.91</w:t>
            </w:r>
          </w:p>
        </w:tc>
        <w:tc>
          <w:tcPr>
            <w:tcW w:w="1494" w:type="dxa"/>
          </w:tcPr>
          <w:p>
            <w:pPr>
              <w:pStyle w:val="TableParagraph"/>
              <w:spacing w:before="121"/>
              <w:ind w:left="175"/>
              <w:rPr>
                <w:sz w:val="22"/>
              </w:rPr>
            </w:pPr>
            <w:r>
              <w:rPr>
                <w:sz w:val="22"/>
              </w:rPr>
              <w:t>6.25 ±</w:t>
            </w:r>
            <w:r>
              <w:rPr>
                <w:spacing w:val="-5"/>
                <w:sz w:val="22"/>
              </w:rPr>
              <w:t> </w:t>
            </w:r>
            <w:r>
              <w:rPr>
                <w:spacing w:val="-4"/>
                <w:sz w:val="22"/>
              </w:rPr>
              <w:t>2.17</w:t>
            </w:r>
          </w:p>
        </w:tc>
        <w:tc>
          <w:tcPr>
            <w:tcW w:w="1405" w:type="dxa"/>
          </w:tcPr>
          <w:p>
            <w:pPr>
              <w:pStyle w:val="TableParagraph"/>
              <w:spacing w:before="121"/>
              <w:ind w:left="120"/>
              <w:rPr>
                <w:sz w:val="22"/>
              </w:rPr>
            </w:pPr>
            <w:r>
              <w:rPr>
                <w:sz w:val="22"/>
              </w:rPr>
              <w:t>9.00 ±</w:t>
            </w:r>
            <w:r>
              <w:rPr>
                <w:spacing w:val="-5"/>
                <w:sz w:val="22"/>
              </w:rPr>
              <w:t> </w:t>
            </w:r>
            <w:r>
              <w:rPr>
                <w:spacing w:val="-4"/>
                <w:sz w:val="22"/>
              </w:rPr>
              <w:t>1.58</w:t>
            </w:r>
          </w:p>
        </w:tc>
      </w:tr>
      <w:tr>
        <w:trPr>
          <w:trHeight w:val="376" w:hRule="atLeast"/>
        </w:trPr>
        <w:tc>
          <w:tcPr>
            <w:tcW w:w="2693" w:type="dxa"/>
          </w:tcPr>
          <w:p>
            <w:pPr>
              <w:pStyle w:val="TableParagraph"/>
              <w:spacing w:line="233" w:lineRule="exact" w:before="123"/>
              <w:ind w:left="50"/>
              <w:rPr>
                <w:sz w:val="22"/>
              </w:rPr>
            </w:pPr>
            <w:r>
              <w:rPr>
                <w:spacing w:val="-2"/>
                <w:sz w:val="22"/>
              </w:rPr>
              <w:t>Alkaline</w:t>
            </w:r>
            <w:r>
              <w:rPr>
                <w:spacing w:val="2"/>
                <w:sz w:val="22"/>
              </w:rPr>
              <w:t> </w:t>
            </w:r>
            <w:r>
              <w:rPr>
                <w:spacing w:val="-2"/>
                <w:sz w:val="22"/>
              </w:rPr>
              <w:t>Phosphatase</w:t>
            </w:r>
          </w:p>
        </w:tc>
        <w:tc>
          <w:tcPr>
            <w:tcW w:w="1488" w:type="dxa"/>
          </w:tcPr>
          <w:p>
            <w:pPr>
              <w:pStyle w:val="TableParagraph"/>
              <w:spacing w:line="233" w:lineRule="exact" w:before="123"/>
              <w:ind w:left="180"/>
              <w:rPr>
                <w:sz w:val="22"/>
              </w:rPr>
            </w:pPr>
            <w:r>
              <w:rPr>
                <w:sz w:val="22"/>
              </w:rPr>
              <w:t>58.25</w:t>
            </w:r>
            <w:r>
              <w:rPr>
                <w:spacing w:val="-3"/>
                <w:sz w:val="22"/>
              </w:rPr>
              <w:t> </w:t>
            </w:r>
            <w:r>
              <w:rPr>
                <w:sz w:val="22"/>
              </w:rPr>
              <w:t>±</w:t>
            </w:r>
            <w:r>
              <w:rPr>
                <w:spacing w:val="3"/>
                <w:sz w:val="22"/>
              </w:rPr>
              <w:t> </w:t>
            </w:r>
            <w:r>
              <w:rPr>
                <w:spacing w:val="-2"/>
                <w:sz w:val="22"/>
              </w:rPr>
              <w:t>13.64</w:t>
            </w:r>
          </w:p>
        </w:tc>
        <w:tc>
          <w:tcPr>
            <w:tcW w:w="1384" w:type="dxa"/>
          </w:tcPr>
          <w:p>
            <w:pPr>
              <w:pStyle w:val="TableParagraph"/>
              <w:spacing w:line="233" w:lineRule="exact" w:before="123"/>
              <w:ind w:left="131"/>
              <w:rPr>
                <w:sz w:val="22"/>
              </w:rPr>
            </w:pPr>
            <w:r>
              <w:rPr>
                <w:sz w:val="22"/>
              </w:rPr>
              <w:t>61.00</w:t>
            </w:r>
            <w:r>
              <w:rPr>
                <w:spacing w:val="-5"/>
                <w:sz w:val="22"/>
              </w:rPr>
              <w:t> </w:t>
            </w:r>
            <w:r>
              <w:rPr>
                <w:sz w:val="22"/>
              </w:rPr>
              <w:t>±</w:t>
            </w:r>
            <w:r>
              <w:rPr>
                <w:spacing w:val="3"/>
                <w:sz w:val="22"/>
              </w:rPr>
              <w:t> </w:t>
            </w:r>
            <w:r>
              <w:rPr>
                <w:spacing w:val="-4"/>
                <w:sz w:val="22"/>
              </w:rPr>
              <w:t>8.50</w:t>
            </w:r>
          </w:p>
        </w:tc>
        <w:tc>
          <w:tcPr>
            <w:tcW w:w="1494" w:type="dxa"/>
          </w:tcPr>
          <w:p>
            <w:pPr>
              <w:pStyle w:val="TableParagraph"/>
              <w:spacing w:line="233" w:lineRule="exact" w:before="123"/>
              <w:ind w:left="189"/>
              <w:rPr>
                <w:sz w:val="22"/>
              </w:rPr>
            </w:pPr>
            <w:r>
              <w:rPr>
                <w:sz w:val="22"/>
              </w:rPr>
              <w:t>60.25</w:t>
            </w:r>
            <w:r>
              <w:rPr>
                <w:spacing w:val="-5"/>
                <w:sz w:val="22"/>
              </w:rPr>
              <w:t> </w:t>
            </w:r>
            <w:r>
              <w:rPr>
                <w:sz w:val="22"/>
              </w:rPr>
              <w:t>± </w:t>
            </w:r>
            <w:r>
              <w:rPr>
                <w:spacing w:val="-2"/>
                <w:sz w:val="22"/>
              </w:rPr>
              <w:t>12.45</w:t>
            </w:r>
          </w:p>
        </w:tc>
        <w:tc>
          <w:tcPr>
            <w:tcW w:w="1405" w:type="dxa"/>
          </w:tcPr>
          <w:p>
            <w:pPr>
              <w:pStyle w:val="TableParagraph"/>
              <w:spacing w:line="233" w:lineRule="exact" w:before="123"/>
              <w:ind w:left="134"/>
              <w:rPr>
                <w:sz w:val="22"/>
              </w:rPr>
            </w:pPr>
            <w:r>
              <w:rPr>
                <w:sz w:val="22"/>
              </w:rPr>
              <w:t>68.75</w:t>
            </w:r>
            <w:r>
              <w:rPr>
                <w:spacing w:val="-5"/>
                <w:sz w:val="22"/>
              </w:rPr>
              <w:t> </w:t>
            </w:r>
            <w:r>
              <w:rPr>
                <w:sz w:val="22"/>
              </w:rPr>
              <w:t>± </w:t>
            </w:r>
            <w:r>
              <w:rPr>
                <w:spacing w:val="-2"/>
                <w:sz w:val="22"/>
              </w:rPr>
              <w:t>10.62</w:t>
            </w:r>
          </w:p>
        </w:tc>
      </w:tr>
    </w:tbl>
    <w:p>
      <w:pPr>
        <w:pStyle w:val="BodyText"/>
        <w:spacing w:before="24"/>
        <w:rPr>
          <w:sz w:val="20"/>
        </w:rPr>
      </w:pPr>
      <w:r>
        <w:rPr/>
        <mc:AlternateContent>
          <mc:Choice Requires="wps">
            <w:drawing>
              <wp:anchor distT="0" distB="0" distL="0" distR="0" allowOverlap="1" layoutInCell="1" locked="0" behindDoc="1" simplePos="0" relativeHeight="487652352">
                <wp:simplePos x="0" y="0"/>
                <wp:positionH relativeFrom="page">
                  <wp:posOffset>1371600</wp:posOffset>
                </wp:positionH>
                <wp:positionV relativeFrom="paragraph">
                  <wp:posOffset>176884</wp:posOffset>
                </wp:positionV>
                <wp:extent cx="5486400"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3.927891pt;width:432pt;height:.1pt;mso-position-horizontal-relative:page;mso-position-vertical-relative:paragraph;z-index:-15664128;mso-wrap-distance-left:0;mso-wrap-distance-right:0" id="docshape107" coordorigin="2160,279" coordsize="8640,0" path="m2160,279l10800,279e" filled="false" stroked="true" strokeweight=".75pt" strokecolor="#000000">
                <v:path arrowok="t"/>
                <v:stroke dashstyle="solid"/>
                <w10:wrap type="topAndBottom"/>
              </v:shape>
            </w:pict>
          </mc:Fallback>
        </mc:AlternateContent>
      </w:r>
    </w:p>
    <w:p>
      <w:pPr>
        <w:pStyle w:val="BodyText"/>
        <w:rPr>
          <w:sz w:val="22"/>
        </w:rPr>
      </w:pPr>
    </w:p>
    <w:p>
      <w:pPr>
        <w:pStyle w:val="BodyText"/>
        <w:spacing w:before="13"/>
        <w:rPr>
          <w:sz w:val="22"/>
        </w:rPr>
      </w:pPr>
    </w:p>
    <w:p>
      <w:pPr>
        <w:spacing w:line="480" w:lineRule="auto" w:before="0"/>
        <w:ind w:left="681" w:right="0" w:firstLine="0"/>
        <w:jc w:val="left"/>
        <w:rPr>
          <w:sz w:val="22"/>
        </w:rPr>
      </w:pPr>
      <w:r>
        <w:rPr>
          <w:sz w:val="24"/>
        </w:rPr>
        <w:t>Data presented as mean </w:t>
      </w:r>
      <w:r>
        <w:rPr>
          <w:sz w:val="22"/>
        </w:rPr>
        <w:t>± SEM, n</w:t>
      </w:r>
      <w:r>
        <w:rPr>
          <w:spacing w:val="-1"/>
          <w:sz w:val="22"/>
        </w:rPr>
        <w:t> </w:t>
      </w:r>
      <w:r>
        <w:rPr>
          <w:sz w:val="22"/>
        </w:rPr>
        <w:t>= 4</w:t>
      </w:r>
      <w:r>
        <w:rPr>
          <w:spacing w:val="-1"/>
          <w:sz w:val="22"/>
        </w:rPr>
        <w:t> </w:t>
      </w:r>
      <w:r>
        <w:rPr>
          <w:sz w:val="22"/>
        </w:rPr>
        <w:t>rats per group, statistical significant difference</w:t>
      </w:r>
      <w:r>
        <w:rPr>
          <w:spacing w:val="-3"/>
          <w:sz w:val="22"/>
        </w:rPr>
        <w:t> </w:t>
      </w:r>
      <w:r>
        <w:rPr>
          <w:sz w:val="22"/>
        </w:rPr>
        <w:t>(p&lt;0.05), ANOVA test.</w:t>
      </w:r>
    </w:p>
    <w:p>
      <w:pPr>
        <w:spacing w:after="0" w:line="480" w:lineRule="auto"/>
        <w:jc w:val="left"/>
        <w:rPr>
          <w:sz w:val="22"/>
        </w:rPr>
        <w:sectPr>
          <w:pgSz w:w="12240" w:h="15840"/>
          <w:pgMar w:header="0" w:footer="1066" w:top="1360" w:bottom="1260" w:left="1480" w:right="1160"/>
        </w:sectPr>
      </w:pPr>
    </w:p>
    <w:p>
      <w:pPr>
        <w:pStyle w:val="Heading2"/>
        <w:spacing w:line="480" w:lineRule="auto" w:before="77"/>
        <w:jc w:val="left"/>
      </w:pPr>
      <w:r>
        <w:rPr/>
        <w:t>Table</w:t>
      </w:r>
      <w:r>
        <w:rPr>
          <w:spacing w:val="75"/>
        </w:rPr>
        <w:t> </w:t>
      </w:r>
      <w:r>
        <w:rPr/>
        <w:t>4.10:</w:t>
      </w:r>
      <w:r>
        <w:rPr>
          <w:spacing w:val="77"/>
        </w:rPr>
        <w:t> </w:t>
      </w:r>
      <w:r>
        <w:rPr/>
        <w:t>Effect</w:t>
      </w:r>
      <w:r>
        <w:rPr>
          <w:spacing w:val="76"/>
        </w:rPr>
        <w:t> </w:t>
      </w:r>
      <w:r>
        <w:rPr/>
        <w:t>of</w:t>
      </w:r>
      <w:r>
        <w:rPr>
          <w:spacing w:val="74"/>
        </w:rPr>
        <w:t> </w:t>
      </w:r>
      <w:r>
        <w:rPr/>
        <w:t>2,5-</w:t>
      </w:r>
      <w:r>
        <w:rPr>
          <w:spacing w:val="77"/>
        </w:rPr>
        <w:t> </w:t>
      </w:r>
      <w:r>
        <w:rPr/>
        <w:t>Dichloro</w:t>
      </w:r>
      <w:r>
        <w:rPr>
          <w:spacing w:val="76"/>
        </w:rPr>
        <w:t> </w:t>
      </w:r>
      <w:r>
        <w:rPr/>
        <w:t>–</w:t>
      </w:r>
      <w:r>
        <w:rPr>
          <w:spacing w:val="76"/>
        </w:rPr>
        <w:t> </w:t>
      </w:r>
      <w:r>
        <w:rPr/>
        <w:t>3(aminophenyl)</w:t>
      </w:r>
      <w:r>
        <w:rPr>
          <w:spacing w:val="77"/>
        </w:rPr>
        <w:t> </w:t>
      </w:r>
      <w:r>
        <w:rPr/>
        <w:t>Propanamides</w:t>
      </w:r>
      <w:r>
        <w:rPr>
          <w:spacing w:val="77"/>
        </w:rPr>
        <w:t> </w:t>
      </w:r>
      <w:r>
        <w:rPr/>
        <w:t>on</w:t>
      </w:r>
      <w:r>
        <w:rPr>
          <w:spacing w:val="76"/>
        </w:rPr>
        <w:t> </w:t>
      </w:r>
      <w:r>
        <w:rPr/>
        <w:t>Renal Parameters after 28-Day Oral Admnistration in Rats</w:t>
      </w:r>
    </w:p>
    <w:p>
      <w:pPr>
        <w:pStyle w:val="BodyText"/>
        <w:spacing w:before="85"/>
        <w:rPr>
          <w:b/>
          <w:sz w:val="20"/>
        </w:rPr>
      </w:pPr>
      <w:r>
        <w:rPr/>
        <mc:AlternateContent>
          <mc:Choice Requires="wps">
            <w:drawing>
              <wp:anchor distT="0" distB="0" distL="0" distR="0" allowOverlap="1" layoutInCell="1" locked="0" behindDoc="1" simplePos="0" relativeHeight="487653376">
                <wp:simplePos x="0" y="0"/>
                <wp:positionH relativeFrom="page">
                  <wp:posOffset>1371600</wp:posOffset>
                </wp:positionH>
                <wp:positionV relativeFrom="paragraph">
                  <wp:posOffset>215324</wp:posOffset>
                </wp:positionV>
                <wp:extent cx="5486400" cy="1270"/>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6.954687pt;width:432pt;height:.1pt;mso-position-horizontal-relative:page;mso-position-vertical-relative:paragraph;z-index:-15663104;mso-wrap-distance-left:0;mso-wrap-distance-right:0" id="docshape108" coordorigin="2160,339" coordsize="8640,0" path="m2160,339l10800,339e" filled="false" stroked="true" strokeweight=".75pt" strokecolor="#000000">
                <v:path arrowok="t"/>
                <v:stroke dashstyle="solid"/>
                <w10:wrap type="topAndBottom"/>
              </v:shape>
            </w:pict>
          </mc:Fallback>
        </mc:AlternateContent>
      </w:r>
    </w:p>
    <w:p>
      <w:pPr>
        <w:tabs>
          <w:tab w:pos="5722" w:val="left" w:leader="none"/>
        </w:tabs>
        <w:spacing w:before="205"/>
        <w:ind w:left="681" w:right="0" w:firstLine="0"/>
        <w:jc w:val="left"/>
        <w:rPr>
          <w:b/>
          <w:sz w:val="22"/>
        </w:rPr>
      </w:pPr>
      <w:r>
        <w:rPr>
          <w:b/>
          <w:spacing w:val="-2"/>
          <w:sz w:val="22"/>
        </w:rPr>
        <w:t>Parameters</w:t>
      </w:r>
      <w:r>
        <w:rPr>
          <w:b/>
          <w:sz w:val="22"/>
        </w:rPr>
        <w:tab/>
      </w:r>
      <w:r>
        <w:rPr>
          <w:b/>
          <w:spacing w:val="-2"/>
          <w:sz w:val="22"/>
        </w:rPr>
        <w:t>Treatment</w:t>
      </w:r>
    </w:p>
    <w:p>
      <w:pPr>
        <w:tabs>
          <w:tab w:pos="4726" w:val="left" w:leader="none"/>
          <w:tab w:pos="6500" w:val="left" w:leader="none"/>
          <w:tab w:pos="7885" w:val="left" w:leader="none"/>
        </w:tabs>
        <w:spacing w:line="482" w:lineRule="auto" w:before="247"/>
        <w:ind w:left="3562" w:right="771" w:hanging="2881"/>
        <w:jc w:val="left"/>
        <w:rPr>
          <w:sz w:val="22"/>
        </w:rPr>
      </w:pPr>
      <w:r>
        <w:rPr/>
        <mc:AlternateContent>
          <mc:Choice Requires="wps">
            <w:drawing>
              <wp:anchor distT="0" distB="0" distL="0" distR="0" allowOverlap="1" layoutInCell="1" locked="0" behindDoc="1" simplePos="0" relativeHeight="483977728">
                <wp:simplePos x="0" y="0"/>
                <wp:positionH relativeFrom="page">
                  <wp:posOffset>3886200</wp:posOffset>
                </wp:positionH>
                <wp:positionV relativeFrom="paragraph">
                  <wp:posOffset>390221</wp:posOffset>
                </wp:positionV>
                <wp:extent cx="2971800" cy="127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2971800" cy="1270"/>
                        </a:xfrm>
                        <a:custGeom>
                          <a:avLst/>
                          <a:gdLst/>
                          <a:ahLst/>
                          <a:cxnLst/>
                          <a:rect l="l" t="t" r="r" b="b"/>
                          <a:pathLst>
                            <a:path w="2971800" h="0">
                              <a:moveTo>
                                <a:pt x="0" y="0"/>
                              </a:moveTo>
                              <a:lnTo>
                                <a:pt x="2971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38752" from="306pt,30.726074pt" to="540pt,30.726074pt" stroked="true" strokeweight=".75pt" strokecolor="#000000">
                <v:stroke dashstyle="solid"/>
                <w10:wrap type="none"/>
              </v:line>
            </w:pict>
          </mc:Fallback>
        </mc:AlternateContent>
      </w:r>
      <w:r>
        <w:rPr>
          <w:spacing w:val="-2"/>
          <w:sz w:val="22"/>
        </w:rPr>
        <w:t>(mMol/L)</w:t>
      </w:r>
      <w:r>
        <w:rPr>
          <w:sz w:val="22"/>
        </w:rPr>
        <w:tab/>
        <w:tab/>
      </w:r>
      <w:r>
        <w:rPr>
          <w:spacing w:val="-54"/>
          <w:sz w:val="22"/>
        </w:rPr>
        <w:t> </w:t>
      </w:r>
      <w:r>
        <w:rPr>
          <w:sz w:val="22"/>
        </w:rPr>
        <w:t>2,5-</w:t>
      </w:r>
      <w:r>
        <w:rPr>
          <w:spacing w:val="-13"/>
          <w:sz w:val="22"/>
        </w:rPr>
        <w:t> </w:t>
      </w:r>
      <w:r>
        <w:rPr>
          <w:sz w:val="22"/>
        </w:rPr>
        <w:t>Dichloro</w:t>
      </w:r>
      <w:r>
        <w:rPr>
          <w:spacing w:val="-14"/>
          <w:sz w:val="22"/>
        </w:rPr>
        <w:t> </w:t>
      </w:r>
      <w:r>
        <w:rPr>
          <w:sz w:val="22"/>
        </w:rPr>
        <w:t>–</w:t>
      </w:r>
      <w:r>
        <w:rPr>
          <w:spacing w:val="-11"/>
          <w:sz w:val="22"/>
        </w:rPr>
        <w:t> </w:t>
      </w:r>
      <w:r>
        <w:rPr>
          <w:sz w:val="22"/>
        </w:rPr>
        <w:t>3(aminophenyl)</w:t>
      </w:r>
      <w:r>
        <w:rPr>
          <w:spacing w:val="-13"/>
          <w:sz w:val="22"/>
        </w:rPr>
        <w:t> </w:t>
      </w:r>
      <w:r>
        <w:rPr>
          <w:sz w:val="22"/>
        </w:rPr>
        <w:t>Propanamides </w:t>
      </w:r>
      <w:r>
        <w:rPr>
          <w:spacing w:val="-2"/>
          <w:sz w:val="22"/>
        </w:rPr>
        <w:t>Control</w:t>
      </w:r>
      <w:r>
        <w:rPr>
          <w:sz w:val="22"/>
        </w:rPr>
        <w:tab/>
        <w:t>12.5 mg/kg</w:t>
        <w:tab/>
        <w:t>25 mg/kg</w:t>
        <w:tab/>
        <w:t>50 mg/kg</w:t>
      </w:r>
    </w:p>
    <w:p>
      <w:pPr>
        <w:pStyle w:val="BodyText"/>
        <w:rPr>
          <w:sz w:val="4"/>
        </w:rPr>
      </w:pPr>
      <w:r>
        <w:rPr/>
        <mc:AlternateContent>
          <mc:Choice Requires="wps">
            <w:drawing>
              <wp:anchor distT="0" distB="0" distL="0" distR="0" allowOverlap="1" layoutInCell="1" locked="0" behindDoc="1" simplePos="0" relativeHeight="487653888">
                <wp:simplePos x="0" y="0"/>
                <wp:positionH relativeFrom="page">
                  <wp:posOffset>1257300</wp:posOffset>
                </wp:positionH>
                <wp:positionV relativeFrom="paragraph">
                  <wp:posOffset>44797</wp:posOffset>
                </wp:positionV>
                <wp:extent cx="5600700" cy="127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5600700" cy="1270"/>
                        </a:xfrm>
                        <a:custGeom>
                          <a:avLst/>
                          <a:gdLst/>
                          <a:ahLst/>
                          <a:cxnLst/>
                          <a:rect l="l" t="t" r="r" b="b"/>
                          <a:pathLst>
                            <a:path w="5600700" h="0">
                              <a:moveTo>
                                <a:pt x="0" y="0"/>
                              </a:moveTo>
                              <a:lnTo>
                                <a:pt x="5600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pt;margin-top:3.527393pt;width:441pt;height:.1pt;mso-position-horizontal-relative:page;mso-position-vertical-relative:paragraph;z-index:-15662592;mso-wrap-distance-left:0;mso-wrap-distance-right:0" id="docshape109" coordorigin="1980,71" coordsize="8820,0" path="m1980,71l10800,71e" filled="false" stroked="true" strokeweight=".75pt" strokecolor="#000000">
                <v:path arrowok="t"/>
                <v:stroke dashstyle="solid"/>
                <w10:wrap type="topAndBottom"/>
              </v:shape>
            </w:pict>
          </mc:Fallback>
        </mc:AlternateContent>
      </w:r>
    </w:p>
    <w:p>
      <w:pPr>
        <w:pStyle w:val="BodyText"/>
        <w:rPr>
          <w:sz w:val="20"/>
        </w:rPr>
      </w:pPr>
    </w:p>
    <w:p>
      <w:pPr>
        <w:pStyle w:val="BodyText"/>
        <w:spacing w:before="18"/>
        <w:rPr>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2182"/>
        <w:gridCol w:w="1493"/>
        <w:gridCol w:w="1519"/>
        <w:gridCol w:w="1530"/>
      </w:tblGrid>
      <w:tr>
        <w:trPr>
          <w:trHeight w:val="376" w:hRule="atLeast"/>
        </w:trPr>
        <w:tc>
          <w:tcPr>
            <w:tcW w:w="1911" w:type="dxa"/>
          </w:tcPr>
          <w:p>
            <w:pPr>
              <w:pStyle w:val="TableParagraph"/>
              <w:spacing w:line="244" w:lineRule="exact"/>
              <w:ind w:left="50"/>
              <w:rPr>
                <w:sz w:val="22"/>
              </w:rPr>
            </w:pPr>
            <w:r>
              <w:rPr>
                <w:spacing w:val="-4"/>
                <w:sz w:val="22"/>
              </w:rPr>
              <w:t>Urea</w:t>
            </w:r>
          </w:p>
        </w:tc>
        <w:tc>
          <w:tcPr>
            <w:tcW w:w="2182" w:type="dxa"/>
          </w:tcPr>
          <w:p>
            <w:pPr>
              <w:pStyle w:val="TableParagraph"/>
              <w:spacing w:line="244" w:lineRule="exact"/>
              <w:ind w:left="851"/>
              <w:rPr>
                <w:sz w:val="22"/>
              </w:rPr>
            </w:pPr>
            <w:r>
              <w:rPr>
                <w:sz w:val="22"/>
              </w:rPr>
              <w:t>3.75</w:t>
            </w:r>
            <w:r>
              <w:rPr>
                <w:spacing w:val="-3"/>
                <w:sz w:val="22"/>
              </w:rPr>
              <w:t> </w:t>
            </w:r>
            <w:r>
              <w:rPr>
                <w:sz w:val="22"/>
              </w:rPr>
              <w:t>±</w:t>
            </w:r>
            <w:r>
              <w:rPr>
                <w:spacing w:val="3"/>
                <w:sz w:val="22"/>
              </w:rPr>
              <w:t> </w:t>
            </w:r>
            <w:r>
              <w:rPr>
                <w:spacing w:val="-4"/>
                <w:sz w:val="22"/>
              </w:rPr>
              <w:t>0.56</w:t>
            </w:r>
          </w:p>
        </w:tc>
        <w:tc>
          <w:tcPr>
            <w:tcW w:w="1493" w:type="dxa"/>
          </w:tcPr>
          <w:p>
            <w:pPr>
              <w:pStyle w:val="TableParagraph"/>
              <w:spacing w:line="244" w:lineRule="exact"/>
              <w:ind w:left="115"/>
              <w:rPr>
                <w:sz w:val="22"/>
              </w:rPr>
            </w:pPr>
            <w:r>
              <w:rPr>
                <w:sz w:val="22"/>
              </w:rPr>
              <w:t>3.25</w:t>
            </w:r>
            <w:r>
              <w:rPr>
                <w:spacing w:val="-5"/>
                <w:sz w:val="22"/>
              </w:rPr>
              <w:t> </w:t>
            </w:r>
            <w:r>
              <w:rPr>
                <w:sz w:val="22"/>
              </w:rPr>
              <w:t>± </w:t>
            </w:r>
            <w:r>
              <w:rPr>
                <w:spacing w:val="-4"/>
                <w:sz w:val="22"/>
              </w:rPr>
              <w:t>0.43</w:t>
            </w:r>
          </w:p>
        </w:tc>
        <w:tc>
          <w:tcPr>
            <w:tcW w:w="1519" w:type="dxa"/>
          </w:tcPr>
          <w:p>
            <w:pPr>
              <w:pStyle w:val="TableParagraph"/>
              <w:spacing w:line="244" w:lineRule="exact"/>
              <w:ind w:left="170"/>
              <w:rPr>
                <w:sz w:val="22"/>
              </w:rPr>
            </w:pPr>
            <w:r>
              <w:rPr>
                <w:sz w:val="22"/>
              </w:rPr>
              <w:t>5.08</w:t>
            </w:r>
            <w:r>
              <w:rPr>
                <w:spacing w:val="-5"/>
                <w:sz w:val="22"/>
              </w:rPr>
              <w:t> </w:t>
            </w:r>
            <w:r>
              <w:rPr>
                <w:sz w:val="22"/>
              </w:rPr>
              <w:t>± </w:t>
            </w:r>
            <w:r>
              <w:rPr>
                <w:spacing w:val="-4"/>
                <w:sz w:val="22"/>
              </w:rPr>
              <w:t>0.60</w:t>
            </w:r>
          </w:p>
        </w:tc>
        <w:tc>
          <w:tcPr>
            <w:tcW w:w="1530" w:type="dxa"/>
          </w:tcPr>
          <w:p>
            <w:pPr>
              <w:pStyle w:val="TableParagraph"/>
              <w:spacing w:line="244" w:lineRule="exact"/>
              <w:ind w:left="142"/>
              <w:rPr>
                <w:sz w:val="22"/>
              </w:rPr>
            </w:pPr>
            <w:r>
              <w:rPr>
                <w:sz w:val="22"/>
              </w:rPr>
              <w:t>6.73</w:t>
            </w:r>
            <w:r>
              <w:rPr>
                <w:spacing w:val="-3"/>
                <w:sz w:val="22"/>
              </w:rPr>
              <w:t> </w:t>
            </w:r>
            <w:r>
              <w:rPr>
                <w:sz w:val="22"/>
              </w:rPr>
              <w:t>±</w:t>
            </w:r>
            <w:r>
              <w:rPr>
                <w:spacing w:val="3"/>
                <w:sz w:val="22"/>
              </w:rPr>
              <w:t> </w:t>
            </w:r>
            <w:r>
              <w:rPr>
                <w:spacing w:val="-2"/>
                <w:sz w:val="22"/>
              </w:rPr>
              <w:t>0.78*</w:t>
            </w:r>
          </w:p>
        </w:tc>
      </w:tr>
      <w:tr>
        <w:trPr>
          <w:trHeight w:val="506" w:hRule="atLeast"/>
        </w:trPr>
        <w:tc>
          <w:tcPr>
            <w:tcW w:w="1911" w:type="dxa"/>
          </w:tcPr>
          <w:p>
            <w:pPr>
              <w:pStyle w:val="TableParagraph"/>
              <w:spacing w:before="124"/>
              <w:ind w:left="50"/>
              <w:rPr>
                <w:sz w:val="22"/>
              </w:rPr>
            </w:pPr>
            <w:r>
              <w:rPr>
                <w:spacing w:val="-2"/>
                <w:sz w:val="22"/>
              </w:rPr>
              <w:t>Sodium</w:t>
            </w:r>
          </w:p>
        </w:tc>
        <w:tc>
          <w:tcPr>
            <w:tcW w:w="2182" w:type="dxa"/>
          </w:tcPr>
          <w:p>
            <w:pPr>
              <w:pStyle w:val="TableParagraph"/>
              <w:spacing w:before="124"/>
              <w:ind w:left="851"/>
              <w:rPr>
                <w:sz w:val="22"/>
              </w:rPr>
            </w:pPr>
            <w:r>
              <w:rPr>
                <w:sz w:val="22"/>
              </w:rPr>
              <w:t>136.50</w:t>
            </w:r>
            <w:r>
              <w:rPr>
                <w:spacing w:val="-5"/>
                <w:sz w:val="22"/>
              </w:rPr>
              <w:t> </w:t>
            </w:r>
            <w:r>
              <w:rPr>
                <w:sz w:val="22"/>
              </w:rPr>
              <w:t>±</w:t>
            </w:r>
            <w:r>
              <w:rPr>
                <w:spacing w:val="3"/>
                <w:sz w:val="22"/>
              </w:rPr>
              <w:t> </w:t>
            </w:r>
            <w:r>
              <w:rPr>
                <w:spacing w:val="-4"/>
                <w:sz w:val="22"/>
              </w:rPr>
              <w:t>0.50</w:t>
            </w:r>
          </w:p>
        </w:tc>
        <w:tc>
          <w:tcPr>
            <w:tcW w:w="1493" w:type="dxa"/>
          </w:tcPr>
          <w:p>
            <w:pPr>
              <w:pStyle w:val="TableParagraph"/>
              <w:spacing w:before="124"/>
              <w:ind w:left="113"/>
              <w:rPr>
                <w:sz w:val="22"/>
              </w:rPr>
            </w:pPr>
            <w:r>
              <w:rPr>
                <w:sz w:val="22"/>
              </w:rPr>
              <w:t>140.00</w:t>
            </w:r>
            <w:r>
              <w:rPr>
                <w:spacing w:val="-7"/>
                <w:sz w:val="22"/>
              </w:rPr>
              <w:t> </w:t>
            </w:r>
            <w:r>
              <w:rPr>
                <w:sz w:val="22"/>
              </w:rPr>
              <w:t>± </w:t>
            </w:r>
            <w:r>
              <w:rPr>
                <w:spacing w:val="-4"/>
                <w:sz w:val="22"/>
              </w:rPr>
              <w:t>1.78</w:t>
            </w:r>
          </w:p>
        </w:tc>
        <w:tc>
          <w:tcPr>
            <w:tcW w:w="1519" w:type="dxa"/>
          </w:tcPr>
          <w:p>
            <w:pPr>
              <w:pStyle w:val="TableParagraph"/>
              <w:spacing w:before="124"/>
              <w:ind w:left="168"/>
              <w:rPr>
                <w:sz w:val="22"/>
              </w:rPr>
            </w:pPr>
            <w:r>
              <w:rPr>
                <w:sz w:val="22"/>
              </w:rPr>
              <w:t>137.75</w:t>
            </w:r>
            <w:r>
              <w:rPr>
                <w:spacing w:val="-7"/>
                <w:sz w:val="22"/>
              </w:rPr>
              <w:t> </w:t>
            </w:r>
            <w:r>
              <w:rPr>
                <w:sz w:val="22"/>
              </w:rPr>
              <w:t>± </w:t>
            </w:r>
            <w:r>
              <w:rPr>
                <w:spacing w:val="-4"/>
                <w:sz w:val="22"/>
              </w:rPr>
              <w:t>3.25</w:t>
            </w:r>
          </w:p>
        </w:tc>
        <w:tc>
          <w:tcPr>
            <w:tcW w:w="1530" w:type="dxa"/>
          </w:tcPr>
          <w:p>
            <w:pPr>
              <w:pStyle w:val="TableParagraph"/>
              <w:spacing w:before="124"/>
              <w:ind w:left="140"/>
              <w:rPr>
                <w:sz w:val="22"/>
              </w:rPr>
            </w:pPr>
            <w:r>
              <w:rPr>
                <w:sz w:val="22"/>
              </w:rPr>
              <w:t>137.25</w:t>
            </w:r>
            <w:r>
              <w:rPr>
                <w:spacing w:val="-2"/>
                <w:sz w:val="22"/>
              </w:rPr>
              <w:t> </w:t>
            </w:r>
            <w:r>
              <w:rPr>
                <w:sz w:val="22"/>
              </w:rPr>
              <w:t>±</w:t>
            </w:r>
            <w:r>
              <w:rPr>
                <w:spacing w:val="-5"/>
                <w:sz w:val="22"/>
              </w:rPr>
              <w:t> </w:t>
            </w:r>
            <w:r>
              <w:rPr>
                <w:spacing w:val="-4"/>
                <w:sz w:val="22"/>
              </w:rPr>
              <w:t>3.33</w:t>
            </w:r>
          </w:p>
        </w:tc>
      </w:tr>
      <w:tr>
        <w:trPr>
          <w:trHeight w:val="504" w:hRule="atLeast"/>
        </w:trPr>
        <w:tc>
          <w:tcPr>
            <w:tcW w:w="1911" w:type="dxa"/>
          </w:tcPr>
          <w:p>
            <w:pPr>
              <w:pStyle w:val="TableParagraph"/>
              <w:spacing w:before="121"/>
              <w:ind w:left="50"/>
              <w:rPr>
                <w:sz w:val="22"/>
              </w:rPr>
            </w:pPr>
            <w:r>
              <w:rPr>
                <w:spacing w:val="-2"/>
                <w:sz w:val="22"/>
              </w:rPr>
              <w:t>Potassium</w:t>
            </w:r>
          </w:p>
        </w:tc>
        <w:tc>
          <w:tcPr>
            <w:tcW w:w="2182" w:type="dxa"/>
          </w:tcPr>
          <w:p>
            <w:pPr>
              <w:pStyle w:val="TableParagraph"/>
              <w:spacing w:before="121"/>
              <w:ind w:left="847"/>
              <w:rPr>
                <w:sz w:val="22"/>
              </w:rPr>
            </w:pPr>
            <w:r>
              <w:rPr>
                <w:sz w:val="22"/>
              </w:rPr>
              <w:t>3.80</w:t>
            </w:r>
            <w:r>
              <w:rPr>
                <w:spacing w:val="-3"/>
                <w:sz w:val="22"/>
              </w:rPr>
              <w:t> </w:t>
            </w:r>
            <w:r>
              <w:rPr>
                <w:sz w:val="22"/>
              </w:rPr>
              <w:t>±</w:t>
            </w:r>
            <w:r>
              <w:rPr>
                <w:spacing w:val="3"/>
                <w:sz w:val="22"/>
              </w:rPr>
              <w:t> </w:t>
            </w:r>
            <w:r>
              <w:rPr>
                <w:spacing w:val="-4"/>
                <w:sz w:val="22"/>
              </w:rPr>
              <w:t>0.15</w:t>
            </w:r>
          </w:p>
        </w:tc>
        <w:tc>
          <w:tcPr>
            <w:tcW w:w="1493" w:type="dxa"/>
          </w:tcPr>
          <w:p>
            <w:pPr>
              <w:pStyle w:val="TableParagraph"/>
              <w:spacing w:before="121"/>
              <w:ind w:left="107"/>
              <w:rPr>
                <w:sz w:val="22"/>
              </w:rPr>
            </w:pPr>
            <w:r>
              <w:rPr>
                <w:sz w:val="22"/>
              </w:rPr>
              <w:t>4.58</w:t>
            </w:r>
            <w:r>
              <w:rPr>
                <w:spacing w:val="-5"/>
                <w:sz w:val="22"/>
              </w:rPr>
              <w:t> </w:t>
            </w:r>
            <w:r>
              <w:rPr>
                <w:sz w:val="22"/>
              </w:rPr>
              <w:t>± </w:t>
            </w:r>
            <w:r>
              <w:rPr>
                <w:spacing w:val="-4"/>
                <w:sz w:val="22"/>
              </w:rPr>
              <w:t>0.18</w:t>
            </w:r>
          </w:p>
        </w:tc>
        <w:tc>
          <w:tcPr>
            <w:tcW w:w="1519" w:type="dxa"/>
          </w:tcPr>
          <w:p>
            <w:pPr>
              <w:pStyle w:val="TableParagraph"/>
              <w:spacing w:before="121"/>
              <w:ind w:left="163"/>
              <w:rPr>
                <w:sz w:val="22"/>
              </w:rPr>
            </w:pPr>
            <w:r>
              <w:rPr>
                <w:sz w:val="22"/>
              </w:rPr>
              <w:t>5.15</w:t>
            </w:r>
            <w:r>
              <w:rPr>
                <w:spacing w:val="-5"/>
                <w:sz w:val="22"/>
              </w:rPr>
              <w:t> </w:t>
            </w:r>
            <w:r>
              <w:rPr>
                <w:sz w:val="22"/>
              </w:rPr>
              <w:t>±</w:t>
            </w:r>
            <w:r>
              <w:rPr>
                <w:spacing w:val="-5"/>
                <w:sz w:val="22"/>
              </w:rPr>
              <w:t> </w:t>
            </w:r>
            <w:r>
              <w:rPr>
                <w:spacing w:val="-4"/>
                <w:sz w:val="22"/>
              </w:rPr>
              <w:t>0.39</w:t>
            </w:r>
          </w:p>
        </w:tc>
        <w:tc>
          <w:tcPr>
            <w:tcW w:w="1530" w:type="dxa"/>
          </w:tcPr>
          <w:p>
            <w:pPr>
              <w:pStyle w:val="TableParagraph"/>
              <w:spacing w:before="121"/>
              <w:ind w:left="135"/>
              <w:rPr>
                <w:sz w:val="22"/>
              </w:rPr>
            </w:pPr>
            <w:r>
              <w:rPr>
                <w:sz w:val="22"/>
              </w:rPr>
              <w:t>4.45</w:t>
            </w:r>
            <w:r>
              <w:rPr>
                <w:spacing w:val="-2"/>
                <w:sz w:val="22"/>
              </w:rPr>
              <w:t> </w:t>
            </w:r>
            <w:r>
              <w:rPr>
                <w:sz w:val="22"/>
              </w:rPr>
              <w:t>±</w:t>
            </w:r>
            <w:r>
              <w:rPr>
                <w:spacing w:val="-3"/>
                <w:sz w:val="22"/>
              </w:rPr>
              <w:t> </w:t>
            </w:r>
            <w:r>
              <w:rPr>
                <w:spacing w:val="-4"/>
                <w:sz w:val="22"/>
              </w:rPr>
              <w:t>0.49</w:t>
            </w:r>
          </w:p>
        </w:tc>
      </w:tr>
      <w:tr>
        <w:trPr>
          <w:trHeight w:val="506" w:hRule="atLeast"/>
        </w:trPr>
        <w:tc>
          <w:tcPr>
            <w:tcW w:w="1911" w:type="dxa"/>
          </w:tcPr>
          <w:p>
            <w:pPr>
              <w:pStyle w:val="TableParagraph"/>
              <w:spacing w:before="121"/>
              <w:ind w:left="50"/>
              <w:rPr>
                <w:sz w:val="22"/>
              </w:rPr>
            </w:pPr>
            <w:r>
              <w:rPr>
                <w:spacing w:val="-2"/>
                <w:sz w:val="22"/>
              </w:rPr>
              <w:t>Chloride</w:t>
            </w:r>
          </w:p>
        </w:tc>
        <w:tc>
          <w:tcPr>
            <w:tcW w:w="2182" w:type="dxa"/>
          </w:tcPr>
          <w:p>
            <w:pPr>
              <w:pStyle w:val="TableParagraph"/>
              <w:spacing w:before="121"/>
              <w:ind w:left="851"/>
              <w:rPr>
                <w:sz w:val="22"/>
              </w:rPr>
            </w:pPr>
            <w:r>
              <w:rPr>
                <w:sz w:val="22"/>
              </w:rPr>
              <w:t>98.25</w:t>
            </w:r>
            <w:r>
              <w:rPr>
                <w:spacing w:val="-5"/>
                <w:sz w:val="22"/>
              </w:rPr>
              <w:t> </w:t>
            </w:r>
            <w:r>
              <w:rPr>
                <w:sz w:val="22"/>
              </w:rPr>
              <w:t>±</w:t>
            </w:r>
            <w:r>
              <w:rPr>
                <w:spacing w:val="3"/>
                <w:sz w:val="22"/>
              </w:rPr>
              <w:t> </w:t>
            </w:r>
            <w:r>
              <w:rPr>
                <w:spacing w:val="-4"/>
                <w:sz w:val="22"/>
              </w:rPr>
              <w:t>0.85</w:t>
            </w:r>
          </w:p>
        </w:tc>
        <w:tc>
          <w:tcPr>
            <w:tcW w:w="1493" w:type="dxa"/>
          </w:tcPr>
          <w:p>
            <w:pPr>
              <w:pStyle w:val="TableParagraph"/>
              <w:spacing w:before="121"/>
              <w:ind w:left="112"/>
              <w:rPr>
                <w:sz w:val="22"/>
              </w:rPr>
            </w:pPr>
            <w:r>
              <w:rPr>
                <w:sz w:val="22"/>
              </w:rPr>
              <w:t>104.75</w:t>
            </w:r>
            <w:r>
              <w:rPr>
                <w:spacing w:val="-7"/>
                <w:sz w:val="22"/>
              </w:rPr>
              <w:t> </w:t>
            </w:r>
            <w:r>
              <w:rPr>
                <w:sz w:val="22"/>
              </w:rPr>
              <w:t>± </w:t>
            </w:r>
            <w:r>
              <w:rPr>
                <w:spacing w:val="-4"/>
                <w:sz w:val="22"/>
              </w:rPr>
              <w:t>0.85</w:t>
            </w:r>
          </w:p>
        </w:tc>
        <w:tc>
          <w:tcPr>
            <w:tcW w:w="1519" w:type="dxa"/>
          </w:tcPr>
          <w:p>
            <w:pPr>
              <w:pStyle w:val="TableParagraph"/>
              <w:spacing w:before="121"/>
              <w:ind w:left="168"/>
              <w:rPr>
                <w:sz w:val="22"/>
              </w:rPr>
            </w:pPr>
            <w:r>
              <w:rPr>
                <w:sz w:val="22"/>
              </w:rPr>
              <w:t>104.25</w:t>
            </w:r>
            <w:r>
              <w:rPr>
                <w:spacing w:val="-7"/>
                <w:sz w:val="22"/>
              </w:rPr>
              <w:t> </w:t>
            </w:r>
            <w:r>
              <w:rPr>
                <w:sz w:val="22"/>
              </w:rPr>
              <w:t>± </w:t>
            </w:r>
            <w:r>
              <w:rPr>
                <w:spacing w:val="-4"/>
                <w:sz w:val="22"/>
              </w:rPr>
              <w:t>2.39</w:t>
            </w:r>
          </w:p>
        </w:tc>
        <w:tc>
          <w:tcPr>
            <w:tcW w:w="1530" w:type="dxa"/>
          </w:tcPr>
          <w:p>
            <w:pPr>
              <w:pStyle w:val="TableParagraph"/>
              <w:spacing w:before="121"/>
              <w:ind w:left="140"/>
              <w:rPr>
                <w:sz w:val="22"/>
              </w:rPr>
            </w:pPr>
            <w:r>
              <w:rPr>
                <w:sz w:val="22"/>
              </w:rPr>
              <w:t>101.25</w:t>
            </w:r>
            <w:r>
              <w:rPr>
                <w:spacing w:val="-2"/>
                <w:sz w:val="22"/>
              </w:rPr>
              <w:t> </w:t>
            </w:r>
            <w:r>
              <w:rPr>
                <w:sz w:val="22"/>
              </w:rPr>
              <w:t>±</w:t>
            </w:r>
            <w:r>
              <w:rPr>
                <w:spacing w:val="-5"/>
                <w:sz w:val="22"/>
              </w:rPr>
              <w:t> </w:t>
            </w:r>
            <w:r>
              <w:rPr>
                <w:spacing w:val="-4"/>
                <w:sz w:val="22"/>
              </w:rPr>
              <w:t>3.15</w:t>
            </w:r>
          </w:p>
        </w:tc>
      </w:tr>
      <w:tr>
        <w:trPr>
          <w:trHeight w:val="506" w:hRule="atLeast"/>
        </w:trPr>
        <w:tc>
          <w:tcPr>
            <w:tcW w:w="1911" w:type="dxa"/>
          </w:tcPr>
          <w:p>
            <w:pPr>
              <w:pStyle w:val="TableParagraph"/>
              <w:spacing w:before="123"/>
              <w:ind w:left="50"/>
              <w:rPr>
                <w:sz w:val="22"/>
              </w:rPr>
            </w:pPr>
            <w:r>
              <w:rPr>
                <w:spacing w:val="-2"/>
                <w:sz w:val="22"/>
              </w:rPr>
              <w:t>Bicarbonate</w:t>
            </w:r>
          </w:p>
        </w:tc>
        <w:tc>
          <w:tcPr>
            <w:tcW w:w="2182" w:type="dxa"/>
          </w:tcPr>
          <w:p>
            <w:pPr>
              <w:pStyle w:val="TableParagraph"/>
              <w:spacing w:before="123"/>
              <w:ind w:left="851"/>
              <w:rPr>
                <w:sz w:val="22"/>
              </w:rPr>
            </w:pPr>
            <w:r>
              <w:rPr>
                <w:sz w:val="22"/>
              </w:rPr>
              <w:t>25.50</w:t>
            </w:r>
            <w:r>
              <w:rPr>
                <w:spacing w:val="-5"/>
                <w:sz w:val="22"/>
              </w:rPr>
              <w:t> </w:t>
            </w:r>
            <w:r>
              <w:rPr>
                <w:sz w:val="22"/>
              </w:rPr>
              <w:t>±</w:t>
            </w:r>
            <w:r>
              <w:rPr>
                <w:spacing w:val="3"/>
                <w:sz w:val="22"/>
              </w:rPr>
              <w:t> </w:t>
            </w:r>
            <w:r>
              <w:rPr>
                <w:spacing w:val="-4"/>
                <w:sz w:val="22"/>
              </w:rPr>
              <w:t>0.87</w:t>
            </w:r>
          </w:p>
        </w:tc>
        <w:tc>
          <w:tcPr>
            <w:tcW w:w="1493" w:type="dxa"/>
          </w:tcPr>
          <w:p>
            <w:pPr>
              <w:pStyle w:val="TableParagraph"/>
              <w:spacing w:before="123"/>
              <w:ind w:left="165"/>
              <w:rPr>
                <w:sz w:val="22"/>
              </w:rPr>
            </w:pPr>
            <w:r>
              <w:rPr>
                <w:sz w:val="22"/>
              </w:rPr>
              <w:t>22.75</w:t>
            </w:r>
            <w:r>
              <w:rPr>
                <w:spacing w:val="-2"/>
                <w:sz w:val="22"/>
              </w:rPr>
              <w:t> </w:t>
            </w:r>
            <w:r>
              <w:rPr>
                <w:sz w:val="22"/>
              </w:rPr>
              <w:t>±</w:t>
            </w:r>
            <w:r>
              <w:rPr>
                <w:spacing w:val="-5"/>
                <w:sz w:val="22"/>
              </w:rPr>
              <w:t> </w:t>
            </w:r>
            <w:r>
              <w:rPr>
                <w:spacing w:val="-4"/>
                <w:sz w:val="22"/>
              </w:rPr>
              <w:t>1.11</w:t>
            </w:r>
          </w:p>
        </w:tc>
        <w:tc>
          <w:tcPr>
            <w:tcW w:w="1519" w:type="dxa"/>
          </w:tcPr>
          <w:p>
            <w:pPr>
              <w:pStyle w:val="TableParagraph"/>
              <w:spacing w:before="123"/>
              <w:ind w:left="168"/>
              <w:rPr>
                <w:sz w:val="22"/>
              </w:rPr>
            </w:pPr>
            <w:r>
              <w:rPr>
                <w:sz w:val="22"/>
              </w:rPr>
              <w:t>20.25</w:t>
            </w:r>
            <w:r>
              <w:rPr>
                <w:spacing w:val="-7"/>
                <w:sz w:val="22"/>
              </w:rPr>
              <w:t> </w:t>
            </w:r>
            <w:r>
              <w:rPr>
                <w:sz w:val="22"/>
              </w:rPr>
              <w:t>± </w:t>
            </w:r>
            <w:r>
              <w:rPr>
                <w:spacing w:val="-4"/>
                <w:sz w:val="22"/>
              </w:rPr>
              <w:t>2.50</w:t>
            </w:r>
          </w:p>
        </w:tc>
        <w:tc>
          <w:tcPr>
            <w:tcW w:w="1530" w:type="dxa"/>
          </w:tcPr>
          <w:p>
            <w:pPr>
              <w:pStyle w:val="TableParagraph"/>
              <w:spacing w:before="123"/>
              <w:ind w:left="140"/>
              <w:rPr>
                <w:sz w:val="22"/>
              </w:rPr>
            </w:pPr>
            <w:r>
              <w:rPr>
                <w:sz w:val="22"/>
              </w:rPr>
              <w:t>24.25</w:t>
            </w:r>
            <w:r>
              <w:rPr>
                <w:spacing w:val="-2"/>
                <w:sz w:val="22"/>
              </w:rPr>
              <w:t> </w:t>
            </w:r>
            <w:r>
              <w:rPr>
                <w:sz w:val="22"/>
              </w:rPr>
              <w:t>±</w:t>
            </w:r>
            <w:r>
              <w:rPr>
                <w:spacing w:val="-5"/>
                <w:sz w:val="22"/>
              </w:rPr>
              <w:t> </w:t>
            </w:r>
            <w:r>
              <w:rPr>
                <w:spacing w:val="-4"/>
                <w:sz w:val="22"/>
              </w:rPr>
              <w:t>2.06</w:t>
            </w:r>
          </w:p>
        </w:tc>
      </w:tr>
      <w:tr>
        <w:trPr>
          <w:trHeight w:val="506" w:hRule="atLeast"/>
        </w:trPr>
        <w:tc>
          <w:tcPr>
            <w:tcW w:w="1911" w:type="dxa"/>
          </w:tcPr>
          <w:p>
            <w:pPr>
              <w:pStyle w:val="TableParagraph"/>
              <w:spacing w:before="121"/>
              <w:ind w:left="50"/>
              <w:rPr>
                <w:sz w:val="22"/>
              </w:rPr>
            </w:pPr>
            <w:r>
              <w:rPr>
                <w:spacing w:val="-2"/>
                <w:sz w:val="22"/>
              </w:rPr>
              <w:t>Creatinine</w:t>
            </w:r>
          </w:p>
        </w:tc>
        <w:tc>
          <w:tcPr>
            <w:tcW w:w="2182" w:type="dxa"/>
          </w:tcPr>
          <w:p>
            <w:pPr>
              <w:pStyle w:val="TableParagraph"/>
              <w:spacing w:before="121"/>
              <w:ind w:left="851"/>
              <w:rPr>
                <w:sz w:val="22"/>
              </w:rPr>
            </w:pPr>
            <w:r>
              <w:rPr>
                <w:sz w:val="22"/>
              </w:rPr>
              <w:t>53.25</w:t>
            </w:r>
            <w:r>
              <w:rPr>
                <w:spacing w:val="-5"/>
                <w:sz w:val="22"/>
              </w:rPr>
              <w:t> </w:t>
            </w:r>
            <w:r>
              <w:rPr>
                <w:sz w:val="22"/>
              </w:rPr>
              <w:t>±</w:t>
            </w:r>
            <w:r>
              <w:rPr>
                <w:spacing w:val="3"/>
                <w:sz w:val="22"/>
              </w:rPr>
              <w:t> </w:t>
            </w:r>
            <w:r>
              <w:rPr>
                <w:spacing w:val="-4"/>
                <w:sz w:val="22"/>
              </w:rPr>
              <w:t>7.94</w:t>
            </w:r>
          </w:p>
        </w:tc>
        <w:tc>
          <w:tcPr>
            <w:tcW w:w="1493" w:type="dxa"/>
          </w:tcPr>
          <w:p>
            <w:pPr>
              <w:pStyle w:val="TableParagraph"/>
              <w:spacing w:before="121"/>
              <w:ind w:left="165"/>
              <w:rPr>
                <w:sz w:val="22"/>
              </w:rPr>
            </w:pPr>
            <w:r>
              <w:rPr>
                <w:sz w:val="22"/>
              </w:rPr>
              <w:t>51.25</w:t>
            </w:r>
            <w:r>
              <w:rPr>
                <w:spacing w:val="-2"/>
                <w:sz w:val="22"/>
              </w:rPr>
              <w:t> </w:t>
            </w:r>
            <w:r>
              <w:rPr>
                <w:sz w:val="22"/>
              </w:rPr>
              <w:t>±</w:t>
            </w:r>
            <w:r>
              <w:rPr>
                <w:spacing w:val="-5"/>
                <w:sz w:val="22"/>
              </w:rPr>
              <w:t> </w:t>
            </w:r>
            <w:r>
              <w:rPr>
                <w:spacing w:val="-4"/>
                <w:sz w:val="22"/>
              </w:rPr>
              <w:t>9.56</w:t>
            </w:r>
          </w:p>
        </w:tc>
        <w:tc>
          <w:tcPr>
            <w:tcW w:w="1519" w:type="dxa"/>
          </w:tcPr>
          <w:p>
            <w:pPr>
              <w:pStyle w:val="TableParagraph"/>
              <w:spacing w:before="121"/>
              <w:ind w:left="168"/>
              <w:rPr>
                <w:sz w:val="22"/>
              </w:rPr>
            </w:pPr>
            <w:r>
              <w:rPr>
                <w:sz w:val="22"/>
              </w:rPr>
              <w:t>82.50</w:t>
            </w:r>
            <w:r>
              <w:rPr>
                <w:spacing w:val="-5"/>
                <w:sz w:val="22"/>
              </w:rPr>
              <w:t> </w:t>
            </w:r>
            <w:r>
              <w:rPr>
                <w:sz w:val="22"/>
              </w:rPr>
              <w:t>± </w:t>
            </w:r>
            <w:r>
              <w:rPr>
                <w:spacing w:val="-2"/>
                <w:sz w:val="22"/>
              </w:rPr>
              <w:t>18.71</w:t>
            </w:r>
          </w:p>
        </w:tc>
        <w:tc>
          <w:tcPr>
            <w:tcW w:w="1530" w:type="dxa"/>
          </w:tcPr>
          <w:p>
            <w:pPr>
              <w:pStyle w:val="TableParagraph"/>
              <w:spacing w:before="121"/>
              <w:ind w:left="140"/>
              <w:rPr>
                <w:sz w:val="22"/>
              </w:rPr>
            </w:pPr>
            <w:r>
              <w:rPr>
                <w:sz w:val="22"/>
              </w:rPr>
              <w:t>88.75</w:t>
            </w:r>
            <w:r>
              <w:rPr>
                <w:spacing w:val="4"/>
                <w:sz w:val="22"/>
              </w:rPr>
              <w:t> </w:t>
            </w:r>
            <w:r>
              <w:rPr>
                <w:sz w:val="22"/>
              </w:rPr>
              <w:t>±</w:t>
            </w:r>
            <w:r>
              <w:rPr>
                <w:spacing w:val="-2"/>
                <w:sz w:val="22"/>
              </w:rPr>
              <w:t> 12.73*</w:t>
            </w:r>
          </w:p>
        </w:tc>
      </w:tr>
      <w:tr>
        <w:trPr>
          <w:trHeight w:val="506" w:hRule="atLeast"/>
        </w:trPr>
        <w:tc>
          <w:tcPr>
            <w:tcW w:w="1911" w:type="dxa"/>
          </w:tcPr>
          <w:p>
            <w:pPr>
              <w:pStyle w:val="TableParagraph"/>
              <w:spacing w:before="123"/>
              <w:ind w:left="50"/>
              <w:rPr>
                <w:sz w:val="22"/>
              </w:rPr>
            </w:pPr>
            <w:r>
              <w:rPr>
                <w:spacing w:val="-2"/>
                <w:sz w:val="22"/>
              </w:rPr>
              <w:t>Calcium</w:t>
            </w:r>
          </w:p>
        </w:tc>
        <w:tc>
          <w:tcPr>
            <w:tcW w:w="2182" w:type="dxa"/>
          </w:tcPr>
          <w:p>
            <w:pPr>
              <w:pStyle w:val="TableParagraph"/>
              <w:spacing w:before="123"/>
              <w:ind w:left="851"/>
              <w:rPr>
                <w:sz w:val="22"/>
              </w:rPr>
            </w:pPr>
            <w:r>
              <w:rPr>
                <w:sz w:val="22"/>
              </w:rPr>
              <w:t>2.36</w:t>
            </w:r>
            <w:r>
              <w:rPr>
                <w:spacing w:val="-3"/>
                <w:sz w:val="22"/>
              </w:rPr>
              <w:t> </w:t>
            </w:r>
            <w:r>
              <w:rPr>
                <w:sz w:val="22"/>
              </w:rPr>
              <w:t>±</w:t>
            </w:r>
            <w:r>
              <w:rPr>
                <w:spacing w:val="3"/>
                <w:sz w:val="22"/>
              </w:rPr>
              <w:t> </w:t>
            </w:r>
            <w:r>
              <w:rPr>
                <w:spacing w:val="-4"/>
                <w:sz w:val="22"/>
              </w:rPr>
              <w:t>0.06</w:t>
            </w:r>
          </w:p>
        </w:tc>
        <w:tc>
          <w:tcPr>
            <w:tcW w:w="1493" w:type="dxa"/>
          </w:tcPr>
          <w:p>
            <w:pPr>
              <w:pStyle w:val="TableParagraph"/>
              <w:spacing w:before="123"/>
              <w:ind w:left="165"/>
              <w:rPr>
                <w:sz w:val="22"/>
              </w:rPr>
            </w:pPr>
            <w:r>
              <w:rPr>
                <w:sz w:val="22"/>
              </w:rPr>
              <w:t>2.43 ±</w:t>
            </w:r>
            <w:r>
              <w:rPr>
                <w:spacing w:val="-5"/>
                <w:sz w:val="22"/>
              </w:rPr>
              <w:t> </w:t>
            </w:r>
            <w:r>
              <w:rPr>
                <w:spacing w:val="-4"/>
                <w:sz w:val="22"/>
              </w:rPr>
              <w:t>0.09</w:t>
            </w:r>
          </w:p>
        </w:tc>
        <w:tc>
          <w:tcPr>
            <w:tcW w:w="1519" w:type="dxa"/>
          </w:tcPr>
          <w:p>
            <w:pPr>
              <w:pStyle w:val="TableParagraph"/>
              <w:spacing w:before="123"/>
              <w:ind w:left="168"/>
              <w:rPr>
                <w:sz w:val="22"/>
              </w:rPr>
            </w:pPr>
            <w:r>
              <w:rPr>
                <w:sz w:val="22"/>
              </w:rPr>
              <w:t>2.49</w:t>
            </w:r>
            <w:r>
              <w:rPr>
                <w:spacing w:val="-5"/>
                <w:sz w:val="22"/>
              </w:rPr>
              <w:t> </w:t>
            </w:r>
            <w:r>
              <w:rPr>
                <w:sz w:val="22"/>
              </w:rPr>
              <w:t>± </w:t>
            </w:r>
            <w:r>
              <w:rPr>
                <w:spacing w:val="-4"/>
                <w:sz w:val="22"/>
              </w:rPr>
              <w:t>0.13</w:t>
            </w:r>
          </w:p>
        </w:tc>
        <w:tc>
          <w:tcPr>
            <w:tcW w:w="1530" w:type="dxa"/>
          </w:tcPr>
          <w:p>
            <w:pPr>
              <w:pStyle w:val="TableParagraph"/>
              <w:spacing w:before="123"/>
              <w:ind w:left="139"/>
              <w:rPr>
                <w:sz w:val="22"/>
              </w:rPr>
            </w:pPr>
            <w:r>
              <w:rPr>
                <w:sz w:val="22"/>
              </w:rPr>
              <w:t>2.41</w:t>
            </w:r>
            <w:r>
              <w:rPr>
                <w:spacing w:val="-3"/>
                <w:sz w:val="22"/>
              </w:rPr>
              <w:t> </w:t>
            </w:r>
            <w:r>
              <w:rPr>
                <w:sz w:val="22"/>
              </w:rPr>
              <w:t>±</w:t>
            </w:r>
            <w:r>
              <w:rPr>
                <w:spacing w:val="3"/>
                <w:sz w:val="22"/>
              </w:rPr>
              <w:t> </w:t>
            </w:r>
            <w:r>
              <w:rPr>
                <w:spacing w:val="-4"/>
                <w:sz w:val="22"/>
              </w:rPr>
              <w:t>0.14</w:t>
            </w:r>
          </w:p>
        </w:tc>
      </w:tr>
      <w:tr>
        <w:trPr>
          <w:trHeight w:val="374" w:hRule="atLeast"/>
        </w:trPr>
        <w:tc>
          <w:tcPr>
            <w:tcW w:w="1911" w:type="dxa"/>
          </w:tcPr>
          <w:p>
            <w:pPr>
              <w:pStyle w:val="TableParagraph"/>
              <w:spacing w:line="233" w:lineRule="exact" w:before="121"/>
              <w:ind w:left="50"/>
              <w:rPr>
                <w:sz w:val="22"/>
              </w:rPr>
            </w:pPr>
            <w:r>
              <w:rPr>
                <w:spacing w:val="-2"/>
                <w:sz w:val="22"/>
              </w:rPr>
              <w:t>Phosphorus</w:t>
            </w:r>
          </w:p>
        </w:tc>
        <w:tc>
          <w:tcPr>
            <w:tcW w:w="2182" w:type="dxa"/>
          </w:tcPr>
          <w:p>
            <w:pPr>
              <w:pStyle w:val="TableParagraph"/>
              <w:spacing w:line="233" w:lineRule="exact" w:before="121"/>
              <w:ind w:left="799"/>
              <w:rPr>
                <w:sz w:val="22"/>
              </w:rPr>
            </w:pPr>
            <w:r>
              <w:rPr>
                <w:sz w:val="22"/>
              </w:rPr>
              <w:t>1.10 ±</w:t>
            </w:r>
            <w:r>
              <w:rPr>
                <w:spacing w:val="-5"/>
                <w:sz w:val="22"/>
              </w:rPr>
              <w:t> </w:t>
            </w:r>
            <w:r>
              <w:rPr>
                <w:spacing w:val="-4"/>
                <w:sz w:val="22"/>
              </w:rPr>
              <w:t>0.07</w:t>
            </w:r>
          </w:p>
        </w:tc>
        <w:tc>
          <w:tcPr>
            <w:tcW w:w="1493" w:type="dxa"/>
          </w:tcPr>
          <w:p>
            <w:pPr>
              <w:pStyle w:val="TableParagraph"/>
              <w:spacing w:line="233" w:lineRule="exact" w:before="121"/>
              <w:ind w:left="165"/>
              <w:rPr>
                <w:sz w:val="22"/>
              </w:rPr>
            </w:pPr>
            <w:r>
              <w:rPr>
                <w:sz w:val="22"/>
              </w:rPr>
              <w:t>1.02 ±</w:t>
            </w:r>
            <w:r>
              <w:rPr>
                <w:spacing w:val="-5"/>
                <w:sz w:val="22"/>
              </w:rPr>
              <w:t> </w:t>
            </w:r>
            <w:r>
              <w:rPr>
                <w:spacing w:val="-4"/>
                <w:sz w:val="22"/>
              </w:rPr>
              <w:t>0.03</w:t>
            </w:r>
          </w:p>
        </w:tc>
        <w:tc>
          <w:tcPr>
            <w:tcW w:w="1519" w:type="dxa"/>
          </w:tcPr>
          <w:p>
            <w:pPr>
              <w:pStyle w:val="TableParagraph"/>
              <w:spacing w:line="233" w:lineRule="exact" w:before="121"/>
              <w:ind w:left="168"/>
              <w:rPr>
                <w:sz w:val="22"/>
              </w:rPr>
            </w:pPr>
            <w:r>
              <w:rPr>
                <w:sz w:val="22"/>
              </w:rPr>
              <w:t>1.33</w:t>
            </w:r>
            <w:r>
              <w:rPr>
                <w:spacing w:val="-5"/>
                <w:sz w:val="22"/>
              </w:rPr>
              <w:t> </w:t>
            </w:r>
            <w:r>
              <w:rPr>
                <w:sz w:val="22"/>
              </w:rPr>
              <w:t>± </w:t>
            </w:r>
            <w:r>
              <w:rPr>
                <w:spacing w:val="-4"/>
                <w:sz w:val="22"/>
              </w:rPr>
              <w:t>0.06</w:t>
            </w:r>
          </w:p>
        </w:tc>
        <w:tc>
          <w:tcPr>
            <w:tcW w:w="1530" w:type="dxa"/>
          </w:tcPr>
          <w:p>
            <w:pPr>
              <w:pStyle w:val="TableParagraph"/>
              <w:spacing w:line="233" w:lineRule="exact" w:before="121"/>
              <w:ind w:left="140"/>
              <w:rPr>
                <w:sz w:val="22"/>
              </w:rPr>
            </w:pPr>
            <w:r>
              <w:rPr>
                <w:sz w:val="22"/>
              </w:rPr>
              <w:t>1.19</w:t>
            </w:r>
            <w:r>
              <w:rPr>
                <w:spacing w:val="-3"/>
                <w:sz w:val="22"/>
              </w:rPr>
              <w:t> </w:t>
            </w:r>
            <w:r>
              <w:rPr>
                <w:sz w:val="22"/>
              </w:rPr>
              <w:t>±</w:t>
            </w:r>
            <w:r>
              <w:rPr>
                <w:spacing w:val="3"/>
                <w:sz w:val="22"/>
              </w:rPr>
              <w:t> </w:t>
            </w:r>
            <w:r>
              <w:rPr>
                <w:spacing w:val="-4"/>
                <w:sz w:val="22"/>
              </w:rPr>
              <w:t>0.12</w:t>
            </w:r>
          </w:p>
        </w:tc>
      </w:tr>
    </w:tbl>
    <w:p>
      <w:pPr>
        <w:pStyle w:val="BodyText"/>
        <w:spacing w:before="10"/>
        <w:rPr>
          <w:sz w:val="17"/>
        </w:rPr>
      </w:pPr>
      <w:r>
        <w:rPr/>
        <mc:AlternateContent>
          <mc:Choice Requires="wps">
            <w:drawing>
              <wp:anchor distT="0" distB="0" distL="0" distR="0" allowOverlap="1" layoutInCell="1" locked="0" behindDoc="1" simplePos="0" relativeHeight="487654400">
                <wp:simplePos x="0" y="0"/>
                <wp:positionH relativeFrom="page">
                  <wp:posOffset>1257300</wp:posOffset>
                </wp:positionH>
                <wp:positionV relativeFrom="paragraph">
                  <wp:posOffset>145896</wp:posOffset>
                </wp:positionV>
                <wp:extent cx="5600700" cy="127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5600700" cy="1270"/>
                        </a:xfrm>
                        <a:custGeom>
                          <a:avLst/>
                          <a:gdLst/>
                          <a:ahLst/>
                          <a:cxnLst/>
                          <a:rect l="l" t="t" r="r" b="b"/>
                          <a:pathLst>
                            <a:path w="5600700" h="0">
                              <a:moveTo>
                                <a:pt x="0" y="0"/>
                              </a:moveTo>
                              <a:lnTo>
                                <a:pt x="5600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pt;margin-top:11.48789pt;width:441pt;height:.1pt;mso-position-horizontal-relative:page;mso-position-vertical-relative:paragraph;z-index:-15662080;mso-wrap-distance-left:0;mso-wrap-distance-right:0" id="docshape110" coordorigin="1980,230" coordsize="8820,0" path="m1980,230l10800,230e" filled="false" stroked="true" strokeweight=".75pt" strokecolor="#000000">
                <v:path arrowok="t"/>
                <v:stroke dashstyle="solid"/>
                <w10:wrap type="topAndBottom"/>
              </v:shape>
            </w:pict>
          </mc:Fallback>
        </mc:AlternateContent>
      </w:r>
    </w:p>
    <w:p>
      <w:pPr>
        <w:spacing w:line="480" w:lineRule="auto" w:before="18"/>
        <w:ind w:left="681" w:right="0" w:firstLine="0"/>
        <w:jc w:val="left"/>
        <w:rPr>
          <w:sz w:val="22"/>
        </w:rPr>
      </w:pPr>
      <w:r>
        <w:rPr>
          <w:sz w:val="24"/>
        </w:rPr>
        <w:t>Data</w:t>
      </w:r>
      <w:r>
        <w:rPr>
          <w:spacing w:val="40"/>
          <w:sz w:val="24"/>
        </w:rPr>
        <w:t> </w:t>
      </w:r>
      <w:r>
        <w:rPr>
          <w:sz w:val="24"/>
        </w:rPr>
        <w:t>presented</w:t>
      </w:r>
      <w:r>
        <w:rPr>
          <w:spacing w:val="40"/>
          <w:sz w:val="24"/>
        </w:rPr>
        <w:t> </w:t>
      </w:r>
      <w:r>
        <w:rPr>
          <w:sz w:val="24"/>
        </w:rPr>
        <w:t>as</w:t>
      </w:r>
      <w:r>
        <w:rPr>
          <w:spacing w:val="40"/>
          <w:sz w:val="24"/>
        </w:rPr>
        <w:t> </w:t>
      </w:r>
      <w:r>
        <w:rPr>
          <w:sz w:val="24"/>
        </w:rPr>
        <w:t>mean</w:t>
      </w:r>
      <w:r>
        <w:rPr>
          <w:spacing w:val="40"/>
          <w:sz w:val="24"/>
        </w:rPr>
        <w:t> </w:t>
      </w:r>
      <w:r>
        <w:rPr>
          <w:sz w:val="22"/>
        </w:rPr>
        <w:t>±</w:t>
      </w:r>
      <w:r>
        <w:rPr>
          <w:spacing w:val="40"/>
          <w:sz w:val="22"/>
        </w:rPr>
        <w:t> </w:t>
      </w:r>
      <w:r>
        <w:rPr>
          <w:sz w:val="22"/>
        </w:rPr>
        <w:t>SEM,</w:t>
      </w:r>
      <w:r>
        <w:rPr>
          <w:spacing w:val="40"/>
          <w:sz w:val="22"/>
        </w:rPr>
        <w:t> </w:t>
      </w:r>
      <w:r>
        <w:rPr>
          <w:sz w:val="22"/>
        </w:rPr>
        <w:t>n</w:t>
      </w:r>
      <w:r>
        <w:rPr>
          <w:spacing w:val="40"/>
          <w:sz w:val="22"/>
        </w:rPr>
        <w:t> </w:t>
      </w:r>
      <w:r>
        <w:rPr>
          <w:sz w:val="22"/>
        </w:rPr>
        <w:t>=</w:t>
      </w:r>
      <w:r>
        <w:rPr>
          <w:spacing w:val="40"/>
          <w:sz w:val="22"/>
        </w:rPr>
        <w:t> </w:t>
      </w:r>
      <w:r>
        <w:rPr>
          <w:sz w:val="22"/>
        </w:rPr>
        <w:t>4</w:t>
      </w:r>
      <w:r>
        <w:rPr>
          <w:spacing w:val="40"/>
          <w:sz w:val="22"/>
        </w:rPr>
        <w:t> </w:t>
      </w:r>
      <w:r>
        <w:rPr>
          <w:sz w:val="22"/>
        </w:rPr>
        <w:t>rats</w:t>
      </w:r>
      <w:r>
        <w:rPr>
          <w:spacing w:val="40"/>
          <w:sz w:val="22"/>
        </w:rPr>
        <w:t> </w:t>
      </w:r>
      <w:r>
        <w:rPr>
          <w:sz w:val="22"/>
        </w:rPr>
        <w:t>per</w:t>
      </w:r>
      <w:r>
        <w:rPr>
          <w:spacing w:val="40"/>
          <w:sz w:val="22"/>
        </w:rPr>
        <w:t> </w:t>
      </w:r>
      <w:r>
        <w:rPr>
          <w:sz w:val="22"/>
        </w:rPr>
        <w:t>group,</w:t>
      </w:r>
      <w:r>
        <w:rPr>
          <w:spacing w:val="40"/>
          <w:sz w:val="22"/>
        </w:rPr>
        <w:t> </w:t>
      </w:r>
      <w:r>
        <w:rPr>
          <w:sz w:val="22"/>
        </w:rPr>
        <w:t>statistical</w:t>
      </w:r>
      <w:r>
        <w:rPr>
          <w:spacing w:val="40"/>
          <w:sz w:val="22"/>
        </w:rPr>
        <w:t> </w:t>
      </w:r>
      <w:r>
        <w:rPr>
          <w:sz w:val="22"/>
        </w:rPr>
        <w:t>significant</w:t>
      </w:r>
      <w:r>
        <w:rPr>
          <w:spacing w:val="40"/>
          <w:sz w:val="22"/>
        </w:rPr>
        <w:t> </w:t>
      </w:r>
      <w:r>
        <w:rPr>
          <w:sz w:val="22"/>
        </w:rPr>
        <w:t>difference</w:t>
      </w:r>
      <w:r>
        <w:rPr>
          <w:spacing w:val="40"/>
          <w:sz w:val="22"/>
        </w:rPr>
        <w:t> </w:t>
      </w:r>
      <w:r>
        <w:rPr>
          <w:sz w:val="22"/>
        </w:rPr>
        <w:t>at (p&lt;0.05), ANOVA test.</w:t>
      </w:r>
    </w:p>
    <w:p>
      <w:pPr>
        <w:spacing w:after="0" w:line="480" w:lineRule="auto"/>
        <w:jc w:val="left"/>
        <w:rPr>
          <w:sz w:val="22"/>
        </w:rPr>
        <w:sectPr>
          <w:pgSz w:w="12240" w:h="15840"/>
          <w:pgMar w:header="0" w:footer="1066" w:top="1360" w:bottom="1260" w:left="1480" w:right="1160"/>
        </w:sectPr>
      </w:pPr>
    </w:p>
    <w:p>
      <w:pPr>
        <w:pStyle w:val="Heading2"/>
        <w:spacing w:line="480" w:lineRule="auto" w:before="77"/>
        <w:jc w:val="left"/>
      </w:pPr>
      <w:r>
        <w:rPr/>
        <w:t>Table 4.11: Effect of 2,5- Dichloro – 3(aminophenyl) Propanamides on Lipid Profile after 28-Day Oral Admnistration in Rats</w:t>
      </w:r>
    </w:p>
    <w:p>
      <w:pPr>
        <w:pStyle w:val="BodyText"/>
        <w:spacing w:before="85"/>
        <w:rPr>
          <w:b/>
          <w:sz w:val="20"/>
        </w:rPr>
      </w:pPr>
      <w:r>
        <w:rPr/>
        <mc:AlternateContent>
          <mc:Choice Requires="wps">
            <w:drawing>
              <wp:anchor distT="0" distB="0" distL="0" distR="0" allowOverlap="1" layoutInCell="1" locked="0" behindDoc="1" simplePos="0" relativeHeight="487655424">
                <wp:simplePos x="0" y="0"/>
                <wp:positionH relativeFrom="page">
                  <wp:posOffset>1371600</wp:posOffset>
                </wp:positionH>
                <wp:positionV relativeFrom="paragraph">
                  <wp:posOffset>215324</wp:posOffset>
                </wp:positionV>
                <wp:extent cx="5486400" cy="127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6.954687pt;width:432pt;height:.1pt;mso-position-horizontal-relative:page;mso-position-vertical-relative:paragraph;z-index:-15661056;mso-wrap-distance-left:0;mso-wrap-distance-right:0" id="docshape111" coordorigin="2160,339" coordsize="8640,0" path="m2160,339l10800,339e" filled="false" stroked="true" strokeweight=".75pt" strokecolor="#000000">
                <v:path arrowok="t"/>
                <v:stroke dashstyle="solid"/>
                <w10:wrap type="topAndBottom"/>
              </v:shape>
            </w:pict>
          </mc:Fallback>
        </mc:AlternateContent>
      </w:r>
    </w:p>
    <w:p>
      <w:pPr>
        <w:tabs>
          <w:tab w:pos="5722" w:val="left" w:leader="none"/>
        </w:tabs>
        <w:spacing w:before="205"/>
        <w:ind w:left="681" w:right="0" w:firstLine="0"/>
        <w:jc w:val="left"/>
        <w:rPr>
          <w:b/>
          <w:sz w:val="22"/>
        </w:rPr>
      </w:pPr>
      <w:r>
        <w:rPr>
          <w:b/>
          <w:spacing w:val="-2"/>
          <w:sz w:val="22"/>
        </w:rPr>
        <w:t>Parameters</w:t>
      </w:r>
      <w:r>
        <w:rPr>
          <w:b/>
          <w:sz w:val="22"/>
        </w:rPr>
        <w:tab/>
      </w:r>
      <w:r>
        <w:rPr>
          <w:b/>
          <w:spacing w:val="-2"/>
          <w:sz w:val="22"/>
        </w:rPr>
        <w:t>Treatment</w:t>
      </w:r>
    </w:p>
    <w:p>
      <w:pPr>
        <w:tabs>
          <w:tab w:pos="4726" w:val="left" w:leader="none"/>
          <w:tab w:pos="5002" w:val="left" w:leader="none"/>
          <w:tab w:pos="6500" w:val="left" w:leader="none"/>
          <w:tab w:pos="7885" w:val="left" w:leader="none"/>
        </w:tabs>
        <w:spacing w:line="482" w:lineRule="auto" w:before="247"/>
        <w:ind w:left="3562" w:right="488" w:hanging="2881"/>
        <w:jc w:val="left"/>
        <w:rPr>
          <w:sz w:val="22"/>
        </w:rPr>
      </w:pPr>
      <w:r>
        <w:rPr/>
        <mc:AlternateContent>
          <mc:Choice Requires="wps">
            <w:drawing>
              <wp:anchor distT="0" distB="0" distL="0" distR="0" allowOverlap="1" layoutInCell="1" locked="0" behindDoc="1" simplePos="0" relativeHeight="483979264">
                <wp:simplePos x="0" y="0"/>
                <wp:positionH relativeFrom="page">
                  <wp:posOffset>3886200</wp:posOffset>
                </wp:positionH>
                <wp:positionV relativeFrom="paragraph">
                  <wp:posOffset>390221</wp:posOffset>
                </wp:positionV>
                <wp:extent cx="2971800" cy="127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2971800" cy="1270"/>
                        </a:xfrm>
                        <a:custGeom>
                          <a:avLst/>
                          <a:gdLst/>
                          <a:ahLst/>
                          <a:cxnLst/>
                          <a:rect l="l" t="t" r="r" b="b"/>
                          <a:pathLst>
                            <a:path w="2971800" h="0">
                              <a:moveTo>
                                <a:pt x="0" y="0"/>
                              </a:moveTo>
                              <a:lnTo>
                                <a:pt x="2971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37216" from="306pt,30.726074pt" to="540pt,30.726074pt" stroked="true" strokeweight=".75pt" strokecolor="#000000">
                <v:stroke dashstyle="solid"/>
                <w10:wrap type="none"/>
              </v:line>
            </w:pict>
          </mc:Fallback>
        </mc:AlternateContent>
      </w:r>
      <w:r>
        <w:rPr>
          <w:spacing w:val="-2"/>
          <w:sz w:val="22"/>
        </w:rPr>
        <w:t>(mMol/L)</w:t>
      </w:r>
      <w:r>
        <w:rPr>
          <w:sz w:val="22"/>
        </w:rPr>
        <w:tab/>
        <w:tab/>
        <w:tab/>
        <w:t>2,5-</w:t>
      </w:r>
      <w:r>
        <w:rPr>
          <w:spacing w:val="-11"/>
          <w:sz w:val="22"/>
        </w:rPr>
        <w:t> </w:t>
      </w:r>
      <w:r>
        <w:rPr>
          <w:sz w:val="22"/>
        </w:rPr>
        <w:t>Dichloro</w:t>
      </w:r>
      <w:r>
        <w:rPr>
          <w:spacing w:val="-13"/>
          <w:sz w:val="22"/>
        </w:rPr>
        <w:t> </w:t>
      </w:r>
      <w:r>
        <w:rPr>
          <w:sz w:val="22"/>
        </w:rPr>
        <w:t>–</w:t>
      </w:r>
      <w:r>
        <w:rPr>
          <w:spacing w:val="-10"/>
          <w:sz w:val="22"/>
        </w:rPr>
        <w:t> </w:t>
      </w:r>
      <w:r>
        <w:rPr>
          <w:sz w:val="22"/>
        </w:rPr>
        <w:t>3(aminophenyl)</w:t>
      </w:r>
      <w:r>
        <w:rPr>
          <w:spacing w:val="-10"/>
          <w:sz w:val="22"/>
        </w:rPr>
        <w:t> </w:t>
      </w:r>
      <w:r>
        <w:rPr>
          <w:sz w:val="22"/>
        </w:rPr>
        <w:t>Propanamides </w:t>
      </w:r>
      <w:r>
        <w:rPr>
          <w:spacing w:val="-2"/>
          <w:sz w:val="22"/>
        </w:rPr>
        <w:t>Control</w:t>
      </w:r>
      <w:r>
        <w:rPr>
          <w:sz w:val="22"/>
        </w:rPr>
        <w:tab/>
        <w:t>12.5 mg/kg</w:t>
        <w:tab/>
        <w:t>25 mg/kg</w:t>
        <w:tab/>
        <w:t>50 mg/kg</w:t>
      </w:r>
    </w:p>
    <w:p>
      <w:pPr>
        <w:pStyle w:val="BodyText"/>
        <w:rPr>
          <w:sz w:val="4"/>
        </w:rPr>
      </w:pPr>
      <w:r>
        <w:rPr/>
        <mc:AlternateContent>
          <mc:Choice Requires="wps">
            <w:drawing>
              <wp:anchor distT="0" distB="0" distL="0" distR="0" allowOverlap="1" layoutInCell="1" locked="0" behindDoc="1" simplePos="0" relativeHeight="487655936">
                <wp:simplePos x="0" y="0"/>
                <wp:positionH relativeFrom="page">
                  <wp:posOffset>1371600</wp:posOffset>
                </wp:positionH>
                <wp:positionV relativeFrom="paragraph">
                  <wp:posOffset>44797</wp:posOffset>
                </wp:positionV>
                <wp:extent cx="5486400" cy="1270"/>
                <wp:effectExtent l="0" t="0" r="0" b="0"/>
                <wp:wrapTopAndBottom/>
                <wp:docPr id="202" name="Graphic 202"/>
                <wp:cNvGraphicFramePr>
                  <a:graphicFrameLocks/>
                </wp:cNvGraphicFramePr>
                <a:graphic>
                  <a:graphicData uri="http://schemas.microsoft.com/office/word/2010/wordprocessingShape">
                    <wps:wsp>
                      <wps:cNvPr id="202" name="Graphic 202"/>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3.527393pt;width:432pt;height:.1pt;mso-position-horizontal-relative:page;mso-position-vertical-relative:paragraph;z-index:-15660544;mso-wrap-distance-left:0;mso-wrap-distance-right:0" id="docshape112" coordorigin="2160,71" coordsize="8640,0" path="m2160,71l10800,71e" filled="false" stroked="true" strokeweight=".75pt" strokecolor="#000000">
                <v:path arrowok="t"/>
                <v:stroke dashstyle="solid"/>
                <w10:wrap type="topAndBottom"/>
              </v:shape>
            </w:pict>
          </mc:Fallback>
        </mc:AlternateContent>
      </w:r>
    </w:p>
    <w:p>
      <w:pPr>
        <w:pStyle w:val="BodyText"/>
        <w:rPr>
          <w:sz w:val="20"/>
        </w:rPr>
      </w:pPr>
    </w:p>
    <w:p>
      <w:pPr>
        <w:pStyle w:val="BodyText"/>
        <w:spacing w:before="18"/>
        <w:rPr>
          <w:sz w:val="20"/>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4"/>
        <w:gridCol w:w="1371"/>
        <w:gridCol w:w="1491"/>
        <w:gridCol w:w="1542"/>
        <w:gridCol w:w="1854"/>
      </w:tblGrid>
      <w:tr>
        <w:trPr>
          <w:trHeight w:val="376" w:hRule="atLeast"/>
        </w:trPr>
        <w:tc>
          <w:tcPr>
            <w:tcW w:w="2384" w:type="dxa"/>
          </w:tcPr>
          <w:p>
            <w:pPr>
              <w:pStyle w:val="TableParagraph"/>
              <w:spacing w:line="244" w:lineRule="exact"/>
              <w:rPr>
                <w:sz w:val="22"/>
              </w:rPr>
            </w:pPr>
            <w:r>
              <w:rPr>
                <w:sz w:val="22"/>
              </w:rPr>
              <w:t>Total</w:t>
            </w:r>
            <w:r>
              <w:rPr>
                <w:spacing w:val="-2"/>
                <w:sz w:val="22"/>
              </w:rPr>
              <w:t> Cholesterol</w:t>
            </w:r>
          </w:p>
        </w:tc>
        <w:tc>
          <w:tcPr>
            <w:tcW w:w="1371" w:type="dxa"/>
          </w:tcPr>
          <w:p>
            <w:pPr>
              <w:pStyle w:val="TableParagraph"/>
              <w:spacing w:line="244" w:lineRule="exact"/>
              <w:ind w:left="114"/>
              <w:rPr>
                <w:sz w:val="22"/>
              </w:rPr>
            </w:pPr>
            <w:r>
              <w:rPr>
                <w:sz w:val="22"/>
              </w:rPr>
              <w:t>4.70</w:t>
            </w:r>
            <w:r>
              <w:rPr>
                <w:spacing w:val="-5"/>
                <w:sz w:val="22"/>
              </w:rPr>
              <w:t> </w:t>
            </w:r>
            <w:r>
              <w:rPr>
                <w:sz w:val="22"/>
              </w:rPr>
              <w:t>± </w:t>
            </w:r>
            <w:r>
              <w:rPr>
                <w:spacing w:val="-4"/>
                <w:sz w:val="22"/>
              </w:rPr>
              <w:t>0.53</w:t>
            </w:r>
          </w:p>
        </w:tc>
        <w:tc>
          <w:tcPr>
            <w:tcW w:w="1491" w:type="dxa"/>
          </w:tcPr>
          <w:p>
            <w:pPr>
              <w:pStyle w:val="TableParagraph"/>
              <w:spacing w:line="244" w:lineRule="exact"/>
              <w:ind w:left="233"/>
              <w:rPr>
                <w:sz w:val="22"/>
              </w:rPr>
            </w:pPr>
            <w:r>
              <w:rPr>
                <w:sz w:val="22"/>
              </w:rPr>
              <w:t>3.93 ±</w:t>
            </w:r>
            <w:r>
              <w:rPr>
                <w:spacing w:val="-5"/>
                <w:sz w:val="22"/>
              </w:rPr>
              <w:t> </w:t>
            </w:r>
            <w:r>
              <w:rPr>
                <w:spacing w:val="-4"/>
                <w:sz w:val="22"/>
              </w:rPr>
              <w:t>0.53</w:t>
            </w:r>
          </w:p>
        </w:tc>
        <w:tc>
          <w:tcPr>
            <w:tcW w:w="1542" w:type="dxa"/>
          </w:tcPr>
          <w:p>
            <w:pPr>
              <w:pStyle w:val="TableParagraph"/>
              <w:spacing w:line="244" w:lineRule="exact"/>
              <w:ind w:left="291"/>
              <w:rPr>
                <w:sz w:val="22"/>
              </w:rPr>
            </w:pPr>
            <w:r>
              <w:rPr>
                <w:sz w:val="22"/>
              </w:rPr>
              <w:t>5.93</w:t>
            </w:r>
            <w:r>
              <w:rPr>
                <w:spacing w:val="-2"/>
                <w:sz w:val="22"/>
              </w:rPr>
              <w:t> </w:t>
            </w:r>
            <w:r>
              <w:rPr>
                <w:sz w:val="22"/>
              </w:rPr>
              <w:t>±</w:t>
            </w:r>
            <w:r>
              <w:rPr>
                <w:spacing w:val="-3"/>
                <w:sz w:val="22"/>
              </w:rPr>
              <w:t> </w:t>
            </w:r>
            <w:r>
              <w:rPr>
                <w:spacing w:val="-4"/>
                <w:sz w:val="22"/>
              </w:rPr>
              <w:t>1.38</w:t>
            </w:r>
          </w:p>
        </w:tc>
        <w:tc>
          <w:tcPr>
            <w:tcW w:w="1854" w:type="dxa"/>
          </w:tcPr>
          <w:p>
            <w:pPr>
              <w:pStyle w:val="TableParagraph"/>
              <w:spacing w:line="244" w:lineRule="exact"/>
              <w:ind w:left="240"/>
              <w:rPr>
                <w:sz w:val="22"/>
              </w:rPr>
            </w:pPr>
            <w:r>
              <w:rPr>
                <w:sz w:val="22"/>
              </w:rPr>
              <w:t>4.55</w:t>
            </w:r>
            <w:r>
              <w:rPr>
                <w:spacing w:val="1"/>
                <w:sz w:val="22"/>
              </w:rPr>
              <w:t> </w:t>
            </w:r>
            <w:r>
              <w:rPr>
                <w:sz w:val="22"/>
              </w:rPr>
              <w:t>±</w:t>
            </w:r>
            <w:r>
              <w:rPr>
                <w:spacing w:val="-3"/>
                <w:sz w:val="22"/>
              </w:rPr>
              <w:t> </w:t>
            </w:r>
            <w:r>
              <w:rPr>
                <w:spacing w:val="-4"/>
                <w:sz w:val="22"/>
              </w:rPr>
              <w:t>0.36</w:t>
            </w:r>
          </w:p>
        </w:tc>
      </w:tr>
      <w:tr>
        <w:trPr>
          <w:trHeight w:val="506" w:hRule="atLeast"/>
        </w:trPr>
        <w:tc>
          <w:tcPr>
            <w:tcW w:w="2384" w:type="dxa"/>
          </w:tcPr>
          <w:p>
            <w:pPr>
              <w:pStyle w:val="TableParagraph"/>
              <w:spacing w:before="124"/>
              <w:rPr>
                <w:sz w:val="22"/>
              </w:rPr>
            </w:pPr>
            <w:r>
              <w:rPr>
                <w:sz w:val="22"/>
              </w:rPr>
              <w:t>High</w:t>
            </w:r>
            <w:r>
              <w:rPr>
                <w:spacing w:val="-6"/>
                <w:sz w:val="22"/>
              </w:rPr>
              <w:t> </w:t>
            </w:r>
            <w:r>
              <w:rPr>
                <w:sz w:val="22"/>
              </w:rPr>
              <w:t>Density</w:t>
            </w:r>
            <w:r>
              <w:rPr>
                <w:spacing w:val="-5"/>
                <w:sz w:val="22"/>
              </w:rPr>
              <w:t> </w:t>
            </w:r>
            <w:r>
              <w:rPr>
                <w:spacing w:val="-2"/>
                <w:sz w:val="22"/>
              </w:rPr>
              <w:t>Lipoprotein</w:t>
            </w:r>
          </w:p>
        </w:tc>
        <w:tc>
          <w:tcPr>
            <w:tcW w:w="1371" w:type="dxa"/>
          </w:tcPr>
          <w:p>
            <w:pPr>
              <w:pStyle w:val="TableParagraph"/>
              <w:spacing w:before="124"/>
              <w:ind w:left="114"/>
              <w:rPr>
                <w:sz w:val="22"/>
              </w:rPr>
            </w:pPr>
            <w:r>
              <w:rPr>
                <w:sz w:val="22"/>
              </w:rPr>
              <w:t>1.55 ±</w:t>
            </w:r>
            <w:r>
              <w:rPr>
                <w:spacing w:val="-5"/>
                <w:sz w:val="22"/>
              </w:rPr>
              <w:t> </w:t>
            </w:r>
            <w:r>
              <w:rPr>
                <w:spacing w:val="-4"/>
                <w:sz w:val="22"/>
              </w:rPr>
              <w:t>0.43</w:t>
            </w:r>
          </w:p>
        </w:tc>
        <w:tc>
          <w:tcPr>
            <w:tcW w:w="1491" w:type="dxa"/>
          </w:tcPr>
          <w:p>
            <w:pPr>
              <w:pStyle w:val="TableParagraph"/>
              <w:spacing w:before="124"/>
              <w:ind w:left="238"/>
              <w:rPr>
                <w:sz w:val="22"/>
              </w:rPr>
            </w:pPr>
            <w:r>
              <w:rPr>
                <w:sz w:val="22"/>
              </w:rPr>
              <w:t>1.60</w:t>
            </w:r>
            <w:r>
              <w:rPr>
                <w:spacing w:val="-2"/>
                <w:sz w:val="22"/>
              </w:rPr>
              <w:t> </w:t>
            </w:r>
            <w:r>
              <w:rPr>
                <w:sz w:val="22"/>
              </w:rPr>
              <w:t>±</w:t>
            </w:r>
            <w:r>
              <w:rPr>
                <w:spacing w:val="-5"/>
                <w:sz w:val="22"/>
              </w:rPr>
              <w:t> </w:t>
            </w:r>
            <w:r>
              <w:rPr>
                <w:spacing w:val="-4"/>
                <w:sz w:val="22"/>
              </w:rPr>
              <w:t>0.29</w:t>
            </w:r>
          </w:p>
        </w:tc>
        <w:tc>
          <w:tcPr>
            <w:tcW w:w="1542" w:type="dxa"/>
          </w:tcPr>
          <w:p>
            <w:pPr>
              <w:pStyle w:val="TableParagraph"/>
              <w:spacing w:before="124"/>
              <w:ind w:left="291"/>
              <w:rPr>
                <w:sz w:val="22"/>
              </w:rPr>
            </w:pPr>
            <w:r>
              <w:rPr>
                <w:sz w:val="22"/>
              </w:rPr>
              <w:t>1.93</w:t>
            </w:r>
            <w:r>
              <w:rPr>
                <w:spacing w:val="3"/>
                <w:sz w:val="22"/>
              </w:rPr>
              <w:t> </w:t>
            </w:r>
            <w:r>
              <w:rPr>
                <w:sz w:val="22"/>
              </w:rPr>
              <w:t>±</w:t>
            </w:r>
            <w:r>
              <w:rPr>
                <w:spacing w:val="2"/>
                <w:sz w:val="22"/>
              </w:rPr>
              <w:t> </w:t>
            </w:r>
            <w:r>
              <w:rPr>
                <w:spacing w:val="-4"/>
                <w:sz w:val="22"/>
              </w:rPr>
              <w:t>0.67</w:t>
            </w:r>
          </w:p>
        </w:tc>
        <w:tc>
          <w:tcPr>
            <w:tcW w:w="1854" w:type="dxa"/>
          </w:tcPr>
          <w:p>
            <w:pPr>
              <w:pStyle w:val="TableParagraph"/>
              <w:spacing w:before="124"/>
              <w:ind w:left="249"/>
              <w:rPr>
                <w:sz w:val="22"/>
              </w:rPr>
            </w:pPr>
            <w:r>
              <w:rPr>
                <w:sz w:val="22"/>
              </w:rPr>
              <w:t>1.38</w:t>
            </w:r>
            <w:r>
              <w:rPr>
                <w:spacing w:val="-2"/>
                <w:sz w:val="22"/>
              </w:rPr>
              <w:t> </w:t>
            </w:r>
            <w:r>
              <w:rPr>
                <w:sz w:val="22"/>
              </w:rPr>
              <w:t>±</w:t>
            </w:r>
            <w:r>
              <w:rPr>
                <w:spacing w:val="-5"/>
                <w:sz w:val="22"/>
              </w:rPr>
              <w:t> </w:t>
            </w:r>
            <w:r>
              <w:rPr>
                <w:spacing w:val="-4"/>
                <w:sz w:val="22"/>
              </w:rPr>
              <w:t>0.25</w:t>
            </w:r>
          </w:p>
        </w:tc>
      </w:tr>
      <w:tr>
        <w:trPr>
          <w:trHeight w:val="504" w:hRule="atLeast"/>
        </w:trPr>
        <w:tc>
          <w:tcPr>
            <w:tcW w:w="2384" w:type="dxa"/>
          </w:tcPr>
          <w:p>
            <w:pPr>
              <w:pStyle w:val="TableParagraph"/>
              <w:spacing w:before="121"/>
              <w:rPr>
                <w:sz w:val="22"/>
              </w:rPr>
            </w:pPr>
            <w:r>
              <w:rPr>
                <w:sz w:val="22"/>
              </w:rPr>
              <w:t>Low</w:t>
            </w:r>
            <w:r>
              <w:rPr>
                <w:spacing w:val="-6"/>
                <w:sz w:val="22"/>
              </w:rPr>
              <w:t> </w:t>
            </w:r>
            <w:r>
              <w:rPr>
                <w:sz w:val="22"/>
              </w:rPr>
              <w:t>Density</w:t>
            </w:r>
            <w:r>
              <w:rPr>
                <w:spacing w:val="-4"/>
                <w:sz w:val="22"/>
              </w:rPr>
              <w:t> </w:t>
            </w:r>
            <w:r>
              <w:rPr>
                <w:spacing w:val="-2"/>
                <w:sz w:val="22"/>
              </w:rPr>
              <w:t>Lipoprotein</w:t>
            </w:r>
          </w:p>
        </w:tc>
        <w:tc>
          <w:tcPr>
            <w:tcW w:w="1371" w:type="dxa"/>
          </w:tcPr>
          <w:p>
            <w:pPr>
              <w:pStyle w:val="TableParagraph"/>
              <w:spacing w:before="121"/>
              <w:ind w:left="133"/>
              <w:rPr>
                <w:sz w:val="22"/>
              </w:rPr>
            </w:pPr>
            <w:r>
              <w:rPr>
                <w:sz w:val="22"/>
              </w:rPr>
              <w:t>2.28 ±</w:t>
            </w:r>
            <w:r>
              <w:rPr>
                <w:spacing w:val="-5"/>
                <w:sz w:val="22"/>
              </w:rPr>
              <w:t> </w:t>
            </w:r>
            <w:r>
              <w:rPr>
                <w:spacing w:val="-4"/>
                <w:sz w:val="22"/>
              </w:rPr>
              <w:t>0.27</w:t>
            </w:r>
          </w:p>
        </w:tc>
        <w:tc>
          <w:tcPr>
            <w:tcW w:w="1491" w:type="dxa"/>
          </w:tcPr>
          <w:p>
            <w:pPr>
              <w:pStyle w:val="TableParagraph"/>
              <w:spacing w:before="121"/>
              <w:ind w:left="257"/>
              <w:rPr>
                <w:sz w:val="22"/>
              </w:rPr>
            </w:pPr>
            <w:r>
              <w:rPr>
                <w:sz w:val="22"/>
              </w:rPr>
              <w:t>2.18</w:t>
            </w:r>
            <w:r>
              <w:rPr>
                <w:spacing w:val="-7"/>
                <w:sz w:val="22"/>
              </w:rPr>
              <w:t> </w:t>
            </w:r>
            <w:r>
              <w:rPr>
                <w:sz w:val="22"/>
              </w:rPr>
              <w:t>± </w:t>
            </w:r>
            <w:r>
              <w:rPr>
                <w:spacing w:val="-4"/>
                <w:sz w:val="22"/>
              </w:rPr>
              <w:t>0.61</w:t>
            </w:r>
          </w:p>
        </w:tc>
        <w:tc>
          <w:tcPr>
            <w:tcW w:w="1542" w:type="dxa"/>
          </w:tcPr>
          <w:p>
            <w:pPr>
              <w:pStyle w:val="TableParagraph"/>
              <w:spacing w:before="121"/>
              <w:ind w:left="257"/>
              <w:rPr>
                <w:sz w:val="22"/>
              </w:rPr>
            </w:pPr>
            <w:r>
              <w:rPr>
                <w:sz w:val="22"/>
              </w:rPr>
              <w:t>3.20</w:t>
            </w:r>
            <w:r>
              <w:rPr>
                <w:spacing w:val="-2"/>
                <w:sz w:val="22"/>
              </w:rPr>
              <w:t> </w:t>
            </w:r>
            <w:r>
              <w:rPr>
                <w:sz w:val="22"/>
              </w:rPr>
              <w:t>±</w:t>
            </w:r>
            <w:r>
              <w:rPr>
                <w:spacing w:val="-5"/>
                <w:sz w:val="22"/>
              </w:rPr>
              <w:t> </w:t>
            </w:r>
            <w:r>
              <w:rPr>
                <w:spacing w:val="-4"/>
                <w:sz w:val="22"/>
              </w:rPr>
              <w:t>0.90</w:t>
            </w:r>
          </w:p>
        </w:tc>
        <w:tc>
          <w:tcPr>
            <w:tcW w:w="1854" w:type="dxa"/>
          </w:tcPr>
          <w:p>
            <w:pPr>
              <w:pStyle w:val="TableParagraph"/>
              <w:spacing w:before="121"/>
              <w:ind w:left="263"/>
              <w:rPr>
                <w:sz w:val="22"/>
              </w:rPr>
            </w:pPr>
            <w:r>
              <w:rPr>
                <w:sz w:val="22"/>
              </w:rPr>
              <w:t>2.40</w:t>
            </w:r>
            <w:r>
              <w:rPr>
                <w:spacing w:val="-2"/>
                <w:sz w:val="22"/>
              </w:rPr>
              <w:t> </w:t>
            </w:r>
            <w:r>
              <w:rPr>
                <w:sz w:val="22"/>
              </w:rPr>
              <w:t>±</w:t>
            </w:r>
            <w:r>
              <w:rPr>
                <w:spacing w:val="-5"/>
                <w:sz w:val="22"/>
              </w:rPr>
              <w:t> </w:t>
            </w:r>
            <w:r>
              <w:rPr>
                <w:spacing w:val="-4"/>
                <w:sz w:val="22"/>
              </w:rPr>
              <w:t>0.43</w:t>
            </w:r>
          </w:p>
        </w:tc>
      </w:tr>
      <w:tr>
        <w:trPr>
          <w:trHeight w:val="458" w:hRule="atLeast"/>
        </w:trPr>
        <w:tc>
          <w:tcPr>
            <w:tcW w:w="2384" w:type="dxa"/>
            <w:tcBorders>
              <w:bottom w:val="single" w:sz="6" w:space="0" w:color="000000"/>
            </w:tcBorders>
          </w:tcPr>
          <w:p>
            <w:pPr>
              <w:pStyle w:val="TableParagraph"/>
              <w:spacing w:before="121"/>
              <w:rPr>
                <w:sz w:val="22"/>
              </w:rPr>
            </w:pPr>
            <w:r>
              <w:rPr>
                <w:spacing w:val="-2"/>
                <w:sz w:val="22"/>
              </w:rPr>
              <w:t>Triglyceride</w:t>
            </w:r>
          </w:p>
        </w:tc>
        <w:tc>
          <w:tcPr>
            <w:tcW w:w="1371" w:type="dxa"/>
            <w:tcBorders>
              <w:bottom w:val="single" w:sz="6" w:space="0" w:color="000000"/>
            </w:tcBorders>
          </w:tcPr>
          <w:p>
            <w:pPr>
              <w:pStyle w:val="TableParagraph"/>
              <w:spacing w:before="121"/>
              <w:ind w:left="114"/>
              <w:rPr>
                <w:sz w:val="22"/>
              </w:rPr>
            </w:pPr>
            <w:r>
              <w:rPr>
                <w:sz w:val="22"/>
              </w:rPr>
              <w:t>0.85</w:t>
            </w:r>
            <w:r>
              <w:rPr>
                <w:spacing w:val="-5"/>
                <w:sz w:val="22"/>
              </w:rPr>
              <w:t> </w:t>
            </w:r>
            <w:r>
              <w:rPr>
                <w:sz w:val="22"/>
              </w:rPr>
              <w:t>± </w:t>
            </w:r>
            <w:r>
              <w:rPr>
                <w:spacing w:val="-4"/>
                <w:sz w:val="22"/>
              </w:rPr>
              <w:t>0.13</w:t>
            </w:r>
          </w:p>
        </w:tc>
        <w:tc>
          <w:tcPr>
            <w:tcW w:w="1491" w:type="dxa"/>
            <w:tcBorders>
              <w:bottom w:val="single" w:sz="6" w:space="0" w:color="000000"/>
            </w:tcBorders>
          </w:tcPr>
          <w:p>
            <w:pPr>
              <w:pStyle w:val="TableParagraph"/>
              <w:spacing w:before="121"/>
              <w:ind w:left="233"/>
              <w:rPr>
                <w:sz w:val="22"/>
              </w:rPr>
            </w:pPr>
            <w:r>
              <w:rPr>
                <w:sz w:val="22"/>
              </w:rPr>
              <w:t>1.17 ±</w:t>
            </w:r>
            <w:r>
              <w:rPr>
                <w:spacing w:val="-5"/>
                <w:sz w:val="22"/>
              </w:rPr>
              <w:t> </w:t>
            </w:r>
            <w:r>
              <w:rPr>
                <w:spacing w:val="-4"/>
                <w:sz w:val="22"/>
              </w:rPr>
              <w:t>0.17</w:t>
            </w:r>
          </w:p>
        </w:tc>
        <w:tc>
          <w:tcPr>
            <w:tcW w:w="1542" w:type="dxa"/>
            <w:tcBorders>
              <w:bottom w:val="single" w:sz="6" w:space="0" w:color="000000"/>
            </w:tcBorders>
          </w:tcPr>
          <w:p>
            <w:pPr>
              <w:pStyle w:val="TableParagraph"/>
              <w:spacing w:before="121"/>
              <w:ind w:left="238"/>
              <w:rPr>
                <w:sz w:val="22"/>
              </w:rPr>
            </w:pPr>
            <w:r>
              <w:rPr>
                <w:sz w:val="22"/>
              </w:rPr>
              <w:t>1.43 ±</w:t>
            </w:r>
            <w:r>
              <w:rPr>
                <w:spacing w:val="-5"/>
                <w:sz w:val="22"/>
              </w:rPr>
              <w:t> </w:t>
            </w:r>
            <w:r>
              <w:rPr>
                <w:spacing w:val="-4"/>
                <w:sz w:val="22"/>
              </w:rPr>
              <w:t>0.35</w:t>
            </w:r>
          </w:p>
        </w:tc>
        <w:tc>
          <w:tcPr>
            <w:tcW w:w="1854" w:type="dxa"/>
            <w:tcBorders>
              <w:bottom w:val="single" w:sz="6" w:space="0" w:color="000000"/>
            </w:tcBorders>
          </w:tcPr>
          <w:p>
            <w:pPr>
              <w:pStyle w:val="TableParagraph"/>
              <w:spacing w:before="121"/>
              <w:ind w:left="240"/>
              <w:rPr>
                <w:sz w:val="22"/>
              </w:rPr>
            </w:pPr>
            <w:r>
              <w:rPr>
                <w:sz w:val="22"/>
              </w:rPr>
              <w:t>1.05</w:t>
            </w:r>
            <w:r>
              <w:rPr>
                <w:spacing w:val="1"/>
                <w:sz w:val="22"/>
              </w:rPr>
              <w:t> </w:t>
            </w:r>
            <w:r>
              <w:rPr>
                <w:sz w:val="22"/>
              </w:rPr>
              <w:t>±</w:t>
            </w:r>
            <w:r>
              <w:rPr>
                <w:spacing w:val="-3"/>
                <w:sz w:val="22"/>
              </w:rPr>
              <w:t> </w:t>
            </w:r>
            <w:r>
              <w:rPr>
                <w:spacing w:val="-4"/>
                <w:sz w:val="22"/>
              </w:rPr>
              <w:t>0.18</w:t>
            </w:r>
          </w:p>
        </w:tc>
      </w:tr>
    </w:tbl>
    <w:p>
      <w:pPr>
        <w:spacing w:line="480" w:lineRule="auto" w:before="159"/>
        <w:ind w:left="681" w:right="0" w:firstLine="0"/>
        <w:jc w:val="left"/>
        <w:rPr>
          <w:sz w:val="22"/>
        </w:rPr>
      </w:pPr>
      <w:r>
        <w:rPr>
          <w:sz w:val="24"/>
        </w:rPr>
        <w:t>Data presented as mean </w:t>
      </w:r>
      <w:r>
        <w:rPr>
          <w:sz w:val="22"/>
        </w:rPr>
        <w:t>± SEM, n = 4 rats per group, no statistical significant difference using ANOVA test.</w:t>
      </w:r>
    </w:p>
    <w:p>
      <w:pPr>
        <w:spacing w:after="0" w:line="480" w:lineRule="auto"/>
        <w:jc w:val="left"/>
        <w:rPr>
          <w:sz w:val="22"/>
        </w:rPr>
        <w:sectPr>
          <w:pgSz w:w="12240" w:h="15840"/>
          <w:pgMar w:header="0" w:footer="1066" w:top="1360" w:bottom="1260" w:left="1480" w:right="1160"/>
        </w:sectPr>
      </w:pPr>
    </w:p>
    <w:p>
      <w:pPr>
        <w:pStyle w:val="Heading2"/>
        <w:tabs>
          <w:tab w:pos="1486" w:val="left" w:leader="none"/>
          <w:tab w:pos="2212" w:val="left" w:leader="none"/>
          <w:tab w:pos="3042" w:val="left" w:leader="none"/>
          <w:tab w:pos="3465" w:val="left" w:leader="none"/>
          <w:tab w:pos="4070" w:val="left" w:leader="none"/>
          <w:tab w:pos="5184" w:val="left" w:leader="none"/>
          <w:tab w:pos="5530" w:val="left" w:leader="none"/>
          <w:tab w:pos="7362" w:val="left" w:leader="none"/>
          <w:tab w:pos="9060" w:val="left" w:leader="none"/>
        </w:tabs>
        <w:spacing w:line="480" w:lineRule="auto" w:before="77"/>
        <w:ind w:right="284"/>
        <w:jc w:val="left"/>
      </w:pPr>
      <w:r>
        <w:rPr>
          <w:spacing w:val="-2"/>
        </w:rPr>
        <w:t>Table</w:t>
      </w:r>
      <w:r>
        <w:rPr/>
        <w:tab/>
      </w:r>
      <w:r>
        <w:rPr>
          <w:spacing w:val="-2"/>
        </w:rPr>
        <w:t>4.12:</w:t>
      </w:r>
      <w:r>
        <w:rPr/>
        <w:tab/>
      </w:r>
      <w:r>
        <w:rPr>
          <w:spacing w:val="-2"/>
        </w:rPr>
        <w:t>Effect</w:t>
      </w:r>
      <w:r>
        <w:rPr/>
        <w:tab/>
      </w:r>
      <w:r>
        <w:rPr>
          <w:spacing w:val="-6"/>
        </w:rPr>
        <w:t>of</w:t>
      </w:r>
      <w:r>
        <w:rPr/>
        <w:tab/>
      </w:r>
      <w:r>
        <w:rPr>
          <w:spacing w:val="-4"/>
        </w:rPr>
        <w:t>2,5-</w:t>
      </w:r>
      <w:r>
        <w:rPr/>
        <w:tab/>
      </w:r>
      <w:r>
        <w:rPr>
          <w:spacing w:val="-2"/>
        </w:rPr>
        <w:t>Dichloro</w:t>
      </w:r>
      <w:r>
        <w:rPr/>
        <w:tab/>
      </w:r>
      <w:r>
        <w:rPr>
          <w:spacing w:val="-10"/>
        </w:rPr>
        <w:t>–</w:t>
      </w:r>
      <w:r>
        <w:rPr/>
        <w:tab/>
      </w:r>
      <w:r>
        <w:rPr>
          <w:spacing w:val="-2"/>
        </w:rPr>
        <w:t>3(aminophenyl)</w:t>
      </w:r>
      <w:r>
        <w:rPr/>
        <w:tab/>
      </w:r>
      <w:r>
        <w:rPr>
          <w:spacing w:val="-2"/>
        </w:rPr>
        <w:t>Propanamides</w:t>
      </w:r>
      <w:r>
        <w:rPr/>
        <w:tab/>
      </w:r>
      <w:r>
        <w:rPr>
          <w:spacing w:val="-6"/>
        </w:rPr>
        <w:t>on </w:t>
      </w:r>
      <w:r>
        <w:rPr/>
        <w:t>Haematological Parameters after 28-Day Oral Admnistration in Rats</w:t>
      </w:r>
    </w:p>
    <w:p>
      <w:pPr>
        <w:pStyle w:val="BodyText"/>
        <w:spacing w:before="85"/>
        <w:rPr>
          <w:b/>
          <w:sz w:val="20"/>
        </w:rPr>
      </w:pPr>
      <w:r>
        <w:rPr/>
        <mc:AlternateContent>
          <mc:Choice Requires="wps">
            <w:drawing>
              <wp:anchor distT="0" distB="0" distL="0" distR="0" allowOverlap="1" layoutInCell="1" locked="0" behindDoc="1" simplePos="0" relativeHeight="487656960">
                <wp:simplePos x="0" y="0"/>
                <wp:positionH relativeFrom="page">
                  <wp:posOffset>1257300</wp:posOffset>
                </wp:positionH>
                <wp:positionV relativeFrom="paragraph">
                  <wp:posOffset>215324</wp:posOffset>
                </wp:positionV>
                <wp:extent cx="5600700" cy="127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5600700" cy="1270"/>
                        </a:xfrm>
                        <a:custGeom>
                          <a:avLst/>
                          <a:gdLst/>
                          <a:ahLst/>
                          <a:cxnLst/>
                          <a:rect l="l" t="t" r="r" b="b"/>
                          <a:pathLst>
                            <a:path w="5600700" h="0">
                              <a:moveTo>
                                <a:pt x="0" y="0"/>
                              </a:moveTo>
                              <a:lnTo>
                                <a:pt x="5600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pt;margin-top:16.954687pt;width:441pt;height:.1pt;mso-position-horizontal-relative:page;mso-position-vertical-relative:paragraph;z-index:-15659520;mso-wrap-distance-left:0;mso-wrap-distance-right:0" id="docshape113" coordorigin="1980,339" coordsize="8820,0" path="m1980,339l10800,339e" filled="false" stroked="true" strokeweight=".75pt" strokecolor="#000000">
                <v:path arrowok="t"/>
                <v:stroke dashstyle="solid"/>
                <w10:wrap type="topAndBottom"/>
              </v:shape>
            </w:pict>
          </mc:Fallback>
        </mc:AlternateContent>
      </w:r>
    </w:p>
    <w:p>
      <w:pPr>
        <w:tabs>
          <w:tab w:pos="2121" w:val="left" w:leader="none"/>
          <w:tab w:pos="5722" w:val="left" w:leader="none"/>
        </w:tabs>
        <w:spacing w:before="201"/>
        <w:ind w:left="681" w:right="0" w:firstLine="0"/>
        <w:jc w:val="left"/>
        <w:rPr>
          <w:sz w:val="22"/>
        </w:rPr>
      </w:pPr>
      <w:r>
        <w:rPr>
          <w:spacing w:val="-2"/>
          <w:sz w:val="22"/>
        </w:rPr>
        <w:t>Parameters</w:t>
      </w:r>
      <w:r>
        <w:rPr>
          <w:sz w:val="22"/>
        </w:rPr>
        <w:tab/>
      </w:r>
      <w:r>
        <w:rPr>
          <w:spacing w:val="-4"/>
          <w:sz w:val="22"/>
        </w:rPr>
        <w:t>Units</w:t>
      </w:r>
      <w:r>
        <w:rPr>
          <w:sz w:val="22"/>
        </w:rPr>
        <w:tab/>
      </w:r>
      <w:r>
        <w:rPr>
          <w:spacing w:val="-2"/>
          <w:sz w:val="22"/>
        </w:rPr>
        <w:t>Treatment</w:t>
      </w:r>
    </w:p>
    <w:p>
      <w:pPr>
        <w:tabs>
          <w:tab w:pos="4726" w:val="left" w:leader="none"/>
          <w:tab w:pos="5002" w:val="left" w:leader="none"/>
          <w:tab w:pos="6500" w:val="left" w:leader="none"/>
          <w:tab w:pos="7885" w:val="left" w:leader="none"/>
        </w:tabs>
        <w:spacing w:line="482" w:lineRule="auto" w:before="251"/>
        <w:ind w:left="3562" w:right="488" w:hanging="2881"/>
        <w:jc w:val="left"/>
        <w:rPr>
          <w:sz w:val="22"/>
        </w:rPr>
      </w:pPr>
      <w:r>
        <w:rPr/>
        <mc:AlternateContent>
          <mc:Choice Requires="wps">
            <w:drawing>
              <wp:anchor distT="0" distB="0" distL="0" distR="0" allowOverlap="1" layoutInCell="1" locked="0" behindDoc="1" simplePos="0" relativeHeight="483981312">
                <wp:simplePos x="0" y="0"/>
                <wp:positionH relativeFrom="page">
                  <wp:posOffset>3886200</wp:posOffset>
                </wp:positionH>
                <wp:positionV relativeFrom="paragraph">
                  <wp:posOffset>392761</wp:posOffset>
                </wp:positionV>
                <wp:extent cx="297180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2971800" cy="1270"/>
                        </a:xfrm>
                        <a:custGeom>
                          <a:avLst/>
                          <a:gdLst/>
                          <a:ahLst/>
                          <a:cxnLst/>
                          <a:rect l="l" t="t" r="r" b="b"/>
                          <a:pathLst>
                            <a:path w="2971800" h="0">
                              <a:moveTo>
                                <a:pt x="0" y="0"/>
                              </a:moveTo>
                              <a:lnTo>
                                <a:pt x="2971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35168" from="306pt,30.926075pt" to="540pt,30.926075pt" stroked="true" strokeweight=".75pt" strokecolor="#000000">
                <v:stroke dashstyle="solid"/>
                <w10:wrap type="none"/>
              </v:line>
            </w:pict>
          </mc:Fallback>
        </mc:AlternateContent>
      </w:r>
      <w:r>
        <w:rPr>
          <w:spacing w:val="-2"/>
          <w:sz w:val="22"/>
        </w:rPr>
        <w:t>(mMol/L)</w:t>
      </w:r>
      <w:r>
        <w:rPr>
          <w:sz w:val="22"/>
        </w:rPr>
        <w:tab/>
        <w:tab/>
        <w:tab/>
        <w:t>2,5-</w:t>
      </w:r>
      <w:r>
        <w:rPr>
          <w:spacing w:val="-10"/>
          <w:sz w:val="22"/>
        </w:rPr>
        <w:t> </w:t>
      </w:r>
      <w:r>
        <w:rPr>
          <w:sz w:val="22"/>
        </w:rPr>
        <w:t>Dichloro</w:t>
      </w:r>
      <w:r>
        <w:rPr>
          <w:spacing w:val="-13"/>
          <w:sz w:val="22"/>
        </w:rPr>
        <w:t> </w:t>
      </w:r>
      <w:r>
        <w:rPr>
          <w:sz w:val="22"/>
        </w:rPr>
        <w:t>–</w:t>
      </w:r>
      <w:r>
        <w:rPr>
          <w:spacing w:val="-10"/>
          <w:sz w:val="22"/>
        </w:rPr>
        <w:t> </w:t>
      </w:r>
      <w:r>
        <w:rPr>
          <w:sz w:val="22"/>
        </w:rPr>
        <w:t>3(aminophenyl)</w:t>
      </w:r>
      <w:r>
        <w:rPr>
          <w:spacing w:val="-11"/>
          <w:sz w:val="22"/>
        </w:rPr>
        <w:t> </w:t>
      </w:r>
      <w:r>
        <w:rPr>
          <w:sz w:val="22"/>
        </w:rPr>
        <w:t>Propanamides </w:t>
      </w:r>
      <w:r>
        <w:rPr>
          <w:spacing w:val="-2"/>
          <w:sz w:val="22"/>
        </w:rPr>
        <w:t>Control</w:t>
      </w:r>
      <w:r>
        <w:rPr>
          <w:sz w:val="22"/>
        </w:rPr>
        <w:tab/>
        <w:t>12.5 mg/kg</w:t>
        <w:tab/>
        <w:t>25 mg/kg</w:t>
        <w:tab/>
        <w:t>50 mg/kg</w:t>
      </w:r>
    </w:p>
    <w:p>
      <w:pPr>
        <w:pStyle w:val="BodyText"/>
        <w:rPr>
          <w:sz w:val="4"/>
        </w:rPr>
      </w:pPr>
      <w:r>
        <w:rPr/>
        <mc:AlternateContent>
          <mc:Choice Requires="wps">
            <w:drawing>
              <wp:anchor distT="0" distB="0" distL="0" distR="0" allowOverlap="1" layoutInCell="1" locked="0" behindDoc="1" simplePos="0" relativeHeight="487657472">
                <wp:simplePos x="0" y="0"/>
                <wp:positionH relativeFrom="page">
                  <wp:posOffset>1257300</wp:posOffset>
                </wp:positionH>
                <wp:positionV relativeFrom="paragraph">
                  <wp:posOffset>44797</wp:posOffset>
                </wp:positionV>
                <wp:extent cx="5600700" cy="1270"/>
                <wp:effectExtent l="0" t="0" r="0" b="0"/>
                <wp:wrapTopAndBottom/>
                <wp:docPr id="205" name="Graphic 205"/>
                <wp:cNvGraphicFramePr>
                  <a:graphicFrameLocks/>
                </wp:cNvGraphicFramePr>
                <a:graphic>
                  <a:graphicData uri="http://schemas.microsoft.com/office/word/2010/wordprocessingShape">
                    <wps:wsp>
                      <wps:cNvPr id="205" name="Graphic 205"/>
                      <wps:cNvSpPr/>
                      <wps:spPr>
                        <a:xfrm>
                          <a:off x="0" y="0"/>
                          <a:ext cx="5600700" cy="1270"/>
                        </a:xfrm>
                        <a:custGeom>
                          <a:avLst/>
                          <a:gdLst/>
                          <a:ahLst/>
                          <a:cxnLst/>
                          <a:rect l="l" t="t" r="r" b="b"/>
                          <a:pathLst>
                            <a:path w="5600700" h="0">
                              <a:moveTo>
                                <a:pt x="0" y="0"/>
                              </a:moveTo>
                              <a:lnTo>
                                <a:pt x="5600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pt;margin-top:3.527393pt;width:441pt;height:.1pt;mso-position-horizontal-relative:page;mso-position-vertical-relative:paragraph;z-index:-15659008;mso-wrap-distance-left:0;mso-wrap-distance-right:0" id="docshape114" coordorigin="1980,71" coordsize="8820,0" path="m1980,71l10800,71e" filled="false" stroked="true" strokeweight=".75pt" strokecolor="#000000">
                <v:path arrowok="t"/>
                <v:stroke dashstyle="solid"/>
                <w10:wrap type="topAndBottom"/>
              </v:shape>
            </w:pict>
          </mc:Fallback>
        </mc:AlternateContent>
      </w:r>
    </w:p>
    <w:p>
      <w:pPr>
        <w:pStyle w:val="BodyText"/>
        <w:rPr>
          <w:sz w:val="20"/>
        </w:rPr>
      </w:pPr>
    </w:p>
    <w:p>
      <w:pPr>
        <w:pStyle w:val="BodyText"/>
        <w:spacing w:before="18"/>
        <w:rPr>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2"/>
        <w:gridCol w:w="932"/>
        <w:gridCol w:w="1630"/>
        <w:gridCol w:w="1583"/>
        <w:gridCol w:w="1551"/>
        <w:gridCol w:w="1629"/>
      </w:tblGrid>
      <w:tr>
        <w:trPr>
          <w:trHeight w:val="376" w:hRule="atLeast"/>
        </w:trPr>
        <w:tc>
          <w:tcPr>
            <w:tcW w:w="1312" w:type="dxa"/>
          </w:tcPr>
          <w:p>
            <w:pPr>
              <w:pStyle w:val="TableParagraph"/>
              <w:spacing w:line="244" w:lineRule="exact"/>
              <w:ind w:left="50"/>
              <w:rPr>
                <w:sz w:val="22"/>
              </w:rPr>
            </w:pPr>
            <w:r>
              <w:rPr>
                <w:spacing w:val="-2"/>
                <w:sz w:val="22"/>
              </w:rPr>
              <w:t>Haemaglobin</w:t>
            </w:r>
          </w:p>
        </w:tc>
        <w:tc>
          <w:tcPr>
            <w:tcW w:w="932" w:type="dxa"/>
          </w:tcPr>
          <w:p>
            <w:pPr>
              <w:pStyle w:val="TableParagraph"/>
              <w:spacing w:line="244" w:lineRule="exact"/>
              <w:ind w:left="178"/>
              <w:rPr>
                <w:sz w:val="22"/>
              </w:rPr>
            </w:pPr>
            <w:r>
              <w:rPr>
                <w:spacing w:val="-4"/>
                <w:sz w:val="22"/>
              </w:rPr>
              <w:t>g/dL</w:t>
            </w:r>
          </w:p>
        </w:tc>
        <w:tc>
          <w:tcPr>
            <w:tcW w:w="1630" w:type="dxa"/>
          </w:tcPr>
          <w:p>
            <w:pPr>
              <w:pStyle w:val="TableParagraph"/>
              <w:spacing w:line="244" w:lineRule="exact"/>
              <w:ind w:left="192"/>
              <w:rPr>
                <w:sz w:val="22"/>
              </w:rPr>
            </w:pPr>
            <w:r>
              <w:rPr>
                <w:sz w:val="22"/>
              </w:rPr>
              <w:t>12.18</w:t>
            </w:r>
            <w:r>
              <w:rPr>
                <w:spacing w:val="-7"/>
                <w:sz w:val="22"/>
              </w:rPr>
              <w:t> </w:t>
            </w:r>
            <w:r>
              <w:rPr>
                <w:sz w:val="22"/>
              </w:rPr>
              <w:t>± </w:t>
            </w:r>
            <w:r>
              <w:rPr>
                <w:spacing w:val="-4"/>
                <w:sz w:val="22"/>
              </w:rPr>
              <w:t>0.62</w:t>
            </w:r>
          </w:p>
        </w:tc>
        <w:tc>
          <w:tcPr>
            <w:tcW w:w="1583" w:type="dxa"/>
          </w:tcPr>
          <w:p>
            <w:pPr>
              <w:pStyle w:val="TableParagraph"/>
              <w:spacing w:line="244" w:lineRule="exact"/>
              <w:ind w:left="111"/>
              <w:rPr>
                <w:sz w:val="22"/>
              </w:rPr>
            </w:pPr>
            <w:r>
              <w:rPr>
                <w:sz w:val="22"/>
              </w:rPr>
              <w:t>12.95</w:t>
            </w:r>
            <w:r>
              <w:rPr>
                <w:spacing w:val="-7"/>
                <w:sz w:val="22"/>
              </w:rPr>
              <w:t> </w:t>
            </w:r>
            <w:r>
              <w:rPr>
                <w:sz w:val="22"/>
              </w:rPr>
              <w:t>± </w:t>
            </w:r>
            <w:r>
              <w:rPr>
                <w:spacing w:val="-4"/>
                <w:sz w:val="22"/>
              </w:rPr>
              <w:t>0.33</w:t>
            </w:r>
          </w:p>
        </w:tc>
        <w:tc>
          <w:tcPr>
            <w:tcW w:w="1551" w:type="dxa"/>
          </w:tcPr>
          <w:p>
            <w:pPr>
              <w:pStyle w:val="TableParagraph"/>
              <w:spacing w:line="244" w:lineRule="exact"/>
              <w:ind w:left="132"/>
              <w:rPr>
                <w:sz w:val="22"/>
              </w:rPr>
            </w:pPr>
            <w:r>
              <w:rPr>
                <w:sz w:val="22"/>
              </w:rPr>
              <w:t>12.93</w:t>
            </w:r>
            <w:r>
              <w:rPr>
                <w:spacing w:val="-2"/>
                <w:sz w:val="22"/>
              </w:rPr>
              <w:t> </w:t>
            </w:r>
            <w:r>
              <w:rPr>
                <w:sz w:val="22"/>
              </w:rPr>
              <w:t>±</w:t>
            </w:r>
            <w:r>
              <w:rPr>
                <w:spacing w:val="-5"/>
                <w:sz w:val="22"/>
              </w:rPr>
              <w:t> </w:t>
            </w:r>
            <w:r>
              <w:rPr>
                <w:spacing w:val="-4"/>
                <w:sz w:val="22"/>
              </w:rPr>
              <w:t>0.32</w:t>
            </w:r>
          </w:p>
        </w:tc>
        <w:tc>
          <w:tcPr>
            <w:tcW w:w="1629" w:type="dxa"/>
          </w:tcPr>
          <w:p>
            <w:pPr>
              <w:pStyle w:val="TableParagraph"/>
              <w:spacing w:line="244" w:lineRule="exact"/>
              <w:ind w:left="133"/>
              <w:rPr>
                <w:sz w:val="22"/>
              </w:rPr>
            </w:pPr>
            <w:r>
              <w:rPr>
                <w:sz w:val="22"/>
              </w:rPr>
              <w:t>13.15</w:t>
            </w:r>
            <w:r>
              <w:rPr>
                <w:spacing w:val="-5"/>
                <w:sz w:val="22"/>
              </w:rPr>
              <w:t> </w:t>
            </w:r>
            <w:r>
              <w:rPr>
                <w:sz w:val="22"/>
              </w:rPr>
              <w:t>±</w:t>
            </w:r>
            <w:r>
              <w:rPr>
                <w:spacing w:val="3"/>
                <w:sz w:val="22"/>
              </w:rPr>
              <w:t> </w:t>
            </w:r>
            <w:r>
              <w:rPr>
                <w:spacing w:val="-4"/>
                <w:sz w:val="22"/>
              </w:rPr>
              <w:t>0.53</w:t>
            </w:r>
          </w:p>
        </w:tc>
      </w:tr>
      <w:tr>
        <w:trPr>
          <w:trHeight w:val="492" w:hRule="atLeast"/>
        </w:trPr>
        <w:tc>
          <w:tcPr>
            <w:tcW w:w="1312" w:type="dxa"/>
          </w:tcPr>
          <w:p>
            <w:pPr>
              <w:pStyle w:val="TableParagraph"/>
              <w:spacing w:before="124"/>
              <w:ind w:left="50"/>
              <w:rPr>
                <w:sz w:val="22"/>
              </w:rPr>
            </w:pPr>
            <w:r>
              <w:rPr>
                <w:spacing w:val="-5"/>
                <w:sz w:val="22"/>
              </w:rPr>
              <w:t>PCV</w:t>
            </w:r>
          </w:p>
        </w:tc>
        <w:tc>
          <w:tcPr>
            <w:tcW w:w="932" w:type="dxa"/>
          </w:tcPr>
          <w:p>
            <w:pPr>
              <w:pStyle w:val="TableParagraph"/>
              <w:spacing w:before="124"/>
              <w:ind w:left="178"/>
              <w:rPr>
                <w:sz w:val="22"/>
              </w:rPr>
            </w:pPr>
            <w:r>
              <w:rPr>
                <w:spacing w:val="-10"/>
                <w:sz w:val="22"/>
              </w:rPr>
              <w:t>%</w:t>
            </w:r>
          </w:p>
        </w:tc>
        <w:tc>
          <w:tcPr>
            <w:tcW w:w="1630" w:type="dxa"/>
          </w:tcPr>
          <w:p>
            <w:pPr>
              <w:pStyle w:val="TableParagraph"/>
              <w:spacing w:before="124"/>
              <w:ind w:left="192"/>
              <w:rPr>
                <w:sz w:val="22"/>
              </w:rPr>
            </w:pPr>
            <w:r>
              <w:rPr>
                <w:sz w:val="22"/>
              </w:rPr>
              <w:t>36.50</w:t>
            </w:r>
            <w:r>
              <w:rPr>
                <w:spacing w:val="-7"/>
                <w:sz w:val="22"/>
              </w:rPr>
              <w:t> </w:t>
            </w:r>
            <w:r>
              <w:rPr>
                <w:sz w:val="22"/>
              </w:rPr>
              <w:t>± </w:t>
            </w:r>
            <w:r>
              <w:rPr>
                <w:spacing w:val="-4"/>
                <w:sz w:val="22"/>
              </w:rPr>
              <w:t>2.10</w:t>
            </w:r>
          </w:p>
        </w:tc>
        <w:tc>
          <w:tcPr>
            <w:tcW w:w="1583" w:type="dxa"/>
          </w:tcPr>
          <w:p>
            <w:pPr>
              <w:pStyle w:val="TableParagraph"/>
              <w:spacing w:before="124"/>
              <w:ind w:left="113"/>
              <w:rPr>
                <w:sz w:val="22"/>
              </w:rPr>
            </w:pPr>
            <w:r>
              <w:rPr>
                <w:sz w:val="22"/>
              </w:rPr>
              <w:t>38.75</w:t>
            </w:r>
            <w:r>
              <w:rPr>
                <w:spacing w:val="-7"/>
                <w:sz w:val="22"/>
              </w:rPr>
              <w:t> </w:t>
            </w:r>
            <w:r>
              <w:rPr>
                <w:sz w:val="22"/>
              </w:rPr>
              <w:t>± </w:t>
            </w:r>
            <w:r>
              <w:rPr>
                <w:spacing w:val="-4"/>
                <w:sz w:val="22"/>
              </w:rPr>
              <w:t>0.75</w:t>
            </w:r>
          </w:p>
        </w:tc>
        <w:tc>
          <w:tcPr>
            <w:tcW w:w="1551" w:type="dxa"/>
          </w:tcPr>
          <w:p>
            <w:pPr>
              <w:pStyle w:val="TableParagraph"/>
              <w:spacing w:before="124"/>
              <w:ind w:left="131"/>
              <w:rPr>
                <w:sz w:val="22"/>
              </w:rPr>
            </w:pPr>
            <w:r>
              <w:rPr>
                <w:sz w:val="22"/>
              </w:rPr>
              <w:t>38.50</w:t>
            </w:r>
            <w:r>
              <w:rPr>
                <w:spacing w:val="-2"/>
                <w:sz w:val="22"/>
              </w:rPr>
              <w:t> </w:t>
            </w:r>
            <w:r>
              <w:rPr>
                <w:sz w:val="22"/>
              </w:rPr>
              <w:t>±</w:t>
            </w:r>
            <w:r>
              <w:rPr>
                <w:spacing w:val="-5"/>
                <w:sz w:val="22"/>
              </w:rPr>
              <w:t> </w:t>
            </w:r>
            <w:r>
              <w:rPr>
                <w:spacing w:val="-4"/>
                <w:sz w:val="22"/>
              </w:rPr>
              <w:t>0.65</w:t>
            </w:r>
          </w:p>
        </w:tc>
        <w:tc>
          <w:tcPr>
            <w:tcW w:w="1629" w:type="dxa"/>
          </w:tcPr>
          <w:p>
            <w:pPr>
              <w:pStyle w:val="TableParagraph"/>
              <w:spacing w:before="124"/>
              <w:ind w:left="129"/>
              <w:rPr>
                <w:sz w:val="22"/>
              </w:rPr>
            </w:pPr>
            <w:r>
              <w:rPr>
                <w:sz w:val="22"/>
              </w:rPr>
              <w:t>38.50</w:t>
            </w:r>
            <w:r>
              <w:rPr>
                <w:spacing w:val="-5"/>
                <w:sz w:val="22"/>
              </w:rPr>
              <w:t> </w:t>
            </w:r>
            <w:r>
              <w:rPr>
                <w:sz w:val="22"/>
              </w:rPr>
              <w:t>±</w:t>
            </w:r>
            <w:r>
              <w:rPr>
                <w:spacing w:val="3"/>
                <w:sz w:val="22"/>
              </w:rPr>
              <w:t> </w:t>
            </w:r>
            <w:r>
              <w:rPr>
                <w:spacing w:val="-4"/>
                <w:sz w:val="22"/>
              </w:rPr>
              <w:t>1.55</w:t>
            </w:r>
          </w:p>
        </w:tc>
      </w:tr>
      <w:tr>
        <w:trPr>
          <w:trHeight w:val="504" w:hRule="atLeast"/>
        </w:trPr>
        <w:tc>
          <w:tcPr>
            <w:tcW w:w="1312" w:type="dxa"/>
          </w:tcPr>
          <w:p>
            <w:pPr>
              <w:pStyle w:val="TableParagraph"/>
              <w:spacing w:before="135"/>
              <w:ind w:left="50"/>
              <w:rPr>
                <w:sz w:val="22"/>
              </w:rPr>
            </w:pPr>
            <w:r>
              <w:rPr>
                <w:spacing w:val="-5"/>
                <w:sz w:val="22"/>
              </w:rPr>
              <w:t>RBC</w:t>
            </w:r>
          </w:p>
        </w:tc>
        <w:tc>
          <w:tcPr>
            <w:tcW w:w="932" w:type="dxa"/>
          </w:tcPr>
          <w:p>
            <w:pPr>
              <w:pStyle w:val="TableParagraph"/>
              <w:spacing w:before="135"/>
              <w:ind w:left="68"/>
              <w:rPr>
                <w:sz w:val="22"/>
              </w:rPr>
            </w:pPr>
            <w:r>
              <w:rPr>
                <w:spacing w:val="-2"/>
                <w:sz w:val="22"/>
              </w:rPr>
              <w:t>×10</w:t>
            </w:r>
            <w:r>
              <w:rPr>
                <w:spacing w:val="-2"/>
                <w:sz w:val="22"/>
                <w:vertAlign w:val="superscript"/>
              </w:rPr>
              <w:t>12</w:t>
            </w:r>
            <w:r>
              <w:rPr>
                <w:spacing w:val="-2"/>
                <w:sz w:val="22"/>
                <w:vertAlign w:val="baseline"/>
              </w:rPr>
              <w:t>/L</w:t>
            </w:r>
          </w:p>
        </w:tc>
        <w:tc>
          <w:tcPr>
            <w:tcW w:w="1630" w:type="dxa"/>
          </w:tcPr>
          <w:p>
            <w:pPr>
              <w:pStyle w:val="TableParagraph"/>
              <w:spacing w:before="135"/>
              <w:ind w:left="144"/>
              <w:rPr>
                <w:sz w:val="22"/>
              </w:rPr>
            </w:pPr>
            <w:r>
              <w:rPr>
                <w:sz w:val="22"/>
              </w:rPr>
              <w:t>4.13</w:t>
            </w:r>
            <w:r>
              <w:rPr>
                <w:spacing w:val="-2"/>
                <w:sz w:val="22"/>
              </w:rPr>
              <w:t> </w:t>
            </w:r>
            <w:r>
              <w:rPr>
                <w:sz w:val="22"/>
              </w:rPr>
              <w:t>±</w:t>
            </w:r>
            <w:r>
              <w:rPr>
                <w:spacing w:val="-3"/>
                <w:sz w:val="22"/>
              </w:rPr>
              <w:t> </w:t>
            </w:r>
            <w:r>
              <w:rPr>
                <w:spacing w:val="-4"/>
                <w:sz w:val="22"/>
              </w:rPr>
              <w:t>0.24</w:t>
            </w:r>
          </w:p>
        </w:tc>
        <w:tc>
          <w:tcPr>
            <w:tcW w:w="1583" w:type="dxa"/>
          </w:tcPr>
          <w:p>
            <w:pPr>
              <w:pStyle w:val="TableParagraph"/>
              <w:spacing w:before="135"/>
              <w:ind w:left="65"/>
              <w:rPr>
                <w:sz w:val="22"/>
              </w:rPr>
            </w:pPr>
            <w:r>
              <w:rPr>
                <w:sz w:val="22"/>
              </w:rPr>
              <w:t>4.30</w:t>
            </w:r>
            <w:r>
              <w:rPr>
                <w:spacing w:val="-3"/>
                <w:sz w:val="22"/>
              </w:rPr>
              <w:t> </w:t>
            </w:r>
            <w:r>
              <w:rPr>
                <w:sz w:val="22"/>
              </w:rPr>
              <w:t>±</w:t>
            </w:r>
            <w:r>
              <w:rPr>
                <w:spacing w:val="3"/>
                <w:sz w:val="22"/>
              </w:rPr>
              <w:t> </w:t>
            </w:r>
            <w:r>
              <w:rPr>
                <w:spacing w:val="-4"/>
                <w:sz w:val="22"/>
              </w:rPr>
              <w:t>0.09</w:t>
            </w:r>
          </w:p>
        </w:tc>
        <w:tc>
          <w:tcPr>
            <w:tcW w:w="1551" w:type="dxa"/>
          </w:tcPr>
          <w:p>
            <w:pPr>
              <w:pStyle w:val="TableParagraph"/>
              <w:spacing w:before="135"/>
              <w:ind w:left="30"/>
              <w:rPr>
                <w:sz w:val="22"/>
              </w:rPr>
            </w:pPr>
            <w:r>
              <w:rPr>
                <w:sz w:val="22"/>
              </w:rPr>
              <w:t>4.23 ± </w:t>
            </w:r>
            <w:r>
              <w:rPr>
                <w:spacing w:val="-4"/>
                <w:sz w:val="22"/>
              </w:rPr>
              <w:t>0.09</w:t>
            </w:r>
          </w:p>
        </w:tc>
        <w:tc>
          <w:tcPr>
            <w:tcW w:w="1629" w:type="dxa"/>
          </w:tcPr>
          <w:p>
            <w:pPr>
              <w:pStyle w:val="TableParagraph"/>
              <w:spacing w:before="135"/>
              <w:ind w:left="32"/>
              <w:rPr>
                <w:sz w:val="22"/>
              </w:rPr>
            </w:pPr>
            <w:r>
              <w:rPr>
                <w:sz w:val="22"/>
              </w:rPr>
              <w:t>4.35</w:t>
            </w:r>
            <w:r>
              <w:rPr>
                <w:spacing w:val="-5"/>
                <w:sz w:val="22"/>
              </w:rPr>
              <w:t> </w:t>
            </w:r>
            <w:r>
              <w:rPr>
                <w:sz w:val="22"/>
              </w:rPr>
              <w:t>± </w:t>
            </w:r>
            <w:r>
              <w:rPr>
                <w:spacing w:val="-4"/>
                <w:sz w:val="22"/>
              </w:rPr>
              <w:t>0.19</w:t>
            </w:r>
          </w:p>
        </w:tc>
      </w:tr>
      <w:tr>
        <w:trPr>
          <w:trHeight w:val="506" w:hRule="atLeast"/>
        </w:trPr>
        <w:tc>
          <w:tcPr>
            <w:tcW w:w="1312" w:type="dxa"/>
          </w:tcPr>
          <w:p>
            <w:pPr>
              <w:pStyle w:val="TableParagraph"/>
              <w:spacing w:before="135"/>
              <w:ind w:left="50"/>
              <w:rPr>
                <w:sz w:val="22"/>
              </w:rPr>
            </w:pPr>
            <w:r>
              <w:rPr>
                <w:spacing w:val="-2"/>
                <w:sz w:val="22"/>
              </w:rPr>
              <w:t>Platelets</w:t>
            </w:r>
          </w:p>
        </w:tc>
        <w:tc>
          <w:tcPr>
            <w:tcW w:w="932" w:type="dxa"/>
          </w:tcPr>
          <w:p>
            <w:pPr>
              <w:pStyle w:val="TableParagraph"/>
              <w:spacing w:before="135"/>
              <w:ind w:left="92"/>
              <w:rPr>
                <w:sz w:val="22"/>
              </w:rPr>
            </w:pPr>
            <w:r>
              <w:rPr>
                <w:spacing w:val="-2"/>
                <w:sz w:val="22"/>
              </w:rPr>
              <w:t>×10</w:t>
            </w:r>
            <w:r>
              <w:rPr>
                <w:spacing w:val="-2"/>
                <w:sz w:val="22"/>
                <w:vertAlign w:val="superscript"/>
              </w:rPr>
              <w:t>9</w:t>
            </w:r>
            <w:r>
              <w:rPr>
                <w:spacing w:val="-2"/>
                <w:sz w:val="22"/>
                <w:vertAlign w:val="baseline"/>
              </w:rPr>
              <w:t>/L</w:t>
            </w:r>
          </w:p>
        </w:tc>
        <w:tc>
          <w:tcPr>
            <w:tcW w:w="1630" w:type="dxa"/>
          </w:tcPr>
          <w:p>
            <w:pPr>
              <w:pStyle w:val="TableParagraph"/>
              <w:spacing w:before="135"/>
              <w:ind w:left="245"/>
              <w:rPr>
                <w:sz w:val="22"/>
              </w:rPr>
            </w:pPr>
            <w:r>
              <w:rPr>
                <w:sz w:val="22"/>
              </w:rPr>
              <w:t>440.00 ±</w:t>
            </w:r>
            <w:r>
              <w:rPr>
                <w:spacing w:val="-5"/>
                <w:sz w:val="22"/>
              </w:rPr>
              <w:t> </w:t>
            </w:r>
            <w:r>
              <w:rPr>
                <w:spacing w:val="-2"/>
                <w:sz w:val="22"/>
              </w:rPr>
              <w:t>38.13</w:t>
            </w:r>
          </w:p>
        </w:tc>
        <w:tc>
          <w:tcPr>
            <w:tcW w:w="1583" w:type="dxa"/>
          </w:tcPr>
          <w:p>
            <w:pPr>
              <w:pStyle w:val="TableParagraph"/>
              <w:spacing w:before="135"/>
              <w:ind w:left="223"/>
              <w:rPr>
                <w:sz w:val="22"/>
              </w:rPr>
            </w:pPr>
            <w:r>
              <w:rPr>
                <w:sz w:val="22"/>
              </w:rPr>
              <w:t>463.50</w:t>
            </w:r>
            <w:r>
              <w:rPr>
                <w:spacing w:val="-5"/>
                <w:sz w:val="22"/>
              </w:rPr>
              <w:t> </w:t>
            </w:r>
            <w:r>
              <w:rPr>
                <w:sz w:val="22"/>
              </w:rPr>
              <w:t>± </w:t>
            </w:r>
            <w:r>
              <w:rPr>
                <w:spacing w:val="-2"/>
                <w:sz w:val="22"/>
              </w:rPr>
              <w:t>88.75</w:t>
            </w:r>
          </w:p>
        </w:tc>
        <w:tc>
          <w:tcPr>
            <w:tcW w:w="1551" w:type="dxa"/>
          </w:tcPr>
          <w:p>
            <w:pPr>
              <w:pStyle w:val="TableParagraph"/>
              <w:spacing w:before="135"/>
              <w:ind w:left="189"/>
              <w:rPr>
                <w:sz w:val="22"/>
              </w:rPr>
            </w:pPr>
            <w:r>
              <w:rPr>
                <w:sz w:val="22"/>
              </w:rPr>
              <w:t>339.00</w:t>
            </w:r>
            <w:r>
              <w:rPr>
                <w:spacing w:val="-5"/>
                <w:sz w:val="22"/>
              </w:rPr>
              <w:t> </w:t>
            </w:r>
            <w:r>
              <w:rPr>
                <w:sz w:val="22"/>
              </w:rPr>
              <w:t>± </w:t>
            </w:r>
            <w:r>
              <w:rPr>
                <w:spacing w:val="-2"/>
                <w:sz w:val="22"/>
              </w:rPr>
              <w:t>78.54</w:t>
            </w:r>
          </w:p>
        </w:tc>
        <w:tc>
          <w:tcPr>
            <w:tcW w:w="1629" w:type="dxa"/>
          </w:tcPr>
          <w:p>
            <w:pPr>
              <w:pStyle w:val="TableParagraph"/>
              <w:spacing w:before="135"/>
              <w:ind w:left="244"/>
              <w:rPr>
                <w:sz w:val="22"/>
              </w:rPr>
            </w:pPr>
            <w:r>
              <w:rPr>
                <w:sz w:val="22"/>
              </w:rPr>
              <w:t>350.25 ±</w:t>
            </w:r>
            <w:r>
              <w:rPr>
                <w:spacing w:val="-5"/>
                <w:sz w:val="22"/>
              </w:rPr>
              <w:t> </w:t>
            </w:r>
            <w:r>
              <w:rPr>
                <w:spacing w:val="-2"/>
                <w:sz w:val="22"/>
              </w:rPr>
              <w:t>89.42</w:t>
            </w:r>
          </w:p>
        </w:tc>
      </w:tr>
      <w:tr>
        <w:trPr>
          <w:trHeight w:val="520" w:hRule="atLeast"/>
        </w:trPr>
        <w:tc>
          <w:tcPr>
            <w:tcW w:w="1312" w:type="dxa"/>
          </w:tcPr>
          <w:p>
            <w:pPr>
              <w:pStyle w:val="TableParagraph"/>
              <w:spacing w:before="137"/>
              <w:ind w:left="50"/>
              <w:rPr>
                <w:sz w:val="22"/>
              </w:rPr>
            </w:pPr>
            <w:r>
              <w:rPr>
                <w:spacing w:val="-5"/>
                <w:sz w:val="22"/>
              </w:rPr>
              <w:t>WBC</w:t>
            </w:r>
          </w:p>
        </w:tc>
        <w:tc>
          <w:tcPr>
            <w:tcW w:w="932" w:type="dxa"/>
          </w:tcPr>
          <w:p>
            <w:pPr>
              <w:pStyle w:val="TableParagraph"/>
              <w:spacing w:before="137"/>
              <w:ind w:left="178"/>
              <w:rPr>
                <w:sz w:val="22"/>
              </w:rPr>
            </w:pPr>
            <w:r>
              <w:rPr>
                <w:spacing w:val="-2"/>
                <w:sz w:val="22"/>
              </w:rPr>
              <w:t>×10</w:t>
            </w:r>
            <w:r>
              <w:rPr>
                <w:spacing w:val="-2"/>
                <w:sz w:val="22"/>
                <w:vertAlign w:val="superscript"/>
              </w:rPr>
              <w:t>9</w:t>
            </w:r>
            <w:r>
              <w:rPr>
                <w:spacing w:val="-2"/>
                <w:sz w:val="22"/>
                <w:vertAlign w:val="baseline"/>
              </w:rPr>
              <w:t>/L</w:t>
            </w:r>
          </w:p>
        </w:tc>
        <w:tc>
          <w:tcPr>
            <w:tcW w:w="1630" w:type="dxa"/>
          </w:tcPr>
          <w:p>
            <w:pPr>
              <w:pStyle w:val="TableParagraph"/>
              <w:spacing w:before="137"/>
              <w:ind w:left="192"/>
              <w:rPr>
                <w:sz w:val="22"/>
              </w:rPr>
            </w:pPr>
            <w:r>
              <w:rPr>
                <w:sz w:val="22"/>
              </w:rPr>
              <w:t>15.30</w:t>
            </w:r>
            <w:r>
              <w:rPr>
                <w:spacing w:val="-7"/>
                <w:sz w:val="22"/>
              </w:rPr>
              <w:t> </w:t>
            </w:r>
            <w:r>
              <w:rPr>
                <w:sz w:val="22"/>
              </w:rPr>
              <w:t>± </w:t>
            </w:r>
            <w:r>
              <w:rPr>
                <w:spacing w:val="-4"/>
                <w:sz w:val="22"/>
              </w:rPr>
              <w:t>3.40</w:t>
            </w:r>
          </w:p>
        </w:tc>
        <w:tc>
          <w:tcPr>
            <w:tcW w:w="1583" w:type="dxa"/>
          </w:tcPr>
          <w:p>
            <w:pPr>
              <w:pStyle w:val="TableParagraph"/>
              <w:spacing w:before="137"/>
              <w:ind w:left="111"/>
              <w:rPr>
                <w:sz w:val="22"/>
              </w:rPr>
            </w:pPr>
            <w:r>
              <w:rPr>
                <w:sz w:val="22"/>
              </w:rPr>
              <w:t>16.55</w:t>
            </w:r>
            <w:r>
              <w:rPr>
                <w:spacing w:val="-7"/>
                <w:sz w:val="22"/>
              </w:rPr>
              <w:t> </w:t>
            </w:r>
            <w:r>
              <w:rPr>
                <w:sz w:val="22"/>
              </w:rPr>
              <w:t>± </w:t>
            </w:r>
            <w:r>
              <w:rPr>
                <w:spacing w:val="-4"/>
                <w:sz w:val="22"/>
              </w:rPr>
              <w:t>2.72</w:t>
            </w:r>
          </w:p>
        </w:tc>
        <w:tc>
          <w:tcPr>
            <w:tcW w:w="1551" w:type="dxa"/>
          </w:tcPr>
          <w:p>
            <w:pPr>
              <w:pStyle w:val="TableParagraph"/>
              <w:spacing w:before="137"/>
              <w:ind w:left="129"/>
              <w:rPr>
                <w:sz w:val="22"/>
              </w:rPr>
            </w:pPr>
            <w:r>
              <w:rPr>
                <w:sz w:val="22"/>
              </w:rPr>
              <w:t>15.15</w:t>
            </w:r>
            <w:r>
              <w:rPr>
                <w:spacing w:val="-2"/>
                <w:sz w:val="22"/>
              </w:rPr>
              <w:t> </w:t>
            </w:r>
            <w:r>
              <w:rPr>
                <w:sz w:val="22"/>
              </w:rPr>
              <w:t>±</w:t>
            </w:r>
            <w:r>
              <w:rPr>
                <w:spacing w:val="-10"/>
                <w:sz w:val="22"/>
              </w:rPr>
              <w:t> </w:t>
            </w:r>
            <w:r>
              <w:rPr>
                <w:spacing w:val="-4"/>
                <w:sz w:val="22"/>
              </w:rPr>
              <w:t>4.30</w:t>
            </w:r>
          </w:p>
        </w:tc>
        <w:tc>
          <w:tcPr>
            <w:tcW w:w="1629" w:type="dxa"/>
          </w:tcPr>
          <w:p>
            <w:pPr>
              <w:pStyle w:val="TableParagraph"/>
              <w:spacing w:before="137"/>
              <w:ind w:left="127"/>
              <w:rPr>
                <w:sz w:val="22"/>
              </w:rPr>
            </w:pPr>
            <w:r>
              <w:rPr>
                <w:sz w:val="22"/>
              </w:rPr>
              <w:t>15.85</w:t>
            </w:r>
            <w:r>
              <w:rPr>
                <w:spacing w:val="-7"/>
                <w:sz w:val="22"/>
              </w:rPr>
              <w:t> </w:t>
            </w:r>
            <w:r>
              <w:rPr>
                <w:sz w:val="22"/>
              </w:rPr>
              <w:t>± </w:t>
            </w:r>
            <w:r>
              <w:rPr>
                <w:spacing w:val="-4"/>
                <w:sz w:val="22"/>
              </w:rPr>
              <w:t>4.34</w:t>
            </w:r>
          </w:p>
        </w:tc>
      </w:tr>
      <w:tr>
        <w:trPr>
          <w:trHeight w:val="506" w:hRule="atLeast"/>
        </w:trPr>
        <w:tc>
          <w:tcPr>
            <w:tcW w:w="1312" w:type="dxa"/>
          </w:tcPr>
          <w:p>
            <w:pPr>
              <w:pStyle w:val="TableParagraph"/>
              <w:spacing w:before="121"/>
              <w:ind w:left="50"/>
              <w:rPr>
                <w:sz w:val="22"/>
              </w:rPr>
            </w:pPr>
            <w:r>
              <w:rPr>
                <w:spacing w:val="-2"/>
                <w:sz w:val="22"/>
              </w:rPr>
              <w:t>Neutrophils</w:t>
            </w:r>
          </w:p>
        </w:tc>
        <w:tc>
          <w:tcPr>
            <w:tcW w:w="932" w:type="dxa"/>
          </w:tcPr>
          <w:p>
            <w:pPr>
              <w:pStyle w:val="TableParagraph"/>
              <w:spacing w:before="121"/>
              <w:ind w:left="178"/>
              <w:rPr>
                <w:sz w:val="22"/>
              </w:rPr>
            </w:pPr>
            <w:r>
              <w:rPr>
                <w:spacing w:val="-10"/>
                <w:sz w:val="22"/>
              </w:rPr>
              <w:t>%</w:t>
            </w:r>
          </w:p>
        </w:tc>
        <w:tc>
          <w:tcPr>
            <w:tcW w:w="1630" w:type="dxa"/>
          </w:tcPr>
          <w:p>
            <w:pPr>
              <w:pStyle w:val="TableParagraph"/>
              <w:spacing w:before="121"/>
              <w:ind w:left="192"/>
              <w:rPr>
                <w:sz w:val="22"/>
              </w:rPr>
            </w:pPr>
            <w:r>
              <w:rPr>
                <w:sz w:val="22"/>
              </w:rPr>
              <w:t>35.00</w:t>
            </w:r>
            <w:r>
              <w:rPr>
                <w:spacing w:val="-5"/>
                <w:sz w:val="22"/>
              </w:rPr>
              <w:t> </w:t>
            </w:r>
            <w:r>
              <w:rPr>
                <w:sz w:val="22"/>
              </w:rPr>
              <w:t>± </w:t>
            </w:r>
            <w:r>
              <w:rPr>
                <w:spacing w:val="-2"/>
                <w:sz w:val="22"/>
              </w:rPr>
              <w:t>12.07</w:t>
            </w:r>
          </w:p>
        </w:tc>
        <w:tc>
          <w:tcPr>
            <w:tcW w:w="1583" w:type="dxa"/>
          </w:tcPr>
          <w:p>
            <w:pPr>
              <w:pStyle w:val="TableParagraph"/>
              <w:spacing w:before="121"/>
              <w:ind w:left="111"/>
              <w:rPr>
                <w:sz w:val="22"/>
              </w:rPr>
            </w:pPr>
            <w:r>
              <w:rPr>
                <w:sz w:val="22"/>
              </w:rPr>
              <w:t>33.50</w:t>
            </w:r>
            <w:r>
              <w:rPr>
                <w:spacing w:val="-7"/>
                <w:sz w:val="22"/>
              </w:rPr>
              <w:t> </w:t>
            </w:r>
            <w:r>
              <w:rPr>
                <w:sz w:val="22"/>
              </w:rPr>
              <w:t>± </w:t>
            </w:r>
            <w:r>
              <w:rPr>
                <w:spacing w:val="-4"/>
                <w:sz w:val="22"/>
              </w:rPr>
              <w:t>1.71</w:t>
            </w:r>
          </w:p>
        </w:tc>
        <w:tc>
          <w:tcPr>
            <w:tcW w:w="1551" w:type="dxa"/>
          </w:tcPr>
          <w:p>
            <w:pPr>
              <w:pStyle w:val="TableParagraph"/>
              <w:spacing w:before="121"/>
              <w:ind w:left="129"/>
              <w:rPr>
                <w:sz w:val="22"/>
              </w:rPr>
            </w:pPr>
            <w:r>
              <w:rPr>
                <w:sz w:val="22"/>
              </w:rPr>
              <w:t>29.50</w:t>
            </w:r>
            <w:r>
              <w:rPr>
                <w:spacing w:val="-2"/>
                <w:sz w:val="22"/>
              </w:rPr>
              <w:t> </w:t>
            </w:r>
            <w:r>
              <w:rPr>
                <w:sz w:val="22"/>
              </w:rPr>
              <w:t>±</w:t>
            </w:r>
            <w:r>
              <w:rPr>
                <w:spacing w:val="-5"/>
                <w:sz w:val="22"/>
              </w:rPr>
              <w:t> </w:t>
            </w:r>
            <w:r>
              <w:rPr>
                <w:spacing w:val="-4"/>
                <w:sz w:val="22"/>
              </w:rPr>
              <w:t>3.30</w:t>
            </w:r>
          </w:p>
        </w:tc>
        <w:tc>
          <w:tcPr>
            <w:tcW w:w="1629" w:type="dxa"/>
          </w:tcPr>
          <w:p>
            <w:pPr>
              <w:pStyle w:val="TableParagraph"/>
              <w:spacing w:before="121"/>
              <w:ind w:left="133"/>
              <w:rPr>
                <w:sz w:val="22"/>
              </w:rPr>
            </w:pPr>
            <w:r>
              <w:rPr>
                <w:sz w:val="22"/>
              </w:rPr>
              <w:t>35.75</w:t>
            </w:r>
            <w:r>
              <w:rPr>
                <w:spacing w:val="-5"/>
                <w:sz w:val="22"/>
              </w:rPr>
              <w:t> </w:t>
            </w:r>
            <w:r>
              <w:rPr>
                <w:sz w:val="22"/>
              </w:rPr>
              <w:t>±</w:t>
            </w:r>
            <w:r>
              <w:rPr>
                <w:spacing w:val="3"/>
                <w:sz w:val="22"/>
              </w:rPr>
              <w:t> </w:t>
            </w:r>
            <w:r>
              <w:rPr>
                <w:spacing w:val="-4"/>
                <w:sz w:val="22"/>
              </w:rPr>
              <w:t>2.71</w:t>
            </w:r>
          </w:p>
        </w:tc>
      </w:tr>
      <w:tr>
        <w:trPr>
          <w:trHeight w:val="506" w:hRule="atLeast"/>
        </w:trPr>
        <w:tc>
          <w:tcPr>
            <w:tcW w:w="1312" w:type="dxa"/>
          </w:tcPr>
          <w:p>
            <w:pPr>
              <w:pStyle w:val="TableParagraph"/>
              <w:spacing w:before="123"/>
              <w:ind w:left="50"/>
              <w:rPr>
                <w:sz w:val="22"/>
              </w:rPr>
            </w:pPr>
            <w:r>
              <w:rPr>
                <w:spacing w:val="-2"/>
                <w:sz w:val="22"/>
              </w:rPr>
              <w:t>Lymphocytes</w:t>
            </w:r>
          </w:p>
        </w:tc>
        <w:tc>
          <w:tcPr>
            <w:tcW w:w="932" w:type="dxa"/>
          </w:tcPr>
          <w:p>
            <w:pPr>
              <w:pStyle w:val="TableParagraph"/>
              <w:spacing w:before="123"/>
              <w:ind w:left="178"/>
              <w:rPr>
                <w:sz w:val="22"/>
              </w:rPr>
            </w:pPr>
            <w:r>
              <w:rPr>
                <w:spacing w:val="-10"/>
                <w:sz w:val="22"/>
              </w:rPr>
              <w:t>%</w:t>
            </w:r>
          </w:p>
        </w:tc>
        <w:tc>
          <w:tcPr>
            <w:tcW w:w="1630" w:type="dxa"/>
          </w:tcPr>
          <w:p>
            <w:pPr>
              <w:pStyle w:val="TableParagraph"/>
              <w:spacing w:before="123"/>
              <w:ind w:left="192"/>
              <w:rPr>
                <w:sz w:val="22"/>
              </w:rPr>
            </w:pPr>
            <w:r>
              <w:rPr>
                <w:sz w:val="22"/>
              </w:rPr>
              <w:t>61.00</w:t>
            </w:r>
            <w:r>
              <w:rPr>
                <w:spacing w:val="-5"/>
                <w:sz w:val="22"/>
              </w:rPr>
              <w:t> </w:t>
            </w:r>
            <w:r>
              <w:rPr>
                <w:sz w:val="22"/>
              </w:rPr>
              <w:t>± </w:t>
            </w:r>
            <w:r>
              <w:rPr>
                <w:spacing w:val="-2"/>
                <w:sz w:val="22"/>
              </w:rPr>
              <w:t>12.66</w:t>
            </w:r>
          </w:p>
        </w:tc>
        <w:tc>
          <w:tcPr>
            <w:tcW w:w="1583" w:type="dxa"/>
          </w:tcPr>
          <w:p>
            <w:pPr>
              <w:pStyle w:val="TableParagraph"/>
              <w:spacing w:before="123"/>
              <w:ind w:left="111"/>
              <w:rPr>
                <w:sz w:val="22"/>
              </w:rPr>
            </w:pPr>
            <w:r>
              <w:rPr>
                <w:sz w:val="22"/>
              </w:rPr>
              <w:t>62.75</w:t>
            </w:r>
            <w:r>
              <w:rPr>
                <w:spacing w:val="-7"/>
                <w:sz w:val="22"/>
              </w:rPr>
              <w:t> </w:t>
            </w:r>
            <w:r>
              <w:rPr>
                <w:sz w:val="22"/>
              </w:rPr>
              <w:t>± </w:t>
            </w:r>
            <w:r>
              <w:rPr>
                <w:spacing w:val="-4"/>
                <w:sz w:val="22"/>
              </w:rPr>
              <w:t>3.04</w:t>
            </w:r>
          </w:p>
        </w:tc>
        <w:tc>
          <w:tcPr>
            <w:tcW w:w="1551" w:type="dxa"/>
          </w:tcPr>
          <w:p>
            <w:pPr>
              <w:pStyle w:val="TableParagraph"/>
              <w:spacing w:before="123"/>
              <w:ind w:left="129"/>
              <w:rPr>
                <w:sz w:val="22"/>
              </w:rPr>
            </w:pPr>
            <w:r>
              <w:rPr>
                <w:sz w:val="22"/>
              </w:rPr>
              <w:t>67.50</w:t>
            </w:r>
            <w:r>
              <w:rPr>
                <w:spacing w:val="-2"/>
                <w:sz w:val="22"/>
              </w:rPr>
              <w:t> </w:t>
            </w:r>
            <w:r>
              <w:rPr>
                <w:sz w:val="22"/>
              </w:rPr>
              <w:t>±</w:t>
            </w:r>
            <w:r>
              <w:rPr>
                <w:spacing w:val="-5"/>
                <w:sz w:val="22"/>
              </w:rPr>
              <w:t> </w:t>
            </w:r>
            <w:r>
              <w:rPr>
                <w:spacing w:val="-4"/>
                <w:sz w:val="22"/>
              </w:rPr>
              <w:t>4.11</w:t>
            </w:r>
          </w:p>
        </w:tc>
        <w:tc>
          <w:tcPr>
            <w:tcW w:w="1629" w:type="dxa"/>
          </w:tcPr>
          <w:p>
            <w:pPr>
              <w:pStyle w:val="TableParagraph"/>
              <w:spacing w:before="123"/>
              <w:ind w:left="133"/>
              <w:rPr>
                <w:sz w:val="22"/>
              </w:rPr>
            </w:pPr>
            <w:r>
              <w:rPr>
                <w:sz w:val="22"/>
              </w:rPr>
              <w:t>64.50</w:t>
            </w:r>
            <w:r>
              <w:rPr>
                <w:spacing w:val="-5"/>
                <w:sz w:val="22"/>
              </w:rPr>
              <w:t> </w:t>
            </w:r>
            <w:r>
              <w:rPr>
                <w:sz w:val="22"/>
              </w:rPr>
              <w:t>±</w:t>
            </w:r>
            <w:r>
              <w:rPr>
                <w:spacing w:val="3"/>
                <w:sz w:val="22"/>
              </w:rPr>
              <w:t> </w:t>
            </w:r>
            <w:r>
              <w:rPr>
                <w:spacing w:val="-4"/>
                <w:sz w:val="22"/>
              </w:rPr>
              <w:t>4.73</w:t>
            </w:r>
          </w:p>
        </w:tc>
      </w:tr>
      <w:tr>
        <w:trPr>
          <w:trHeight w:val="374" w:hRule="atLeast"/>
        </w:trPr>
        <w:tc>
          <w:tcPr>
            <w:tcW w:w="1312" w:type="dxa"/>
          </w:tcPr>
          <w:p>
            <w:pPr>
              <w:pStyle w:val="TableParagraph"/>
              <w:spacing w:line="233" w:lineRule="exact" w:before="121"/>
              <w:ind w:left="50"/>
              <w:rPr>
                <w:sz w:val="22"/>
              </w:rPr>
            </w:pPr>
            <w:r>
              <w:rPr>
                <w:spacing w:val="-2"/>
                <w:sz w:val="22"/>
              </w:rPr>
              <w:t>Monocytes</w:t>
            </w:r>
          </w:p>
        </w:tc>
        <w:tc>
          <w:tcPr>
            <w:tcW w:w="932" w:type="dxa"/>
          </w:tcPr>
          <w:p>
            <w:pPr>
              <w:pStyle w:val="TableParagraph"/>
              <w:spacing w:line="233" w:lineRule="exact" w:before="121"/>
              <w:ind w:left="178"/>
              <w:rPr>
                <w:sz w:val="22"/>
              </w:rPr>
            </w:pPr>
            <w:r>
              <w:rPr>
                <w:spacing w:val="-10"/>
                <w:sz w:val="22"/>
              </w:rPr>
              <w:t>%</w:t>
            </w:r>
          </w:p>
        </w:tc>
        <w:tc>
          <w:tcPr>
            <w:tcW w:w="1630" w:type="dxa"/>
          </w:tcPr>
          <w:p>
            <w:pPr>
              <w:pStyle w:val="TableParagraph"/>
              <w:spacing w:line="233" w:lineRule="exact" w:before="121"/>
              <w:ind w:left="192"/>
              <w:rPr>
                <w:sz w:val="22"/>
              </w:rPr>
            </w:pPr>
            <w:r>
              <w:rPr>
                <w:sz w:val="22"/>
              </w:rPr>
              <w:t>2.75</w:t>
            </w:r>
            <w:r>
              <w:rPr>
                <w:spacing w:val="-5"/>
                <w:sz w:val="22"/>
              </w:rPr>
              <w:t> </w:t>
            </w:r>
            <w:r>
              <w:rPr>
                <w:sz w:val="22"/>
              </w:rPr>
              <w:t>± </w:t>
            </w:r>
            <w:r>
              <w:rPr>
                <w:spacing w:val="-4"/>
                <w:sz w:val="22"/>
              </w:rPr>
              <w:t>1.10</w:t>
            </w:r>
          </w:p>
        </w:tc>
        <w:tc>
          <w:tcPr>
            <w:tcW w:w="1583" w:type="dxa"/>
          </w:tcPr>
          <w:p>
            <w:pPr>
              <w:pStyle w:val="TableParagraph"/>
              <w:spacing w:line="233" w:lineRule="exact" w:before="121"/>
              <w:ind w:left="55"/>
              <w:rPr>
                <w:sz w:val="22"/>
              </w:rPr>
            </w:pPr>
            <w:r>
              <w:rPr>
                <w:sz w:val="22"/>
              </w:rPr>
              <w:t>1.75</w:t>
            </w:r>
            <w:r>
              <w:rPr>
                <w:spacing w:val="-3"/>
                <w:sz w:val="22"/>
              </w:rPr>
              <w:t> </w:t>
            </w:r>
            <w:r>
              <w:rPr>
                <w:sz w:val="22"/>
              </w:rPr>
              <w:t>±</w:t>
            </w:r>
            <w:r>
              <w:rPr>
                <w:spacing w:val="3"/>
                <w:sz w:val="22"/>
              </w:rPr>
              <w:t> </w:t>
            </w:r>
            <w:r>
              <w:rPr>
                <w:spacing w:val="-4"/>
                <w:sz w:val="22"/>
              </w:rPr>
              <w:t>0.25</w:t>
            </w:r>
          </w:p>
        </w:tc>
        <w:tc>
          <w:tcPr>
            <w:tcW w:w="1551" w:type="dxa"/>
          </w:tcPr>
          <w:p>
            <w:pPr>
              <w:pStyle w:val="TableParagraph"/>
              <w:spacing w:line="233" w:lineRule="exact" w:before="121"/>
              <w:ind w:left="81"/>
              <w:rPr>
                <w:sz w:val="22"/>
              </w:rPr>
            </w:pPr>
            <w:r>
              <w:rPr>
                <w:sz w:val="22"/>
              </w:rPr>
              <w:t>3.25 ±</w:t>
            </w:r>
            <w:r>
              <w:rPr>
                <w:spacing w:val="-5"/>
                <w:sz w:val="22"/>
              </w:rPr>
              <w:t> </w:t>
            </w:r>
            <w:r>
              <w:rPr>
                <w:spacing w:val="-4"/>
                <w:sz w:val="22"/>
              </w:rPr>
              <w:t>0.94</w:t>
            </w:r>
          </w:p>
        </w:tc>
        <w:tc>
          <w:tcPr>
            <w:tcW w:w="1629" w:type="dxa"/>
          </w:tcPr>
          <w:p>
            <w:pPr>
              <w:pStyle w:val="TableParagraph"/>
              <w:spacing w:line="233" w:lineRule="exact" w:before="121"/>
              <w:ind w:left="76"/>
              <w:rPr>
                <w:sz w:val="22"/>
              </w:rPr>
            </w:pPr>
            <w:r>
              <w:rPr>
                <w:sz w:val="22"/>
              </w:rPr>
              <w:t>2.75</w:t>
            </w:r>
            <w:r>
              <w:rPr>
                <w:spacing w:val="1"/>
                <w:sz w:val="22"/>
              </w:rPr>
              <w:t> </w:t>
            </w:r>
            <w:r>
              <w:rPr>
                <w:sz w:val="22"/>
              </w:rPr>
              <w:t>±</w:t>
            </w:r>
            <w:r>
              <w:rPr>
                <w:spacing w:val="-3"/>
                <w:sz w:val="22"/>
              </w:rPr>
              <w:t> </w:t>
            </w:r>
            <w:r>
              <w:rPr>
                <w:spacing w:val="-4"/>
                <w:sz w:val="22"/>
              </w:rPr>
              <w:t>0.85</w:t>
            </w:r>
          </w:p>
        </w:tc>
      </w:tr>
    </w:tbl>
    <w:p>
      <w:pPr>
        <w:pStyle w:val="BodyText"/>
        <w:spacing w:before="10"/>
        <w:rPr>
          <w:sz w:val="17"/>
        </w:rPr>
      </w:pPr>
      <w:r>
        <w:rPr/>
        <mc:AlternateContent>
          <mc:Choice Requires="wps">
            <w:drawing>
              <wp:anchor distT="0" distB="0" distL="0" distR="0" allowOverlap="1" layoutInCell="1" locked="0" behindDoc="1" simplePos="0" relativeHeight="487657984">
                <wp:simplePos x="0" y="0"/>
                <wp:positionH relativeFrom="page">
                  <wp:posOffset>1257300</wp:posOffset>
                </wp:positionH>
                <wp:positionV relativeFrom="paragraph">
                  <wp:posOffset>145896</wp:posOffset>
                </wp:positionV>
                <wp:extent cx="5600700" cy="127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5600700" cy="1270"/>
                        </a:xfrm>
                        <a:custGeom>
                          <a:avLst/>
                          <a:gdLst/>
                          <a:ahLst/>
                          <a:cxnLst/>
                          <a:rect l="l" t="t" r="r" b="b"/>
                          <a:pathLst>
                            <a:path w="5600700" h="0">
                              <a:moveTo>
                                <a:pt x="0" y="0"/>
                              </a:moveTo>
                              <a:lnTo>
                                <a:pt x="5600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pt;margin-top:11.48789pt;width:441pt;height:.1pt;mso-position-horizontal-relative:page;mso-position-vertical-relative:paragraph;z-index:-15658496;mso-wrap-distance-left:0;mso-wrap-distance-right:0" id="docshape115" coordorigin="1980,230" coordsize="8820,0" path="m1980,230l10800,230e" filled="false" stroked="true" strokeweight=".75pt" strokecolor="#000000">
                <v:path arrowok="t"/>
                <v:stroke dashstyle="solid"/>
                <w10:wrap type="topAndBottom"/>
              </v:shape>
            </w:pict>
          </mc:Fallback>
        </mc:AlternateContent>
      </w:r>
    </w:p>
    <w:p>
      <w:pPr>
        <w:spacing w:line="480" w:lineRule="auto" w:before="18"/>
        <w:ind w:left="681" w:right="284" w:firstLine="0"/>
        <w:jc w:val="left"/>
        <w:rPr>
          <w:sz w:val="22"/>
        </w:rPr>
      </w:pPr>
      <w:r>
        <w:rPr>
          <w:sz w:val="24"/>
        </w:rPr>
        <w:t>Data presented as mean </w:t>
      </w:r>
      <w:r>
        <w:rPr>
          <w:sz w:val="22"/>
        </w:rPr>
        <w:t>± SEM, n = 4 rats per group, no statistical significant difference using ANOVA test.</w:t>
      </w:r>
    </w:p>
    <w:p>
      <w:pPr>
        <w:spacing w:after="0" w:line="480" w:lineRule="auto"/>
        <w:jc w:val="left"/>
        <w:rPr>
          <w:sz w:val="22"/>
        </w:rPr>
        <w:sectPr>
          <w:pgSz w:w="12240" w:h="15840"/>
          <w:pgMar w:header="0" w:footer="1066" w:top="1360" w:bottom="1260" w:left="1480" w:right="1160"/>
        </w:sectPr>
      </w:pPr>
    </w:p>
    <w:p>
      <w:pPr>
        <w:pStyle w:val="Heading2"/>
        <w:numPr>
          <w:ilvl w:val="1"/>
          <w:numId w:val="14"/>
        </w:numPr>
        <w:tabs>
          <w:tab w:pos="1045" w:val="left" w:leader="none"/>
        </w:tabs>
        <w:spacing w:line="240" w:lineRule="auto" w:before="77" w:after="0"/>
        <w:ind w:left="1045" w:right="0" w:hanging="364"/>
        <w:jc w:val="both"/>
      </w:pPr>
      <w:bookmarkStart w:name="_TOC_250018" w:id="66"/>
      <w:r>
        <w:rPr/>
        <w:t>Anticonvulsant</w:t>
      </w:r>
      <w:r>
        <w:rPr>
          <w:spacing w:val="-7"/>
        </w:rPr>
        <w:t> </w:t>
      </w:r>
      <w:bookmarkEnd w:id="66"/>
      <w:r>
        <w:rPr>
          <w:spacing w:val="-2"/>
        </w:rPr>
        <w:t>Studies</w:t>
      </w:r>
    </w:p>
    <w:p>
      <w:pPr>
        <w:pStyle w:val="BodyText"/>
        <w:rPr>
          <w:b/>
        </w:rPr>
      </w:pPr>
    </w:p>
    <w:p>
      <w:pPr>
        <w:pStyle w:val="ListParagraph"/>
        <w:numPr>
          <w:ilvl w:val="2"/>
          <w:numId w:val="14"/>
        </w:numPr>
        <w:tabs>
          <w:tab w:pos="1309" w:val="left" w:leader="none"/>
        </w:tabs>
        <w:spacing w:line="480" w:lineRule="auto" w:before="0" w:after="0"/>
        <w:ind w:left="681" w:right="280" w:firstLine="0"/>
        <w:jc w:val="both"/>
        <w:rPr>
          <w:b/>
          <w:sz w:val="24"/>
        </w:rPr>
      </w:pPr>
      <w:r>
        <w:rPr>
          <w:b/>
          <w:sz w:val="24"/>
        </w:rPr>
        <w:t>Effect of DCP23, DCP25 and DCP34 on Maximal Electroshock-induced Seizure Test in Mice</w:t>
      </w:r>
    </w:p>
    <w:p>
      <w:pPr>
        <w:pStyle w:val="BodyText"/>
        <w:spacing w:line="480" w:lineRule="auto"/>
        <w:ind w:left="681" w:right="276"/>
        <w:jc w:val="both"/>
      </w:pPr>
      <w:r>
        <w:rPr/>
        <w:t>The compounds, DCP23, DCP25 and DCP34, demonstrated good anticonvulsant activity against maximal electroshock-induced seizure as determined in mice. They showed dose dependent protection against tonic hind limb extension (THLE); the percentage protections against seizure exhibited by DCP23, DCP25 and DCP34, at 50 mg/kg, were 71.4%,</w:t>
      </w:r>
      <w:r>
        <w:rPr>
          <w:spacing w:val="-2"/>
        </w:rPr>
        <w:t> </w:t>
      </w:r>
      <w:r>
        <w:rPr/>
        <w:t>57.2%</w:t>
      </w:r>
      <w:r>
        <w:rPr>
          <w:spacing w:val="1"/>
        </w:rPr>
        <w:t> </w:t>
      </w:r>
      <w:r>
        <w:rPr/>
        <w:t>and</w:t>
      </w:r>
      <w:r>
        <w:rPr>
          <w:spacing w:val="-1"/>
        </w:rPr>
        <w:t> </w:t>
      </w:r>
      <w:r>
        <w:rPr/>
        <w:t>42.9%</w:t>
      </w:r>
      <w:r>
        <w:rPr>
          <w:spacing w:val="-1"/>
        </w:rPr>
        <w:t> </w:t>
      </w:r>
      <w:r>
        <w:rPr/>
        <w:t>respectively.</w:t>
      </w:r>
      <w:r>
        <w:rPr>
          <w:spacing w:val="5"/>
        </w:rPr>
        <w:t> </w:t>
      </w:r>
      <w:r>
        <w:rPr/>
        <w:t>Where</w:t>
      </w:r>
      <w:r>
        <w:rPr>
          <w:spacing w:val="-1"/>
        </w:rPr>
        <w:t> </w:t>
      </w:r>
      <w:r>
        <w:rPr/>
        <w:t>as</w:t>
      </w:r>
      <w:r>
        <w:rPr>
          <w:spacing w:val="-3"/>
        </w:rPr>
        <w:t> </w:t>
      </w:r>
      <w:r>
        <w:rPr/>
        <w:t>at</w:t>
      </w:r>
      <w:r>
        <w:rPr>
          <w:spacing w:val="4"/>
        </w:rPr>
        <w:t> </w:t>
      </w:r>
      <w:r>
        <w:rPr/>
        <w:t>25</w:t>
      </w:r>
      <w:r>
        <w:rPr>
          <w:spacing w:val="-1"/>
        </w:rPr>
        <w:t> </w:t>
      </w:r>
      <w:r>
        <w:rPr/>
        <w:t>mg/kg</w:t>
      </w:r>
      <w:r>
        <w:rPr>
          <w:spacing w:val="-1"/>
        </w:rPr>
        <w:t> </w:t>
      </w:r>
      <w:r>
        <w:rPr/>
        <w:t>their percentage</w:t>
      </w:r>
      <w:r>
        <w:rPr>
          <w:spacing w:val="5"/>
        </w:rPr>
        <w:t> </w:t>
      </w:r>
      <w:r>
        <w:rPr>
          <w:spacing w:val="-2"/>
        </w:rPr>
        <w:t>protections</w:t>
      </w:r>
    </w:p>
    <w:p>
      <w:pPr>
        <w:pStyle w:val="BodyText"/>
        <w:spacing w:line="480" w:lineRule="auto"/>
        <w:ind w:left="681" w:right="269"/>
        <w:jc w:val="both"/>
      </w:pPr>
      <w:r>
        <w:rPr/>
        <w:t>were 42.9%, 28.5% and 14.3% respectively, while the lowest dose (12.5 mg/kg) offered minimal / no protection. Thus, DCP23 provided the greatest protection while DCP34 offered the lowest protection. Also, phenytoin, the standard drug, protected all the</w:t>
      </w:r>
      <w:r>
        <w:rPr>
          <w:spacing w:val="40"/>
        </w:rPr>
        <w:t> </w:t>
      </w:r>
      <w:r>
        <w:rPr/>
        <w:t>animals against THLE at the dose of 20 mg/kg. Although, there was no statistically significant difference in the recovery from seizures between the control and the</w:t>
      </w:r>
      <w:r>
        <w:rPr>
          <w:spacing w:val="40"/>
        </w:rPr>
        <w:t> </w:t>
      </w:r>
      <w:r>
        <w:rPr/>
        <w:t>compound treated groups, no mortality was observed in all the experimental groups (Table 4.13).</w:t>
      </w:r>
    </w:p>
    <w:p>
      <w:pPr>
        <w:spacing w:after="0" w:line="480" w:lineRule="auto"/>
        <w:jc w:val="both"/>
        <w:sectPr>
          <w:pgSz w:w="12240" w:h="15840"/>
          <w:pgMar w:header="0" w:footer="1066" w:top="1360" w:bottom="1260" w:left="1480" w:right="1160"/>
        </w:sectPr>
      </w:pPr>
    </w:p>
    <w:p>
      <w:pPr>
        <w:pStyle w:val="Heading2"/>
        <w:spacing w:line="480" w:lineRule="auto" w:before="77"/>
        <w:ind w:right="278"/>
        <w:jc w:val="left"/>
      </w:pPr>
      <w:r>
        <w:rPr/>
        <w:t>Table</w:t>
      </w:r>
      <w:r>
        <w:rPr>
          <w:spacing w:val="73"/>
        </w:rPr>
        <w:t> </w:t>
      </w:r>
      <w:r>
        <w:rPr/>
        <w:t>4.13:</w:t>
      </w:r>
      <w:r>
        <w:rPr>
          <w:spacing w:val="71"/>
        </w:rPr>
        <w:t> </w:t>
      </w:r>
      <w:r>
        <w:rPr/>
        <w:t>Effect</w:t>
      </w:r>
      <w:r>
        <w:rPr>
          <w:spacing w:val="71"/>
        </w:rPr>
        <w:t> </w:t>
      </w:r>
      <w:r>
        <w:rPr/>
        <w:t>of</w:t>
      </w:r>
      <w:r>
        <w:rPr>
          <w:spacing w:val="67"/>
        </w:rPr>
        <w:t> </w:t>
      </w:r>
      <w:r>
        <w:rPr/>
        <w:t>DCP23,</w:t>
      </w:r>
      <w:r>
        <w:rPr>
          <w:spacing w:val="72"/>
        </w:rPr>
        <w:t> </w:t>
      </w:r>
      <w:r>
        <w:rPr/>
        <w:t>DCP25</w:t>
      </w:r>
      <w:r>
        <w:rPr>
          <w:spacing w:val="70"/>
        </w:rPr>
        <w:t> </w:t>
      </w:r>
      <w:r>
        <w:rPr/>
        <w:t>and</w:t>
      </w:r>
      <w:r>
        <w:rPr>
          <w:spacing w:val="75"/>
        </w:rPr>
        <w:t> </w:t>
      </w:r>
      <w:r>
        <w:rPr/>
        <w:t>DCP34</w:t>
      </w:r>
      <w:r>
        <w:rPr>
          <w:spacing w:val="75"/>
        </w:rPr>
        <w:t> </w:t>
      </w:r>
      <w:r>
        <w:rPr/>
        <w:t>and</w:t>
      </w:r>
      <w:r>
        <w:rPr>
          <w:spacing w:val="70"/>
        </w:rPr>
        <w:t> </w:t>
      </w:r>
      <w:r>
        <w:rPr/>
        <w:t>Phenytoin</w:t>
      </w:r>
      <w:r>
        <w:rPr>
          <w:spacing w:val="71"/>
        </w:rPr>
        <w:t> </w:t>
      </w:r>
      <w:r>
        <w:rPr/>
        <w:t>on</w:t>
      </w:r>
      <w:r>
        <w:rPr>
          <w:spacing w:val="70"/>
        </w:rPr>
        <w:t> </w:t>
      </w:r>
      <w:r>
        <w:rPr/>
        <w:t>Maximal Electroshock-induced Seizures in Mice</w:t>
      </w:r>
    </w:p>
    <w:p>
      <w:pPr>
        <w:pStyle w:val="BodyText"/>
        <w:rPr>
          <w:b/>
          <w:sz w:val="20"/>
        </w:rPr>
      </w:pPr>
    </w:p>
    <w:p>
      <w:pPr>
        <w:pStyle w:val="BodyText"/>
        <w:spacing w:before="47"/>
        <w:rPr>
          <w:b/>
          <w:sz w:val="20"/>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0"/>
        <w:gridCol w:w="1778"/>
        <w:gridCol w:w="1367"/>
        <w:gridCol w:w="2045"/>
        <w:gridCol w:w="2161"/>
      </w:tblGrid>
      <w:tr>
        <w:trPr>
          <w:trHeight w:val="1361" w:hRule="atLeast"/>
        </w:trPr>
        <w:tc>
          <w:tcPr>
            <w:tcW w:w="1290" w:type="dxa"/>
            <w:tcBorders>
              <w:top w:val="single" w:sz="6" w:space="0" w:color="000000"/>
              <w:bottom w:val="single" w:sz="6" w:space="0" w:color="000000"/>
            </w:tcBorders>
          </w:tcPr>
          <w:p>
            <w:pPr>
              <w:pStyle w:val="TableParagraph"/>
              <w:spacing w:line="412" w:lineRule="auto" w:before="158"/>
              <w:ind w:right="301"/>
              <w:rPr>
                <w:sz w:val="24"/>
              </w:rPr>
            </w:pPr>
            <w:r>
              <w:rPr>
                <w:spacing w:val="-2"/>
                <w:sz w:val="24"/>
              </w:rPr>
              <w:t>Treatment (mg/kg)</w:t>
            </w:r>
          </w:p>
        </w:tc>
        <w:tc>
          <w:tcPr>
            <w:tcW w:w="1778" w:type="dxa"/>
            <w:tcBorders>
              <w:top w:val="single" w:sz="6" w:space="0" w:color="000000"/>
              <w:bottom w:val="single" w:sz="6" w:space="0" w:color="000000"/>
            </w:tcBorders>
          </w:tcPr>
          <w:p>
            <w:pPr>
              <w:pStyle w:val="TableParagraph"/>
              <w:spacing w:line="412" w:lineRule="auto" w:before="158"/>
              <w:ind w:left="24" w:right="327" w:hanging="25"/>
              <w:rPr>
                <w:sz w:val="24"/>
              </w:rPr>
            </w:pPr>
            <w:r>
              <w:rPr>
                <w:sz w:val="24"/>
              </w:rPr>
              <w:t>Recovery</w:t>
            </w:r>
            <w:r>
              <w:rPr>
                <w:spacing w:val="-15"/>
                <w:sz w:val="24"/>
              </w:rPr>
              <w:t> </w:t>
            </w:r>
            <w:r>
              <w:rPr>
                <w:sz w:val="24"/>
              </w:rPr>
              <w:t>from Seizures</w:t>
            </w:r>
            <w:r>
              <w:rPr>
                <w:spacing w:val="-7"/>
                <w:sz w:val="24"/>
              </w:rPr>
              <w:t> </w:t>
            </w:r>
            <w:r>
              <w:rPr>
                <w:spacing w:val="-2"/>
                <w:sz w:val="24"/>
              </w:rPr>
              <w:t>(min)</w:t>
            </w:r>
          </w:p>
        </w:tc>
        <w:tc>
          <w:tcPr>
            <w:tcW w:w="1367" w:type="dxa"/>
            <w:tcBorders>
              <w:top w:val="single" w:sz="6" w:space="0" w:color="000000"/>
              <w:bottom w:val="single" w:sz="6" w:space="0" w:color="000000"/>
            </w:tcBorders>
          </w:tcPr>
          <w:p>
            <w:pPr>
              <w:pStyle w:val="TableParagraph"/>
              <w:spacing w:line="412" w:lineRule="auto" w:before="158"/>
              <w:ind w:left="249" w:right="132" w:hanging="44"/>
              <w:rPr>
                <w:sz w:val="24"/>
              </w:rPr>
            </w:pPr>
            <w:r>
              <w:rPr>
                <w:spacing w:val="-2"/>
                <w:sz w:val="24"/>
              </w:rPr>
              <w:t>Quantal Protection</w:t>
            </w:r>
          </w:p>
        </w:tc>
        <w:tc>
          <w:tcPr>
            <w:tcW w:w="2045" w:type="dxa"/>
            <w:tcBorders>
              <w:top w:val="single" w:sz="6" w:space="0" w:color="000000"/>
              <w:bottom w:val="single" w:sz="6" w:space="0" w:color="000000"/>
            </w:tcBorders>
          </w:tcPr>
          <w:p>
            <w:pPr>
              <w:pStyle w:val="TableParagraph"/>
              <w:spacing w:line="412" w:lineRule="auto" w:before="158"/>
              <w:ind w:left="237" w:right="181" w:hanging="105"/>
              <w:rPr>
                <w:sz w:val="24"/>
              </w:rPr>
            </w:pPr>
            <w:r>
              <w:rPr>
                <w:sz w:val="24"/>
              </w:rPr>
              <w:t>Protection</w:t>
            </w:r>
            <w:r>
              <w:rPr>
                <w:spacing w:val="-15"/>
                <w:sz w:val="24"/>
              </w:rPr>
              <w:t> </w:t>
            </w:r>
            <w:r>
              <w:rPr>
                <w:sz w:val="24"/>
              </w:rPr>
              <w:t>against Seizures (%)</w:t>
            </w:r>
          </w:p>
        </w:tc>
        <w:tc>
          <w:tcPr>
            <w:tcW w:w="2161" w:type="dxa"/>
            <w:tcBorders>
              <w:top w:val="single" w:sz="6" w:space="0" w:color="000000"/>
              <w:bottom w:val="single" w:sz="6" w:space="0" w:color="000000"/>
            </w:tcBorders>
          </w:tcPr>
          <w:p>
            <w:pPr>
              <w:pStyle w:val="TableParagraph"/>
              <w:spacing w:line="412" w:lineRule="auto" w:before="158"/>
              <w:ind w:left="185" w:right="458"/>
              <w:rPr>
                <w:sz w:val="24"/>
              </w:rPr>
            </w:pPr>
            <w:r>
              <w:rPr>
                <w:sz w:val="24"/>
              </w:rPr>
              <w:t>Protection</w:t>
            </w:r>
            <w:r>
              <w:rPr>
                <w:spacing w:val="-15"/>
                <w:sz w:val="24"/>
              </w:rPr>
              <w:t> </w:t>
            </w:r>
            <w:r>
              <w:rPr>
                <w:sz w:val="24"/>
              </w:rPr>
              <w:t>from mortality (%)</w:t>
            </w:r>
          </w:p>
        </w:tc>
      </w:tr>
      <w:tr>
        <w:trPr>
          <w:trHeight w:val="906" w:hRule="atLeast"/>
        </w:trPr>
        <w:tc>
          <w:tcPr>
            <w:tcW w:w="1290" w:type="dxa"/>
            <w:tcBorders>
              <w:top w:val="single" w:sz="6" w:space="0" w:color="000000"/>
            </w:tcBorders>
          </w:tcPr>
          <w:p>
            <w:pPr>
              <w:pStyle w:val="TableParagraph"/>
              <w:spacing w:before="246"/>
              <w:rPr>
                <w:sz w:val="24"/>
              </w:rPr>
            </w:pPr>
            <w:r>
              <w:rPr>
                <w:spacing w:val="-2"/>
                <w:sz w:val="24"/>
              </w:rPr>
              <w:t>Control</w:t>
            </w:r>
          </w:p>
        </w:tc>
        <w:tc>
          <w:tcPr>
            <w:tcW w:w="1778" w:type="dxa"/>
            <w:tcBorders>
              <w:top w:val="single" w:sz="6" w:space="0" w:color="000000"/>
            </w:tcBorders>
          </w:tcPr>
          <w:p>
            <w:pPr>
              <w:pStyle w:val="TableParagraph"/>
              <w:spacing w:before="246"/>
              <w:ind w:right="214"/>
              <w:jc w:val="right"/>
              <w:rPr>
                <w:sz w:val="24"/>
              </w:rPr>
            </w:pPr>
            <w:r>
              <w:rPr>
                <w:sz w:val="24"/>
              </w:rPr>
              <w:t>6.75</w:t>
            </w:r>
            <w:r>
              <w:rPr>
                <w:spacing w:val="-5"/>
                <w:sz w:val="24"/>
              </w:rPr>
              <w:t> </w:t>
            </w:r>
            <w:r>
              <w:rPr>
                <w:sz w:val="24"/>
              </w:rPr>
              <w:t>±</w:t>
            </w:r>
            <w:r>
              <w:rPr>
                <w:spacing w:val="2"/>
                <w:sz w:val="24"/>
              </w:rPr>
              <w:t> </w:t>
            </w:r>
            <w:r>
              <w:rPr>
                <w:spacing w:val="-4"/>
                <w:sz w:val="24"/>
              </w:rPr>
              <w:t>0.31</w:t>
            </w:r>
          </w:p>
        </w:tc>
        <w:tc>
          <w:tcPr>
            <w:tcW w:w="1367" w:type="dxa"/>
            <w:tcBorders>
              <w:top w:val="single" w:sz="6" w:space="0" w:color="000000"/>
            </w:tcBorders>
          </w:tcPr>
          <w:p>
            <w:pPr>
              <w:pStyle w:val="TableParagraph"/>
              <w:spacing w:before="246"/>
              <w:ind w:left="534"/>
              <w:rPr>
                <w:sz w:val="24"/>
              </w:rPr>
            </w:pPr>
            <w:r>
              <w:rPr>
                <w:spacing w:val="-5"/>
                <w:sz w:val="24"/>
              </w:rPr>
              <w:t>0/7</w:t>
            </w:r>
          </w:p>
        </w:tc>
        <w:tc>
          <w:tcPr>
            <w:tcW w:w="2045" w:type="dxa"/>
            <w:tcBorders>
              <w:top w:val="single" w:sz="6" w:space="0" w:color="000000"/>
            </w:tcBorders>
          </w:tcPr>
          <w:p>
            <w:pPr>
              <w:pStyle w:val="TableParagraph"/>
              <w:spacing w:before="246"/>
              <w:ind w:left="853"/>
              <w:rPr>
                <w:sz w:val="24"/>
              </w:rPr>
            </w:pPr>
            <w:r>
              <w:rPr>
                <w:spacing w:val="-5"/>
                <w:sz w:val="24"/>
              </w:rPr>
              <w:t>0.0</w:t>
            </w:r>
          </w:p>
        </w:tc>
        <w:tc>
          <w:tcPr>
            <w:tcW w:w="2161" w:type="dxa"/>
            <w:tcBorders>
              <w:top w:val="single" w:sz="6" w:space="0" w:color="000000"/>
            </w:tcBorders>
          </w:tcPr>
          <w:p>
            <w:pPr>
              <w:pStyle w:val="TableParagraph"/>
              <w:spacing w:before="246"/>
              <w:ind w:left="787"/>
              <w:rPr>
                <w:sz w:val="24"/>
              </w:rPr>
            </w:pPr>
            <w:r>
              <w:rPr>
                <w:spacing w:val="-5"/>
                <w:sz w:val="24"/>
              </w:rPr>
              <w:t>100</w:t>
            </w:r>
          </w:p>
        </w:tc>
      </w:tr>
      <w:tr>
        <w:trPr>
          <w:trHeight w:val="775" w:hRule="atLeast"/>
        </w:trPr>
        <w:tc>
          <w:tcPr>
            <w:tcW w:w="1290" w:type="dxa"/>
          </w:tcPr>
          <w:p>
            <w:pPr>
              <w:pStyle w:val="TableParagraph"/>
              <w:spacing w:before="97"/>
              <w:rPr>
                <w:b/>
                <w:sz w:val="24"/>
              </w:rPr>
            </w:pPr>
          </w:p>
          <w:p>
            <w:pPr>
              <w:pStyle w:val="TableParagraph"/>
              <w:rPr>
                <w:sz w:val="24"/>
              </w:rPr>
            </w:pPr>
            <w:r>
              <w:rPr>
                <w:sz w:val="24"/>
              </w:rPr>
              <w:t>DCP23</w:t>
            </w:r>
            <w:r>
              <w:rPr>
                <w:spacing w:val="-3"/>
                <w:sz w:val="24"/>
              </w:rPr>
              <w:t> </w:t>
            </w:r>
            <w:r>
              <w:rPr>
                <w:spacing w:val="-4"/>
                <w:sz w:val="24"/>
              </w:rPr>
              <w:t>(50)</w:t>
            </w:r>
          </w:p>
        </w:tc>
        <w:tc>
          <w:tcPr>
            <w:tcW w:w="1778" w:type="dxa"/>
          </w:tcPr>
          <w:p>
            <w:pPr>
              <w:pStyle w:val="TableParagraph"/>
              <w:spacing w:before="97"/>
              <w:rPr>
                <w:b/>
                <w:sz w:val="24"/>
              </w:rPr>
            </w:pPr>
          </w:p>
          <w:p>
            <w:pPr>
              <w:pStyle w:val="TableParagraph"/>
              <w:ind w:right="207"/>
              <w:jc w:val="right"/>
              <w:rPr>
                <w:sz w:val="24"/>
              </w:rPr>
            </w:pPr>
            <w:r>
              <w:rPr>
                <w:sz w:val="24"/>
              </w:rPr>
              <w:t>8.13</w:t>
            </w:r>
            <w:r>
              <w:rPr>
                <w:spacing w:val="-2"/>
                <w:sz w:val="24"/>
              </w:rPr>
              <w:t> </w:t>
            </w:r>
            <w:r>
              <w:rPr>
                <w:sz w:val="24"/>
              </w:rPr>
              <w:t>±</w:t>
            </w:r>
            <w:r>
              <w:rPr>
                <w:spacing w:val="-1"/>
                <w:sz w:val="24"/>
              </w:rPr>
              <w:t> </w:t>
            </w:r>
            <w:r>
              <w:rPr>
                <w:spacing w:val="-4"/>
                <w:sz w:val="24"/>
              </w:rPr>
              <w:t>1.14</w:t>
            </w:r>
          </w:p>
        </w:tc>
        <w:tc>
          <w:tcPr>
            <w:tcW w:w="1367" w:type="dxa"/>
          </w:tcPr>
          <w:p>
            <w:pPr>
              <w:pStyle w:val="TableParagraph"/>
              <w:spacing w:before="97"/>
              <w:rPr>
                <w:b/>
                <w:sz w:val="24"/>
              </w:rPr>
            </w:pPr>
          </w:p>
          <w:p>
            <w:pPr>
              <w:pStyle w:val="TableParagraph"/>
              <w:ind w:left="534"/>
              <w:rPr>
                <w:sz w:val="24"/>
              </w:rPr>
            </w:pPr>
            <w:r>
              <w:rPr>
                <w:spacing w:val="-5"/>
                <w:sz w:val="24"/>
              </w:rPr>
              <w:t>5/7</w:t>
            </w:r>
          </w:p>
        </w:tc>
        <w:tc>
          <w:tcPr>
            <w:tcW w:w="2045" w:type="dxa"/>
          </w:tcPr>
          <w:p>
            <w:pPr>
              <w:pStyle w:val="TableParagraph"/>
              <w:spacing w:before="97"/>
              <w:rPr>
                <w:b/>
                <w:sz w:val="24"/>
              </w:rPr>
            </w:pPr>
          </w:p>
          <w:p>
            <w:pPr>
              <w:pStyle w:val="TableParagraph"/>
              <w:ind w:left="853"/>
              <w:rPr>
                <w:sz w:val="24"/>
              </w:rPr>
            </w:pPr>
            <w:r>
              <w:rPr>
                <w:spacing w:val="-4"/>
                <w:sz w:val="24"/>
              </w:rPr>
              <w:t>71.4</w:t>
            </w:r>
          </w:p>
        </w:tc>
        <w:tc>
          <w:tcPr>
            <w:tcW w:w="2161" w:type="dxa"/>
          </w:tcPr>
          <w:p>
            <w:pPr>
              <w:pStyle w:val="TableParagraph"/>
              <w:spacing w:before="97"/>
              <w:rPr>
                <w:b/>
                <w:sz w:val="24"/>
              </w:rPr>
            </w:pPr>
          </w:p>
          <w:p>
            <w:pPr>
              <w:pStyle w:val="TableParagraph"/>
              <w:ind w:left="787"/>
              <w:rPr>
                <w:sz w:val="24"/>
              </w:rPr>
            </w:pPr>
            <w:r>
              <w:rPr>
                <w:spacing w:val="-5"/>
                <w:sz w:val="24"/>
              </w:rPr>
              <w:t>100</w:t>
            </w:r>
          </w:p>
        </w:tc>
      </w:tr>
      <w:tr>
        <w:trPr>
          <w:trHeight w:val="518" w:hRule="atLeast"/>
        </w:trPr>
        <w:tc>
          <w:tcPr>
            <w:tcW w:w="1290" w:type="dxa"/>
          </w:tcPr>
          <w:p>
            <w:pPr>
              <w:pStyle w:val="TableParagraph"/>
              <w:spacing w:before="116"/>
              <w:rPr>
                <w:sz w:val="24"/>
              </w:rPr>
            </w:pPr>
            <w:r>
              <w:rPr>
                <w:sz w:val="24"/>
              </w:rPr>
              <w:t>DCP25</w:t>
            </w:r>
            <w:r>
              <w:rPr>
                <w:spacing w:val="-3"/>
                <w:sz w:val="24"/>
              </w:rPr>
              <w:t> </w:t>
            </w:r>
            <w:r>
              <w:rPr>
                <w:spacing w:val="-4"/>
                <w:sz w:val="24"/>
              </w:rPr>
              <w:t>(50)</w:t>
            </w:r>
          </w:p>
        </w:tc>
        <w:tc>
          <w:tcPr>
            <w:tcW w:w="1778" w:type="dxa"/>
          </w:tcPr>
          <w:p>
            <w:pPr>
              <w:pStyle w:val="TableParagraph"/>
              <w:spacing w:before="116"/>
              <w:ind w:right="204"/>
              <w:jc w:val="right"/>
              <w:rPr>
                <w:sz w:val="24"/>
              </w:rPr>
            </w:pPr>
            <w:r>
              <w:rPr>
                <w:sz w:val="24"/>
              </w:rPr>
              <w:t>6.88</w:t>
            </w:r>
            <w:r>
              <w:rPr>
                <w:spacing w:val="-2"/>
                <w:sz w:val="24"/>
              </w:rPr>
              <w:t> </w:t>
            </w:r>
            <w:r>
              <w:rPr>
                <w:sz w:val="24"/>
              </w:rPr>
              <w:t>±</w:t>
            </w:r>
            <w:r>
              <w:rPr>
                <w:spacing w:val="-1"/>
                <w:sz w:val="24"/>
              </w:rPr>
              <w:t> </w:t>
            </w:r>
            <w:r>
              <w:rPr>
                <w:spacing w:val="-4"/>
                <w:sz w:val="24"/>
              </w:rPr>
              <w:t>1.06</w:t>
            </w:r>
          </w:p>
        </w:tc>
        <w:tc>
          <w:tcPr>
            <w:tcW w:w="1367" w:type="dxa"/>
          </w:tcPr>
          <w:p>
            <w:pPr>
              <w:pStyle w:val="TableParagraph"/>
              <w:spacing w:before="116"/>
              <w:ind w:left="534"/>
              <w:rPr>
                <w:sz w:val="24"/>
              </w:rPr>
            </w:pPr>
            <w:r>
              <w:rPr>
                <w:spacing w:val="-5"/>
                <w:sz w:val="24"/>
              </w:rPr>
              <w:t>4/7</w:t>
            </w:r>
          </w:p>
        </w:tc>
        <w:tc>
          <w:tcPr>
            <w:tcW w:w="2045" w:type="dxa"/>
          </w:tcPr>
          <w:p>
            <w:pPr>
              <w:pStyle w:val="TableParagraph"/>
              <w:spacing w:before="116"/>
              <w:ind w:left="853"/>
              <w:rPr>
                <w:sz w:val="24"/>
              </w:rPr>
            </w:pPr>
            <w:r>
              <w:rPr>
                <w:spacing w:val="-4"/>
                <w:sz w:val="24"/>
              </w:rPr>
              <w:t>57.2</w:t>
            </w:r>
          </w:p>
        </w:tc>
        <w:tc>
          <w:tcPr>
            <w:tcW w:w="2161" w:type="dxa"/>
          </w:tcPr>
          <w:p>
            <w:pPr>
              <w:pStyle w:val="TableParagraph"/>
              <w:spacing w:before="116"/>
              <w:ind w:left="787"/>
              <w:rPr>
                <w:sz w:val="24"/>
              </w:rPr>
            </w:pPr>
            <w:r>
              <w:rPr>
                <w:spacing w:val="-5"/>
                <w:sz w:val="24"/>
              </w:rPr>
              <w:t>100</w:t>
            </w:r>
          </w:p>
        </w:tc>
      </w:tr>
      <w:tr>
        <w:trPr>
          <w:trHeight w:val="777" w:hRule="atLeast"/>
        </w:trPr>
        <w:tc>
          <w:tcPr>
            <w:tcW w:w="1290" w:type="dxa"/>
          </w:tcPr>
          <w:p>
            <w:pPr>
              <w:pStyle w:val="TableParagraph"/>
              <w:spacing w:before="116"/>
              <w:rPr>
                <w:sz w:val="24"/>
              </w:rPr>
            </w:pPr>
            <w:r>
              <w:rPr>
                <w:sz w:val="24"/>
              </w:rPr>
              <w:t>DCP34</w:t>
            </w:r>
            <w:r>
              <w:rPr>
                <w:spacing w:val="-3"/>
                <w:sz w:val="24"/>
              </w:rPr>
              <w:t> </w:t>
            </w:r>
            <w:r>
              <w:rPr>
                <w:spacing w:val="-4"/>
                <w:sz w:val="24"/>
              </w:rPr>
              <w:t>(50)</w:t>
            </w:r>
          </w:p>
        </w:tc>
        <w:tc>
          <w:tcPr>
            <w:tcW w:w="1778" w:type="dxa"/>
          </w:tcPr>
          <w:p>
            <w:pPr>
              <w:pStyle w:val="TableParagraph"/>
              <w:spacing w:before="116"/>
              <w:ind w:right="207"/>
              <w:jc w:val="right"/>
              <w:rPr>
                <w:sz w:val="24"/>
              </w:rPr>
            </w:pPr>
            <w:r>
              <w:rPr>
                <w:sz w:val="24"/>
              </w:rPr>
              <w:t>8.63</w:t>
            </w:r>
            <w:r>
              <w:rPr>
                <w:spacing w:val="-2"/>
                <w:sz w:val="24"/>
              </w:rPr>
              <w:t> </w:t>
            </w:r>
            <w:r>
              <w:rPr>
                <w:sz w:val="24"/>
              </w:rPr>
              <w:t>±</w:t>
            </w:r>
            <w:r>
              <w:rPr>
                <w:spacing w:val="-1"/>
                <w:sz w:val="24"/>
              </w:rPr>
              <w:t> </w:t>
            </w:r>
            <w:r>
              <w:rPr>
                <w:spacing w:val="-4"/>
                <w:sz w:val="24"/>
              </w:rPr>
              <w:t>0.65</w:t>
            </w:r>
          </w:p>
        </w:tc>
        <w:tc>
          <w:tcPr>
            <w:tcW w:w="1367" w:type="dxa"/>
          </w:tcPr>
          <w:p>
            <w:pPr>
              <w:pStyle w:val="TableParagraph"/>
              <w:spacing w:before="116"/>
              <w:ind w:left="534"/>
              <w:rPr>
                <w:sz w:val="24"/>
              </w:rPr>
            </w:pPr>
            <w:r>
              <w:rPr>
                <w:spacing w:val="-5"/>
                <w:sz w:val="24"/>
              </w:rPr>
              <w:t>3/7</w:t>
            </w:r>
          </w:p>
        </w:tc>
        <w:tc>
          <w:tcPr>
            <w:tcW w:w="2045" w:type="dxa"/>
          </w:tcPr>
          <w:p>
            <w:pPr>
              <w:pStyle w:val="TableParagraph"/>
              <w:spacing w:before="116"/>
              <w:ind w:left="853"/>
              <w:rPr>
                <w:sz w:val="24"/>
              </w:rPr>
            </w:pPr>
            <w:r>
              <w:rPr>
                <w:spacing w:val="-4"/>
                <w:sz w:val="24"/>
              </w:rPr>
              <w:t>42.9</w:t>
            </w:r>
          </w:p>
        </w:tc>
        <w:tc>
          <w:tcPr>
            <w:tcW w:w="2161" w:type="dxa"/>
          </w:tcPr>
          <w:p>
            <w:pPr>
              <w:pStyle w:val="TableParagraph"/>
              <w:spacing w:before="116"/>
              <w:ind w:left="787"/>
              <w:rPr>
                <w:sz w:val="24"/>
              </w:rPr>
            </w:pPr>
            <w:r>
              <w:rPr>
                <w:spacing w:val="-5"/>
                <w:sz w:val="24"/>
              </w:rPr>
              <w:t>100</w:t>
            </w:r>
          </w:p>
        </w:tc>
      </w:tr>
      <w:tr>
        <w:trPr>
          <w:trHeight w:val="775" w:hRule="atLeast"/>
        </w:trPr>
        <w:tc>
          <w:tcPr>
            <w:tcW w:w="1290" w:type="dxa"/>
          </w:tcPr>
          <w:p>
            <w:pPr>
              <w:pStyle w:val="TableParagraph"/>
              <w:spacing w:before="99"/>
              <w:rPr>
                <w:b/>
                <w:sz w:val="24"/>
              </w:rPr>
            </w:pPr>
          </w:p>
          <w:p>
            <w:pPr>
              <w:pStyle w:val="TableParagraph"/>
              <w:rPr>
                <w:sz w:val="24"/>
              </w:rPr>
            </w:pPr>
            <w:r>
              <w:rPr>
                <w:sz w:val="24"/>
              </w:rPr>
              <w:t>DCP23</w:t>
            </w:r>
            <w:r>
              <w:rPr>
                <w:spacing w:val="-3"/>
                <w:sz w:val="24"/>
              </w:rPr>
              <w:t> </w:t>
            </w:r>
            <w:r>
              <w:rPr>
                <w:spacing w:val="-4"/>
                <w:sz w:val="24"/>
              </w:rPr>
              <w:t>(25)</w:t>
            </w:r>
          </w:p>
        </w:tc>
        <w:tc>
          <w:tcPr>
            <w:tcW w:w="1778" w:type="dxa"/>
          </w:tcPr>
          <w:p>
            <w:pPr>
              <w:pStyle w:val="TableParagraph"/>
              <w:spacing w:before="99"/>
              <w:rPr>
                <w:b/>
                <w:sz w:val="24"/>
              </w:rPr>
            </w:pPr>
          </w:p>
          <w:p>
            <w:pPr>
              <w:pStyle w:val="TableParagraph"/>
              <w:ind w:right="207"/>
              <w:jc w:val="right"/>
              <w:rPr>
                <w:sz w:val="24"/>
              </w:rPr>
            </w:pPr>
            <w:r>
              <w:rPr>
                <w:sz w:val="24"/>
              </w:rPr>
              <w:t>8.75</w:t>
            </w:r>
            <w:r>
              <w:rPr>
                <w:spacing w:val="-2"/>
                <w:sz w:val="24"/>
              </w:rPr>
              <w:t> </w:t>
            </w:r>
            <w:r>
              <w:rPr>
                <w:sz w:val="24"/>
              </w:rPr>
              <w:t>±</w:t>
            </w:r>
            <w:r>
              <w:rPr>
                <w:spacing w:val="-1"/>
                <w:sz w:val="24"/>
              </w:rPr>
              <w:t> </w:t>
            </w:r>
            <w:r>
              <w:rPr>
                <w:spacing w:val="-4"/>
                <w:sz w:val="24"/>
              </w:rPr>
              <w:t>0.84</w:t>
            </w:r>
          </w:p>
        </w:tc>
        <w:tc>
          <w:tcPr>
            <w:tcW w:w="1367" w:type="dxa"/>
          </w:tcPr>
          <w:p>
            <w:pPr>
              <w:pStyle w:val="TableParagraph"/>
              <w:spacing w:before="99"/>
              <w:rPr>
                <w:b/>
                <w:sz w:val="24"/>
              </w:rPr>
            </w:pPr>
          </w:p>
          <w:p>
            <w:pPr>
              <w:pStyle w:val="TableParagraph"/>
              <w:ind w:left="534"/>
              <w:rPr>
                <w:sz w:val="24"/>
              </w:rPr>
            </w:pPr>
            <w:r>
              <w:rPr>
                <w:spacing w:val="-5"/>
                <w:sz w:val="24"/>
              </w:rPr>
              <w:t>3/7</w:t>
            </w:r>
          </w:p>
        </w:tc>
        <w:tc>
          <w:tcPr>
            <w:tcW w:w="2045" w:type="dxa"/>
          </w:tcPr>
          <w:p>
            <w:pPr>
              <w:pStyle w:val="TableParagraph"/>
              <w:spacing w:before="99"/>
              <w:rPr>
                <w:b/>
                <w:sz w:val="24"/>
              </w:rPr>
            </w:pPr>
          </w:p>
          <w:p>
            <w:pPr>
              <w:pStyle w:val="TableParagraph"/>
              <w:ind w:left="857"/>
              <w:rPr>
                <w:sz w:val="24"/>
              </w:rPr>
            </w:pPr>
            <w:r>
              <w:rPr>
                <w:spacing w:val="-4"/>
                <w:sz w:val="24"/>
              </w:rPr>
              <w:t>42.9</w:t>
            </w:r>
          </w:p>
        </w:tc>
        <w:tc>
          <w:tcPr>
            <w:tcW w:w="2161" w:type="dxa"/>
          </w:tcPr>
          <w:p>
            <w:pPr>
              <w:pStyle w:val="TableParagraph"/>
              <w:spacing w:before="99"/>
              <w:rPr>
                <w:b/>
                <w:sz w:val="24"/>
              </w:rPr>
            </w:pPr>
          </w:p>
          <w:p>
            <w:pPr>
              <w:pStyle w:val="TableParagraph"/>
              <w:ind w:left="791"/>
              <w:rPr>
                <w:sz w:val="24"/>
              </w:rPr>
            </w:pPr>
            <w:r>
              <w:rPr>
                <w:spacing w:val="-5"/>
                <w:sz w:val="24"/>
              </w:rPr>
              <w:t>100</w:t>
            </w:r>
          </w:p>
        </w:tc>
      </w:tr>
      <w:tr>
        <w:trPr>
          <w:trHeight w:val="516" w:hRule="atLeast"/>
        </w:trPr>
        <w:tc>
          <w:tcPr>
            <w:tcW w:w="1290" w:type="dxa"/>
          </w:tcPr>
          <w:p>
            <w:pPr>
              <w:pStyle w:val="TableParagraph"/>
              <w:spacing w:before="113"/>
              <w:rPr>
                <w:sz w:val="24"/>
              </w:rPr>
            </w:pPr>
            <w:r>
              <w:rPr>
                <w:sz w:val="24"/>
              </w:rPr>
              <w:t>DCP25</w:t>
            </w:r>
            <w:r>
              <w:rPr>
                <w:spacing w:val="-3"/>
                <w:sz w:val="24"/>
              </w:rPr>
              <w:t> </w:t>
            </w:r>
            <w:r>
              <w:rPr>
                <w:spacing w:val="-4"/>
                <w:sz w:val="24"/>
              </w:rPr>
              <w:t>(25)</w:t>
            </w:r>
          </w:p>
        </w:tc>
        <w:tc>
          <w:tcPr>
            <w:tcW w:w="1778" w:type="dxa"/>
          </w:tcPr>
          <w:p>
            <w:pPr>
              <w:pStyle w:val="TableParagraph"/>
              <w:spacing w:before="113"/>
              <w:ind w:right="207"/>
              <w:jc w:val="right"/>
              <w:rPr>
                <w:sz w:val="24"/>
              </w:rPr>
            </w:pPr>
            <w:r>
              <w:rPr>
                <w:sz w:val="24"/>
              </w:rPr>
              <w:t>7.00</w:t>
            </w:r>
            <w:r>
              <w:rPr>
                <w:spacing w:val="-2"/>
                <w:sz w:val="24"/>
              </w:rPr>
              <w:t> </w:t>
            </w:r>
            <w:r>
              <w:rPr>
                <w:sz w:val="24"/>
              </w:rPr>
              <w:t>±</w:t>
            </w:r>
            <w:r>
              <w:rPr>
                <w:spacing w:val="-1"/>
                <w:sz w:val="24"/>
              </w:rPr>
              <w:t> </w:t>
            </w:r>
            <w:r>
              <w:rPr>
                <w:spacing w:val="-4"/>
                <w:sz w:val="24"/>
              </w:rPr>
              <w:t>0.42</w:t>
            </w:r>
          </w:p>
        </w:tc>
        <w:tc>
          <w:tcPr>
            <w:tcW w:w="1367" w:type="dxa"/>
          </w:tcPr>
          <w:p>
            <w:pPr>
              <w:pStyle w:val="TableParagraph"/>
              <w:spacing w:before="113"/>
              <w:ind w:left="534"/>
              <w:rPr>
                <w:sz w:val="24"/>
              </w:rPr>
            </w:pPr>
            <w:r>
              <w:rPr>
                <w:spacing w:val="-5"/>
                <w:sz w:val="24"/>
              </w:rPr>
              <w:t>2/7</w:t>
            </w:r>
          </w:p>
        </w:tc>
        <w:tc>
          <w:tcPr>
            <w:tcW w:w="2045" w:type="dxa"/>
          </w:tcPr>
          <w:p>
            <w:pPr>
              <w:pStyle w:val="TableParagraph"/>
              <w:spacing w:before="113"/>
              <w:ind w:left="857"/>
              <w:rPr>
                <w:sz w:val="24"/>
              </w:rPr>
            </w:pPr>
            <w:r>
              <w:rPr>
                <w:spacing w:val="-4"/>
                <w:sz w:val="24"/>
              </w:rPr>
              <w:t>28.5</w:t>
            </w:r>
          </w:p>
        </w:tc>
        <w:tc>
          <w:tcPr>
            <w:tcW w:w="2161" w:type="dxa"/>
          </w:tcPr>
          <w:p>
            <w:pPr>
              <w:pStyle w:val="TableParagraph"/>
              <w:spacing w:before="113"/>
              <w:ind w:left="795"/>
              <w:rPr>
                <w:sz w:val="24"/>
              </w:rPr>
            </w:pPr>
            <w:r>
              <w:rPr>
                <w:spacing w:val="-5"/>
                <w:sz w:val="24"/>
              </w:rPr>
              <w:t>100</w:t>
            </w:r>
          </w:p>
        </w:tc>
      </w:tr>
      <w:tr>
        <w:trPr>
          <w:trHeight w:val="777" w:hRule="atLeast"/>
        </w:trPr>
        <w:tc>
          <w:tcPr>
            <w:tcW w:w="1290" w:type="dxa"/>
          </w:tcPr>
          <w:p>
            <w:pPr>
              <w:pStyle w:val="TableParagraph"/>
              <w:spacing w:before="116"/>
              <w:rPr>
                <w:sz w:val="24"/>
              </w:rPr>
            </w:pPr>
            <w:r>
              <w:rPr>
                <w:sz w:val="24"/>
              </w:rPr>
              <w:t>DCP34</w:t>
            </w:r>
            <w:r>
              <w:rPr>
                <w:spacing w:val="-3"/>
                <w:sz w:val="24"/>
              </w:rPr>
              <w:t> </w:t>
            </w:r>
            <w:r>
              <w:rPr>
                <w:spacing w:val="-4"/>
                <w:sz w:val="24"/>
              </w:rPr>
              <w:t>(25)</w:t>
            </w:r>
          </w:p>
        </w:tc>
        <w:tc>
          <w:tcPr>
            <w:tcW w:w="1778" w:type="dxa"/>
          </w:tcPr>
          <w:p>
            <w:pPr>
              <w:pStyle w:val="TableParagraph"/>
              <w:spacing w:before="116"/>
              <w:ind w:right="207"/>
              <w:jc w:val="right"/>
              <w:rPr>
                <w:sz w:val="24"/>
              </w:rPr>
            </w:pPr>
            <w:r>
              <w:rPr>
                <w:sz w:val="24"/>
              </w:rPr>
              <w:t>7.88</w:t>
            </w:r>
            <w:r>
              <w:rPr>
                <w:spacing w:val="-2"/>
                <w:sz w:val="24"/>
              </w:rPr>
              <w:t> </w:t>
            </w:r>
            <w:r>
              <w:rPr>
                <w:sz w:val="24"/>
              </w:rPr>
              <w:t>±</w:t>
            </w:r>
            <w:r>
              <w:rPr>
                <w:spacing w:val="-1"/>
                <w:sz w:val="24"/>
              </w:rPr>
              <w:t> </w:t>
            </w:r>
            <w:r>
              <w:rPr>
                <w:spacing w:val="-4"/>
                <w:sz w:val="24"/>
              </w:rPr>
              <w:t>0.35</w:t>
            </w:r>
          </w:p>
        </w:tc>
        <w:tc>
          <w:tcPr>
            <w:tcW w:w="1367" w:type="dxa"/>
          </w:tcPr>
          <w:p>
            <w:pPr>
              <w:pStyle w:val="TableParagraph"/>
              <w:spacing w:before="116"/>
              <w:ind w:left="534"/>
              <w:rPr>
                <w:sz w:val="24"/>
              </w:rPr>
            </w:pPr>
            <w:r>
              <w:rPr>
                <w:spacing w:val="-5"/>
                <w:sz w:val="24"/>
              </w:rPr>
              <w:t>1/7</w:t>
            </w:r>
          </w:p>
        </w:tc>
        <w:tc>
          <w:tcPr>
            <w:tcW w:w="2045" w:type="dxa"/>
          </w:tcPr>
          <w:p>
            <w:pPr>
              <w:pStyle w:val="TableParagraph"/>
              <w:spacing w:before="116"/>
              <w:ind w:left="853"/>
              <w:rPr>
                <w:sz w:val="24"/>
              </w:rPr>
            </w:pPr>
            <w:r>
              <w:rPr>
                <w:spacing w:val="-4"/>
                <w:sz w:val="24"/>
              </w:rPr>
              <w:t>14.3</w:t>
            </w:r>
          </w:p>
        </w:tc>
        <w:tc>
          <w:tcPr>
            <w:tcW w:w="2161" w:type="dxa"/>
          </w:tcPr>
          <w:p>
            <w:pPr>
              <w:pStyle w:val="TableParagraph"/>
              <w:spacing w:before="116"/>
              <w:ind w:left="787"/>
              <w:rPr>
                <w:sz w:val="24"/>
              </w:rPr>
            </w:pPr>
            <w:r>
              <w:rPr>
                <w:spacing w:val="-5"/>
                <w:sz w:val="24"/>
              </w:rPr>
              <w:t>100</w:t>
            </w:r>
          </w:p>
        </w:tc>
      </w:tr>
      <w:tr>
        <w:trPr>
          <w:trHeight w:val="777" w:hRule="atLeast"/>
        </w:trPr>
        <w:tc>
          <w:tcPr>
            <w:tcW w:w="3068" w:type="dxa"/>
            <w:gridSpan w:val="2"/>
          </w:tcPr>
          <w:p>
            <w:pPr>
              <w:pStyle w:val="TableParagraph"/>
              <w:spacing w:before="99"/>
              <w:rPr>
                <w:b/>
                <w:sz w:val="24"/>
              </w:rPr>
            </w:pPr>
          </w:p>
          <w:p>
            <w:pPr>
              <w:pStyle w:val="TableParagraph"/>
              <w:tabs>
                <w:tab w:pos="1772" w:val="left" w:leader="none"/>
              </w:tabs>
              <w:rPr>
                <w:sz w:val="24"/>
              </w:rPr>
            </w:pPr>
            <w:r>
              <w:rPr>
                <w:sz w:val="24"/>
              </w:rPr>
              <w:t>DCP23</w:t>
            </w:r>
            <w:r>
              <w:rPr>
                <w:spacing w:val="-1"/>
                <w:sz w:val="24"/>
              </w:rPr>
              <w:t> </w:t>
            </w:r>
            <w:r>
              <w:rPr>
                <w:spacing w:val="-2"/>
                <w:sz w:val="24"/>
              </w:rPr>
              <w:t>(12.5)</w:t>
            </w:r>
            <w:r>
              <w:rPr>
                <w:sz w:val="24"/>
              </w:rPr>
              <w:tab/>
              <w:t>7.25±</w:t>
            </w:r>
            <w:r>
              <w:rPr>
                <w:spacing w:val="-5"/>
                <w:sz w:val="24"/>
              </w:rPr>
              <w:t> </w:t>
            </w:r>
            <w:r>
              <w:rPr>
                <w:spacing w:val="-4"/>
                <w:sz w:val="24"/>
              </w:rPr>
              <w:t>0.53</w:t>
            </w:r>
          </w:p>
        </w:tc>
        <w:tc>
          <w:tcPr>
            <w:tcW w:w="1367" w:type="dxa"/>
          </w:tcPr>
          <w:p>
            <w:pPr>
              <w:pStyle w:val="TableParagraph"/>
              <w:spacing w:before="99"/>
              <w:rPr>
                <w:b/>
                <w:sz w:val="24"/>
              </w:rPr>
            </w:pPr>
          </w:p>
          <w:p>
            <w:pPr>
              <w:pStyle w:val="TableParagraph"/>
              <w:ind w:left="534"/>
              <w:rPr>
                <w:sz w:val="24"/>
              </w:rPr>
            </w:pPr>
            <w:r>
              <w:rPr>
                <w:spacing w:val="-5"/>
                <w:sz w:val="24"/>
              </w:rPr>
              <w:t>1/7</w:t>
            </w:r>
          </w:p>
        </w:tc>
        <w:tc>
          <w:tcPr>
            <w:tcW w:w="2045" w:type="dxa"/>
          </w:tcPr>
          <w:p>
            <w:pPr>
              <w:pStyle w:val="TableParagraph"/>
              <w:spacing w:before="99"/>
              <w:rPr>
                <w:b/>
                <w:sz w:val="24"/>
              </w:rPr>
            </w:pPr>
          </w:p>
          <w:p>
            <w:pPr>
              <w:pStyle w:val="TableParagraph"/>
              <w:ind w:left="853"/>
              <w:rPr>
                <w:sz w:val="24"/>
              </w:rPr>
            </w:pPr>
            <w:r>
              <w:rPr>
                <w:spacing w:val="-4"/>
                <w:sz w:val="24"/>
              </w:rPr>
              <w:t>14.3</w:t>
            </w:r>
          </w:p>
        </w:tc>
        <w:tc>
          <w:tcPr>
            <w:tcW w:w="2161" w:type="dxa"/>
          </w:tcPr>
          <w:p>
            <w:pPr>
              <w:pStyle w:val="TableParagraph"/>
              <w:spacing w:before="99"/>
              <w:rPr>
                <w:b/>
                <w:sz w:val="24"/>
              </w:rPr>
            </w:pPr>
          </w:p>
          <w:p>
            <w:pPr>
              <w:pStyle w:val="TableParagraph"/>
              <w:ind w:left="787"/>
              <w:rPr>
                <w:sz w:val="24"/>
              </w:rPr>
            </w:pPr>
            <w:r>
              <w:rPr>
                <w:spacing w:val="-5"/>
                <w:sz w:val="24"/>
              </w:rPr>
              <w:t>100</w:t>
            </w:r>
          </w:p>
        </w:tc>
      </w:tr>
      <w:tr>
        <w:trPr>
          <w:trHeight w:val="516" w:hRule="atLeast"/>
        </w:trPr>
        <w:tc>
          <w:tcPr>
            <w:tcW w:w="3068" w:type="dxa"/>
            <w:gridSpan w:val="2"/>
          </w:tcPr>
          <w:p>
            <w:pPr>
              <w:pStyle w:val="TableParagraph"/>
              <w:tabs>
                <w:tab w:pos="1770" w:val="left" w:leader="none"/>
              </w:tabs>
              <w:spacing w:before="116"/>
              <w:rPr>
                <w:sz w:val="24"/>
              </w:rPr>
            </w:pPr>
            <w:r>
              <w:rPr>
                <w:sz w:val="24"/>
              </w:rPr>
              <w:t>DCP25</w:t>
            </w:r>
            <w:r>
              <w:rPr>
                <w:spacing w:val="-1"/>
                <w:sz w:val="24"/>
              </w:rPr>
              <w:t> </w:t>
            </w:r>
            <w:r>
              <w:rPr>
                <w:spacing w:val="-2"/>
                <w:sz w:val="24"/>
              </w:rPr>
              <w:t>(12.5)</w:t>
            </w:r>
            <w:r>
              <w:rPr>
                <w:sz w:val="24"/>
              </w:rPr>
              <w:tab/>
              <w:t>7.13</w:t>
            </w:r>
            <w:r>
              <w:rPr>
                <w:spacing w:val="-2"/>
                <w:sz w:val="24"/>
              </w:rPr>
              <w:t> </w:t>
            </w:r>
            <w:r>
              <w:rPr>
                <w:sz w:val="24"/>
              </w:rPr>
              <w:t>±</w:t>
            </w:r>
            <w:r>
              <w:rPr>
                <w:spacing w:val="-1"/>
                <w:sz w:val="24"/>
              </w:rPr>
              <w:t> </w:t>
            </w:r>
            <w:r>
              <w:rPr>
                <w:spacing w:val="-4"/>
                <w:sz w:val="24"/>
              </w:rPr>
              <w:t>0.90</w:t>
            </w:r>
          </w:p>
        </w:tc>
        <w:tc>
          <w:tcPr>
            <w:tcW w:w="1367" w:type="dxa"/>
          </w:tcPr>
          <w:p>
            <w:pPr>
              <w:pStyle w:val="TableParagraph"/>
              <w:spacing w:before="116"/>
              <w:ind w:right="461"/>
              <w:jc w:val="right"/>
              <w:rPr>
                <w:sz w:val="24"/>
              </w:rPr>
            </w:pPr>
            <w:r>
              <w:rPr>
                <w:spacing w:val="-5"/>
                <w:sz w:val="24"/>
              </w:rPr>
              <w:t>0/7</w:t>
            </w:r>
          </w:p>
        </w:tc>
        <w:tc>
          <w:tcPr>
            <w:tcW w:w="2045" w:type="dxa"/>
          </w:tcPr>
          <w:p>
            <w:pPr>
              <w:pStyle w:val="TableParagraph"/>
              <w:spacing w:before="116"/>
              <w:ind w:left="916"/>
              <w:rPr>
                <w:sz w:val="24"/>
              </w:rPr>
            </w:pPr>
            <w:r>
              <w:rPr>
                <w:spacing w:val="-5"/>
                <w:sz w:val="24"/>
              </w:rPr>
              <w:t>0.0</w:t>
            </w:r>
          </w:p>
        </w:tc>
        <w:tc>
          <w:tcPr>
            <w:tcW w:w="2161" w:type="dxa"/>
          </w:tcPr>
          <w:p>
            <w:pPr>
              <w:pStyle w:val="TableParagraph"/>
              <w:spacing w:before="116"/>
              <w:ind w:right="953"/>
              <w:jc w:val="right"/>
              <w:rPr>
                <w:sz w:val="24"/>
              </w:rPr>
            </w:pPr>
            <w:r>
              <w:rPr>
                <w:spacing w:val="-5"/>
                <w:sz w:val="24"/>
              </w:rPr>
              <w:t>100</w:t>
            </w:r>
          </w:p>
        </w:tc>
      </w:tr>
      <w:tr>
        <w:trPr>
          <w:trHeight w:val="775" w:hRule="atLeast"/>
        </w:trPr>
        <w:tc>
          <w:tcPr>
            <w:tcW w:w="3068" w:type="dxa"/>
            <w:gridSpan w:val="2"/>
          </w:tcPr>
          <w:p>
            <w:pPr>
              <w:pStyle w:val="TableParagraph"/>
              <w:tabs>
                <w:tab w:pos="1770" w:val="left" w:leader="none"/>
              </w:tabs>
              <w:spacing w:before="114"/>
              <w:rPr>
                <w:sz w:val="24"/>
              </w:rPr>
            </w:pPr>
            <w:r>
              <w:rPr>
                <w:sz w:val="24"/>
              </w:rPr>
              <w:t>DCP34</w:t>
            </w:r>
            <w:r>
              <w:rPr>
                <w:spacing w:val="-1"/>
                <w:sz w:val="24"/>
              </w:rPr>
              <w:t> </w:t>
            </w:r>
            <w:r>
              <w:rPr>
                <w:spacing w:val="-2"/>
                <w:sz w:val="24"/>
              </w:rPr>
              <w:t>(12.5)</w:t>
            </w:r>
            <w:r>
              <w:rPr>
                <w:sz w:val="24"/>
              </w:rPr>
              <w:tab/>
              <w:t>7.25±</w:t>
            </w:r>
            <w:r>
              <w:rPr>
                <w:spacing w:val="-5"/>
                <w:sz w:val="24"/>
              </w:rPr>
              <w:t> </w:t>
            </w:r>
            <w:r>
              <w:rPr>
                <w:spacing w:val="-4"/>
                <w:sz w:val="24"/>
              </w:rPr>
              <w:t>0.45</w:t>
            </w:r>
          </w:p>
        </w:tc>
        <w:tc>
          <w:tcPr>
            <w:tcW w:w="1367" w:type="dxa"/>
          </w:tcPr>
          <w:p>
            <w:pPr>
              <w:pStyle w:val="TableParagraph"/>
              <w:spacing w:before="114"/>
              <w:ind w:right="461"/>
              <w:jc w:val="right"/>
              <w:rPr>
                <w:sz w:val="24"/>
              </w:rPr>
            </w:pPr>
            <w:r>
              <w:rPr>
                <w:spacing w:val="-5"/>
                <w:sz w:val="24"/>
              </w:rPr>
              <w:t>0/7</w:t>
            </w:r>
          </w:p>
        </w:tc>
        <w:tc>
          <w:tcPr>
            <w:tcW w:w="2045" w:type="dxa"/>
          </w:tcPr>
          <w:p>
            <w:pPr>
              <w:pStyle w:val="TableParagraph"/>
              <w:spacing w:before="114"/>
              <w:ind w:left="916"/>
              <w:rPr>
                <w:sz w:val="24"/>
              </w:rPr>
            </w:pPr>
            <w:r>
              <w:rPr>
                <w:spacing w:val="-5"/>
                <w:sz w:val="24"/>
              </w:rPr>
              <w:t>0.0</w:t>
            </w:r>
          </w:p>
        </w:tc>
        <w:tc>
          <w:tcPr>
            <w:tcW w:w="2161" w:type="dxa"/>
          </w:tcPr>
          <w:p>
            <w:pPr>
              <w:pStyle w:val="TableParagraph"/>
              <w:spacing w:before="114"/>
              <w:ind w:right="947"/>
              <w:jc w:val="right"/>
              <w:rPr>
                <w:sz w:val="24"/>
              </w:rPr>
            </w:pPr>
            <w:r>
              <w:rPr>
                <w:spacing w:val="-5"/>
                <w:sz w:val="24"/>
              </w:rPr>
              <w:t>100</w:t>
            </w:r>
          </w:p>
        </w:tc>
      </w:tr>
      <w:tr>
        <w:trPr>
          <w:trHeight w:val="673" w:hRule="atLeast"/>
        </w:trPr>
        <w:tc>
          <w:tcPr>
            <w:tcW w:w="1290" w:type="dxa"/>
            <w:tcBorders>
              <w:bottom w:val="single" w:sz="6" w:space="0" w:color="000000"/>
            </w:tcBorders>
          </w:tcPr>
          <w:p>
            <w:pPr>
              <w:pStyle w:val="TableParagraph"/>
              <w:spacing w:before="99"/>
              <w:rPr>
                <w:b/>
                <w:sz w:val="24"/>
              </w:rPr>
            </w:pPr>
          </w:p>
          <w:p>
            <w:pPr>
              <w:pStyle w:val="TableParagraph"/>
              <w:rPr>
                <w:sz w:val="24"/>
              </w:rPr>
            </w:pPr>
            <w:r>
              <w:rPr>
                <w:sz w:val="24"/>
              </w:rPr>
              <w:t>PHT</w:t>
            </w:r>
            <w:r>
              <w:rPr>
                <w:spacing w:val="3"/>
                <w:sz w:val="24"/>
              </w:rPr>
              <w:t> </w:t>
            </w:r>
            <w:r>
              <w:rPr>
                <w:spacing w:val="-4"/>
                <w:sz w:val="24"/>
              </w:rPr>
              <w:t>(20)</w:t>
            </w:r>
          </w:p>
        </w:tc>
        <w:tc>
          <w:tcPr>
            <w:tcW w:w="1778" w:type="dxa"/>
            <w:tcBorders>
              <w:bottom w:val="single" w:sz="6" w:space="0" w:color="000000"/>
            </w:tcBorders>
          </w:tcPr>
          <w:p>
            <w:pPr>
              <w:pStyle w:val="TableParagraph"/>
              <w:spacing w:before="99"/>
              <w:rPr>
                <w:b/>
                <w:sz w:val="24"/>
              </w:rPr>
            </w:pPr>
          </w:p>
          <w:p>
            <w:pPr>
              <w:pStyle w:val="TableParagraph"/>
              <w:ind w:right="39"/>
              <w:jc w:val="center"/>
              <w:rPr>
                <w:sz w:val="24"/>
              </w:rPr>
            </w:pPr>
            <w:r>
              <w:rPr>
                <w:spacing w:val="-10"/>
                <w:sz w:val="24"/>
              </w:rPr>
              <w:t>-</w:t>
            </w:r>
          </w:p>
        </w:tc>
        <w:tc>
          <w:tcPr>
            <w:tcW w:w="1367" w:type="dxa"/>
            <w:tcBorders>
              <w:bottom w:val="single" w:sz="6" w:space="0" w:color="000000"/>
            </w:tcBorders>
          </w:tcPr>
          <w:p>
            <w:pPr>
              <w:pStyle w:val="TableParagraph"/>
              <w:spacing w:before="99"/>
              <w:rPr>
                <w:b/>
                <w:sz w:val="24"/>
              </w:rPr>
            </w:pPr>
          </w:p>
          <w:p>
            <w:pPr>
              <w:pStyle w:val="TableParagraph"/>
              <w:ind w:right="427"/>
              <w:jc w:val="right"/>
              <w:rPr>
                <w:sz w:val="24"/>
              </w:rPr>
            </w:pPr>
            <w:r>
              <w:rPr>
                <w:spacing w:val="-5"/>
                <w:sz w:val="24"/>
              </w:rPr>
              <w:t>7/7</w:t>
            </w:r>
          </w:p>
        </w:tc>
        <w:tc>
          <w:tcPr>
            <w:tcW w:w="2045" w:type="dxa"/>
            <w:tcBorders>
              <w:bottom w:val="single" w:sz="6" w:space="0" w:color="000000"/>
            </w:tcBorders>
          </w:tcPr>
          <w:p>
            <w:pPr>
              <w:pStyle w:val="TableParagraph"/>
              <w:spacing w:before="99"/>
              <w:rPr>
                <w:b/>
                <w:sz w:val="24"/>
              </w:rPr>
            </w:pPr>
          </w:p>
          <w:p>
            <w:pPr>
              <w:pStyle w:val="TableParagraph"/>
              <w:ind w:left="887"/>
              <w:rPr>
                <w:sz w:val="24"/>
              </w:rPr>
            </w:pPr>
            <w:r>
              <w:rPr>
                <w:spacing w:val="-2"/>
                <w:sz w:val="24"/>
              </w:rPr>
              <w:t>100.0</w:t>
            </w:r>
          </w:p>
        </w:tc>
        <w:tc>
          <w:tcPr>
            <w:tcW w:w="2161" w:type="dxa"/>
            <w:tcBorders>
              <w:bottom w:val="single" w:sz="6" w:space="0" w:color="000000"/>
            </w:tcBorders>
          </w:tcPr>
          <w:p>
            <w:pPr>
              <w:pStyle w:val="TableParagraph"/>
              <w:spacing w:before="99"/>
              <w:rPr>
                <w:b/>
                <w:sz w:val="24"/>
              </w:rPr>
            </w:pPr>
          </w:p>
          <w:p>
            <w:pPr>
              <w:pStyle w:val="TableParagraph"/>
              <w:ind w:right="950"/>
              <w:jc w:val="right"/>
              <w:rPr>
                <w:sz w:val="24"/>
              </w:rPr>
            </w:pPr>
            <w:r>
              <w:rPr>
                <w:spacing w:val="-5"/>
                <w:sz w:val="24"/>
              </w:rPr>
              <w:t>100</w:t>
            </w:r>
          </w:p>
        </w:tc>
      </w:tr>
    </w:tbl>
    <w:p>
      <w:pPr>
        <w:pStyle w:val="BodyText"/>
        <w:spacing w:before="208"/>
        <w:ind w:left="681" w:right="274"/>
        <w:jc w:val="both"/>
      </w:pPr>
      <w:r>
        <w:rPr/>
        <w:t>Values</w:t>
      </w:r>
      <w:r>
        <w:rPr>
          <w:spacing w:val="-2"/>
        </w:rPr>
        <w:t> </w:t>
      </w:r>
      <w:r>
        <w:rPr/>
        <w:t>are</w:t>
      </w:r>
      <w:r>
        <w:rPr>
          <w:spacing w:val="-1"/>
        </w:rPr>
        <w:t> </w:t>
      </w:r>
      <w:r>
        <w:rPr/>
        <w:t>presented as</w:t>
      </w:r>
      <w:r>
        <w:rPr>
          <w:spacing w:val="-2"/>
        </w:rPr>
        <w:t> </w:t>
      </w:r>
      <w:r>
        <w:rPr/>
        <w:t>Mean</w:t>
      </w:r>
      <w:r>
        <w:rPr>
          <w:spacing w:val="-5"/>
        </w:rPr>
        <w:t> </w:t>
      </w:r>
      <w:r>
        <w:rPr/>
        <w:t>±</w:t>
      </w:r>
      <w:r>
        <w:rPr>
          <w:spacing w:val="-2"/>
        </w:rPr>
        <w:t> </w:t>
      </w:r>
      <w:r>
        <w:rPr/>
        <w:t>SEM, n =</w:t>
      </w:r>
      <w:r>
        <w:rPr>
          <w:spacing w:val="-1"/>
        </w:rPr>
        <w:t> </w:t>
      </w:r>
      <w:r>
        <w:rPr/>
        <w:t>7;</w:t>
      </w:r>
      <w:r>
        <w:rPr>
          <w:spacing w:val="-5"/>
        </w:rPr>
        <w:t> </w:t>
      </w:r>
      <w:r>
        <w:rPr/>
        <w:t>DCP23, DCP25 and DCP34 =</w:t>
      </w:r>
      <w:r>
        <w:rPr>
          <w:spacing w:val="-1"/>
        </w:rPr>
        <w:t> </w:t>
      </w:r>
      <w:r>
        <w:rPr/>
        <w:t>2,3-, 2,5- and 3,4- Dichloro – 3(aminophenyl) propanamides respectively, PHT = Phenytoin; Control = 30% propylene glycol, 70% distil water; No Significant difference in the mean time to recovery from seizures between control (vehicle) group and treated groups (ANOVA).</w:t>
      </w:r>
    </w:p>
    <w:p>
      <w:pPr>
        <w:spacing w:after="0"/>
        <w:jc w:val="both"/>
        <w:sectPr>
          <w:pgSz w:w="12240" w:h="15840"/>
          <w:pgMar w:header="0" w:footer="1066" w:top="1360" w:bottom="1260" w:left="1480" w:right="1160"/>
        </w:sectPr>
      </w:pPr>
    </w:p>
    <w:p>
      <w:pPr>
        <w:pStyle w:val="Heading2"/>
        <w:numPr>
          <w:ilvl w:val="2"/>
          <w:numId w:val="14"/>
        </w:numPr>
        <w:tabs>
          <w:tab w:pos="1222" w:val="left" w:leader="none"/>
        </w:tabs>
        <w:spacing w:line="240" w:lineRule="auto" w:before="77" w:after="0"/>
        <w:ind w:left="1222" w:right="0" w:hanging="541"/>
        <w:jc w:val="left"/>
      </w:pPr>
      <w:r>
        <w:rPr/>
        <w:t>Pentylenetetrazole-induced</w:t>
      </w:r>
      <w:r>
        <w:rPr>
          <w:spacing w:val="-6"/>
        </w:rPr>
        <w:t> </w:t>
      </w:r>
      <w:r>
        <w:rPr/>
        <w:t>Seizure</w:t>
      </w:r>
      <w:r>
        <w:rPr>
          <w:spacing w:val="-3"/>
        </w:rPr>
        <w:t> </w:t>
      </w:r>
      <w:r>
        <w:rPr/>
        <w:t>Test</w:t>
      </w:r>
      <w:r>
        <w:rPr>
          <w:spacing w:val="-2"/>
        </w:rPr>
        <w:t> </w:t>
      </w:r>
      <w:r>
        <w:rPr/>
        <w:t>in</w:t>
      </w:r>
      <w:r>
        <w:rPr>
          <w:spacing w:val="-2"/>
        </w:rPr>
        <w:t> </w:t>
      </w:r>
      <w:r>
        <w:rPr>
          <w:spacing w:val="-4"/>
        </w:rPr>
        <w:t>Mice</w:t>
      </w:r>
    </w:p>
    <w:p>
      <w:pPr>
        <w:pStyle w:val="BodyText"/>
        <w:spacing w:before="235"/>
        <w:rPr>
          <w:b/>
        </w:rPr>
      </w:pPr>
    </w:p>
    <w:p>
      <w:pPr>
        <w:pStyle w:val="BodyText"/>
        <w:spacing w:line="480" w:lineRule="auto"/>
        <w:ind w:left="681" w:right="278"/>
        <w:jc w:val="both"/>
      </w:pPr>
      <w:r>
        <w:rPr/>
        <w:t>The highest dose (50 mg/kg) of DCP23, DCP25 and DCP34 as used in pentylenetetrazole-induced seizure test, offered 66.7%, 66.7 and 0% protections against clonic seizures. Also, DCP23, at doses of 25 and 12.5 mg/kg, gave 16.7% protection; while DCP25 and DCP34 at both</w:t>
      </w:r>
      <w:r>
        <w:rPr>
          <w:spacing w:val="-1"/>
        </w:rPr>
        <w:t> </w:t>
      </w:r>
      <w:r>
        <w:rPr/>
        <w:t>25 and 12.5 mg/kg, did not offer protection. There was a statistically significant (p&lt;0.001) difference exhibited by DCP23 at doses of 50 mg/kg and</w:t>
      </w:r>
      <w:r>
        <w:rPr>
          <w:spacing w:val="-3"/>
        </w:rPr>
        <w:t> </w:t>
      </w:r>
      <w:r>
        <w:rPr/>
        <w:t>25 mg/kg</w:t>
      </w:r>
      <w:r>
        <w:rPr>
          <w:spacing w:val="-3"/>
        </w:rPr>
        <w:t> </w:t>
      </w:r>
      <w:r>
        <w:rPr/>
        <w:t>(p&lt;0.001).</w:t>
      </w:r>
      <w:r>
        <w:rPr>
          <w:spacing w:val="-1"/>
        </w:rPr>
        <w:t> </w:t>
      </w:r>
      <w:r>
        <w:rPr/>
        <w:t>Similarly, sodium</w:t>
      </w:r>
      <w:r>
        <w:rPr>
          <w:spacing w:val="-3"/>
        </w:rPr>
        <w:t> </w:t>
      </w:r>
      <w:r>
        <w:rPr/>
        <w:t>valproate</w:t>
      </w:r>
      <w:r>
        <w:rPr>
          <w:spacing w:val="-4"/>
        </w:rPr>
        <w:t> </w:t>
      </w:r>
      <w:r>
        <w:rPr/>
        <w:t>(200 mg/kg)</w:t>
      </w:r>
      <w:r>
        <w:rPr>
          <w:spacing w:val="-1"/>
        </w:rPr>
        <w:t> </w:t>
      </w:r>
      <w:r>
        <w:rPr/>
        <w:t>gave</w:t>
      </w:r>
      <w:r>
        <w:rPr>
          <w:spacing w:val="-4"/>
        </w:rPr>
        <w:t> </w:t>
      </w:r>
      <w:r>
        <w:rPr/>
        <w:t>83.3%</w:t>
      </w:r>
      <w:r>
        <w:rPr>
          <w:spacing w:val="-2"/>
        </w:rPr>
        <w:t> </w:t>
      </w:r>
      <w:r>
        <w:rPr/>
        <w:t>protection against episode of clonic seizure. However, there was no statistically significant difference in latency to onset of seizures for DCP25 and DCP34 at all the tested doses. There was however a reduction in mortality at the most active doses (Table 4.14).</w:t>
      </w:r>
    </w:p>
    <w:p>
      <w:pPr>
        <w:spacing w:after="0" w:line="480" w:lineRule="auto"/>
        <w:jc w:val="both"/>
        <w:sectPr>
          <w:pgSz w:w="12240" w:h="15840"/>
          <w:pgMar w:header="0" w:footer="1066" w:top="1360" w:bottom="1260" w:left="1480" w:right="1160"/>
        </w:sectPr>
      </w:pPr>
    </w:p>
    <w:p>
      <w:pPr>
        <w:pStyle w:val="Heading2"/>
        <w:tabs>
          <w:tab w:pos="1505" w:val="left" w:leader="none"/>
          <w:tab w:pos="2255" w:val="left" w:leader="none"/>
          <w:tab w:pos="3104" w:val="left" w:leader="none"/>
          <w:tab w:pos="3545" w:val="left" w:leader="none"/>
          <w:tab w:pos="4586" w:val="left" w:leader="none"/>
          <w:tab w:pos="5563" w:val="left" w:leader="none"/>
          <w:tab w:pos="6197" w:val="left" w:leader="none"/>
          <w:tab w:pos="7172" w:val="left" w:leader="none"/>
          <w:tab w:pos="7805" w:val="left" w:leader="none"/>
          <w:tab w:pos="9067" w:val="left" w:leader="none"/>
        </w:tabs>
        <w:spacing w:line="480" w:lineRule="auto" w:before="77"/>
        <w:ind w:right="276"/>
        <w:jc w:val="left"/>
      </w:pPr>
      <w:r>
        <w:rPr>
          <w:spacing w:val="-2"/>
        </w:rPr>
        <w:t>Table</w:t>
      </w:r>
      <w:r>
        <w:rPr/>
        <w:tab/>
      </w:r>
      <w:r>
        <w:rPr>
          <w:spacing w:val="-2"/>
        </w:rPr>
        <w:t>4.14:</w:t>
      </w:r>
      <w:r>
        <w:rPr/>
        <w:tab/>
      </w:r>
      <w:r>
        <w:rPr>
          <w:spacing w:val="-2"/>
        </w:rPr>
        <w:t>Effect</w:t>
      </w:r>
      <w:r>
        <w:rPr/>
        <w:tab/>
      </w:r>
      <w:r>
        <w:rPr>
          <w:spacing w:val="-6"/>
        </w:rPr>
        <w:t>of</w:t>
      </w:r>
      <w:r>
        <w:rPr/>
        <w:tab/>
      </w:r>
      <w:r>
        <w:rPr>
          <w:spacing w:val="-2"/>
        </w:rPr>
        <w:t>DCP23,</w:t>
      </w:r>
      <w:r>
        <w:rPr/>
        <w:tab/>
      </w:r>
      <w:r>
        <w:rPr>
          <w:spacing w:val="-4"/>
        </w:rPr>
        <w:t>DCP25</w:t>
      </w:r>
      <w:r>
        <w:rPr/>
        <w:tab/>
      </w:r>
      <w:r>
        <w:rPr>
          <w:spacing w:val="-4"/>
        </w:rPr>
        <w:t>and</w:t>
      </w:r>
      <w:r>
        <w:rPr/>
        <w:tab/>
      </w:r>
      <w:r>
        <w:rPr>
          <w:spacing w:val="-2"/>
        </w:rPr>
        <w:t>DCP34</w:t>
      </w:r>
      <w:r>
        <w:rPr/>
        <w:tab/>
      </w:r>
      <w:r>
        <w:rPr>
          <w:spacing w:val="-4"/>
        </w:rPr>
        <w:t>and</w:t>
      </w:r>
      <w:r>
        <w:rPr/>
        <w:tab/>
      </w:r>
      <w:r>
        <w:rPr>
          <w:spacing w:val="-2"/>
        </w:rPr>
        <w:t>Valproate</w:t>
      </w:r>
      <w:r>
        <w:rPr/>
        <w:tab/>
      </w:r>
      <w:r>
        <w:rPr>
          <w:spacing w:val="-6"/>
        </w:rPr>
        <w:t>on </w:t>
      </w:r>
      <w:r>
        <w:rPr/>
        <w:t>Pentylenetetrazole-induced Seizures in Mice</w:t>
      </w:r>
    </w:p>
    <w:p>
      <w:pPr>
        <w:pStyle w:val="BodyText"/>
        <w:rPr>
          <w:b/>
          <w:sz w:val="20"/>
        </w:rPr>
      </w:pPr>
    </w:p>
    <w:p>
      <w:pPr>
        <w:pStyle w:val="BodyText"/>
        <w:spacing w:before="59"/>
        <w:rPr>
          <w:b/>
          <w:sz w:val="20"/>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4"/>
        <w:gridCol w:w="1164"/>
        <w:gridCol w:w="2353"/>
        <w:gridCol w:w="1900"/>
      </w:tblGrid>
      <w:tr>
        <w:trPr>
          <w:trHeight w:val="1245" w:hRule="atLeast"/>
        </w:trPr>
        <w:tc>
          <w:tcPr>
            <w:tcW w:w="3224" w:type="dxa"/>
            <w:tcBorders>
              <w:top w:val="single" w:sz="6" w:space="0" w:color="000000"/>
              <w:bottom w:val="single" w:sz="6" w:space="0" w:color="000000"/>
            </w:tcBorders>
          </w:tcPr>
          <w:p>
            <w:pPr>
              <w:pStyle w:val="TableParagraph"/>
              <w:tabs>
                <w:tab w:pos="1289" w:val="left" w:leader="none"/>
              </w:tabs>
              <w:spacing w:line="412" w:lineRule="auto" w:before="146"/>
              <w:ind w:right="245"/>
              <w:rPr>
                <w:sz w:val="24"/>
              </w:rPr>
            </w:pPr>
            <w:r>
              <w:rPr>
                <w:spacing w:val="-2"/>
                <w:sz w:val="24"/>
              </w:rPr>
              <w:t>Treatment</w:t>
            </w:r>
            <w:r>
              <w:rPr>
                <w:sz w:val="24"/>
              </w:rPr>
              <w:tab/>
              <w:t>Mean Latency </w:t>
            </w:r>
            <w:r>
              <w:rPr>
                <w:spacing w:val="-2"/>
                <w:sz w:val="24"/>
              </w:rPr>
              <w:t>(mg/kg)</w:t>
            </w:r>
            <w:r>
              <w:rPr>
                <w:sz w:val="24"/>
              </w:rPr>
              <w:tab/>
            </w:r>
            <w:r>
              <w:rPr>
                <w:spacing w:val="-34"/>
                <w:sz w:val="24"/>
              </w:rPr>
              <w:t> </w:t>
            </w:r>
            <w:r>
              <w:rPr>
                <w:sz w:val="24"/>
              </w:rPr>
              <w:t>of</w:t>
            </w:r>
            <w:r>
              <w:rPr>
                <w:spacing w:val="-15"/>
                <w:sz w:val="24"/>
              </w:rPr>
              <w:t> </w:t>
            </w:r>
            <w:r>
              <w:rPr>
                <w:sz w:val="24"/>
              </w:rPr>
              <w:t>Seizures</w:t>
            </w:r>
            <w:r>
              <w:rPr>
                <w:spacing w:val="-15"/>
                <w:sz w:val="24"/>
              </w:rPr>
              <w:t> </w:t>
            </w:r>
            <w:r>
              <w:rPr>
                <w:sz w:val="24"/>
              </w:rPr>
              <w:t>(min)</w:t>
            </w:r>
          </w:p>
        </w:tc>
        <w:tc>
          <w:tcPr>
            <w:tcW w:w="1164" w:type="dxa"/>
            <w:tcBorders>
              <w:top w:val="single" w:sz="6" w:space="0" w:color="000000"/>
              <w:bottom w:val="single" w:sz="6" w:space="0" w:color="000000"/>
            </w:tcBorders>
          </w:tcPr>
          <w:p>
            <w:pPr>
              <w:pStyle w:val="TableParagraph"/>
              <w:spacing w:line="412" w:lineRule="auto" w:before="146"/>
              <w:ind w:left="60" w:right="117" w:firstLine="106"/>
              <w:rPr>
                <w:sz w:val="24"/>
              </w:rPr>
            </w:pPr>
            <w:r>
              <w:rPr>
                <w:spacing w:val="-2"/>
                <w:sz w:val="24"/>
              </w:rPr>
              <w:t>Quantal Protection</w:t>
            </w:r>
          </w:p>
        </w:tc>
        <w:tc>
          <w:tcPr>
            <w:tcW w:w="2353" w:type="dxa"/>
            <w:tcBorders>
              <w:top w:val="single" w:sz="6" w:space="0" w:color="000000"/>
              <w:bottom w:val="single" w:sz="6" w:space="0" w:color="000000"/>
            </w:tcBorders>
          </w:tcPr>
          <w:p>
            <w:pPr>
              <w:pStyle w:val="TableParagraph"/>
              <w:spacing w:line="412" w:lineRule="auto" w:before="146"/>
              <w:ind w:left="180" w:hanging="61"/>
              <w:rPr>
                <w:sz w:val="24"/>
              </w:rPr>
            </w:pPr>
            <w:r>
              <w:rPr>
                <w:sz w:val="24"/>
              </w:rPr>
              <w:t>(%)</w:t>
            </w:r>
            <w:r>
              <w:rPr>
                <w:spacing w:val="-15"/>
                <w:sz w:val="24"/>
              </w:rPr>
              <w:t> </w:t>
            </w:r>
            <w:r>
              <w:rPr>
                <w:sz w:val="24"/>
              </w:rPr>
              <w:t>Protection</w:t>
            </w:r>
            <w:r>
              <w:rPr>
                <w:spacing w:val="-15"/>
                <w:sz w:val="24"/>
              </w:rPr>
              <w:t> </w:t>
            </w:r>
            <w:r>
              <w:rPr>
                <w:sz w:val="24"/>
              </w:rPr>
              <w:t>against </w:t>
            </w:r>
            <w:r>
              <w:rPr>
                <w:spacing w:val="-2"/>
                <w:sz w:val="24"/>
              </w:rPr>
              <w:t>Seizures</w:t>
            </w:r>
          </w:p>
        </w:tc>
        <w:tc>
          <w:tcPr>
            <w:tcW w:w="1900" w:type="dxa"/>
            <w:tcBorders>
              <w:top w:val="single" w:sz="6" w:space="0" w:color="000000"/>
              <w:bottom w:val="single" w:sz="6" w:space="0" w:color="000000"/>
            </w:tcBorders>
          </w:tcPr>
          <w:p>
            <w:pPr>
              <w:pStyle w:val="TableParagraph"/>
              <w:spacing w:line="412" w:lineRule="auto" w:before="146"/>
              <w:ind w:left="107" w:hanging="15"/>
              <w:rPr>
                <w:sz w:val="24"/>
              </w:rPr>
            </w:pPr>
            <w:r>
              <w:rPr>
                <w:spacing w:val="-2"/>
                <w:sz w:val="24"/>
              </w:rPr>
              <w:t>Protection</w:t>
            </w:r>
            <w:r>
              <w:rPr>
                <w:spacing w:val="-12"/>
                <w:sz w:val="24"/>
              </w:rPr>
              <w:t> </w:t>
            </w:r>
            <w:r>
              <w:rPr>
                <w:spacing w:val="-2"/>
                <w:sz w:val="24"/>
              </w:rPr>
              <w:t>against </w:t>
            </w:r>
            <w:r>
              <w:rPr>
                <w:sz w:val="24"/>
              </w:rPr>
              <w:t>Mortality (%)</w:t>
            </w:r>
          </w:p>
        </w:tc>
      </w:tr>
      <w:tr>
        <w:trPr>
          <w:trHeight w:val="1010" w:hRule="atLeast"/>
        </w:trPr>
        <w:tc>
          <w:tcPr>
            <w:tcW w:w="3224" w:type="dxa"/>
            <w:tcBorders>
              <w:top w:val="single" w:sz="6" w:space="0" w:color="000000"/>
            </w:tcBorders>
          </w:tcPr>
          <w:p>
            <w:pPr>
              <w:pStyle w:val="TableParagraph"/>
              <w:spacing w:before="74"/>
              <w:rPr>
                <w:b/>
                <w:sz w:val="24"/>
              </w:rPr>
            </w:pPr>
          </w:p>
          <w:p>
            <w:pPr>
              <w:pStyle w:val="TableParagraph"/>
              <w:tabs>
                <w:tab w:pos="1638" w:val="left" w:leader="none"/>
              </w:tabs>
              <w:rPr>
                <w:sz w:val="24"/>
              </w:rPr>
            </w:pPr>
            <w:r>
              <w:rPr>
                <w:spacing w:val="-2"/>
                <w:sz w:val="24"/>
              </w:rPr>
              <w:t>Control</w:t>
            </w:r>
            <w:r>
              <w:rPr>
                <w:sz w:val="24"/>
              </w:rPr>
              <w:tab/>
              <w:t>8.00</w:t>
            </w:r>
            <w:r>
              <w:rPr>
                <w:spacing w:val="-5"/>
                <w:sz w:val="24"/>
              </w:rPr>
              <w:t> </w:t>
            </w:r>
            <w:r>
              <w:rPr>
                <w:sz w:val="24"/>
              </w:rPr>
              <w:t>±</w:t>
            </w:r>
            <w:r>
              <w:rPr>
                <w:spacing w:val="2"/>
                <w:sz w:val="24"/>
              </w:rPr>
              <w:t> </w:t>
            </w:r>
            <w:r>
              <w:rPr>
                <w:spacing w:val="-4"/>
                <w:sz w:val="24"/>
              </w:rPr>
              <w:t>1.29</w:t>
            </w:r>
          </w:p>
        </w:tc>
        <w:tc>
          <w:tcPr>
            <w:tcW w:w="1164" w:type="dxa"/>
            <w:tcBorders>
              <w:top w:val="single" w:sz="6" w:space="0" w:color="000000"/>
            </w:tcBorders>
          </w:tcPr>
          <w:p>
            <w:pPr>
              <w:pStyle w:val="TableParagraph"/>
              <w:spacing w:before="74"/>
              <w:rPr>
                <w:b/>
                <w:sz w:val="24"/>
              </w:rPr>
            </w:pPr>
          </w:p>
          <w:p>
            <w:pPr>
              <w:pStyle w:val="TableParagraph"/>
              <w:ind w:left="378"/>
              <w:rPr>
                <w:sz w:val="24"/>
              </w:rPr>
            </w:pPr>
            <w:r>
              <w:rPr>
                <w:spacing w:val="-5"/>
                <w:sz w:val="24"/>
              </w:rPr>
              <w:t>0/6</w:t>
            </w:r>
          </w:p>
        </w:tc>
        <w:tc>
          <w:tcPr>
            <w:tcW w:w="2353" w:type="dxa"/>
            <w:tcBorders>
              <w:top w:val="single" w:sz="6" w:space="0" w:color="000000"/>
            </w:tcBorders>
          </w:tcPr>
          <w:p>
            <w:pPr>
              <w:pStyle w:val="TableParagraph"/>
              <w:spacing w:before="74"/>
              <w:rPr>
                <w:b/>
                <w:sz w:val="24"/>
              </w:rPr>
            </w:pPr>
          </w:p>
          <w:p>
            <w:pPr>
              <w:pStyle w:val="TableParagraph"/>
              <w:ind w:left="603"/>
              <w:rPr>
                <w:sz w:val="24"/>
              </w:rPr>
            </w:pPr>
            <w:r>
              <w:rPr>
                <w:spacing w:val="-5"/>
                <w:sz w:val="24"/>
              </w:rPr>
              <w:t>0.0</w:t>
            </w:r>
          </w:p>
        </w:tc>
        <w:tc>
          <w:tcPr>
            <w:tcW w:w="1900" w:type="dxa"/>
            <w:tcBorders>
              <w:top w:val="single" w:sz="6" w:space="0" w:color="000000"/>
            </w:tcBorders>
          </w:tcPr>
          <w:p>
            <w:pPr>
              <w:pStyle w:val="TableParagraph"/>
              <w:spacing w:before="74"/>
              <w:rPr>
                <w:b/>
                <w:sz w:val="24"/>
              </w:rPr>
            </w:pPr>
          </w:p>
          <w:p>
            <w:pPr>
              <w:pStyle w:val="TableParagraph"/>
              <w:ind w:left="472"/>
              <w:rPr>
                <w:sz w:val="24"/>
              </w:rPr>
            </w:pPr>
            <w:r>
              <w:rPr>
                <w:spacing w:val="-4"/>
                <w:sz w:val="24"/>
              </w:rPr>
              <w:t>50.0</w:t>
            </w:r>
          </w:p>
        </w:tc>
      </w:tr>
      <w:tr>
        <w:trPr>
          <w:trHeight w:val="775" w:hRule="atLeast"/>
        </w:trPr>
        <w:tc>
          <w:tcPr>
            <w:tcW w:w="3224" w:type="dxa"/>
          </w:tcPr>
          <w:p>
            <w:pPr>
              <w:pStyle w:val="TableParagraph"/>
              <w:spacing w:before="97"/>
              <w:rPr>
                <w:b/>
                <w:sz w:val="24"/>
              </w:rPr>
            </w:pPr>
          </w:p>
          <w:p>
            <w:pPr>
              <w:pStyle w:val="TableParagraph"/>
              <w:tabs>
                <w:tab w:pos="1714" w:val="left" w:leader="none"/>
              </w:tabs>
              <w:rPr>
                <w:sz w:val="24"/>
              </w:rPr>
            </w:pPr>
            <w:r>
              <w:rPr>
                <w:sz w:val="24"/>
              </w:rPr>
              <w:t>DCP23</w:t>
            </w:r>
            <w:r>
              <w:rPr>
                <w:spacing w:val="-3"/>
                <w:sz w:val="24"/>
              </w:rPr>
              <w:t> </w:t>
            </w:r>
            <w:r>
              <w:rPr>
                <w:spacing w:val="-4"/>
                <w:sz w:val="24"/>
              </w:rPr>
              <w:t>(50)</w:t>
            </w:r>
            <w:r>
              <w:rPr>
                <w:sz w:val="24"/>
              </w:rPr>
              <w:tab/>
              <w:t>27.00</w:t>
            </w:r>
            <w:r>
              <w:rPr>
                <w:spacing w:val="-7"/>
                <w:sz w:val="24"/>
              </w:rPr>
              <w:t> </w:t>
            </w:r>
            <w:r>
              <w:rPr>
                <w:sz w:val="24"/>
              </w:rPr>
              <w:t>±</w:t>
            </w:r>
            <w:r>
              <w:rPr>
                <w:spacing w:val="-1"/>
                <w:sz w:val="24"/>
              </w:rPr>
              <w:t> </w:t>
            </w:r>
            <w:r>
              <w:rPr>
                <w:spacing w:val="-2"/>
                <w:sz w:val="24"/>
              </w:rPr>
              <w:t>1.00**</w:t>
            </w:r>
          </w:p>
        </w:tc>
        <w:tc>
          <w:tcPr>
            <w:tcW w:w="1164" w:type="dxa"/>
          </w:tcPr>
          <w:p>
            <w:pPr>
              <w:pStyle w:val="TableParagraph"/>
              <w:spacing w:before="97"/>
              <w:rPr>
                <w:b/>
                <w:sz w:val="24"/>
              </w:rPr>
            </w:pPr>
          </w:p>
          <w:p>
            <w:pPr>
              <w:pStyle w:val="TableParagraph"/>
              <w:ind w:right="12"/>
              <w:jc w:val="center"/>
              <w:rPr>
                <w:sz w:val="24"/>
              </w:rPr>
            </w:pPr>
            <w:r>
              <w:rPr>
                <w:spacing w:val="-5"/>
                <w:sz w:val="24"/>
              </w:rPr>
              <w:t>4/6</w:t>
            </w:r>
          </w:p>
        </w:tc>
        <w:tc>
          <w:tcPr>
            <w:tcW w:w="2353" w:type="dxa"/>
          </w:tcPr>
          <w:p>
            <w:pPr>
              <w:pStyle w:val="TableParagraph"/>
              <w:spacing w:before="97"/>
              <w:rPr>
                <w:b/>
                <w:sz w:val="24"/>
              </w:rPr>
            </w:pPr>
          </w:p>
          <w:p>
            <w:pPr>
              <w:pStyle w:val="TableParagraph"/>
              <w:ind w:left="645"/>
              <w:rPr>
                <w:sz w:val="24"/>
              </w:rPr>
            </w:pPr>
            <w:r>
              <w:rPr>
                <w:spacing w:val="-4"/>
                <w:sz w:val="24"/>
              </w:rPr>
              <w:t>66.7</w:t>
            </w:r>
          </w:p>
        </w:tc>
        <w:tc>
          <w:tcPr>
            <w:tcW w:w="1900" w:type="dxa"/>
          </w:tcPr>
          <w:p>
            <w:pPr>
              <w:pStyle w:val="TableParagraph"/>
              <w:spacing w:before="97"/>
              <w:rPr>
                <w:b/>
                <w:sz w:val="24"/>
              </w:rPr>
            </w:pPr>
          </w:p>
          <w:p>
            <w:pPr>
              <w:pStyle w:val="TableParagraph"/>
              <w:ind w:left="448"/>
              <w:rPr>
                <w:sz w:val="24"/>
              </w:rPr>
            </w:pPr>
            <w:r>
              <w:rPr>
                <w:spacing w:val="-2"/>
                <w:sz w:val="24"/>
              </w:rPr>
              <w:t>100.0</w:t>
            </w:r>
          </w:p>
        </w:tc>
      </w:tr>
      <w:tr>
        <w:trPr>
          <w:trHeight w:val="518" w:hRule="atLeast"/>
        </w:trPr>
        <w:tc>
          <w:tcPr>
            <w:tcW w:w="3224" w:type="dxa"/>
          </w:tcPr>
          <w:p>
            <w:pPr>
              <w:pStyle w:val="TableParagraph"/>
              <w:tabs>
                <w:tab w:pos="1714" w:val="left" w:leader="none"/>
              </w:tabs>
              <w:spacing w:before="116"/>
              <w:rPr>
                <w:sz w:val="24"/>
              </w:rPr>
            </w:pPr>
            <w:r>
              <w:rPr>
                <w:sz w:val="24"/>
              </w:rPr>
              <w:t>DCP25</w:t>
            </w:r>
            <w:r>
              <w:rPr>
                <w:spacing w:val="-3"/>
                <w:sz w:val="24"/>
              </w:rPr>
              <w:t> </w:t>
            </w:r>
            <w:r>
              <w:rPr>
                <w:spacing w:val="-4"/>
                <w:sz w:val="24"/>
              </w:rPr>
              <w:t>(50)</w:t>
            </w:r>
            <w:r>
              <w:rPr>
                <w:sz w:val="24"/>
              </w:rPr>
              <w:tab/>
              <w:t>12.00</w:t>
            </w:r>
            <w:r>
              <w:rPr>
                <w:spacing w:val="-7"/>
                <w:sz w:val="24"/>
              </w:rPr>
              <w:t> </w:t>
            </w:r>
            <w:r>
              <w:rPr>
                <w:sz w:val="24"/>
              </w:rPr>
              <w:t>±</w:t>
            </w:r>
            <w:r>
              <w:rPr>
                <w:spacing w:val="-1"/>
                <w:sz w:val="24"/>
              </w:rPr>
              <w:t> </w:t>
            </w:r>
            <w:r>
              <w:rPr>
                <w:spacing w:val="-4"/>
                <w:sz w:val="24"/>
              </w:rPr>
              <w:t>1.00</w:t>
            </w:r>
          </w:p>
        </w:tc>
        <w:tc>
          <w:tcPr>
            <w:tcW w:w="1164" w:type="dxa"/>
          </w:tcPr>
          <w:p>
            <w:pPr>
              <w:pStyle w:val="TableParagraph"/>
              <w:spacing w:before="116"/>
              <w:ind w:right="414"/>
              <w:jc w:val="right"/>
              <w:rPr>
                <w:sz w:val="24"/>
              </w:rPr>
            </w:pPr>
            <w:r>
              <w:rPr>
                <w:spacing w:val="-5"/>
                <w:sz w:val="24"/>
              </w:rPr>
              <w:t>4/6</w:t>
            </w:r>
          </w:p>
        </w:tc>
        <w:tc>
          <w:tcPr>
            <w:tcW w:w="2353" w:type="dxa"/>
          </w:tcPr>
          <w:p>
            <w:pPr>
              <w:pStyle w:val="TableParagraph"/>
              <w:spacing w:before="116"/>
              <w:ind w:left="661"/>
              <w:rPr>
                <w:sz w:val="24"/>
              </w:rPr>
            </w:pPr>
            <w:r>
              <w:rPr>
                <w:spacing w:val="-4"/>
                <w:sz w:val="24"/>
              </w:rPr>
              <w:t>66.7</w:t>
            </w:r>
          </w:p>
        </w:tc>
        <w:tc>
          <w:tcPr>
            <w:tcW w:w="1900" w:type="dxa"/>
          </w:tcPr>
          <w:p>
            <w:pPr>
              <w:pStyle w:val="TableParagraph"/>
              <w:spacing w:before="116"/>
              <w:ind w:left="472"/>
              <w:rPr>
                <w:sz w:val="24"/>
              </w:rPr>
            </w:pPr>
            <w:r>
              <w:rPr>
                <w:spacing w:val="-2"/>
                <w:sz w:val="24"/>
              </w:rPr>
              <w:t>100.0</w:t>
            </w:r>
          </w:p>
        </w:tc>
      </w:tr>
      <w:tr>
        <w:trPr>
          <w:trHeight w:val="777" w:hRule="atLeast"/>
        </w:trPr>
        <w:tc>
          <w:tcPr>
            <w:tcW w:w="3224" w:type="dxa"/>
          </w:tcPr>
          <w:p>
            <w:pPr>
              <w:pStyle w:val="TableParagraph"/>
              <w:tabs>
                <w:tab w:pos="1714" w:val="left" w:leader="none"/>
              </w:tabs>
              <w:spacing w:before="116"/>
              <w:rPr>
                <w:sz w:val="24"/>
              </w:rPr>
            </w:pPr>
            <w:r>
              <w:rPr>
                <w:sz w:val="24"/>
              </w:rPr>
              <w:t>DCP34</w:t>
            </w:r>
            <w:r>
              <w:rPr>
                <w:spacing w:val="-3"/>
                <w:sz w:val="24"/>
              </w:rPr>
              <w:t> </w:t>
            </w:r>
            <w:r>
              <w:rPr>
                <w:spacing w:val="-4"/>
                <w:sz w:val="24"/>
              </w:rPr>
              <w:t>(50)</w:t>
            </w:r>
            <w:r>
              <w:rPr>
                <w:sz w:val="24"/>
              </w:rPr>
              <w:tab/>
              <w:t>6.83</w:t>
            </w:r>
            <w:r>
              <w:rPr>
                <w:spacing w:val="-7"/>
                <w:sz w:val="24"/>
              </w:rPr>
              <w:t> </w:t>
            </w:r>
            <w:r>
              <w:rPr>
                <w:sz w:val="24"/>
              </w:rPr>
              <w:t>±</w:t>
            </w:r>
            <w:r>
              <w:rPr>
                <w:spacing w:val="-1"/>
                <w:sz w:val="24"/>
              </w:rPr>
              <w:t> </w:t>
            </w:r>
            <w:r>
              <w:rPr>
                <w:spacing w:val="-4"/>
                <w:sz w:val="24"/>
              </w:rPr>
              <w:t>1.35</w:t>
            </w:r>
          </w:p>
        </w:tc>
        <w:tc>
          <w:tcPr>
            <w:tcW w:w="1164" w:type="dxa"/>
          </w:tcPr>
          <w:p>
            <w:pPr>
              <w:pStyle w:val="TableParagraph"/>
              <w:spacing w:before="116"/>
              <w:ind w:right="414"/>
              <w:jc w:val="right"/>
              <w:rPr>
                <w:sz w:val="24"/>
              </w:rPr>
            </w:pPr>
            <w:r>
              <w:rPr>
                <w:spacing w:val="-5"/>
                <w:sz w:val="24"/>
              </w:rPr>
              <w:t>0/6</w:t>
            </w:r>
          </w:p>
        </w:tc>
        <w:tc>
          <w:tcPr>
            <w:tcW w:w="2353" w:type="dxa"/>
          </w:tcPr>
          <w:p>
            <w:pPr>
              <w:pStyle w:val="TableParagraph"/>
              <w:spacing w:before="116"/>
              <w:ind w:left="661"/>
              <w:rPr>
                <w:sz w:val="24"/>
              </w:rPr>
            </w:pPr>
            <w:r>
              <w:rPr>
                <w:spacing w:val="-5"/>
                <w:sz w:val="24"/>
              </w:rPr>
              <w:t>0.0</w:t>
            </w:r>
          </w:p>
        </w:tc>
        <w:tc>
          <w:tcPr>
            <w:tcW w:w="1900" w:type="dxa"/>
          </w:tcPr>
          <w:p>
            <w:pPr>
              <w:pStyle w:val="TableParagraph"/>
              <w:spacing w:before="116"/>
              <w:ind w:left="472"/>
              <w:rPr>
                <w:sz w:val="24"/>
              </w:rPr>
            </w:pPr>
            <w:r>
              <w:rPr>
                <w:spacing w:val="-4"/>
                <w:sz w:val="24"/>
              </w:rPr>
              <w:t>16.7</w:t>
            </w:r>
          </w:p>
        </w:tc>
      </w:tr>
      <w:tr>
        <w:trPr>
          <w:trHeight w:val="775" w:hRule="atLeast"/>
        </w:trPr>
        <w:tc>
          <w:tcPr>
            <w:tcW w:w="3224" w:type="dxa"/>
          </w:tcPr>
          <w:p>
            <w:pPr>
              <w:pStyle w:val="TableParagraph"/>
              <w:spacing w:before="99"/>
              <w:rPr>
                <w:b/>
                <w:sz w:val="24"/>
              </w:rPr>
            </w:pPr>
          </w:p>
          <w:p>
            <w:pPr>
              <w:pStyle w:val="TableParagraph"/>
              <w:tabs>
                <w:tab w:pos="1714" w:val="left" w:leader="none"/>
              </w:tabs>
              <w:rPr>
                <w:sz w:val="24"/>
              </w:rPr>
            </w:pPr>
            <w:r>
              <w:rPr>
                <w:sz w:val="24"/>
              </w:rPr>
              <w:t>DCP23</w:t>
            </w:r>
            <w:r>
              <w:rPr>
                <w:spacing w:val="-3"/>
                <w:sz w:val="24"/>
              </w:rPr>
              <w:t> </w:t>
            </w:r>
            <w:r>
              <w:rPr>
                <w:spacing w:val="-4"/>
                <w:sz w:val="24"/>
              </w:rPr>
              <w:t>(25)</w:t>
            </w:r>
            <w:r>
              <w:rPr>
                <w:sz w:val="24"/>
              </w:rPr>
              <w:tab/>
              <w:t>19.4</w:t>
            </w:r>
            <w:r>
              <w:rPr>
                <w:spacing w:val="-7"/>
                <w:sz w:val="24"/>
              </w:rPr>
              <w:t> </w:t>
            </w:r>
            <w:r>
              <w:rPr>
                <w:sz w:val="24"/>
              </w:rPr>
              <w:t>±</w:t>
            </w:r>
            <w:r>
              <w:rPr>
                <w:spacing w:val="-1"/>
                <w:sz w:val="24"/>
              </w:rPr>
              <w:t> </w:t>
            </w:r>
            <w:r>
              <w:rPr>
                <w:spacing w:val="-4"/>
                <w:sz w:val="24"/>
              </w:rPr>
              <w:t>2.18*</w:t>
            </w:r>
          </w:p>
        </w:tc>
        <w:tc>
          <w:tcPr>
            <w:tcW w:w="1164" w:type="dxa"/>
          </w:tcPr>
          <w:p>
            <w:pPr>
              <w:pStyle w:val="TableParagraph"/>
              <w:spacing w:before="99"/>
              <w:rPr>
                <w:b/>
                <w:sz w:val="24"/>
              </w:rPr>
            </w:pPr>
          </w:p>
          <w:p>
            <w:pPr>
              <w:pStyle w:val="TableParagraph"/>
              <w:ind w:right="414"/>
              <w:jc w:val="right"/>
              <w:rPr>
                <w:sz w:val="24"/>
              </w:rPr>
            </w:pPr>
            <w:r>
              <w:rPr>
                <w:spacing w:val="-5"/>
                <w:sz w:val="24"/>
              </w:rPr>
              <w:t>1/6</w:t>
            </w:r>
          </w:p>
        </w:tc>
        <w:tc>
          <w:tcPr>
            <w:tcW w:w="2353" w:type="dxa"/>
          </w:tcPr>
          <w:p>
            <w:pPr>
              <w:pStyle w:val="TableParagraph"/>
              <w:spacing w:before="99"/>
              <w:rPr>
                <w:b/>
                <w:sz w:val="24"/>
              </w:rPr>
            </w:pPr>
          </w:p>
          <w:p>
            <w:pPr>
              <w:pStyle w:val="TableParagraph"/>
              <w:ind w:left="661"/>
              <w:rPr>
                <w:sz w:val="24"/>
              </w:rPr>
            </w:pPr>
            <w:r>
              <w:rPr>
                <w:spacing w:val="-4"/>
                <w:sz w:val="24"/>
              </w:rPr>
              <w:t>16.7</w:t>
            </w:r>
          </w:p>
        </w:tc>
        <w:tc>
          <w:tcPr>
            <w:tcW w:w="1900" w:type="dxa"/>
          </w:tcPr>
          <w:p>
            <w:pPr>
              <w:pStyle w:val="TableParagraph"/>
              <w:spacing w:before="99"/>
              <w:rPr>
                <w:b/>
                <w:sz w:val="24"/>
              </w:rPr>
            </w:pPr>
          </w:p>
          <w:p>
            <w:pPr>
              <w:pStyle w:val="TableParagraph"/>
              <w:ind w:left="526"/>
              <w:rPr>
                <w:sz w:val="24"/>
              </w:rPr>
            </w:pPr>
            <w:r>
              <w:rPr>
                <w:spacing w:val="-2"/>
                <w:sz w:val="24"/>
              </w:rPr>
              <w:t>100.0</w:t>
            </w:r>
          </w:p>
        </w:tc>
      </w:tr>
      <w:tr>
        <w:trPr>
          <w:trHeight w:val="516" w:hRule="atLeast"/>
        </w:trPr>
        <w:tc>
          <w:tcPr>
            <w:tcW w:w="3224" w:type="dxa"/>
          </w:tcPr>
          <w:p>
            <w:pPr>
              <w:pStyle w:val="TableParagraph"/>
              <w:tabs>
                <w:tab w:pos="1714" w:val="left" w:leader="none"/>
              </w:tabs>
              <w:spacing w:before="113"/>
              <w:rPr>
                <w:sz w:val="24"/>
              </w:rPr>
            </w:pPr>
            <w:r>
              <w:rPr>
                <w:sz w:val="24"/>
              </w:rPr>
              <w:t>DCP25</w:t>
            </w:r>
            <w:r>
              <w:rPr>
                <w:spacing w:val="-3"/>
                <w:sz w:val="24"/>
              </w:rPr>
              <w:t> </w:t>
            </w:r>
            <w:r>
              <w:rPr>
                <w:spacing w:val="-4"/>
                <w:sz w:val="24"/>
              </w:rPr>
              <w:t>(25)</w:t>
            </w:r>
            <w:r>
              <w:rPr>
                <w:sz w:val="24"/>
              </w:rPr>
              <w:tab/>
              <w:t>11.67</w:t>
            </w:r>
            <w:r>
              <w:rPr>
                <w:spacing w:val="-7"/>
                <w:sz w:val="24"/>
              </w:rPr>
              <w:t> </w:t>
            </w:r>
            <w:r>
              <w:rPr>
                <w:sz w:val="24"/>
              </w:rPr>
              <w:t>±</w:t>
            </w:r>
            <w:r>
              <w:rPr>
                <w:spacing w:val="-1"/>
                <w:sz w:val="24"/>
              </w:rPr>
              <w:t> </w:t>
            </w:r>
            <w:r>
              <w:rPr>
                <w:spacing w:val="-4"/>
                <w:sz w:val="24"/>
              </w:rPr>
              <w:t>1.98</w:t>
            </w:r>
          </w:p>
        </w:tc>
        <w:tc>
          <w:tcPr>
            <w:tcW w:w="1164" w:type="dxa"/>
          </w:tcPr>
          <w:p>
            <w:pPr>
              <w:pStyle w:val="TableParagraph"/>
              <w:spacing w:before="113"/>
              <w:ind w:right="414"/>
              <w:jc w:val="right"/>
              <w:rPr>
                <w:sz w:val="24"/>
              </w:rPr>
            </w:pPr>
            <w:r>
              <w:rPr>
                <w:spacing w:val="-5"/>
                <w:sz w:val="24"/>
              </w:rPr>
              <w:t>0/6</w:t>
            </w:r>
          </w:p>
        </w:tc>
        <w:tc>
          <w:tcPr>
            <w:tcW w:w="2353" w:type="dxa"/>
          </w:tcPr>
          <w:p>
            <w:pPr>
              <w:pStyle w:val="TableParagraph"/>
              <w:spacing w:before="113"/>
              <w:ind w:left="661"/>
              <w:rPr>
                <w:sz w:val="24"/>
              </w:rPr>
            </w:pPr>
            <w:r>
              <w:rPr>
                <w:spacing w:val="-5"/>
                <w:sz w:val="24"/>
              </w:rPr>
              <w:t>0.0</w:t>
            </w:r>
          </w:p>
        </w:tc>
        <w:tc>
          <w:tcPr>
            <w:tcW w:w="1900" w:type="dxa"/>
          </w:tcPr>
          <w:p>
            <w:pPr>
              <w:pStyle w:val="TableParagraph"/>
              <w:spacing w:before="113"/>
              <w:ind w:left="534"/>
              <w:rPr>
                <w:sz w:val="24"/>
              </w:rPr>
            </w:pPr>
            <w:r>
              <w:rPr>
                <w:spacing w:val="-4"/>
                <w:sz w:val="24"/>
              </w:rPr>
              <w:t>50.0</w:t>
            </w:r>
          </w:p>
        </w:tc>
      </w:tr>
      <w:tr>
        <w:trPr>
          <w:trHeight w:val="777" w:hRule="atLeast"/>
        </w:trPr>
        <w:tc>
          <w:tcPr>
            <w:tcW w:w="3224" w:type="dxa"/>
          </w:tcPr>
          <w:p>
            <w:pPr>
              <w:pStyle w:val="TableParagraph"/>
              <w:tabs>
                <w:tab w:pos="1714" w:val="left" w:leader="none"/>
              </w:tabs>
              <w:spacing w:before="116"/>
              <w:rPr>
                <w:sz w:val="24"/>
              </w:rPr>
            </w:pPr>
            <w:r>
              <w:rPr>
                <w:sz w:val="24"/>
              </w:rPr>
              <w:t>DCP34</w:t>
            </w:r>
            <w:r>
              <w:rPr>
                <w:spacing w:val="-3"/>
                <w:sz w:val="24"/>
              </w:rPr>
              <w:t> </w:t>
            </w:r>
            <w:r>
              <w:rPr>
                <w:spacing w:val="-4"/>
                <w:sz w:val="24"/>
              </w:rPr>
              <w:t>(25)</w:t>
            </w:r>
            <w:r>
              <w:rPr>
                <w:sz w:val="24"/>
              </w:rPr>
              <w:tab/>
              <w:t>8.67</w:t>
            </w:r>
            <w:r>
              <w:rPr>
                <w:spacing w:val="-7"/>
                <w:sz w:val="24"/>
              </w:rPr>
              <w:t> </w:t>
            </w:r>
            <w:r>
              <w:rPr>
                <w:sz w:val="24"/>
              </w:rPr>
              <w:t>±</w:t>
            </w:r>
            <w:r>
              <w:rPr>
                <w:spacing w:val="-1"/>
                <w:sz w:val="24"/>
              </w:rPr>
              <w:t> </w:t>
            </w:r>
            <w:r>
              <w:rPr>
                <w:spacing w:val="-4"/>
                <w:sz w:val="24"/>
              </w:rPr>
              <w:t>2.83</w:t>
            </w:r>
          </w:p>
        </w:tc>
        <w:tc>
          <w:tcPr>
            <w:tcW w:w="1164" w:type="dxa"/>
          </w:tcPr>
          <w:p>
            <w:pPr>
              <w:pStyle w:val="TableParagraph"/>
              <w:spacing w:before="116"/>
              <w:ind w:right="414"/>
              <w:jc w:val="right"/>
              <w:rPr>
                <w:sz w:val="24"/>
              </w:rPr>
            </w:pPr>
            <w:r>
              <w:rPr>
                <w:spacing w:val="-5"/>
                <w:sz w:val="24"/>
              </w:rPr>
              <w:t>0/6</w:t>
            </w:r>
          </w:p>
        </w:tc>
        <w:tc>
          <w:tcPr>
            <w:tcW w:w="2353" w:type="dxa"/>
          </w:tcPr>
          <w:p>
            <w:pPr>
              <w:pStyle w:val="TableParagraph"/>
              <w:spacing w:before="116"/>
              <w:ind w:left="661"/>
              <w:rPr>
                <w:sz w:val="24"/>
              </w:rPr>
            </w:pPr>
            <w:r>
              <w:rPr>
                <w:spacing w:val="-5"/>
                <w:sz w:val="24"/>
              </w:rPr>
              <w:t>0.0</w:t>
            </w:r>
          </w:p>
        </w:tc>
        <w:tc>
          <w:tcPr>
            <w:tcW w:w="1900" w:type="dxa"/>
          </w:tcPr>
          <w:p>
            <w:pPr>
              <w:pStyle w:val="TableParagraph"/>
              <w:spacing w:before="116"/>
              <w:ind w:left="534"/>
              <w:rPr>
                <w:sz w:val="24"/>
              </w:rPr>
            </w:pPr>
            <w:r>
              <w:rPr>
                <w:spacing w:val="-4"/>
                <w:sz w:val="24"/>
              </w:rPr>
              <w:t>16.7</w:t>
            </w:r>
          </w:p>
        </w:tc>
      </w:tr>
      <w:tr>
        <w:trPr>
          <w:trHeight w:val="777" w:hRule="atLeast"/>
        </w:trPr>
        <w:tc>
          <w:tcPr>
            <w:tcW w:w="3224" w:type="dxa"/>
          </w:tcPr>
          <w:p>
            <w:pPr>
              <w:pStyle w:val="TableParagraph"/>
              <w:spacing w:before="99"/>
              <w:rPr>
                <w:b/>
                <w:sz w:val="24"/>
              </w:rPr>
            </w:pPr>
          </w:p>
          <w:p>
            <w:pPr>
              <w:pStyle w:val="TableParagraph"/>
              <w:tabs>
                <w:tab w:pos="1770" w:val="left" w:leader="none"/>
              </w:tabs>
              <w:rPr>
                <w:sz w:val="24"/>
              </w:rPr>
            </w:pPr>
            <w:r>
              <w:rPr>
                <w:sz w:val="24"/>
              </w:rPr>
              <w:t>DCP23</w:t>
            </w:r>
            <w:r>
              <w:rPr>
                <w:spacing w:val="-1"/>
                <w:sz w:val="24"/>
              </w:rPr>
              <w:t> </w:t>
            </w:r>
            <w:r>
              <w:rPr>
                <w:spacing w:val="-2"/>
                <w:sz w:val="24"/>
              </w:rPr>
              <w:t>(12.5)</w:t>
            </w:r>
            <w:r>
              <w:rPr>
                <w:sz w:val="24"/>
              </w:rPr>
              <w:tab/>
              <w:t>8.6</w:t>
            </w:r>
            <w:r>
              <w:rPr>
                <w:spacing w:val="-2"/>
                <w:sz w:val="24"/>
              </w:rPr>
              <w:t> </w:t>
            </w:r>
            <w:r>
              <w:rPr>
                <w:sz w:val="24"/>
              </w:rPr>
              <w:t>±</w:t>
            </w:r>
            <w:r>
              <w:rPr>
                <w:spacing w:val="-1"/>
                <w:sz w:val="24"/>
              </w:rPr>
              <w:t> </w:t>
            </w:r>
            <w:r>
              <w:rPr>
                <w:spacing w:val="-4"/>
                <w:sz w:val="24"/>
              </w:rPr>
              <w:t>1.29</w:t>
            </w:r>
          </w:p>
        </w:tc>
        <w:tc>
          <w:tcPr>
            <w:tcW w:w="1164" w:type="dxa"/>
          </w:tcPr>
          <w:p>
            <w:pPr>
              <w:pStyle w:val="TableParagraph"/>
              <w:spacing w:before="99"/>
              <w:rPr>
                <w:b/>
                <w:sz w:val="24"/>
              </w:rPr>
            </w:pPr>
          </w:p>
          <w:p>
            <w:pPr>
              <w:pStyle w:val="TableParagraph"/>
              <w:ind w:right="414"/>
              <w:jc w:val="right"/>
              <w:rPr>
                <w:sz w:val="24"/>
              </w:rPr>
            </w:pPr>
            <w:r>
              <w:rPr>
                <w:spacing w:val="-5"/>
                <w:sz w:val="24"/>
              </w:rPr>
              <w:t>1/6</w:t>
            </w:r>
          </w:p>
        </w:tc>
        <w:tc>
          <w:tcPr>
            <w:tcW w:w="2353" w:type="dxa"/>
          </w:tcPr>
          <w:p>
            <w:pPr>
              <w:pStyle w:val="TableParagraph"/>
              <w:spacing w:before="99"/>
              <w:rPr>
                <w:b/>
                <w:sz w:val="24"/>
              </w:rPr>
            </w:pPr>
          </w:p>
          <w:p>
            <w:pPr>
              <w:pStyle w:val="TableParagraph"/>
              <w:ind w:left="661"/>
              <w:rPr>
                <w:sz w:val="24"/>
              </w:rPr>
            </w:pPr>
            <w:r>
              <w:rPr>
                <w:spacing w:val="-4"/>
                <w:sz w:val="24"/>
              </w:rPr>
              <w:t>16.7</w:t>
            </w:r>
          </w:p>
        </w:tc>
        <w:tc>
          <w:tcPr>
            <w:tcW w:w="1900" w:type="dxa"/>
          </w:tcPr>
          <w:p>
            <w:pPr>
              <w:pStyle w:val="TableParagraph"/>
              <w:spacing w:before="99"/>
              <w:rPr>
                <w:b/>
                <w:sz w:val="24"/>
              </w:rPr>
            </w:pPr>
          </w:p>
          <w:p>
            <w:pPr>
              <w:pStyle w:val="TableParagraph"/>
              <w:ind w:left="472"/>
              <w:rPr>
                <w:sz w:val="24"/>
              </w:rPr>
            </w:pPr>
            <w:r>
              <w:rPr>
                <w:spacing w:val="-5"/>
                <w:sz w:val="24"/>
              </w:rPr>
              <w:t>0.0</w:t>
            </w:r>
          </w:p>
        </w:tc>
      </w:tr>
      <w:tr>
        <w:trPr>
          <w:trHeight w:val="516" w:hRule="atLeast"/>
        </w:trPr>
        <w:tc>
          <w:tcPr>
            <w:tcW w:w="3224" w:type="dxa"/>
          </w:tcPr>
          <w:p>
            <w:pPr>
              <w:pStyle w:val="TableParagraph"/>
              <w:tabs>
                <w:tab w:pos="1770" w:val="left" w:leader="none"/>
              </w:tabs>
              <w:spacing w:before="116"/>
              <w:rPr>
                <w:sz w:val="24"/>
              </w:rPr>
            </w:pPr>
            <w:r>
              <w:rPr>
                <w:sz w:val="24"/>
              </w:rPr>
              <w:t>DCP25</w:t>
            </w:r>
            <w:r>
              <w:rPr>
                <w:spacing w:val="-1"/>
                <w:sz w:val="24"/>
              </w:rPr>
              <w:t> </w:t>
            </w:r>
            <w:r>
              <w:rPr>
                <w:spacing w:val="-2"/>
                <w:sz w:val="24"/>
              </w:rPr>
              <w:t>(12.5)</w:t>
            </w:r>
            <w:r>
              <w:rPr>
                <w:sz w:val="24"/>
              </w:rPr>
              <w:tab/>
              <w:t>6.83</w:t>
            </w:r>
            <w:r>
              <w:rPr>
                <w:spacing w:val="-2"/>
                <w:sz w:val="24"/>
              </w:rPr>
              <w:t> </w:t>
            </w:r>
            <w:r>
              <w:rPr>
                <w:sz w:val="24"/>
              </w:rPr>
              <w:t>±</w:t>
            </w:r>
            <w:r>
              <w:rPr>
                <w:spacing w:val="-1"/>
                <w:sz w:val="24"/>
              </w:rPr>
              <w:t> </w:t>
            </w:r>
            <w:r>
              <w:rPr>
                <w:spacing w:val="-4"/>
                <w:sz w:val="24"/>
              </w:rPr>
              <w:t>1.30</w:t>
            </w:r>
          </w:p>
        </w:tc>
        <w:tc>
          <w:tcPr>
            <w:tcW w:w="1164" w:type="dxa"/>
          </w:tcPr>
          <w:p>
            <w:pPr>
              <w:pStyle w:val="TableParagraph"/>
              <w:spacing w:before="116"/>
              <w:ind w:right="414"/>
              <w:jc w:val="right"/>
              <w:rPr>
                <w:sz w:val="24"/>
              </w:rPr>
            </w:pPr>
            <w:r>
              <w:rPr>
                <w:spacing w:val="-5"/>
                <w:sz w:val="24"/>
              </w:rPr>
              <w:t>0/6</w:t>
            </w:r>
          </w:p>
        </w:tc>
        <w:tc>
          <w:tcPr>
            <w:tcW w:w="2353" w:type="dxa"/>
          </w:tcPr>
          <w:p>
            <w:pPr>
              <w:pStyle w:val="TableParagraph"/>
              <w:spacing w:before="116"/>
              <w:ind w:left="661"/>
              <w:rPr>
                <w:sz w:val="24"/>
              </w:rPr>
            </w:pPr>
            <w:r>
              <w:rPr>
                <w:spacing w:val="-5"/>
                <w:sz w:val="24"/>
              </w:rPr>
              <w:t>0.0</w:t>
            </w:r>
          </w:p>
        </w:tc>
        <w:tc>
          <w:tcPr>
            <w:tcW w:w="1900" w:type="dxa"/>
          </w:tcPr>
          <w:p>
            <w:pPr>
              <w:pStyle w:val="TableParagraph"/>
              <w:spacing w:before="116"/>
              <w:ind w:left="472"/>
              <w:rPr>
                <w:sz w:val="24"/>
              </w:rPr>
            </w:pPr>
            <w:r>
              <w:rPr>
                <w:spacing w:val="-4"/>
                <w:sz w:val="24"/>
              </w:rPr>
              <w:t>33.3</w:t>
            </w:r>
          </w:p>
        </w:tc>
      </w:tr>
      <w:tr>
        <w:trPr>
          <w:trHeight w:val="775" w:hRule="atLeast"/>
        </w:trPr>
        <w:tc>
          <w:tcPr>
            <w:tcW w:w="3224" w:type="dxa"/>
          </w:tcPr>
          <w:p>
            <w:pPr>
              <w:pStyle w:val="TableParagraph"/>
              <w:tabs>
                <w:tab w:pos="1770" w:val="left" w:leader="none"/>
              </w:tabs>
              <w:spacing w:before="114"/>
              <w:rPr>
                <w:sz w:val="24"/>
              </w:rPr>
            </w:pPr>
            <w:r>
              <w:rPr>
                <w:sz w:val="24"/>
              </w:rPr>
              <w:t>DCP34</w:t>
            </w:r>
            <w:r>
              <w:rPr>
                <w:spacing w:val="-1"/>
                <w:sz w:val="24"/>
              </w:rPr>
              <w:t> </w:t>
            </w:r>
            <w:r>
              <w:rPr>
                <w:spacing w:val="-2"/>
                <w:sz w:val="24"/>
              </w:rPr>
              <w:t>(12.5)</w:t>
            </w:r>
            <w:r>
              <w:rPr>
                <w:sz w:val="24"/>
              </w:rPr>
              <w:tab/>
              <w:t>9.17±</w:t>
            </w:r>
            <w:r>
              <w:rPr>
                <w:spacing w:val="-5"/>
                <w:sz w:val="24"/>
              </w:rPr>
              <w:t> </w:t>
            </w:r>
            <w:r>
              <w:rPr>
                <w:spacing w:val="-4"/>
                <w:sz w:val="24"/>
              </w:rPr>
              <w:t>1.51</w:t>
            </w:r>
          </w:p>
        </w:tc>
        <w:tc>
          <w:tcPr>
            <w:tcW w:w="1164" w:type="dxa"/>
          </w:tcPr>
          <w:p>
            <w:pPr>
              <w:pStyle w:val="TableParagraph"/>
              <w:spacing w:before="114"/>
              <w:ind w:right="414"/>
              <w:jc w:val="right"/>
              <w:rPr>
                <w:sz w:val="24"/>
              </w:rPr>
            </w:pPr>
            <w:r>
              <w:rPr>
                <w:spacing w:val="-5"/>
                <w:sz w:val="24"/>
              </w:rPr>
              <w:t>0/6</w:t>
            </w:r>
          </w:p>
        </w:tc>
        <w:tc>
          <w:tcPr>
            <w:tcW w:w="2353" w:type="dxa"/>
          </w:tcPr>
          <w:p>
            <w:pPr>
              <w:pStyle w:val="TableParagraph"/>
              <w:spacing w:before="114"/>
              <w:ind w:left="661"/>
              <w:rPr>
                <w:sz w:val="24"/>
              </w:rPr>
            </w:pPr>
            <w:r>
              <w:rPr>
                <w:spacing w:val="-5"/>
                <w:sz w:val="24"/>
              </w:rPr>
              <w:t>0.0</w:t>
            </w:r>
          </w:p>
        </w:tc>
        <w:tc>
          <w:tcPr>
            <w:tcW w:w="1900" w:type="dxa"/>
          </w:tcPr>
          <w:p>
            <w:pPr>
              <w:pStyle w:val="TableParagraph"/>
              <w:spacing w:before="114"/>
              <w:ind w:left="472"/>
              <w:rPr>
                <w:sz w:val="24"/>
              </w:rPr>
            </w:pPr>
            <w:r>
              <w:rPr>
                <w:spacing w:val="-4"/>
                <w:sz w:val="24"/>
              </w:rPr>
              <w:t>50.0</w:t>
            </w:r>
          </w:p>
        </w:tc>
      </w:tr>
      <w:tr>
        <w:trPr>
          <w:trHeight w:val="773" w:hRule="atLeast"/>
        </w:trPr>
        <w:tc>
          <w:tcPr>
            <w:tcW w:w="3224" w:type="dxa"/>
            <w:tcBorders>
              <w:bottom w:val="single" w:sz="6" w:space="0" w:color="000000"/>
            </w:tcBorders>
          </w:tcPr>
          <w:p>
            <w:pPr>
              <w:pStyle w:val="TableParagraph"/>
              <w:spacing w:before="99"/>
              <w:rPr>
                <w:b/>
                <w:sz w:val="24"/>
              </w:rPr>
            </w:pPr>
          </w:p>
          <w:p>
            <w:pPr>
              <w:pStyle w:val="TableParagraph"/>
              <w:tabs>
                <w:tab w:pos="1707" w:val="left" w:leader="none"/>
              </w:tabs>
              <w:rPr>
                <w:sz w:val="24"/>
              </w:rPr>
            </w:pPr>
            <w:r>
              <w:rPr>
                <w:sz w:val="24"/>
              </w:rPr>
              <w:t>VA</w:t>
            </w:r>
            <w:r>
              <w:rPr>
                <w:spacing w:val="-4"/>
                <w:sz w:val="24"/>
              </w:rPr>
              <w:t> </w:t>
            </w:r>
            <w:r>
              <w:rPr>
                <w:spacing w:val="-2"/>
                <w:sz w:val="24"/>
              </w:rPr>
              <w:t>(200)</w:t>
            </w:r>
            <w:r>
              <w:rPr>
                <w:sz w:val="24"/>
              </w:rPr>
              <w:tab/>
              <w:t>13.00</w:t>
            </w:r>
            <w:r>
              <w:rPr>
                <w:spacing w:val="-5"/>
                <w:sz w:val="24"/>
              </w:rPr>
              <w:t> </w:t>
            </w:r>
            <w:r>
              <w:rPr>
                <w:sz w:val="24"/>
              </w:rPr>
              <w:t>±</w:t>
            </w:r>
            <w:r>
              <w:rPr>
                <w:spacing w:val="2"/>
                <w:sz w:val="24"/>
              </w:rPr>
              <w:t> </w:t>
            </w:r>
            <w:r>
              <w:rPr>
                <w:spacing w:val="-5"/>
                <w:sz w:val="24"/>
              </w:rPr>
              <w:t>00</w:t>
            </w:r>
          </w:p>
        </w:tc>
        <w:tc>
          <w:tcPr>
            <w:tcW w:w="1164" w:type="dxa"/>
            <w:tcBorders>
              <w:bottom w:val="single" w:sz="6" w:space="0" w:color="000000"/>
            </w:tcBorders>
          </w:tcPr>
          <w:p>
            <w:pPr>
              <w:pStyle w:val="TableParagraph"/>
              <w:spacing w:before="99"/>
              <w:rPr>
                <w:b/>
                <w:sz w:val="24"/>
              </w:rPr>
            </w:pPr>
          </w:p>
          <w:p>
            <w:pPr>
              <w:pStyle w:val="TableParagraph"/>
              <w:ind w:right="382"/>
              <w:jc w:val="right"/>
              <w:rPr>
                <w:sz w:val="24"/>
              </w:rPr>
            </w:pPr>
            <w:r>
              <w:rPr>
                <w:spacing w:val="-5"/>
                <w:sz w:val="24"/>
              </w:rPr>
              <w:t>5/6</w:t>
            </w:r>
          </w:p>
        </w:tc>
        <w:tc>
          <w:tcPr>
            <w:tcW w:w="2353" w:type="dxa"/>
            <w:tcBorders>
              <w:bottom w:val="single" w:sz="6" w:space="0" w:color="000000"/>
            </w:tcBorders>
          </w:tcPr>
          <w:p>
            <w:pPr>
              <w:pStyle w:val="TableParagraph"/>
              <w:spacing w:before="99"/>
              <w:rPr>
                <w:b/>
                <w:sz w:val="24"/>
              </w:rPr>
            </w:pPr>
          </w:p>
          <w:p>
            <w:pPr>
              <w:pStyle w:val="TableParagraph"/>
              <w:ind w:left="645"/>
              <w:rPr>
                <w:sz w:val="24"/>
              </w:rPr>
            </w:pPr>
            <w:r>
              <w:rPr>
                <w:spacing w:val="-4"/>
                <w:sz w:val="24"/>
              </w:rPr>
              <w:t>83.3</w:t>
            </w:r>
          </w:p>
        </w:tc>
        <w:tc>
          <w:tcPr>
            <w:tcW w:w="1900" w:type="dxa"/>
            <w:tcBorders>
              <w:bottom w:val="single" w:sz="6" w:space="0" w:color="000000"/>
            </w:tcBorders>
          </w:tcPr>
          <w:p>
            <w:pPr>
              <w:pStyle w:val="TableParagraph"/>
              <w:spacing w:before="99"/>
              <w:rPr>
                <w:b/>
                <w:sz w:val="24"/>
              </w:rPr>
            </w:pPr>
          </w:p>
          <w:p>
            <w:pPr>
              <w:pStyle w:val="TableParagraph"/>
              <w:ind w:left="404"/>
              <w:rPr>
                <w:sz w:val="24"/>
              </w:rPr>
            </w:pPr>
            <w:r>
              <w:rPr>
                <w:spacing w:val="-2"/>
                <w:sz w:val="24"/>
              </w:rPr>
              <w:t>100.0</w:t>
            </w:r>
          </w:p>
        </w:tc>
      </w:tr>
    </w:tbl>
    <w:p>
      <w:pPr>
        <w:pStyle w:val="BodyText"/>
        <w:spacing w:before="108"/>
        <w:ind w:left="681" w:right="274"/>
        <w:jc w:val="both"/>
      </w:pPr>
      <w:r>
        <w:rPr/>
        <w:t>Values</w:t>
      </w:r>
      <w:r>
        <w:rPr>
          <w:spacing w:val="-2"/>
        </w:rPr>
        <w:t> </w:t>
      </w:r>
      <w:r>
        <w:rPr/>
        <w:t>are</w:t>
      </w:r>
      <w:r>
        <w:rPr>
          <w:spacing w:val="-1"/>
        </w:rPr>
        <w:t> </w:t>
      </w:r>
      <w:r>
        <w:rPr/>
        <w:t>presented as</w:t>
      </w:r>
      <w:r>
        <w:rPr>
          <w:spacing w:val="-2"/>
        </w:rPr>
        <w:t> </w:t>
      </w:r>
      <w:r>
        <w:rPr/>
        <w:t>Mean</w:t>
      </w:r>
      <w:r>
        <w:rPr>
          <w:spacing w:val="-5"/>
        </w:rPr>
        <w:t> </w:t>
      </w:r>
      <w:r>
        <w:rPr/>
        <w:t>±</w:t>
      </w:r>
      <w:r>
        <w:rPr>
          <w:spacing w:val="-2"/>
        </w:rPr>
        <w:t> </w:t>
      </w:r>
      <w:r>
        <w:rPr/>
        <w:t>SEM, n =</w:t>
      </w:r>
      <w:r>
        <w:rPr>
          <w:spacing w:val="-1"/>
        </w:rPr>
        <w:t> </w:t>
      </w:r>
      <w:r>
        <w:rPr/>
        <w:t>6;</w:t>
      </w:r>
      <w:r>
        <w:rPr>
          <w:spacing w:val="-5"/>
        </w:rPr>
        <w:t> </w:t>
      </w:r>
      <w:r>
        <w:rPr/>
        <w:t>DCP23, DCP25 and DCP34 =</w:t>
      </w:r>
      <w:r>
        <w:rPr>
          <w:spacing w:val="-1"/>
        </w:rPr>
        <w:t> </w:t>
      </w:r>
      <w:r>
        <w:rPr/>
        <w:t>2,3-, 2,5- and 3,4- Dichloro – 3(aminophenyl) propanamides respectively, VA = Valproate; Control = 30% propylene glycol, 70% distil water; Significant difference in the mean latency to onset</w:t>
      </w:r>
      <w:r>
        <w:rPr>
          <w:spacing w:val="48"/>
        </w:rPr>
        <w:t> </w:t>
      </w:r>
      <w:r>
        <w:rPr/>
        <w:t>of</w:t>
      </w:r>
      <w:r>
        <w:rPr>
          <w:spacing w:val="37"/>
        </w:rPr>
        <w:t> </w:t>
      </w:r>
      <w:r>
        <w:rPr/>
        <w:t>seizures</w:t>
      </w:r>
      <w:r>
        <w:rPr>
          <w:spacing w:val="49"/>
        </w:rPr>
        <w:t> </w:t>
      </w:r>
      <w:r>
        <w:rPr/>
        <w:t>between</w:t>
      </w:r>
      <w:r>
        <w:rPr>
          <w:spacing w:val="40"/>
        </w:rPr>
        <w:t> </w:t>
      </w:r>
      <w:r>
        <w:rPr/>
        <w:t>control</w:t>
      </w:r>
      <w:r>
        <w:rPr>
          <w:spacing w:val="41"/>
        </w:rPr>
        <w:t> </w:t>
      </w:r>
      <w:r>
        <w:rPr/>
        <w:t>(vehicle)</w:t>
      </w:r>
      <w:r>
        <w:rPr>
          <w:spacing w:val="48"/>
        </w:rPr>
        <w:t> </w:t>
      </w:r>
      <w:r>
        <w:rPr/>
        <w:t>groupand</w:t>
      </w:r>
      <w:r>
        <w:rPr>
          <w:spacing w:val="50"/>
        </w:rPr>
        <w:t> </w:t>
      </w:r>
      <w:r>
        <w:rPr/>
        <w:t>treated</w:t>
      </w:r>
      <w:r>
        <w:rPr>
          <w:spacing w:val="45"/>
        </w:rPr>
        <w:t> </w:t>
      </w:r>
      <w:r>
        <w:rPr/>
        <w:t>groups</w:t>
      </w:r>
      <w:r>
        <w:rPr>
          <w:spacing w:val="47"/>
        </w:rPr>
        <w:t> </w:t>
      </w:r>
      <w:r>
        <w:rPr/>
        <w:t>at</w:t>
      </w:r>
      <w:r>
        <w:rPr>
          <w:spacing w:val="50"/>
        </w:rPr>
        <w:t> </w:t>
      </w:r>
      <w:r>
        <w:rPr/>
        <w:t>*p&lt;0.001</w:t>
      </w:r>
      <w:r>
        <w:rPr>
          <w:spacing w:val="46"/>
        </w:rPr>
        <w:t> </w:t>
      </w:r>
      <w:r>
        <w:rPr>
          <w:spacing w:val="-5"/>
        </w:rPr>
        <w:t>and</w:t>
      </w:r>
    </w:p>
    <w:p>
      <w:pPr>
        <w:pStyle w:val="BodyText"/>
        <w:ind w:left="681"/>
        <w:jc w:val="both"/>
      </w:pPr>
      <w:r>
        <w:rPr/>
        <w:t>**p&lt;0.000</w:t>
      </w:r>
      <w:r>
        <w:rPr>
          <w:spacing w:val="-6"/>
        </w:rPr>
        <w:t> </w:t>
      </w:r>
      <w:r>
        <w:rPr/>
        <w:t>(ANOVA)</w:t>
      </w:r>
      <w:r>
        <w:rPr>
          <w:spacing w:val="2"/>
        </w:rPr>
        <w:t> </w:t>
      </w:r>
      <w:r>
        <w:rPr/>
        <w:t>followed</w:t>
      </w:r>
      <w:r>
        <w:rPr>
          <w:spacing w:val="-1"/>
        </w:rPr>
        <w:t> </w:t>
      </w:r>
      <w:r>
        <w:rPr/>
        <w:t>by</w:t>
      </w:r>
      <w:r>
        <w:rPr>
          <w:spacing w:val="-13"/>
        </w:rPr>
        <w:t> </w:t>
      </w:r>
      <w:r>
        <w:rPr/>
        <w:t>Post hoc</w:t>
      </w:r>
      <w:r>
        <w:rPr>
          <w:spacing w:val="-9"/>
        </w:rPr>
        <w:t> </w:t>
      </w:r>
      <w:r>
        <w:rPr/>
        <w:t>(Scheffe)</w:t>
      </w:r>
      <w:r>
        <w:rPr>
          <w:spacing w:val="1"/>
        </w:rPr>
        <w:t> </w:t>
      </w:r>
      <w:r>
        <w:rPr/>
        <w:t>for</w:t>
      </w:r>
      <w:r>
        <w:rPr>
          <w:spacing w:val="-3"/>
        </w:rPr>
        <w:t> </w:t>
      </w:r>
      <w:r>
        <w:rPr/>
        <w:t>multiple</w:t>
      </w:r>
      <w:r>
        <w:rPr>
          <w:spacing w:val="-5"/>
        </w:rPr>
        <w:t> </w:t>
      </w:r>
      <w:r>
        <w:rPr>
          <w:spacing w:val="-2"/>
        </w:rPr>
        <w:t>comparism.</w:t>
      </w:r>
    </w:p>
    <w:p>
      <w:pPr>
        <w:spacing w:after="0"/>
        <w:jc w:val="both"/>
        <w:sectPr>
          <w:pgSz w:w="12240" w:h="15840"/>
          <w:pgMar w:header="0" w:footer="1066" w:top="1360" w:bottom="1260" w:left="1480" w:right="1160"/>
        </w:sectPr>
      </w:pPr>
    </w:p>
    <w:p>
      <w:pPr>
        <w:pStyle w:val="Heading2"/>
        <w:numPr>
          <w:ilvl w:val="2"/>
          <w:numId w:val="14"/>
        </w:numPr>
        <w:tabs>
          <w:tab w:pos="1222" w:val="left" w:leader="none"/>
        </w:tabs>
        <w:spacing w:line="240" w:lineRule="auto" w:before="77" w:after="0"/>
        <w:ind w:left="1222" w:right="0" w:hanging="541"/>
        <w:jc w:val="both"/>
      </w:pPr>
      <w:bookmarkStart w:name="_TOC_250017" w:id="67"/>
      <w:r>
        <w:rPr/>
        <w:t>4-Aminopyridine-induced</w:t>
      </w:r>
      <w:r>
        <w:rPr>
          <w:spacing w:val="-6"/>
        </w:rPr>
        <w:t> </w:t>
      </w:r>
      <w:r>
        <w:rPr/>
        <w:t>Seizure</w:t>
      </w:r>
      <w:r>
        <w:rPr>
          <w:spacing w:val="-4"/>
        </w:rPr>
        <w:t> </w:t>
      </w:r>
      <w:r>
        <w:rPr/>
        <w:t>in</w:t>
      </w:r>
      <w:r>
        <w:rPr>
          <w:spacing w:val="-3"/>
        </w:rPr>
        <w:t> </w:t>
      </w:r>
      <w:bookmarkEnd w:id="67"/>
      <w:r>
        <w:rPr>
          <w:spacing w:val="-4"/>
        </w:rPr>
        <w:t>Mice</w:t>
      </w:r>
    </w:p>
    <w:p>
      <w:pPr>
        <w:pStyle w:val="BodyText"/>
        <w:spacing w:line="480" w:lineRule="auto" w:before="271"/>
        <w:ind w:left="681" w:right="264"/>
        <w:jc w:val="both"/>
      </w:pPr>
      <w:r>
        <w:rPr/>
        <w:t>4-aminopyridine is a chemoconvulsant agent known to block potassium channels. In 4- aminopyridine-induced seizure test, there was no protection offered by all the tested compounds against characteristic episode of</w:t>
      </w:r>
      <w:r>
        <w:rPr>
          <w:spacing w:val="-1"/>
        </w:rPr>
        <w:t> </w:t>
      </w:r>
      <w:r>
        <w:rPr/>
        <w:t>tonic hind limb extension. But a statistically significant (p&lt;0.05) difference was exhibited by DCP34 at the doses of</w:t>
      </w:r>
      <w:r>
        <w:rPr>
          <w:spacing w:val="-3"/>
        </w:rPr>
        <w:t> </w:t>
      </w:r>
      <w:r>
        <w:rPr/>
        <w:t>50 mg/kg and 25 mg/kg when compared with the control. Phenobarbitone offered 66.7% protection with a significant (p&lt;0.05) difference in the mean latency to onset of seizure, as compared with the control. There was no protection against mortality in the control and compound</w:t>
      </w:r>
      <w:r>
        <w:rPr>
          <w:spacing w:val="40"/>
        </w:rPr>
        <w:t> </w:t>
      </w:r>
      <w:r>
        <w:rPr/>
        <w:t>treated groups; while 100% protection in mortality was recorded in phenobarbitone treated group (Table 4.15).</w:t>
      </w:r>
    </w:p>
    <w:p>
      <w:pPr>
        <w:spacing w:after="0" w:line="480" w:lineRule="auto"/>
        <w:jc w:val="both"/>
        <w:sectPr>
          <w:pgSz w:w="12240" w:h="15840"/>
          <w:pgMar w:header="0" w:footer="1066" w:top="1360" w:bottom="1260" w:left="1480" w:right="1160"/>
        </w:sectPr>
      </w:pPr>
    </w:p>
    <w:p>
      <w:pPr>
        <w:pStyle w:val="Heading2"/>
        <w:spacing w:line="480" w:lineRule="auto" w:before="77"/>
        <w:ind w:right="271"/>
        <w:jc w:val="left"/>
      </w:pPr>
      <w:r>
        <w:rPr/>
        <w:t>Table</w:t>
      </w:r>
      <w:r>
        <w:rPr>
          <w:spacing w:val="80"/>
        </w:rPr>
        <w:t> </w:t>
      </w:r>
      <w:r>
        <w:rPr/>
        <w:t>4.15:</w:t>
      </w:r>
      <w:r>
        <w:rPr>
          <w:spacing w:val="80"/>
        </w:rPr>
        <w:t> </w:t>
      </w:r>
      <w:r>
        <w:rPr/>
        <w:t>Effect</w:t>
      </w:r>
      <w:r>
        <w:rPr>
          <w:spacing w:val="80"/>
        </w:rPr>
        <w:t> </w:t>
      </w:r>
      <w:r>
        <w:rPr/>
        <w:t>of</w:t>
      </w:r>
      <w:r>
        <w:rPr>
          <w:spacing w:val="80"/>
        </w:rPr>
        <w:t> </w:t>
      </w:r>
      <w:r>
        <w:rPr/>
        <w:t>DCP23,</w:t>
      </w:r>
      <w:r>
        <w:rPr>
          <w:spacing w:val="80"/>
        </w:rPr>
        <w:t> </w:t>
      </w:r>
      <w:r>
        <w:rPr/>
        <w:t>DCP25</w:t>
      </w:r>
      <w:r>
        <w:rPr>
          <w:spacing w:val="80"/>
        </w:rPr>
        <w:t> </w:t>
      </w:r>
      <w:r>
        <w:rPr/>
        <w:t>and</w:t>
      </w:r>
      <w:r>
        <w:rPr>
          <w:spacing w:val="79"/>
        </w:rPr>
        <w:t> </w:t>
      </w:r>
      <w:r>
        <w:rPr/>
        <w:t>DCP34</w:t>
      </w:r>
      <w:r>
        <w:rPr>
          <w:spacing w:val="80"/>
        </w:rPr>
        <w:t> </w:t>
      </w:r>
      <w:r>
        <w:rPr/>
        <w:t>and</w:t>
      </w:r>
      <w:r>
        <w:rPr>
          <w:spacing w:val="80"/>
        </w:rPr>
        <w:t> </w:t>
      </w:r>
      <w:r>
        <w:rPr/>
        <w:t>Phenobarbitone</w:t>
      </w:r>
      <w:r>
        <w:rPr>
          <w:spacing w:val="80"/>
        </w:rPr>
        <w:t> </w:t>
      </w:r>
      <w:r>
        <w:rPr/>
        <w:t>on</w:t>
      </w:r>
      <w:r>
        <w:rPr>
          <w:spacing w:val="80"/>
        </w:rPr>
        <w:t> </w:t>
      </w:r>
      <w:r>
        <w:rPr/>
        <w:t>4- aminopyridine-induced Seizures in Mice</w:t>
      </w:r>
    </w:p>
    <w:p>
      <w:pPr>
        <w:pStyle w:val="BodyText"/>
        <w:rPr>
          <w:b/>
          <w:sz w:val="20"/>
        </w:rPr>
      </w:pPr>
    </w:p>
    <w:p>
      <w:pPr>
        <w:pStyle w:val="BodyText"/>
        <w:spacing w:before="59"/>
        <w:rPr>
          <w:b/>
          <w:sz w:val="20"/>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4"/>
        <w:gridCol w:w="1769"/>
        <w:gridCol w:w="1175"/>
        <w:gridCol w:w="2481"/>
        <w:gridCol w:w="1898"/>
      </w:tblGrid>
      <w:tr>
        <w:trPr>
          <w:trHeight w:val="1360" w:hRule="atLeast"/>
        </w:trPr>
        <w:tc>
          <w:tcPr>
            <w:tcW w:w="1314" w:type="dxa"/>
            <w:tcBorders>
              <w:top w:val="single" w:sz="6" w:space="0" w:color="000000"/>
              <w:bottom w:val="single" w:sz="6" w:space="0" w:color="000000"/>
            </w:tcBorders>
          </w:tcPr>
          <w:p>
            <w:pPr>
              <w:pStyle w:val="TableParagraph"/>
              <w:spacing w:line="412" w:lineRule="auto" w:before="146"/>
              <w:ind w:right="325"/>
              <w:rPr>
                <w:sz w:val="24"/>
              </w:rPr>
            </w:pPr>
            <w:r>
              <w:rPr>
                <w:spacing w:val="-2"/>
                <w:sz w:val="24"/>
              </w:rPr>
              <w:t>Treatment (mg/kg)</w:t>
            </w:r>
          </w:p>
        </w:tc>
        <w:tc>
          <w:tcPr>
            <w:tcW w:w="1769" w:type="dxa"/>
            <w:tcBorders>
              <w:top w:val="single" w:sz="6" w:space="0" w:color="000000"/>
              <w:bottom w:val="single" w:sz="6" w:space="0" w:color="000000"/>
            </w:tcBorders>
          </w:tcPr>
          <w:p>
            <w:pPr>
              <w:pStyle w:val="TableParagraph"/>
              <w:spacing w:line="412" w:lineRule="auto" w:before="146"/>
              <w:ind w:firstLine="33"/>
              <w:rPr>
                <w:sz w:val="24"/>
              </w:rPr>
            </w:pPr>
            <w:r>
              <w:rPr>
                <w:sz w:val="24"/>
              </w:rPr>
              <w:t>Mean</w:t>
            </w:r>
            <w:r>
              <w:rPr>
                <w:spacing w:val="-15"/>
                <w:sz w:val="24"/>
              </w:rPr>
              <w:t> </w:t>
            </w:r>
            <w:r>
              <w:rPr>
                <w:sz w:val="24"/>
              </w:rPr>
              <w:t>latency</w:t>
            </w:r>
            <w:r>
              <w:rPr>
                <w:spacing w:val="-15"/>
                <w:sz w:val="24"/>
              </w:rPr>
              <w:t> </w:t>
            </w:r>
            <w:r>
              <w:rPr>
                <w:sz w:val="24"/>
              </w:rPr>
              <w:t>of Seizures (min)</w:t>
            </w:r>
          </w:p>
        </w:tc>
        <w:tc>
          <w:tcPr>
            <w:tcW w:w="1175" w:type="dxa"/>
            <w:tcBorders>
              <w:top w:val="single" w:sz="6" w:space="0" w:color="000000"/>
              <w:bottom w:val="single" w:sz="6" w:space="0" w:color="000000"/>
            </w:tcBorders>
          </w:tcPr>
          <w:p>
            <w:pPr>
              <w:pStyle w:val="TableParagraph"/>
              <w:spacing w:line="412" w:lineRule="auto" w:before="146"/>
              <w:ind w:right="188" w:firstLine="4"/>
              <w:rPr>
                <w:sz w:val="24"/>
              </w:rPr>
            </w:pPr>
            <w:r>
              <w:rPr>
                <w:spacing w:val="-2"/>
                <w:sz w:val="24"/>
              </w:rPr>
              <w:t>Quantal Protection</w:t>
            </w:r>
          </w:p>
        </w:tc>
        <w:tc>
          <w:tcPr>
            <w:tcW w:w="2481" w:type="dxa"/>
            <w:tcBorders>
              <w:top w:val="single" w:sz="6" w:space="0" w:color="000000"/>
              <w:bottom w:val="single" w:sz="6" w:space="0" w:color="000000"/>
            </w:tcBorders>
          </w:tcPr>
          <w:p>
            <w:pPr>
              <w:pStyle w:val="TableParagraph"/>
              <w:spacing w:line="412" w:lineRule="auto" w:before="146"/>
              <w:ind w:left="229" w:hanging="36"/>
              <w:rPr>
                <w:sz w:val="24"/>
              </w:rPr>
            </w:pPr>
            <w:r>
              <w:rPr>
                <w:sz w:val="24"/>
              </w:rPr>
              <w:t>(%)</w:t>
            </w:r>
            <w:r>
              <w:rPr>
                <w:spacing w:val="-15"/>
                <w:sz w:val="24"/>
              </w:rPr>
              <w:t> </w:t>
            </w:r>
            <w:r>
              <w:rPr>
                <w:sz w:val="24"/>
              </w:rPr>
              <w:t>Protection</w:t>
            </w:r>
            <w:r>
              <w:rPr>
                <w:spacing w:val="-15"/>
                <w:sz w:val="24"/>
              </w:rPr>
              <w:t> </w:t>
            </w:r>
            <w:r>
              <w:rPr>
                <w:sz w:val="24"/>
              </w:rPr>
              <w:t>against </w:t>
            </w:r>
            <w:r>
              <w:rPr>
                <w:spacing w:val="-2"/>
                <w:sz w:val="24"/>
              </w:rPr>
              <w:t>Seizures</w:t>
            </w:r>
          </w:p>
        </w:tc>
        <w:tc>
          <w:tcPr>
            <w:tcW w:w="1898" w:type="dxa"/>
            <w:tcBorders>
              <w:top w:val="single" w:sz="6" w:space="0" w:color="000000"/>
              <w:bottom w:val="single" w:sz="6" w:space="0" w:color="000000"/>
            </w:tcBorders>
          </w:tcPr>
          <w:p>
            <w:pPr>
              <w:pStyle w:val="TableParagraph"/>
              <w:spacing w:line="412" w:lineRule="auto" w:before="146"/>
              <w:ind w:left="186" w:hanging="29"/>
              <w:rPr>
                <w:sz w:val="24"/>
              </w:rPr>
            </w:pPr>
            <w:r>
              <w:rPr>
                <w:spacing w:val="-2"/>
                <w:sz w:val="24"/>
              </w:rPr>
              <w:t>Protection</w:t>
            </w:r>
            <w:r>
              <w:rPr>
                <w:spacing w:val="-12"/>
                <w:sz w:val="24"/>
              </w:rPr>
              <w:t> </w:t>
            </w:r>
            <w:r>
              <w:rPr>
                <w:spacing w:val="-2"/>
                <w:sz w:val="24"/>
              </w:rPr>
              <w:t>against </w:t>
            </w:r>
            <w:r>
              <w:rPr>
                <w:sz w:val="24"/>
              </w:rPr>
              <w:t>Mortality (%)</w:t>
            </w:r>
          </w:p>
        </w:tc>
      </w:tr>
      <w:tr>
        <w:trPr>
          <w:trHeight w:val="894" w:hRule="atLeast"/>
        </w:trPr>
        <w:tc>
          <w:tcPr>
            <w:tcW w:w="1314" w:type="dxa"/>
            <w:tcBorders>
              <w:top w:val="single" w:sz="6" w:space="0" w:color="000000"/>
            </w:tcBorders>
          </w:tcPr>
          <w:p>
            <w:pPr>
              <w:pStyle w:val="TableParagraph"/>
              <w:spacing w:before="234"/>
              <w:rPr>
                <w:sz w:val="24"/>
              </w:rPr>
            </w:pPr>
            <w:r>
              <w:rPr>
                <w:spacing w:val="-2"/>
                <w:sz w:val="24"/>
              </w:rPr>
              <w:t>Vehicle</w:t>
            </w:r>
          </w:p>
        </w:tc>
        <w:tc>
          <w:tcPr>
            <w:tcW w:w="1769" w:type="dxa"/>
            <w:tcBorders>
              <w:top w:val="single" w:sz="6" w:space="0" w:color="000000"/>
            </w:tcBorders>
          </w:tcPr>
          <w:p>
            <w:pPr>
              <w:pStyle w:val="TableParagraph"/>
              <w:spacing w:before="234"/>
              <w:ind w:left="335"/>
              <w:rPr>
                <w:sz w:val="24"/>
              </w:rPr>
            </w:pPr>
            <w:r>
              <w:rPr>
                <w:sz w:val="24"/>
              </w:rPr>
              <w:t>10.00</w:t>
            </w:r>
            <w:r>
              <w:rPr>
                <w:spacing w:val="-2"/>
                <w:sz w:val="24"/>
              </w:rPr>
              <w:t> </w:t>
            </w:r>
            <w:r>
              <w:rPr>
                <w:sz w:val="24"/>
              </w:rPr>
              <w:t>±</w:t>
            </w:r>
            <w:r>
              <w:rPr>
                <w:spacing w:val="-1"/>
                <w:sz w:val="24"/>
              </w:rPr>
              <w:t> </w:t>
            </w:r>
            <w:r>
              <w:rPr>
                <w:spacing w:val="-4"/>
                <w:sz w:val="24"/>
              </w:rPr>
              <w:t>1.03</w:t>
            </w:r>
          </w:p>
        </w:tc>
        <w:tc>
          <w:tcPr>
            <w:tcW w:w="1175" w:type="dxa"/>
            <w:tcBorders>
              <w:top w:val="single" w:sz="6" w:space="0" w:color="000000"/>
            </w:tcBorders>
          </w:tcPr>
          <w:p>
            <w:pPr>
              <w:pStyle w:val="TableParagraph"/>
              <w:spacing w:before="234"/>
              <w:ind w:left="3"/>
              <w:jc w:val="center"/>
              <w:rPr>
                <w:sz w:val="24"/>
              </w:rPr>
            </w:pPr>
            <w:r>
              <w:rPr>
                <w:spacing w:val="-5"/>
                <w:sz w:val="24"/>
              </w:rPr>
              <w:t>0/6</w:t>
            </w:r>
          </w:p>
        </w:tc>
        <w:tc>
          <w:tcPr>
            <w:tcW w:w="2481" w:type="dxa"/>
            <w:tcBorders>
              <w:top w:val="single" w:sz="6" w:space="0" w:color="000000"/>
            </w:tcBorders>
          </w:tcPr>
          <w:p>
            <w:pPr>
              <w:pStyle w:val="TableParagraph"/>
              <w:spacing w:before="234"/>
              <w:ind w:right="151"/>
              <w:jc w:val="center"/>
              <w:rPr>
                <w:sz w:val="24"/>
              </w:rPr>
            </w:pPr>
            <w:r>
              <w:rPr>
                <w:spacing w:val="-5"/>
                <w:sz w:val="24"/>
              </w:rPr>
              <w:t>0.0</w:t>
            </w:r>
          </w:p>
        </w:tc>
        <w:tc>
          <w:tcPr>
            <w:tcW w:w="1898" w:type="dxa"/>
            <w:tcBorders>
              <w:top w:val="single" w:sz="6" w:space="0" w:color="000000"/>
            </w:tcBorders>
          </w:tcPr>
          <w:p>
            <w:pPr>
              <w:pStyle w:val="TableParagraph"/>
              <w:spacing w:before="234"/>
              <w:ind w:left="454"/>
              <w:rPr>
                <w:sz w:val="24"/>
              </w:rPr>
            </w:pPr>
            <w:r>
              <w:rPr>
                <w:spacing w:val="-5"/>
                <w:sz w:val="24"/>
              </w:rPr>
              <w:t>0.0</w:t>
            </w:r>
          </w:p>
        </w:tc>
      </w:tr>
      <w:tr>
        <w:trPr>
          <w:trHeight w:val="777" w:hRule="atLeast"/>
        </w:trPr>
        <w:tc>
          <w:tcPr>
            <w:tcW w:w="1314" w:type="dxa"/>
          </w:tcPr>
          <w:p>
            <w:pPr>
              <w:pStyle w:val="TableParagraph"/>
              <w:spacing w:before="97"/>
              <w:rPr>
                <w:b/>
                <w:sz w:val="24"/>
              </w:rPr>
            </w:pPr>
          </w:p>
          <w:p>
            <w:pPr>
              <w:pStyle w:val="TableParagraph"/>
              <w:rPr>
                <w:sz w:val="24"/>
              </w:rPr>
            </w:pPr>
            <w:r>
              <w:rPr>
                <w:sz w:val="24"/>
              </w:rPr>
              <w:t>DCP23</w:t>
            </w:r>
            <w:r>
              <w:rPr>
                <w:spacing w:val="-3"/>
                <w:sz w:val="24"/>
              </w:rPr>
              <w:t> </w:t>
            </w:r>
            <w:r>
              <w:rPr>
                <w:spacing w:val="-4"/>
                <w:sz w:val="24"/>
              </w:rPr>
              <w:t>(50)</w:t>
            </w:r>
          </w:p>
        </w:tc>
        <w:tc>
          <w:tcPr>
            <w:tcW w:w="1769" w:type="dxa"/>
          </w:tcPr>
          <w:p>
            <w:pPr>
              <w:pStyle w:val="TableParagraph"/>
              <w:spacing w:before="97"/>
              <w:rPr>
                <w:b/>
                <w:sz w:val="24"/>
              </w:rPr>
            </w:pPr>
          </w:p>
          <w:p>
            <w:pPr>
              <w:pStyle w:val="TableParagraph"/>
              <w:ind w:right="101"/>
              <w:jc w:val="right"/>
              <w:rPr>
                <w:sz w:val="24"/>
              </w:rPr>
            </w:pPr>
            <w:r>
              <w:rPr>
                <w:sz w:val="24"/>
              </w:rPr>
              <w:t>12.67</w:t>
            </w:r>
            <w:r>
              <w:rPr>
                <w:spacing w:val="-2"/>
                <w:sz w:val="24"/>
              </w:rPr>
              <w:t> </w:t>
            </w:r>
            <w:r>
              <w:rPr>
                <w:sz w:val="24"/>
              </w:rPr>
              <w:t>±</w:t>
            </w:r>
            <w:r>
              <w:rPr>
                <w:spacing w:val="-1"/>
                <w:sz w:val="24"/>
              </w:rPr>
              <w:t> </w:t>
            </w:r>
            <w:r>
              <w:rPr>
                <w:spacing w:val="-4"/>
                <w:sz w:val="24"/>
              </w:rPr>
              <w:t>1.53</w:t>
            </w:r>
          </w:p>
        </w:tc>
        <w:tc>
          <w:tcPr>
            <w:tcW w:w="1175" w:type="dxa"/>
          </w:tcPr>
          <w:p>
            <w:pPr>
              <w:pStyle w:val="TableParagraph"/>
              <w:spacing w:before="97"/>
              <w:rPr>
                <w:b/>
                <w:sz w:val="24"/>
              </w:rPr>
            </w:pPr>
          </w:p>
          <w:p>
            <w:pPr>
              <w:pStyle w:val="TableParagraph"/>
              <w:ind w:right="309"/>
              <w:jc w:val="right"/>
              <w:rPr>
                <w:sz w:val="24"/>
              </w:rPr>
            </w:pPr>
            <w:r>
              <w:rPr>
                <w:spacing w:val="-5"/>
                <w:sz w:val="24"/>
              </w:rPr>
              <w:t>0/6</w:t>
            </w:r>
          </w:p>
        </w:tc>
        <w:tc>
          <w:tcPr>
            <w:tcW w:w="2481" w:type="dxa"/>
          </w:tcPr>
          <w:p>
            <w:pPr>
              <w:pStyle w:val="TableParagraph"/>
              <w:spacing w:before="97"/>
              <w:rPr>
                <w:b/>
                <w:sz w:val="24"/>
              </w:rPr>
            </w:pPr>
          </w:p>
          <w:p>
            <w:pPr>
              <w:pStyle w:val="TableParagraph"/>
              <w:ind w:left="120" w:right="151"/>
              <w:jc w:val="center"/>
              <w:rPr>
                <w:sz w:val="24"/>
              </w:rPr>
            </w:pPr>
            <w:r>
              <w:rPr>
                <w:spacing w:val="-5"/>
                <w:sz w:val="24"/>
              </w:rPr>
              <w:t>0.0</w:t>
            </w:r>
          </w:p>
        </w:tc>
        <w:tc>
          <w:tcPr>
            <w:tcW w:w="1898" w:type="dxa"/>
          </w:tcPr>
          <w:p>
            <w:pPr>
              <w:pStyle w:val="TableParagraph"/>
              <w:spacing w:before="97"/>
              <w:rPr>
                <w:b/>
                <w:sz w:val="24"/>
              </w:rPr>
            </w:pPr>
          </w:p>
          <w:p>
            <w:pPr>
              <w:pStyle w:val="TableParagraph"/>
              <w:ind w:left="454"/>
              <w:rPr>
                <w:sz w:val="24"/>
              </w:rPr>
            </w:pPr>
            <w:r>
              <w:rPr>
                <w:spacing w:val="-5"/>
                <w:sz w:val="24"/>
              </w:rPr>
              <w:t>0.0</w:t>
            </w:r>
          </w:p>
        </w:tc>
      </w:tr>
      <w:tr>
        <w:trPr>
          <w:trHeight w:val="535" w:hRule="atLeast"/>
        </w:trPr>
        <w:tc>
          <w:tcPr>
            <w:tcW w:w="1314" w:type="dxa"/>
          </w:tcPr>
          <w:p>
            <w:pPr>
              <w:pStyle w:val="TableParagraph"/>
              <w:spacing w:before="118"/>
              <w:rPr>
                <w:sz w:val="24"/>
              </w:rPr>
            </w:pPr>
            <w:r>
              <w:rPr>
                <w:sz w:val="24"/>
              </w:rPr>
              <w:t>DCP25</w:t>
            </w:r>
            <w:r>
              <w:rPr>
                <w:spacing w:val="-3"/>
                <w:sz w:val="24"/>
              </w:rPr>
              <w:t> </w:t>
            </w:r>
            <w:r>
              <w:rPr>
                <w:spacing w:val="-4"/>
                <w:sz w:val="24"/>
              </w:rPr>
              <w:t>(50)</w:t>
            </w:r>
          </w:p>
        </w:tc>
        <w:tc>
          <w:tcPr>
            <w:tcW w:w="1769" w:type="dxa"/>
          </w:tcPr>
          <w:p>
            <w:pPr>
              <w:pStyle w:val="TableParagraph"/>
              <w:spacing w:before="118"/>
              <w:ind w:right="101"/>
              <w:jc w:val="right"/>
              <w:rPr>
                <w:sz w:val="24"/>
              </w:rPr>
            </w:pPr>
            <w:r>
              <w:rPr>
                <w:sz w:val="24"/>
              </w:rPr>
              <w:t>17.00</w:t>
            </w:r>
            <w:r>
              <w:rPr>
                <w:spacing w:val="-2"/>
                <w:sz w:val="24"/>
              </w:rPr>
              <w:t> </w:t>
            </w:r>
            <w:r>
              <w:rPr>
                <w:sz w:val="24"/>
              </w:rPr>
              <w:t>±</w:t>
            </w:r>
            <w:r>
              <w:rPr>
                <w:spacing w:val="-1"/>
                <w:sz w:val="24"/>
              </w:rPr>
              <w:t> </w:t>
            </w:r>
            <w:r>
              <w:rPr>
                <w:spacing w:val="-4"/>
                <w:sz w:val="24"/>
              </w:rPr>
              <w:t>2.51</w:t>
            </w:r>
          </w:p>
        </w:tc>
        <w:tc>
          <w:tcPr>
            <w:tcW w:w="1175" w:type="dxa"/>
          </w:tcPr>
          <w:p>
            <w:pPr>
              <w:pStyle w:val="TableParagraph"/>
              <w:spacing w:before="118"/>
              <w:ind w:right="309"/>
              <w:jc w:val="right"/>
              <w:rPr>
                <w:sz w:val="24"/>
              </w:rPr>
            </w:pPr>
            <w:r>
              <w:rPr>
                <w:spacing w:val="-5"/>
                <w:sz w:val="24"/>
              </w:rPr>
              <w:t>0/6</w:t>
            </w:r>
          </w:p>
        </w:tc>
        <w:tc>
          <w:tcPr>
            <w:tcW w:w="2481" w:type="dxa"/>
          </w:tcPr>
          <w:p>
            <w:pPr>
              <w:pStyle w:val="TableParagraph"/>
              <w:spacing w:before="118"/>
              <w:ind w:left="120" w:right="151"/>
              <w:jc w:val="center"/>
              <w:rPr>
                <w:sz w:val="24"/>
              </w:rPr>
            </w:pPr>
            <w:r>
              <w:rPr>
                <w:spacing w:val="-5"/>
                <w:sz w:val="24"/>
              </w:rPr>
              <w:t>0.0</w:t>
            </w:r>
          </w:p>
        </w:tc>
        <w:tc>
          <w:tcPr>
            <w:tcW w:w="1898" w:type="dxa"/>
          </w:tcPr>
          <w:p>
            <w:pPr>
              <w:pStyle w:val="TableParagraph"/>
              <w:spacing w:before="118"/>
              <w:ind w:left="454"/>
              <w:rPr>
                <w:sz w:val="24"/>
              </w:rPr>
            </w:pPr>
            <w:r>
              <w:rPr>
                <w:spacing w:val="-5"/>
                <w:sz w:val="24"/>
              </w:rPr>
              <w:t>0.0</w:t>
            </w:r>
          </w:p>
        </w:tc>
      </w:tr>
      <w:tr>
        <w:trPr>
          <w:trHeight w:val="792" w:hRule="atLeast"/>
        </w:trPr>
        <w:tc>
          <w:tcPr>
            <w:tcW w:w="1314" w:type="dxa"/>
          </w:tcPr>
          <w:p>
            <w:pPr>
              <w:pStyle w:val="TableParagraph"/>
              <w:spacing w:before="130"/>
              <w:rPr>
                <w:sz w:val="24"/>
              </w:rPr>
            </w:pPr>
            <w:r>
              <w:rPr>
                <w:sz w:val="24"/>
              </w:rPr>
              <w:t>DCP34</w:t>
            </w:r>
            <w:r>
              <w:rPr>
                <w:spacing w:val="-3"/>
                <w:sz w:val="24"/>
              </w:rPr>
              <w:t> </w:t>
            </w:r>
            <w:r>
              <w:rPr>
                <w:spacing w:val="-4"/>
                <w:sz w:val="24"/>
              </w:rPr>
              <w:t>(50)</w:t>
            </w:r>
          </w:p>
        </w:tc>
        <w:tc>
          <w:tcPr>
            <w:tcW w:w="1769" w:type="dxa"/>
          </w:tcPr>
          <w:p>
            <w:pPr>
              <w:pStyle w:val="TableParagraph"/>
              <w:spacing w:before="130"/>
              <w:ind w:right="37"/>
              <w:jc w:val="right"/>
              <w:rPr>
                <w:sz w:val="24"/>
              </w:rPr>
            </w:pPr>
            <w:r>
              <w:rPr>
                <w:sz w:val="24"/>
              </w:rPr>
              <w:t>17.17±</w:t>
            </w:r>
            <w:r>
              <w:rPr>
                <w:spacing w:val="-5"/>
                <w:sz w:val="24"/>
              </w:rPr>
              <w:t> </w:t>
            </w:r>
            <w:r>
              <w:rPr>
                <w:spacing w:val="-2"/>
                <w:sz w:val="24"/>
              </w:rPr>
              <w:t>1.82*</w:t>
            </w:r>
          </w:p>
        </w:tc>
        <w:tc>
          <w:tcPr>
            <w:tcW w:w="1175" w:type="dxa"/>
          </w:tcPr>
          <w:p>
            <w:pPr>
              <w:pStyle w:val="TableParagraph"/>
              <w:spacing w:before="130"/>
              <w:ind w:right="306"/>
              <w:jc w:val="right"/>
              <w:rPr>
                <w:sz w:val="24"/>
              </w:rPr>
            </w:pPr>
            <w:r>
              <w:rPr>
                <w:spacing w:val="-5"/>
                <w:sz w:val="24"/>
              </w:rPr>
              <w:t>0/6</w:t>
            </w:r>
          </w:p>
        </w:tc>
        <w:tc>
          <w:tcPr>
            <w:tcW w:w="2481" w:type="dxa"/>
          </w:tcPr>
          <w:p>
            <w:pPr>
              <w:pStyle w:val="TableParagraph"/>
              <w:spacing w:before="130"/>
              <w:ind w:left="120" w:right="151"/>
              <w:jc w:val="center"/>
              <w:rPr>
                <w:sz w:val="24"/>
              </w:rPr>
            </w:pPr>
            <w:r>
              <w:rPr>
                <w:spacing w:val="-5"/>
                <w:sz w:val="24"/>
              </w:rPr>
              <w:t>0.0</w:t>
            </w:r>
          </w:p>
        </w:tc>
        <w:tc>
          <w:tcPr>
            <w:tcW w:w="1898" w:type="dxa"/>
          </w:tcPr>
          <w:p>
            <w:pPr>
              <w:pStyle w:val="TableParagraph"/>
              <w:spacing w:before="130"/>
              <w:ind w:left="454"/>
              <w:rPr>
                <w:sz w:val="24"/>
              </w:rPr>
            </w:pPr>
            <w:r>
              <w:rPr>
                <w:spacing w:val="-5"/>
                <w:sz w:val="24"/>
              </w:rPr>
              <w:t>0.0</w:t>
            </w:r>
          </w:p>
        </w:tc>
      </w:tr>
      <w:tr>
        <w:trPr>
          <w:trHeight w:val="777" w:hRule="atLeast"/>
        </w:trPr>
        <w:tc>
          <w:tcPr>
            <w:tcW w:w="1314" w:type="dxa"/>
          </w:tcPr>
          <w:p>
            <w:pPr>
              <w:pStyle w:val="TableParagraph"/>
              <w:spacing w:before="99"/>
              <w:rPr>
                <w:b/>
                <w:sz w:val="24"/>
              </w:rPr>
            </w:pPr>
          </w:p>
          <w:p>
            <w:pPr>
              <w:pStyle w:val="TableParagraph"/>
              <w:rPr>
                <w:sz w:val="24"/>
              </w:rPr>
            </w:pPr>
            <w:r>
              <w:rPr>
                <w:sz w:val="24"/>
              </w:rPr>
              <w:t>DCP23</w:t>
            </w:r>
            <w:r>
              <w:rPr>
                <w:spacing w:val="-3"/>
                <w:sz w:val="24"/>
              </w:rPr>
              <w:t> </w:t>
            </w:r>
            <w:r>
              <w:rPr>
                <w:spacing w:val="-4"/>
                <w:sz w:val="24"/>
              </w:rPr>
              <w:t>(25)</w:t>
            </w:r>
          </w:p>
        </w:tc>
        <w:tc>
          <w:tcPr>
            <w:tcW w:w="1769" w:type="dxa"/>
          </w:tcPr>
          <w:p>
            <w:pPr>
              <w:pStyle w:val="TableParagraph"/>
              <w:spacing w:before="99"/>
              <w:rPr>
                <w:b/>
                <w:sz w:val="24"/>
              </w:rPr>
            </w:pPr>
          </w:p>
          <w:p>
            <w:pPr>
              <w:pStyle w:val="TableParagraph"/>
              <w:ind w:right="102"/>
              <w:jc w:val="right"/>
              <w:rPr>
                <w:sz w:val="24"/>
              </w:rPr>
            </w:pPr>
            <w:r>
              <w:rPr>
                <w:sz w:val="24"/>
              </w:rPr>
              <w:t>11.33</w:t>
            </w:r>
            <w:r>
              <w:rPr>
                <w:spacing w:val="-2"/>
                <w:sz w:val="24"/>
              </w:rPr>
              <w:t> </w:t>
            </w:r>
            <w:r>
              <w:rPr>
                <w:sz w:val="24"/>
              </w:rPr>
              <w:t>±</w:t>
            </w:r>
            <w:r>
              <w:rPr>
                <w:spacing w:val="-1"/>
                <w:sz w:val="24"/>
              </w:rPr>
              <w:t> </w:t>
            </w:r>
            <w:r>
              <w:rPr>
                <w:spacing w:val="-4"/>
                <w:sz w:val="24"/>
              </w:rPr>
              <w:t>0.76</w:t>
            </w:r>
          </w:p>
        </w:tc>
        <w:tc>
          <w:tcPr>
            <w:tcW w:w="1175" w:type="dxa"/>
          </w:tcPr>
          <w:p>
            <w:pPr>
              <w:pStyle w:val="TableParagraph"/>
              <w:spacing w:before="99"/>
              <w:rPr>
                <w:b/>
                <w:sz w:val="24"/>
              </w:rPr>
            </w:pPr>
          </w:p>
          <w:p>
            <w:pPr>
              <w:pStyle w:val="TableParagraph"/>
              <w:ind w:right="347"/>
              <w:jc w:val="right"/>
              <w:rPr>
                <w:sz w:val="24"/>
              </w:rPr>
            </w:pPr>
            <w:r>
              <w:rPr>
                <w:spacing w:val="-5"/>
                <w:sz w:val="24"/>
              </w:rPr>
              <w:t>0/6</w:t>
            </w:r>
          </w:p>
        </w:tc>
        <w:tc>
          <w:tcPr>
            <w:tcW w:w="2481" w:type="dxa"/>
          </w:tcPr>
          <w:p>
            <w:pPr>
              <w:pStyle w:val="TableParagraph"/>
              <w:spacing w:before="99"/>
              <w:rPr>
                <w:b/>
                <w:sz w:val="24"/>
              </w:rPr>
            </w:pPr>
          </w:p>
          <w:p>
            <w:pPr>
              <w:pStyle w:val="TableParagraph"/>
              <w:ind w:left="43" w:right="151"/>
              <w:jc w:val="center"/>
              <w:rPr>
                <w:sz w:val="24"/>
              </w:rPr>
            </w:pPr>
            <w:r>
              <w:rPr>
                <w:spacing w:val="-5"/>
                <w:sz w:val="24"/>
              </w:rPr>
              <w:t>0.0</w:t>
            </w:r>
          </w:p>
        </w:tc>
        <w:tc>
          <w:tcPr>
            <w:tcW w:w="1898" w:type="dxa"/>
          </w:tcPr>
          <w:p>
            <w:pPr>
              <w:pStyle w:val="TableParagraph"/>
              <w:spacing w:before="99"/>
              <w:rPr>
                <w:b/>
                <w:sz w:val="24"/>
              </w:rPr>
            </w:pPr>
          </w:p>
          <w:p>
            <w:pPr>
              <w:pStyle w:val="TableParagraph"/>
              <w:ind w:left="416"/>
              <w:rPr>
                <w:sz w:val="24"/>
              </w:rPr>
            </w:pPr>
            <w:r>
              <w:rPr>
                <w:spacing w:val="-5"/>
                <w:sz w:val="24"/>
              </w:rPr>
              <w:t>0.0</w:t>
            </w:r>
          </w:p>
        </w:tc>
      </w:tr>
      <w:tr>
        <w:trPr>
          <w:trHeight w:val="518" w:hRule="atLeast"/>
        </w:trPr>
        <w:tc>
          <w:tcPr>
            <w:tcW w:w="1314" w:type="dxa"/>
          </w:tcPr>
          <w:p>
            <w:pPr>
              <w:pStyle w:val="TableParagraph"/>
              <w:spacing w:before="116"/>
              <w:rPr>
                <w:sz w:val="24"/>
              </w:rPr>
            </w:pPr>
            <w:r>
              <w:rPr>
                <w:sz w:val="24"/>
              </w:rPr>
              <w:t>DCP25</w:t>
            </w:r>
            <w:r>
              <w:rPr>
                <w:spacing w:val="-3"/>
                <w:sz w:val="24"/>
              </w:rPr>
              <w:t> </w:t>
            </w:r>
            <w:r>
              <w:rPr>
                <w:spacing w:val="-4"/>
                <w:sz w:val="24"/>
              </w:rPr>
              <w:t>(25)</w:t>
            </w:r>
          </w:p>
        </w:tc>
        <w:tc>
          <w:tcPr>
            <w:tcW w:w="1769" w:type="dxa"/>
          </w:tcPr>
          <w:p>
            <w:pPr>
              <w:pStyle w:val="TableParagraph"/>
              <w:spacing w:before="116"/>
              <w:ind w:right="102"/>
              <w:jc w:val="right"/>
              <w:rPr>
                <w:sz w:val="24"/>
              </w:rPr>
            </w:pPr>
            <w:r>
              <w:rPr>
                <w:sz w:val="24"/>
              </w:rPr>
              <w:t>13.17</w:t>
            </w:r>
            <w:r>
              <w:rPr>
                <w:spacing w:val="-2"/>
                <w:sz w:val="24"/>
              </w:rPr>
              <w:t> </w:t>
            </w:r>
            <w:r>
              <w:rPr>
                <w:sz w:val="24"/>
              </w:rPr>
              <w:t>±</w:t>
            </w:r>
            <w:r>
              <w:rPr>
                <w:spacing w:val="-1"/>
                <w:sz w:val="24"/>
              </w:rPr>
              <w:t> </w:t>
            </w:r>
            <w:r>
              <w:rPr>
                <w:spacing w:val="-4"/>
                <w:sz w:val="24"/>
              </w:rPr>
              <w:t>0.87</w:t>
            </w:r>
          </w:p>
        </w:tc>
        <w:tc>
          <w:tcPr>
            <w:tcW w:w="1175" w:type="dxa"/>
          </w:tcPr>
          <w:p>
            <w:pPr>
              <w:pStyle w:val="TableParagraph"/>
              <w:spacing w:before="116"/>
              <w:ind w:right="347"/>
              <w:jc w:val="right"/>
              <w:rPr>
                <w:sz w:val="24"/>
              </w:rPr>
            </w:pPr>
            <w:r>
              <w:rPr>
                <w:spacing w:val="-5"/>
                <w:sz w:val="24"/>
              </w:rPr>
              <w:t>0/6</w:t>
            </w:r>
          </w:p>
        </w:tc>
        <w:tc>
          <w:tcPr>
            <w:tcW w:w="2481" w:type="dxa"/>
          </w:tcPr>
          <w:p>
            <w:pPr>
              <w:pStyle w:val="TableParagraph"/>
              <w:spacing w:before="116"/>
              <w:ind w:left="36" w:right="151"/>
              <w:jc w:val="center"/>
              <w:rPr>
                <w:sz w:val="24"/>
              </w:rPr>
            </w:pPr>
            <w:r>
              <w:rPr>
                <w:spacing w:val="-5"/>
                <w:sz w:val="24"/>
              </w:rPr>
              <w:t>0.0</w:t>
            </w:r>
          </w:p>
        </w:tc>
        <w:tc>
          <w:tcPr>
            <w:tcW w:w="1898" w:type="dxa"/>
          </w:tcPr>
          <w:p>
            <w:pPr>
              <w:pStyle w:val="TableParagraph"/>
              <w:spacing w:before="116"/>
              <w:ind w:left="416"/>
              <w:rPr>
                <w:sz w:val="24"/>
              </w:rPr>
            </w:pPr>
            <w:r>
              <w:rPr>
                <w:spacing w:val="-5"/>
                <w:sz w:val="24"/>
              </w:rPr>
              <w:t>0.0</w:t>
            </w:r>
          </w:p>
        </w:tc>
      </w:tr>
      <w:tr>
        <w:trPr>
          <w:trHeight w:val="792" w:hRule="atLeast"/>
        </w:trPr>
        <w:tc>
          <w:tcPr>
            <w:tcW w:w="1314" w:type="dxa"/>
          </w:tcPr>
          <w:p>
            <w:pPr>
              <w:pStyle w:val="TableParagraph"/>
              <w:spacing w:before="116"/>
              <w:rPr>
                <w:sz w:val="24"/>
              </w:rPr>
            </w:pPr>
            <w:r>
              <w:rPr>
                <w:sz w:val="24"/>
              </w:rPr>
              <w:t>DCP34</w:t>
            </w:r>
            <w:r>
              <w:rPr>
                <w:spacing w:val="-3"/>
                <w:sz w:val="24"/>
              </w:rPr>
              <w:t> </w:t>
            </w:r>
            <w:r>
              <w:rPr>
                <w:spacing w:val="-4"/>
                <w:sz w:val="24"/>
              </w:rPr>
              <w:t>(25)</w:t>
            </w:r>
          </w:p>
        </w:tc>
        <w:tc>
          <w:tcPr>
            <w:tcW w:w="1769" w:type="dxa"/>
          </w:tcPr>
          <w:p>
            <w:pPr>
              <w:pStyle w:val="TableParagraph"/>
              <w:spacing w:before="116"/>
              <w:ind w:right="-29"/>
              <w:jc w:val="right"/>
              <w:rPr>
                <w:sz w:val="24"/>
              </w:rPr>
            </w:pPr>
            <w:r>
              <w:rPr>
                <w:sz w:val="24"/>
              </w:rPr>
              <w:t>16.67 ±</w:t>
            </w:r>
            <w:r>
              <w:rPr>
                <w:spacing w:val="-1"/>
                <w:sz w:val="24"/>
              </w:rPr>
              <w:t> </w:t>
            </w:r>
            <w:r>
              <w:rPr>
                <w:spacing w:val="-2"/>
                <w:sz w:val="24"/>
              </w:rPr>
              <w:t>1.23*</w:t>
            </w:r>
          </w:p>
        </w:tc>
        <w:tc>
          <w:tcPr>
            <w:tcW w:w="1175" w:type="dxa"/>
          </w:tcPr>
          <w:p>
            <w:pPr>
              <w:pStyle w:val="TableParagraph"/>
              <w:spacing w:before="116"/>
              <w:ind w:right="347"/>
              <w:jc w:val="right"/>
              <w:rPr>
                <w:sz w:val="24"/>
              </w:rPr>
            </w:pPr>
            <w:r>
              <w:rPr>
                <w:spacing w:val="-5"/>
                <w:sz w:val="24"/>
              </w:rPr>
              <w:t>0/6</w:t>
            </w:r>
          </w:p>
        </w:tc>
        <w:tc>
          <w:tcPr>
            <w:tcW w:w="2481" w:type="dxa"/>
          </w:tcPr>
          <w:p>
            <w:pPr>
              <w:pStyle w:val="TableParagraph"/>
              <w:spacing w:before="116"/>
              <w:ind w:left="43" w:right="151"/>
              <w:jc w:val="center"/>
              <w:rPr>
                <w:sz w:val="24"/>
              </w:rPr>
            </w:pPr>
            <w:r>
              <w:rPr>
                <w:spacing w:val="-5"/>
                <w:sz w:val="24"/>
              </w:rPr>
              <w:t>0.0</w:t>
            </w:r>
          </w:p>
        </w:tc>
        <w:tc>
          <w:tcPr>
            <w:tcW w:w="1898" w:type="dxa"/>
          </w:tcPr>
          <w:p>
            <w:pPr>
              <w:pStyle w:val="TableParagraph"/>
              <w:spacing w:before="116"/>
              <w:ind w:left="416"/>
              <w:rPr>
                <w:sz w:val="24"/>
              </w:rPr>
            </w:pPr>
            <w:r>
              <w:rPr>
                <w:spacing w:val="-5"/>
                <w:sz w:val="24"/>
              </w:rPr>
              <w:t>0.0</w:t>
            </w:r>
          </w:p>
        </w:tc>
      </w:tr>
      <w:tr>
        <w:trPr>
          <w:trHeight w:val="792" w:hRule="atLeast"/>
        </w:trPr>
        <w:tc>
          <w:tcPr>
            <w:tcW w:w="1314" w:type="dxa"/>
          </w:tcPr>
          <w:p>
            <w:pPr>
              <w:pStyle w:val="TableParagraph"/>
              <w:spacing w:before="113"/>
              <w:rPr>
                <w:b/>
                <w:sz w:val="24"/>
              </w:rPr>
            </w:pPr>
          </w:p>
          <w:p>
            <w:pPr>
              <w:pStyle w:val="TableParagraph"/>
              <w:spacing w:before="1"/>
              <w:ind w:right="-44"/>
              <w:rPr>
                <w:sz w:val="24"/>
              </w:rPr>
            </w:pPr>
            <w:r>
              <w:rPr>
                <w:sz w:val="24"/>
              </w:rPr>
              <w:t>DCP23</w:t>
            </w:r>
            <w:r>
              <w:rPr>
                <w:spacing w:val="-1"/>
                <w:sz w:val="24"/>
              </w:rPr>
              <w:t> </w:t>
            </w:r>
            <w:r>
              <w:rPr>
                <w:spacing w:val="-2"/>
                <w:sz w:val="24"/>
              </w:rPr>
              <w:t>(12.5)</w:t>
            </w:r>
          </w:p>
        </w:tc>
        <w:tc>
          <w:tcPr>
            <w:tcW w:w="1769" w:type="dxa"/>
          </w:tcPr>
          <w:p>
            <w:pPr>
              <w:pStyle w:val="TableParagraph"/>
              <w:spacing w:before="113"/>
              <w:rPr>
                <w:b/>
                <w:sz w:val="24"/>
              </w:rPr>
            </w:pPr>
          </w:p>
          <w:p>
            <w:pPr>
              <w:pStyle w:val="TableParagraph"/>
              <w:spacing w:before="1"/>
              <w:ind w:left="518"/>
              <w:rPr>
                <w:sz w:val="24"/>
              </w:rPr>
            </w:pPr>
            <w:r>
              <w:rPr>
                <w:sz w:val="24"/>
              </w:rPr>
              <w:t>12.0±</w:t>
            </w:r>
            <w:r>
              <w:rPr>
                <w:spacing w:val="-3"/>
                <w:sz w:val="24"/>
              </w:rPr>
              <w:t> </w:t>
            </w:r>
            <w:r>
              <w:rPr>
                <w:spacing w:val="-4"/>
                <w:sz w:val="24"/>
              </w:rPr>
              <w:t>1.29</w:t>
            </w:r>
          </w:p>
        </w:tc>
        <w:tc>
          <w:tcPr>
            <w:tcW w:w="1175" w:type="dxa"/>
          </w:tcPr>
          <w:p>
            <w:pPr>
              <w:pStyle w:val="TableParagraph"/>
              <w:spacing w:before="113"/>
              <w:rPr>
                <w:b/>
                <w:sz w:val="24"/>
              </w:rPr>
            </w:pPr>
          </w:p>
          <w:p>
            <w:pPr>
              <w:pStyle w:val="TableParagraph"/>
              <w:spacing w:before="1"/>
              <w:ind w:right="347"/>
              <w:jc w:val="right"/>
              <w:rPr>
                <w:sz w:val="24"/>
              </w:rPr>
            </w:pPr>
            <w:r>
              <w:rPr>
                <w:spacing w:val="-5"/>
                <w:sz w:val="24"/>
              </w:rPr>
              <w:t>0/6</w:t>
            </w:r>
          </w:p>
        </w:tc>
        <w:tc>
          <w:tcPr>
            <w:tcW w:w="2481" w:type="dxa"/>
          </w:tcPr>
          <w:p>
            <w:pPr>
              <w:pStyle w:val="TableParagraph"/>
              <w:spacing w:before="113"/>
              <w:rPr>
                <w:b/>
                <w:sz w:val="24"/>
              </w:rPr>
            </w:pPr>
          </w:p>
          <w:p>
            <w:pPr>
              <w:pStyle w:val="TableParagraph"/>
              <w:spacing w:before="1"/>
              <w:ind w:left="43" w:right="151"/>
              <w:jc w:val="center"/>
              <w:rPr>
                <w:sz w:val="24"/>
              </w:rPr>
            </w:pPr>
            <w:r>
              <w:rPr>
                <w:spacing w:val="-5"/>
                <w:sz w:val="24"/>
              </w:rPr>
              <w:t>0.0</w:t>
            </w:r>
          </w:p>
        </w:tc>
        <w:tc>
          <w:tcPr>
            <w:tcW w:w="1898" w:type="dxa"/>
          </w:tcPr>
          <w:p>
            <w:pPr>
              <w:pStyle w:val="TableParagraph"/>
              <w:spacing w:before="113"/>
              <w:rPr>
                <w:b/>
                <w:sz w:val="24"/>
              </w:rPr>
            </w:pPr>
          </w:p>
          <w:p>
            <w:pPr>
              <w:pStyle w:val="TableParagraph"/>
              <w:spacing w:before="1"/>
              <w:ind w:left="416"/>
              <w:rPr>
                <w:sz w:val="24"/>
              </w:rPr>
            </w:pPr>
            <w:r>
              <w:rPr>
                <w:spacing w:val="-5"/>
                <w:sz w:val="24"/>
              </w:rPr>
              <w:t>0.0</w:t>
            </w:r>
          </w:p>
        </w:tc>
      </w:tr>
      <w:tr>
        <w:trPr>
          <w:trHeight w:val="521" w:hRule="atLeast"/>
        </w:trPr>
        <w:tc>
          <w:tcPr>
            <w:tcW w:w="1314" w:type="dxa"/>
          </w:tcPr>
          <w:p>
            <w:pPr>
              <w:pStyle w:val="TableParagraph"/>
              <w:spacing w:before="116"/>
              <w:ind w:right="-44"/>
              <w:rPr>
                <w:sz w:val="24"/>
              </w:rPr>
            </w:pPr>
            <w:r>
              <w:rPr>
                <w:sz w:val="24"/>
              </w:rPr>
              <w:t>DCP25</w:t>
            </w:r>
            <w:r>
              <w:rPr>
                <w:spacing w:val="-1"/>
                <w:sz w:val="24"/>
              </w:rPr>
              <w:t> </w:t>
            </w:r>
            <w:r>
              <w:rPr>
                <w:spacing w:val="-2"/>
                <w:sz w:val="24"/>
              </w:rPr>
              <w:t>(12.5)</w:t>
            </w:r>
          </w:p>
        </w:tc>
        <w:tc>
          <w:tcPr>
            <w:tcW w:w="1769" w:type="dxa"/>
          </w:tcPr>
          <w:p>
            <w:pPr>
              <w:pStyle w:val="TableParagraph"/>
              <w:spacing w:before="116"/>
              <w:ind w:left="518"/>
              <w:rPr>
                <w:sz w:val="24"/>
              </w:rPr>
            </w:pPr>
            <w:r>
              <w:rPr>
                <w:sz w:val="24"/>
              </w:rPr>
              <w:t>14.0±</w:t>
            </w:r>
            <w:r>
              <w:rPr>
                <w:spacing w:val="-3"/>
                <w:sz w:val="24"/>
              </w:rPr>
              <w:t> </w:t>
            </w:r>
            <w:r>
              <w:rPr>
                <w:spacing w:val="-4"/>
                <w:sz w:val="24"/>
              </w:rPr>
              <w:t>1.26</w:t>
            </w:r>
          </w:p>
        </w:tc>
        <w:tc>
          <w:tcPr>
            <w:tcW w:w="1175" w:type="dxa"/>
          </w:tcPr>
          <w:p>
            <w:pPr>
              <w:pStyle w:val="TableParagraph"/>
              <w:spacing w:before="116"/>
              <w:ind w:right="347"/>
              <w:jc w:val="right"/>
              <w:rPr>
                <w:sz w:val="24"/>
              </w:rPr>
            </w:pPr>
            <w:r>
              <w:rPr>
                <w:spacing w:val="-5"/>
                <w:sz w:val="24"/>
              </w:rPr>
              <w:t>0/6</w:t>
            </w:r>
          </w:p>
        </w:tc>
        <w:tc>
          <w:tcPr>
            <w:tcW w:w="2481" w:type="dxa"/>
          </w:tcPr>
          <w:p>
            <w:pPr>
              <w:pStyle w:val="TableParagraph"/>
              <w:spacing w:before="116"/>
              <w:ind w:left="43" w:right="151"/>
              <w:jc w:val="center"/>
              <w:rPr>
                <w:sz w:val="24"/>
              </w:rPr>
            </w:pPr>
            <w:r>
              <w:rPr>
                <w:spacing w:val="-5"/>
                <w:sz w:val="24"/>
              </w:rPr>
              <w:t>0.0</w:t>
            </w:r>
          </w:p>
        </w:tc>
        <w:tc>
          <w:tcPr>
            <w:tcW w:w="1898" w:type="dxa"/>
          </w:tcPr>
          <w:p>
            <w:pPr>
              <w:pStyle w:val="TableParagraph"/>
              <w:spacing w:before="116"/>
              <w:ind w:left="416"/>
              <w:rPr>
                <w:sz w:val="24"/>
              </w:rPr>
            </w:pPr>
            <w:r>
              <w:rPr>
                <w:spacing w:val="-5"/>
                <w:sz w:val="24"/>
              </w:rPr>
              <w:t>0.0</w:t>
            </w:r>
          </w:p>
        </w:tc>
      </w:tr>
      <w:tr>
        <w:trPr>
          <w:trHeight w:val="794" w:hRule="atLeast"/>
        </w:trPr>
        <w:tc>
          <w:tcPr>
            <w:tcW w:w="1314" w:type="dxa"/>
          </w:tcPr>
          <w:p>
            <w:pPr>
              <w:pStyle w:val="TableParagraph"/>
              <w:spacing w:before="119"/>
              <w:ind w:right="-44"/>
              <w:rPr>
                <w:sz w:val="24"/>
              </w:rPr>
            </w:pPr>
            <w:r>
              <w:rPr>
                <w:sz w:val="24"/>
              </w:rPr>
              <w:t>DCP34</w:t>
            </w:r>
            <w:r>
              <w:rPr>
                <w:spacing w:val="-1"/>
                <w:sz w:val="24"/>
              </w:rPr>
              <w:t> </w:t>
            </w:r>
            <w:r>
              <w:rPr>
                <w:spacing w:val="-2"/>
                <w:sz w:val="24"/>
              </w:rPr>
              <w:t>(12.5)</w:t>
            </w:r>
          </w:p>
        </w:tc>
        <w:tc>
          <w:tcPr>
            <w:tcW w:w="1769" w:type="dxa"/>
          </w:tcPr>
          <w:p>
            <w:pPr>
              <w:pStyle w:val="TableParagraph"/>
              <w:spacing w:before="119"/>
              <w:ind w:right="102"/>
              <w:jc w:val="right"/>
              <w:rPr>
                <w:sz w:val="24"/>
              </w:rPr>
            </w:pPr>
            <w:r>
              <w:rPr>
                <w:sz w:val="24"/>
              </w:rPr>
              <w:t>12.50±</w:t>
            </w:r>
            <w:r>
              <w:rPr>
                <w:spacing w:val="-3"/>
                <w:sz w:val="24"/>
              </w:rPr>
              <w:t> </w:t>
            </w:r>
            <w:r>
              <w:rPr>
                <w:spacing w:val="-4"/>
                <w:sz w:val="24"/>
              </w:rPr>
              <w:t>1.52</w:t>
            </w:r>
          </w:p>
        </w:tc>
        <w:tc>
          <w:tcPr>
            <w:tcW w:w="1175" w:type="dxa"/>
          </w:tcPr>
          <w:p>
            <w:pPr>
              <w:pStyle w:val="TableParagraph"/>
              <w:spacing w:before="119"/>
              <w:ind w:right="309"/>
              <w:jc w:val="right"/>
              <w:rPr>
                <w:sz w:val="24"/>
              </w:rPr>
            </w:pPr>
            <w:r>
              <w:rPr>
                <w:spacing w:val="-5"/>
                <w:sz w:val="24"/>
              </w:rPr>
              <w:t>0/6</w:t>
            </w:r>
          </w:p>
        </w:tc>
        <w:tc>
          <w:tcPr>
            <w:tcW w:w="2481" w:type="dxa"/>
          </w:tcPr>
          <w:p>
            <w:pPr>
              <w:pStyle w:val="TableParagraph"/>
              <w:spacing w:before="119"/>
              <w:ind w:left="120" w:right="151"/>
              <w:jc w:val="center"/>
              <w:rPr>
                <w:sz w:val="24"/>
              </w:rPr>
            </w:pPr>
            <w:r>
              <w:rPr>
                <w:spacing w:val="-5"/>
                <w:sz w:val="24"/>
              </w:rPr>
              <w:t>0.0</w:t>
            </w:r>
          </w:p>
        </w:tc>
        <w:tc>
          <w:tcPr>
            <w:tcW w:w="1898" w:type="dxa"/>
          </w:tcPr>
          <w:p>
            <w:pPr>
              <w:pStyle w:val="TableParagraph"/>
              <w:spacing w:before="119"/>
              <w:ind w:left="392"/>
              <w:rPr>
                <w:sz w:val="24"/>
              </w:rPr>
            </w:pPr>
            <w:r>
              <w:rPr>
                <w:spacing w:val="-5"/>
                <w:sz w:val="24"/>
              </w:rPr>
              <w:t>0.0</w:t>
            </w:r>
          </w:p>
        </w:tc>
      </w:tr>
      <w:tr>
        <w:trPr>
          <w:trHeight w:val="830" w:hRule="atLeast"/>
        </w:trPr>
        <w:tc>
          <w:tcPr>
            <w:tcW w:w="1314" w:type="dxa"/>
            <w:tcBorders>
              <w:bottom w:val="single" w:sz="6" w:space="0" w:color="000000"/>
            </w:tcBorders>
          </w:tcPr>
          <w:p>
            <w:pPr>
              <w:pStyle w:val="TableParagraph"/>
              <w:spacing w:before="113"/>
              <w:rPr>
                <w:b/>
                <w:sz w:val="24"/>
              </w:rPr>
            </w:pPr>
          </w:p>
          <w:p>
            <w:pPr>
              <w:pStyle w:val="TableParagraph"/>
              <w:rPr>
                <w:sz w:val="24"/>
              </w:rPr>
            </w:pPr>
            <w:r>
              <w:rPr>
                <w:sz w:val="24"/>
              </w:rPr>
              <w:t>PHB </w:t>
            </w:r>
            <w:r>
              <w:rPr>
                <w:spacing w:val="-4"/>
                <w:sz w:val="24"/>
              </w:rPr>
              <w:t>(30)</w:t>
            </w:r>
          </w:p>
        </w:tc>
        <w:tc>
          <w:tcPr>
            <w:tcW w:w="1769" w:type="dxa"/>
            <w:tcBorders>
              <w:bottom w:val="single" w:sz="6" w:space="0" w:color="000000"/>
            </w:tcBorders>
          </w:tcPr>
          <w:p>
            <w:pPr>
              <w:pStyle w:val="TableParagraph"/>
              <w:spacing w:before="113"/>
              <w:rPr>
                <w:b/>
                <w:sz w:val="24"/>
              </w:rPr>
            </w:pPr>
          </w:p>
          <w:p>
            <w:pPr>
              <w:pStyle w:val="TableParagraph"/>
              <w:ind w:right="37"/>
              <w:jc w:val="right"/>
              <w:rPr>
                <w:sz w:val="24"/>
              </w:rPr>
            </w:pPr>
            <w:r>
              <w:rPr>
                <w:sz w:val="24"/>
              </w:rPr>
              <w:t>19.5</w:t>
            </w:r>
            <w:r>
              <w:rPr>
                <w:spacing w:val="-5"/>
                <w:sz w:val="24"/>
              </w:rPr>
              <w:t> </w:t>
            </w:r>
            <w:r>
              <w:rPr>
                <w:sz w:val="24"/>
              </w:rPr>
              <w:t>±</w:t>
            </w:r>
            <w:r>
              <w:rPr>
                <w:spacing w:val="-1"/>
                <w:sz w:val="24"/>
              </w:rPr>
              <w:t> </w:t>
            </w:r>
            <w:r>
              <w:rPr>
                <w:spacing w:val="-2"/>
                <w:sz w:val="24"/>
              </w:rPr>
              <w:t>0.50*</w:t>
            </w:r>
          </w:p>
        </w:tc>
        <w:tc>
          <w:tcPr>
            <w:tcW w:w="1175" w:type="dxa"/>
            <w:tcBorders>
              <w:bottom w:val="single" w:sz="6" w:space="0" w:color="000000"/>
            </w:tcBorders>
          </w:tcPr>
          <w:p>
            <w:pPr>
              <w:pStyle w:val="TableParagraph"/>
              <w:spacing w:before="113"/>
              <w:rPr>
                <w:b/>
                <w:sz w:val="24"/>
              </w:rPr>
            </w:pPr>
          </w:p>
          <w:p>
            <w:pPr>
              <w:pStyle w:val="TableParagraph"/>
              <w:ind w:right="303"/>
              <w:jc w:val="right"/>
              <w:rPr>
                <w:sz w:val="24"/>
              </w:rPr>
            </w:pPr>
            <w:r>
              <w:rPr>
                <w:spacing w:val="-5"/>
                <w:sz w:val="24"/>
              </w:rPr>
              <w:t>4/6</w:t>
            </w:r>
          </w:p>
        </w:tc>
        <w:tc>
          <w:tcPr>
            <w:tcW w:w="2481" w:type="dxa"/>
            <w:tcBorders>
              <w:bottom w:val="single" w:sz="6" w:space="0" w:color="000000"/>
            </w:tcBorders>
          </w:tcPr>
          <w:p>
            <w:pPr>
              <w:pStyle w:val="TableParagraph"/>
              <w:spacing w:before="113"/>
              <w:rPr>
                <w:b/>
                <w:sz w:val="24"/>
              </w:rPr>
            </w:pPr>
          </w:p>
          <w:p>
            <w:pPr>
              <w:pStyle w:val="TableParagraph"/>
              <w:ind w:left="120" w:right="151"/>
              <w:jc w:val="center"/>
              <w:rPr>
                <w:sz w:val="24"/>
              </w:rPr>
            </w:pPr>
            <w:r>
              <w:rPr>
                <w:spacing w:val="-4"/>
                <w:sz w:val="24"/>
              </w:rPr>
              <w:t>66.7</w:t>
            </w:r>
          </w:p>
        </w:tc>
        <w:tc>
          <w:tcPr>
            <w:tcW w:w="1898" w:type="dxa"/>
            <w:tcBorders>
              <w:bottom w:val="single" w:sz="6" w:space="0" w:color="000000"/>
            </w:tcBorders>
          </w:tcPr>
          <w:p>
            <w:pPr>
              <w:pStyle w:val="TableParagraph"/>
              <w:spacing w:before="113"/>
              <w:rPr>
                <w:b/>
                <w:sz w:val="24"/>
              </w:rPr>
            </w:pPr>
          </w:p>
          <w:p>
            <w:pPr>
              <w:pStyle w:val="TableParagraph"/>
              <w:ind w:left="349"/>
              <w:rPr>
                <w:sz w:val="24"/>
              </w:rPr>
            </w:pPr>
            <w:r>
              <w:rPr>
                <w:spacing w:val="-2"/>
                <w:sz w:val="24"/>
              </w:rPr>
              <w:t>100.0</w:t>
            </w:r>
          </w:p>
        </w:tc>
      </w:tr>
    </w:tbl>
    <w:p>
      <w:pPr>
        <w:pStyle w:val="BodyText"/>
        <w:spacing w:before="60"/>
        <w:ind w:left="681" w:right="274"/>
        <w:jc w:val="both"/>
      </w:pPr>
      <w:r>
        <w:rPr/>
        <w:t>Values are presented as Mean ± SEM, n = 6 per group; DCP23, DCP25 and DCP34 =</w:t>
      </w:r>
      <w:r>
        <w:rPr>
          <w:spacing w:val="40"/>
        </w:rPr>
        <w:t> </w:t>
      </w:r>
      <w:r>
        <w:rPr/>
        <w:t>2,3-, 2,5- and 3,4- Dichloro – 3(aminophenyl) propanamides respectively, PHB = Phenobarbitone; Control = 30% propylene glycol, 70% distil water; Significant</w:t>
      </w:r>
      <w:r>
        <w:rPr>
          <w:spacing w:val="40"/>
        </w:rPr>
        <w:t> </w:t>
      </w:r>
      <w:r>
        <w:rPr/>
        <w:t>difference in the mean onset of seizures between control (vehicle) group and treated groups at *p&lt;0.05 (ANOVA) followed by</w:t>
      </w:r>
      <w:r>
        <w:rPr>
          <w:spacing w:val="-1"/>
        </w:rPr>
        <w:t> </w:t>
      </w:r>
      <w:r>
        <w:rPr/>
        <w:t>Post hoc (Scheffe) for multiple comparism.</w:t>
      </w:r>
    </w:p>
    <w:p>
      <w:pPr>
        <w:spacing w:after="0"/>
        <w:jc w:val="both"/>
        <w:sectPr>
          <w:pgSz w:w="12240" w:h="15840"/>
          <w:pgMar w:header="0" w:footer="1066" w:top="1360" w:bottom="1260" w:left="1480" w:right="1160"/>
        </w:sectPr>
      </w:pPr>
    </w:p>
    <w:p>
      <w:pPr>
        <w:pStyle w:val="Heading2"/>
        <w:numPr>
          <w:ilvl w:val="2"/>
          <w:numId w:val="14"/>
        </w:numPr>
        <w:tabs>
          <w:tab w:pos="1222" w:val="left" w:leader="none"/>
        </w:tabs>
        <w:spacing w:line="240" w:lineRule="auto" w:before="77" w:after="0"/>
        <w:ind w:left="1222" w:right="0" w:hanging="541"/>
        <w:jc w:val="both"/>
      </w:pPr>
      <w:r>
        <w:rPr/>
        <w:t>Strychnine-induced</w:t>
      </w:r>
      <w:r>
        <w:rPr>
          <w:spacing w:val="-6"/>
        </w:rPr>
        <w:t> </w:t>
      </w:r>
      <w:r>
        <w:rPr/>
        <w:t>Seizure</w:t>
      </w:r>
      <w:r>
        <w:rPr>
          <w:spacing w:val="-3"/>
        </w:rPr>
        <w:t> </w:t>
      </w:r>
      <w:r>
        <w:rPr/>
        <w:t>Test in</w:t>
      </w:r>
      <w:r>
        <w:rPr>
          <w:spacing w:val="-2"/>
        </w:rPr>
        <w:t> </w:t>
      </w:r>
      <w:r>
        <w:rPr>
          <w:spacing w:val="-4"/>
        </w:rPr>
        <w:t>Mice</w:t>
      </w:r>
    </w:p>
    <w:p>
      <w:pPr>
        <w:pStyle w:val="BodyText"/>
        <w:spacing w:line="480" w:lineRule="auto" w:before="271"/>
        <w:ind w:left="681" w:right="274"/>
        <w:jc w:val="both"/>
      </w:pPr>
      <w:r>
        <w:rPr/>
        <w:t>Strychnine is a competitive antagonist of the inhibitory amino acid glycine in the CNS and hence, induces convulsion which usually results to death. The compounds (DCP23, DCP25 and DCP34) neither offered protection against characteristic episode of tonic seizure nor against the mortality in strychnine-induced seizure test. Similarly, there was not statistically</w:t>
      </w:r>
      <w:r>
        <w:rPr>
          <w:spacing w:val="-1"/>
        </w:rPr>
        <w:t> </w:t>
      </w:r>
      <w:r>
        <w:rPr/>
        <w:t>significant difference in mean</w:t>
      </w:r>
      <w:r>
        <w:rPr>
          <w:spacing w:val="-1"/>
        </w:rPr>
        <w:t> </w:t>
      </w:r>
      <w:r>
        <w:rPr/>
        <w:t>onset of</w:t>
      </w:r>
      <w:r>
        <w:rPr>
          <w:spacing w:val="-4"/>
        </w:rPr>
        <w:t> </w:t>
      </w:r>
      <w:r>
        <w:rPr/>
        <w:t>seizure in all the treated groups as compared with the control group. However, a significant (p&lt;0.05) difference was recorded in the phenobarbitone (30 mg/kg) treated group when compared to the control with 66.7% protection in mortality (Table 4.16).</w:t>
      </w:r>
    </w:p>
    <w:p>
      <w:pPr>
        <w:spacing w:after="0" w:line="480" w:lineRule="auto"/>
        <w:jc w:val="both"/>
        <w:sectPr>
          <w:pgSz w:w="12240" w:h="15840"/>
          <w:pgMar w:header="0" w:footer="1066" w:top="1360" w:bottom="1260" w:left="1480" w:right="1160"/>
        </w:sectPr>
      </w:pPr>
    </w:p>
    <w:p>
      <w:pPr>
        <w:pStyle w:val="Heading2"/>
        <w:spacing w:line="480" w:lineRule="auto" w:before="77"/>
        <w:jc w:val="left"/>
      </w:pPr>
      <w:r>
        <w:rPr/>
        <w:t>Table 4.16: Effect of DCP23, DCP25 and DCP34 and Phenobarbital on Strychnine- induced Seizures in Mice</w:t>
      </w:r>
    </w:p>
    <w:p>
      <w:pPr>
        <w:pStyle w:val="BodyText"/>
        <w:spacing w:before="9"/>
        <w:rPr>
          <w:b/>
          <w:sz w:val="13"/>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8"/>
        <w:gridCol w:w="1981"/>
        <w:gridCol w:w="1269"/>
        <w:gridCol w:w="2373"/>
        <w:gridCol w:w="2059"/>
      </w:tblGrid>
      <w:tr>
        <w:trPr>
          <w:trHeight w:val="900" w:hRule="atLeast"/>
        </w:trPr>
        <w:tc>
          <w:tcPr>
            <w:tcW w:w="1138" w:type="dxa"/>
            <w:tcBorders>
              <w:top w:val="single" w:sz="6" w:space="0" w:color="000000"/>
              <w:bottom w:val="single" w:sz="6" w:space="0" w:color="000000"/>
            </w:tcBorders>
          </w:tcPr>
          <w:p>
            <w:pPr>
              <w:pStyle w:val="TableParagraph"/>
              <w:spacing w:line="242" w:lineRule="auto" w:before="103"/>
              <w:ind w:right="149"/>
              <w:rPr>
                <w:sz w:val="24"/>
              </w:rPr>
            </w:pPr>
            <w:r>
              <w:rPr>
                <w:spacing w:val="-2"/>
                <w:sz w:val="24"/>
              </w:rPr>
              <w:t>Treatment (mg/kg)</w:t>
            </w:r>
          </w:p>
        </w:tc>
        <w:tc>
          <w:tcPr>
            <w:tcW w:w="1981" w:type="dxa"/>
            <w:tcBorders>
              <w:top w:val="single" w:sz="6" w:space="0" w:color="000000"/>
              <w:bottom w:val="single" w:sz="6" w:space="0" w:color="000000"/>
            </w:tcBorders>
          </w:tcPr>
          <w:p>
            <w:pPr>
              <w:pStyle w:val="TableParagraph"/>
              <w:spacing w:before="103"/>
              <w:ind w:left="154"/>
              <w:rPr>
                <w:sz w:val="24"/>
              </w:rPr>
            </w:pPr>
            <w:r>
              <w:rPr>
                <w:sz w:val="24"/>
              </w:rPr>
              <w:t>Mean</w:t>
            </w:r>
            <w:r>
              <w:rPr>
                <w:spacing w:val="-8"/>
                <w:sz w:val="24"/>
              </w:rPr>
              <w:t> </w:t>
            </w:r>
            <w:r>
              <w:rPr>
                <w:spacing w:val="-2"/>
                <w:sz w:val="24"/>
              </w:rPr>
              <w:t>Latency</w:t>
            </w:r>
          </w:p>
          <w:p>
            <w:pPr>
              <w:pStyle w:val="TableParagraph"/>
              <w:spacing w:before="2"/>
              <w:ind w:left="176"/>
              <w:rPr>
                <w:sz w:val="24"/>
              </w:rPr>
            </w:pPr>
            <w:r>
              <w:rPr>
                <w:sz w:val="24"/>
              </w:rPr>
              <w:t>of</w:t>
            </w:r>
            <w:r>
              <w:rPr>
                <w:spacing w:val="-8"/>
                <w:sz w:val="24"/>
              </w:rPr>
              <w:t> </w:t>
            </w:r>
            <w:r>
              <w:rPr>
                <w:sz w:val="24"/>
              </w:rPr>
              <w:t>Seizures</w:t>
            </w:r>
            <w:r>
              <w:rPr>
                <w:spacing w:val="-2"/>
                <w:sz w:val="24"/>
              </w:rPr>
              <w:t> (min)</w:t>
            </w:r>
          </w:p>
        </w:tc>
        <w:tc>
          <w:tcPr>
            <w:tcW w:w="1269" w:type="dxa"/>
            <w:tcBorders>
              <w:top w:val="single" w:sz="6" w:space="0" w:color="000000"/>
              <w:bottom w:val="single" w:sz="6" w:space="0" w:color="000000"/>
            </w:tcBorders>
          </w:tcPr>
          <w:p>
            <w:pPr>
              <w:pStyle w:val="TableParagraph"/>
              <w:spacing w:line="242" w:lineRule="auto" w:before="103"/>
              <w:ind w:left="166" w:right="117" w:hanging="18"/>
              <w:rPr>
                <w:sz w:val="24"/>
              </w:rPr>
            </w:pPr>
            <w:r>
              <w:rPr>
                <w:spacing w:val="-2"/>
                <w:sz w:val="24"/>
              </w:rPr>
              <w:t>Quantal Protection</w:t>
            </w:r>
          </w:p>
        </w:tc>
        <w:tc>
          <w:tcPr>
            <w:tcW w:w="2373" w:type="dxa"/>
            <w:tcBorders>
              <w:top w:val="single" w:sz="6" w:space="0" w:color="000000"/>
              <w:bottom w:val="single" w:sz="6" w:space="0" w:color="000000"/>
            </w:tcBorders>
          </w:tcPr>
          <w:p>
            <w:pPr>
              <w:pStyle w:val="TableParagraph"/>
              <w:spacing w:line="242" w:lineRule="auto" w:before="103"/>
              <w:ind w:left="181" w:hanging="60"/>
              <w:rPr>
                <w:sz w:val="24"/>
              </w:rPr>
            </w:pPr>
            <w:r>
              <w:rPr>
                <w:sz w:val="24"/>
              </w:rPr>
              <w:t>(%)</w:t>
            </w:r>
            <w:r>
              <w:rPr>
                <w:spacing w:val="-15"/>
                <w:sz w:val="24"/>
              </w:rPr>
              <w:t> </w:t>
            </w:r>
            <w:r>
              <w:rPr>
                <w:sz w:val="24"/>
              </w:rPr>
              <w:t>Protection</w:t>
            </w:r>
            <w:r>
              <w:rPr>
                <w:spacing w:val="-15"/>
                <w:sz w:val="24"/>
              </w:rPr>
              <w:t> </w:t>
            </w:r>
            <w:r>
              <w:rPr>
                <w:sz w:val="24"/>
              </w:rPr>
              <w:t>against </w:t>
            </w:r>
            <w:r>
              <w:rPr>
                <w:spacing w:val="-2"/>
                <w:sz w:val="24"/>
              </w:rPr>
              <w:t>Seizures</w:t>
            </w:r>
          </w:p>
        </w:tc>
        <w:tc>
          <w:tcPr>
            <w:tcW w:w="2059" w:type="dxa"/>
            <w:tcBorders>
              <w:top w:val="single" w:sz="6" w:space="0" w:color="000000"/>
              <w:bottom w:val="single" w:sz="6" w:space="0" w:color="000000"/>
            </w:tcBorders>
          </w:tcPr>
          <w:p>
            <w:pPr>
              <w:pStyle w:val="TableParagraph"/>
              <w:spacing w:line="242" w:lineRule="auto" w:before="103"/>
              <w:ind w:left="118" w:firstLine="13"/>
              <w:rPr>
                <w:sz w:val="24"/>
              </w:rPr>
            </w:pPr>
            <w:r>
              <w:rPr>
                <w:spacing w:val="-2"/>
                <w:sz w:val="24"/>
              </w:rPr>
              <w:t>Protection</w:t>
            </w:r>
            <w:r>
              <w:rPr>
                <w:spacing w:val="-13"/>
                <w:sz w:val="24"/>
              </w:rPr>
              <w:t> </w:t>
            </w:r>
            <w:r>
              <w:rPr>
                <w:spacing w:val="-2"/>
                <w:sz w:val="24"/>
              </w:rPr>
              <w:t>against </w:t>
            </w:r>
            <w:r>
              <w:rPr>
                <w:sz w:val="24"/>
              </w:rPr>
              <w:t>Mortality (%)</w:t>
            </w:r>
          </w:p>
        </w:tc>
      </w:tr>
      <w:tr>
        <w:trPr>
          <w:trHeight w:val="567" w:hRule="atLeast"/>
        </w:trPr>
        <w:tc>
          <w:tcPr>
            <w:tcW w:w="1138" w:type="dxa"/>
            <w:tcBorders>
              <w:top w:val="single" w:sz="6" w:space="0" w:color="000000"/>
            </w:tcBorders>
          </w:tcPr>
          <w:p>
            <w:pPr>
              <w:pStyle w:val="TableParagraph"/>
              <w:spacing w:before="15"/>
              <w:rPr>
                <w:b/>
                <w:sz w:val="24"/>
              </w:rPr>
            </w:pPr>
          </w:p>
          <w:p>
            <w:pPr>
              <w:pStyle w:val="TableParagraph"/>
              <w:spacing w:line="256" w:lineRule="exact"/>
              <w:rPr>
                <w:sz w:val="24"/>
              </w:rPr>
            </w:pPr>
            <w:r>
              <w:rPr>
                <w:spacing w:val="-2"/>
                <w:sz w:val="24"/>
              </w:rPr>
              <w:t>Control</w:t>
            </w:r>
          </w:p>
        </w:tc>
        <w:tc>
          <w:tcPr>
            <w:tcW w:w="1981" w:type="dxa"/>
            <w:tcBorders>
              <w:top w:val="single" w:sz="6" w:space="0" w:color="000000"/>
            </w:tcBorders>
          </w:tcPr>
          <w:p>
            <w:pPr>
              <w:pStyle w:val="TableParagraph"/>
              <w:spacing w:before="15"/>
              <w:rPr>
                <w:b/>
                <w:sz w:val="24"/>
              </w:rPr>
            </w:pPr>
          </w:p>
          <w:p>
            <w:pPr>
              <w:pStyle w:val="TableParagraph"/>
              <w:spacing w:line="256" w:lineRule="exact"/>
              <w:ind w:left="620"/>
              <w:rPr>
                <w:sz w:val="24"/>
              </w:rPr>
            </w:pPr>
            <w:r>
              <w:rPr>
                <w:sz w:val="24"/>
              </w:rPr>
              <w:t>6.50</w:t>
            </w:r>
            <w:r>
              <w:rPr>
                <w:spacing w:val="-5"/>
                <w:sz w:val="24"/>
              </w:rPr>
              <w:t> </w:t>
            </w:r>
            <w:r>
              <w:rPr>
                <w:sz w:val="24"/>
              </w:rPr>
              <w:t>±</w:t>
            </w:r>
            <w:r>
              <w:rPr>
                <w:spacing w:val="2"/>
                <w:sz w:val="24"/>
              </w:rPr>
              <w:t> </w:t>
            </w:r>
            <w:r>
              <w:rPr>
                <w:spacing w:val="-4"/>
                <w:sz w:val="24"/>
              </w:rPr>
              <w:t>0.43</w:t>
            </w:r>
          </w:p>
        </w:tc>
        <w:tc>
          <w:tcPr>
            <w:tcW w:w="1269" w:type="dxa"/>
            <w:tcBorders>
              <w:top w:val="single" w:sz="6" w:space="0" w:color="000000"/>
            </w:tcBorders>
          </w:tcPr>
          <w:p>
            <w:pPr>
              <w:pStyle w:val="TableParagraph"/>
              <w:spacing w:before="15"/>
              <w:rPr>
                <w:b/>
                <w:sz w:val="24"/>
              </w:rPr>
            </w:pPr>
          </w:p>
          <w:p>
            <w:pPr>
              <w:pStyle w:val="TableParagraph"/>
              <w:spacing w:line="256" w:lineRule="exact"/>
              <w:ind w:left="61"/>
              <w:jc w:val="center"/>
              <w:rPr>
                <w:sz w:val="24"/>
              </w:rPr>
            </w:pPr>
            <w:r>
              <w:rPr>
                <w:spacing w:val="-5"/>
                <w:sz w:val="24"/>
              </w:rPr>
              <w:t>0/6</w:t>
            </w:r>
          </w:p>
        </w:tc>
        <w:tc>
          <w:tcPr>
            <w:tcW w:w="2373" w:type="dxa"/>
            <w:tcBorders>
              <w:top w:val="single" w:sz="6" w:space="0" w:color="000000"/>
            </w:tcBorders>
          </w:tcPr>
          <w:p>
            <w:pPr>
              <w:pStyle w:val="TableParagraph"/>
              <w:spacing w:before="15"/>
              <w:rPr>
                <w:b/>
                <w:sz w:val="24"/>
              </w:rPr>
            </w:pPr>
          </w:p>
          <w:p>
            <w:pPr>
              <w:pStyle w:val="TableParagraph"/>
              <w:spacing w:line="256" w:lineRule="exact"/>
              <w:ind w:left="568"/>
              <w:rPr>
                <w:sz w:val="24"/>
              </w:rPr>
            </w:pPr>
            <w:r>
              <w:rPr>
                <w:spacing w:val="-5"/>
                <w:sz w:val="24"/>
              </w:rPr>
              <w:t>0.0</w:t>
            </w:r>
          </w:p>
        </w:tc>
        <w:tc>
          <w:tcPr>
            <w:tcW w:w="2059" w:type="dxa"/>
            <w:tcBorders>
              <w:top w:val="single" w:sz="6" w:space="0" w:color="000000"/>
            </w:tcBorders>
          </w:tcPr>
          <w:p>
            <w:pPr>
              <w:pStyle w:val="TableParagraph"/>
              <w:spacing w:before="15"/>
              <w:rPr>
                <w:b/>
                <w:sz w:val="24"/>
              </w:rPr>
            </w:pPr>
          </w:p>
          <w:p>
            <w:pPr>
              <w:pStyle w:val="TableParagraph"/>
              <w:spacing w:line="256" w:lineRule="exact"/>
              <w:ind w:left="356"/>
              <w:rPr>
                <w:sz w:val="24"/>
              </w:rPr>
            </w:pPr>
            <w:r>
              <w:rPr>
                <w:spacing w:val="-5"/>
                <w:sz w:val="24"/>
              </w:rPr>
              <w:t>0.0</w:t>
            </w:r>
          </w:p>
        </w:tc>
      </w:tr>
    </w:tbl>
    <w:p>
      <w:pPr>
        <w:pStyle w:val="BodyText"/>
        <w:rPr>
          <w:b/>
          <w:sz w:val="20"/>
        </w:rPr>
      </w:pPr>
    </w:p>
    <w:p>
      <w:pPr>
        <w:pStyle w:val="BodyText"/>
        <w:rPr>
          <w:b/>
          <w:sz w:val="20"/>
        </w:rPr>
      </w:pPr>
    </w:p>
    <w:p>
      <w:pPr>
        <w:pStyle w:val="BodyText"/>
        <w:spacing w:before="142"/>
        <w:rPr>
          <w:b/>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9"/>
        <w:gridCol w:w="1762"/>
        <w:gridCol w:w="1218"/>
        <w:gridCol w:w="1799"/>
        <w:gridCol w:w="1317"/>
      </w:tblGrid>
      <w:tr>
        <w:trPr>
          <w:trHeight w:val="408" w:hRule="atLeast"/>
        </w:trPr>
        <w:tc>
          <w:tcPr>
            <w:tcW w:w="1519" w:type="dxa"/>
          </w:tcPr>
          <w:p>
            <w:pPr>
              <w:pStyle w:val="TableParagraph"/>
              <w:spacing w:line="266" w:lineRule="exact"/>
              <w:ind w:left="50"/>
              <w:rPr>
                <w:sz w:val="24"/>
              </w:rPr>
            </w:pPr>
            <w:r>
              <w:rPr>
                <w:sz w:val="24"/>
              </w:rPr>
              <w:t>DCP23</w:t>
            </w:r>
            <w:r>
              <w:rPr>
                <w:spacing w:val="-3"/>
                <w:sz w:val="24"/>
              </w:rPr>
              <w:t> </w:t>
            </w:r>
            <w:r>
              <w:rPr>
                <w:spacing w:val="-4"/>
                <w:sz w:val="24"/>
              </w:rPr>
              <w:t>(50)</w:t>
            </w:r>
          </w:p>
        </w:tc>
        <w:tc>
          <w:tcPr>
            <w:tcW w:w="1762" w:type="dxa"/>
          </w:tcPr>
          <w:p>
            <w:pPr>
              <w:pStyle w:val="TableParagraph"/>
              <w:spacing w:line="266" w:lineRule="exact"/>
              <w:ind w:left="300"/>
              <w:rPr>
                <w:sz w:val="24"/>
              </w:rPr>
            </w:pPr>
            <w:r>
              <w:rPr>
                <w:sz w:val="24"/>
              </w:rPr>
              <w:t>7.00</w:t>
            </w:r>
            <w:r>
              <w:rPr>
                <w:spacing w:val="-2"/>
                <w:sz w:val="24"/>
              </w:rPr>
              <w:t> </w:t>
            </w:r>
            <w:r>
              <w:rPr>
                <w:sz w:val="24"/>
              </w:rPr>
              <w:t>±</w:t>
            </w:r>
            <w:r>
              <w:rPr>
                <w:spacing w:val="-1"/>
                <w:sz w:val="24"/>
              </w:rPr>
              <w:t> </w:t>
            </w:r>
            <w:r>
              <w:rPr>
                <w:spacing w:val="-4"/>
                <w:sz w:val="24"/>
              </w:rPr>
              <w:t>0.26</w:t>
            </w:r>
          </w:p>
        </w:tc>
        <w:tc>
          <w:tcPr>
            <w:tcW w:w="1218" w:type="dxa"/>
          </w:tcPr>
          <w:p>
            <w:pPr>
              <w:pStyle w:val="TableParagraph"/>
              <w:spacing w:line="266" w:lineRule="exact"/>
              <w:ind w:left="370"/>
              <w:rPr>
                <w:sz w:val="24"/>
              </w:rPr>
            </w:pPr>
            <w:r>
              <w:rPr>
                <w:spacing w:val="-5"/>
                <w:sz w:val="24"/>
              </w:rPr>
              <w:t>0/6</w:t>
            </w:r>
          </w:p>
        </w:tc>
        <w:tc>
          <w:tcPr>
            <w:tcW w:w="1799" w:type="dxa"/>
          </w:tcPr>
          <w:p>
            <w:pPr>
              <w:pStyle w:val="TableParagraph"/>
              <w:spacing w:line="266" w:lineRule="exact"/>
              <w:ind w:left="541"/>
              <w:rPr>
                <w:sz w:val="24"/>
              </w:rPr>
            </w:pPr>
            <w:r>
              <w:rPr>
                <w:spacing w:val="-5"/>
                <w:sz w:val="24"/>
              </w:rPr>
              <w:t>0.0</w:t>
            </w:r>
          </w:p>
        </w:tc>
        <w:tc>
          <w:tcPr>
            <w:tcW w:w="1317" w:type="dxa"/>
          </w:tcPr>
          <w:p>
            <w:pPr>
              <w:pStyle w:val="TableParagraph"/>
              <w:spacing w:line="266" w:lineRule="exact"/>
              <w:ind w:right="56"/>
              <w:jc w:val="right"/>
              <w:rPr>
                <w:sz w:val="24"/>
              </w:rPr>
            </w:pPr>
            <w:r>
              <w:rPr>
                <w:spacing w:val="-5"/>
                <w:sz w:val="24"/>
              </w:rPr>
              <w:t>0.0</w:t>
            </w:r>
          </w:p>
        </w:tc>
      </w:tr>
      <w:tr>
        <w:trPr>
          <w:trHeight w:val="552" w:hRule="atLeast"/>
        </w:trPr>
        <w:tc>
          <w:tcPr>
            <w:tcW w:w="1519" w:type="dxa"/>
          </w:tcPr>
          <w:p>
            <w:pPr>
              <w:pStyle w:val="TableParagraph"/>
              <w:spacing w:before="133"/>
              <w:ind w:left="50"/>
              <w:rPr>
                <w:sz w:val="24"/>
              </w:rPr>
            </w:pPr>
            <w:r>
              <w:rPr>
                <w:sz w:val="24"/>
              </w:rPr>
              <w:t>DCP25</w:t>
            </w:r>
            <w:r>
              <w:rPr>
                <w:spacing w:val="-3"/>
                <w:sz w:val="24"/>
              </w:rPr>
              <w:t> </w:t>
            </w:r>
            <w:r>
              <w:rPr>
                <w:spacing w:val="-4"/>
                <w:sz w:val="24"/>
              </w:rPr>
              <w:t>(50)</w:t>
            </w:r>
          </w:p>
        </w:tc>
        <w:tc>
          <w:tcPr>
            <w:tcW w:w="1762" w:type="dxa"/>
          </w:tcPr>
          <w:p>
            <w:pPr>
              <w:pStyle w:val="TableParagraph"/>
              <w:spacing w:before="133"/>
              <w:ind w:left="300"/>
              <w:rPr>
                <w:sz w:val="24"/>
              </w:rPr>
            </w:pPr>
            <w:r>
              <w:rPr>
                <w:sz w:val="24"/>
              </w:rPr>
              <w:t>8.33</w:t>
            </w:r>
            <w:r>
              <w:rPr>
                <w:spacing w:val="-2"/>
                <w:sz w:val="24"/>
              </w:rPr>
              <w:t> </w:t>
            </w:r>
            <w:r>
              <w:rPr>
                <w:sz w:val="24"/>
              </w:rPr>
              <w:t>±</w:t>
            </w:r>
            <w:r>
              <w:rPr>
                <w:spacing w:val="-1"/>
                <w:sz w:val="24"/>
              </w:rPr>
              <w:t> </w:t>
            </w:r>
            <w:r>
              <w:rPr>
                <w:spacing w:val="-4"/>
                <w:sz w:val="24"/>
              </w:rPr>
              <w:t>0.84</w:t>
            </w:r>
          </w:p>
        </w:tc>
        <w:tc>
          <w:tcPr>
            <w:tcW w:w="1218" w:type="dxa"/>
          </w:tcPr>
          <w:p>
            <w:pPr>
              <w:pStyle w:val="TableParagraph"/>
              <w:spacing w:before="133"/>
              <w:ind w:left="370"/>
              <w:rPr>
                <w:sz w:val="24"/>
              </w:rPr>
            </w:pPr>
            <w:r>
              <w:rPr>
                <w:spacing w:val="-5"/>
                <w:sz w:val="24"/>
              </w:rPr>
              <w:t>0/6</w:t>
            </w:r>
          </w:p>
        </w:tc>
        <w:tc>
          <w:tcPr>
            <w:tcW w:w="1799" w:type="dxa"/>
          </w:tcPr>
          <w:p>
            <w:pPr>
              <w:pStyle w:val="TableParagraph"/>
              <w:spacing w:before="133"/>
              <w:ind w:left="541"/>
              <w:rPr>
                <w:sz w:val="24"/>
              </w:rPr>
            </w:pPr>
            <w:r>
              <w:rPr>
                <w:spacing w:val="-5"/>
                <w:sz w:val="24"/>
              </w:rPr>
              <w:t>0.0</w:t>
            </w:r>
          </w:p>
        </w:tc>
        <w:tc>
          <w:tcPr>
            <w:tcW w:w="1317" w:type="dxa"/>
          </w:tcPr>
          <w:p>
            <w:pPr>
              <w:pStyle w:val="TableParagraph"/>
              <w:spacing w:before="133"/>
              <w:ind w:right="56"/>
              <w:jc w:val="right"/>
              <w:rPr>
                <w:sz w:val="24"/>
              </w:rPr>
            </w:pPr>
            <w:r>
              <w:rPr>
                <w:spacing w:val="-5"/>
                <w:sz w:val="24"/>
              </w:rPr>
              <w:t>0.0</w:t>
            </w:r>
          </w:p>
        </w:tc>
      </w:tr>
      <w:tr>
        <w:trPr>
          <w:trHeight w:val="409" w:hRule="atLeast"/>
        </w:trPr>
        <w:tc>
          <w:tcPr>
            <w:tcW w:w="1519" w:type="dxa"/>
          </w:tcPr>
          <w:p>
            <w:pPr>
              <w:pStyle w:val="TableParagraph"/>
              <w:spacing w:line="256" w:lineRule="exact" w:before="133"/>
              <w:ind w:left="50"/>
              <w:rPr>
                <w:sz w:val="24"/>
              </w:rPr>
            </w:pPr>
            <w:r>
              <w:rPr>
                <w:sz w:val="24"/>
              </w:rPr>
              <w:t>DCP34</w:t>
            </w:r>
            <w:r>
              <w:rPr>
                <w:spacing w:val="-3"/>
                <w:sz w:val="24"/>
              </w:rPr>
              <w:t> </w:t>
            </w:r>
            <w:r>
              <w:rPr>
                <w:spacing w:val="-4"/>
                <w:sz w:val="24"/>
              </w:rPr>
              <w:t>(50)</w:t>
            </w:r>
          </w:p>
        </w:tc>
        <w:tc>
          <w:tcPr>
            <w:tcW w:w="1762" w:type="dxa"/>
          </w:tcPr>
          <w:p>
            <w:pPr>
              <w:pStyle w:val="TableParagraph"/>
              <w:spacing w:line="256" w:lineRule="exact" w:before="133"/>
              <w:ind w:left="300"/>
              <w:rPr>
                <w:sz w:val="24"/>
              </w:rPr>
            </w:pPr>
            <w:r>
              <w:rPr>
                <w:sz w:val="24"/>
              </w:rPr>
              <w:t>8.67</w:t>
            </w:r>
            <w:r>
              <w:rPr>
                <w:spacing w:val="-2"/>
                <w:sz w:val="24"/>
              </w:rPr>
              <w:t> </w:t>
            </w:r>
            <w:r>
              <w:rPr>
                <w:sz w:val="24"/>
              </w:rPr>
              <w:t>±</w:t>
            </w:r>
            <w:r>
              <w:rPr>
                <w:spacing w:val="-1"/>
                <w:sz w:val="24"/>
              </w:rPr>
              <w:t> </w:t>
            </w:r>
            <w:r>
              <w:rPr>
                <w:spacing w:val="-4"/>
                <w:sz w:val="24"/>
              </w:rPr>
              <w:t>1.05</w:t>
            </w:r>
          </w:p>
        </w:tc>
        <w:tc>
          <w:tcPr>
            <w:tcW w:w="1218" w:type="dxa"/>
          </w:tcPr>
          <w:p>
            <w:pPr>
              <w:pStyle w:val="TableParagraph"/>
              <w:spacing w:line="256" w:lineRule="exact" w:before="133"/>
              <w:ind w:left="370"/>
              <w:rPr>
                <w:sz w:val="24"/>
              </w:rPr>
            </w:pPr>
            <w:r>
              <w:rPr>
                <w:spacing w:val="-5"/>
                <w:sz w:val="24"/>
              </w:rPr>
              <w:t>0/6</w:t>
            </w:r>
          </w:p>
        </w:tc>
        <w:tc>
          <w:tcPr>
            <w:tcW w:w="1799" w:type="dxa"/>
          </w:tcPr>
          <w:p>
            <w:pPr>
              <w:pStyle w:val="TableParagraph"/>
              <w:spacing w:line="256" w:lineRule="exact" w:before="133"/>
              <w:ind w:left="544"/>
              <w:rPr>
                <w:sz w:val="24"/>
              </w:rPr>
            </w:pPr>
            <w:r>
              <w:rPr>
                <w:spacing w:val="-5"/>
                <w:sz w:val="24"/>
              </w:rPr>
              <w:t>0.0</w:t>
            </w:r>
          </w:p>
        </w:tc>
        <w:tc>
          <w:tcPr>
            <w:tcW w:w="1317" w:type="dxa"/>
          </w:tcPr>
          <w:p>
            <w:pPr>
              <w:pStyle w:val="TableParagraph"/>
              <w:spacing w:line="256" w:lineRule="exact" w:before="133"/>
              <w:ind w:right="48"/>
              <w:jc w:val="right"/>
              <w:rPr>
                <w:sz w:val="24"/>
              </w:rPr>
            </w:pPr>
            <w:r>
              <w:rPr>
                <w:spacing w:val="-5"/>
                <w:sz w:val="24"/>
              </w:rPr>
              <w:t>0.0</w:t>
            </w:r>
          </w:p>
        </w:tc>
      </w:tr>
    </w:tbl>
    <w:p>
      <w:pPr>
        <w:pStyle w:val="BodyText"/>
        <w:rPr>
          <w:b/>
          <w:sz w:val="20"/>
        </w:rPr>
      </w:pPr>
    </w:p>
    <w:p>
      <w:pPr>
        <w:pStyle w:val="BodyText"/>
        <w:rPr>
          <w:b/>
          <w:sz w:val="20"/>
        </w:rPr>
      </w:pPr>
    </w:p>
    <w:p>
      <w:pPr>
        <w:pStyle w:val="BodyText"/>
        <w:spacing w:before="149"/>
        <w:rPr>
          <w:b/>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0"/>
        <w:gridCol w:w="1791"/>
        <w:gridCol w:w="1217"/>
        <w:gridCol w:w="1800"/>
        <w:gridCol w:w="1311"/>
      </w:tblGrid>
      <w:tr>
        <w:trPr>
          <w:trHeight w:val="409" w:hRule="atLeast"/>
        </w:trPr>
        <w:tc>
          <w:tcPr>
            <w:tcW w:w="1550" w:type="dxa"/>
          </w:tcPr>
          <w:p>
            <w:pPr>
              <w:pStyle w:val="TableParagraph"/>
              <w:spacing w:line="266" w:lineRule="exact"/>
              <w:ind w:left="50"/>
              <w:rPr>
                <w:sz w:val="24"/>
              </w:rPr>
            </w:pPr>
            <w:r>
              <w:rPr>
                <w:sz w:val="24"/>
              </w:rPr>
              <w:t>DCP23</w:t>
            </w:r>
            <w:r>
              <w:rPr>
                <w:spacing w:val="-3"/>
                <w:sz w:val="24"/>
              </w:rPr>
              <w:t> </w:t>
            </w:r>
            <w:r>
              <w:rPr>
                <w:spacing w:val="-4"/>
                <w:sz w:val="24"/>
              </w:rPr>
              <w:t>(25)</w:t>
            </w:r>
          </w:p>
        </w:tc>
        <w:tc>
          <w:tcPr>
            <w:tcW w:w="1791" w:type="dxa"/>
          </w:tcPr>
          <w:p>
            <w:pPr>
              <w:pStyle w:val="TableParagraph"/>
              <w:spacing w:line="266" w:lineRule="exact"/>
              <w:ind w:left="331"/>
              <w:rPr>
                <w:sz w:val="24"/>
              </w:rPr>
            </w:pPr>
            <w:r>
              <w:rPr>
                <w:sz w:val="24"/>
              </w:rPr>
              <w:t>9.33</w:t>
            </w:r>
            <w:r>
              <w:rPr>
                <w:spacing w:val="-7"/>
                <w:sz w:val="24"/>
              </w:rPr>
              <w:t> </w:t>
            </w:r>
            <w:r>
              <w:rPr>
                <w:sz w:val="24"/>
              </w:rPr>
              <w:t>±</w:t>
            </w:r>
            <w:r>
              <w:rPr>
                <w:spacing w:val="-1"/>
                <w:sz w:val="24"/>
              </w:rPr>
              <w:t> </w:t>
            </w:r>
            <w:r>
              <w:rPr>
                <w:spacing w:val="-4"/>
                <w:sz w:val="24"/>
              </w:rPr>
              <w:t>0.30</w:t>
            </w:r>
          </w:p>
        </w:tc>
        <w:tc>
          <w:tcPr>
            <w:tcW w:w="1217" w:type="dxa"/>
          </w:tcPr>
          <w:p>
            <w:pPr>
              <w:pStyle w:val="TableParagraph"/>
              <w:spacing w:line="266" w:lineRule="exact"/>
              <w:ind w:left="4" w:right="167"/>
              <w:jc w:val="center"/>
              <w:rPr>
                <w:sz w:val="24"/>
              </w:rPr>
            </w:pPr>
            <w:r>
              <w:rPr>
                <w:spacing w:val="-5"/>
                <w:sz w:val="24"/>
              </w:rPr>
              <w:t>0/6</w:t>
            </w:r>
          </w:p>
        </w:tc>
        <w:tc>
          <w:tcPr>
            <w:tcW w:w="1800" w:type="dxa"/>
          </w:tcPr>
          <w:p>
            <w:pPr>
              <w:pStyle w:val="TableParagraph"/>
              <w:spacing w:line="266" w:lineRule="exact"/>
              <w:ind w:left="540"/>
              <w:rPr>
                <w:sz w:val="24"/>
              </w:rPr>
            </w:pPr>
            <w:r>
              <w:rPr>
                <w:spacing w:val="-5"/>
                <w:sz w:val="24"/>
              </w:rPr>
              <w:t>0.0</w:t>
            </w:r>
          </w:p>
        </w:tc>
        <w:tc>
          <w:tcPr>
            <w:tcW w:w="1311" w:type="dxa"/>
          </w:tcPr>
          <w:p>
            <w:pPr>
              <w:pStyle w:val="TableParagraph"/>
              <w:spacing w:line="266" w:lineRule="exact"/>
              <w:ind w:right="53"/>
              <w:jc w:val="right"/>
              <w:rPr>
                <w:sz w:val="24"/>
              </w:rPr>
            </w:pPr>
            <w:r>
              <w:rPr>
                <w:spacing w:val="-5"/>
                <w:sz w:val="24"/>
              </w:rPr>
              <w:t>0.0</w:t>
            </w:r>
          </w:p>
        </w:tc>
      </w:tr>
      <w:tr>
        <w:trPr>
          <w:trHeight w:val="552" w:hRule="atLeast"/>
        </w:trPr>
        <w:tc>
          <w:tcPr>
            <w:tcW w:w="1550" w:type="dxa"/>
          </w:tcPr>
          <w:p>
            <w:pPr>
              <w:pStyle w:val="TableParagraph"/>
              <w:spacing w:before="133"/>
              <w:ind w:left="50"/>
              <w:rPr>
                <w:sz w:val="24"/>
              </w:rPr>
            </w:pPr>
            <w:r>
              <w:rPr>
                <w:sz w:val="24"/>
              </w:rPr>
              <w:t>DCP25</w:t>
            </w:r>
            <w:r>
              <w:rPr>
                <w:spacing w:val="-3"/>
                <w:sz w:val="24"/>
              </w:rPr>
              <w:t> </w:t>
            </w:r>
            <w:r>
              <w:rPr>
                <w:spacing w:val="-4"/>
                <w:sz w:val="24"/>
              </w:rPr>
              <w:t>(25)</w:t>
            </w:r>
          </w:p>
        </w:tc>
        <w:tc>
          <w:tcPr>
            <w:tcW w:w="1791" w:type="dxa"/>
          </w:tcPr>
          <w:p>
            <w:pPr>
              <w:pStyle w:val="TableParagraph"/>
              <w:spacing w:before="133"/>
              <w:ind w:left="331"/>
              <w:rPr>
                <w:sz w:val="24"/>
              </w:rPr>
            </w:pPr>
            <w:r>
              <w:rPr>
                <w:sz w:val="24"/>
              </w:rPr>
              <w:t>8.00</w:t>
            </w:r>
            <w:r>
              <w:rPr>
                <w:spacing w:val="-7"/>
                <w:sz w:val="24"/>
              </w:rPr>
              <w:t> </w:t>
            </w:r>
            <w:r>
              <w:rPr>
                <w:sz w:val="24"/>
              </w:rPr>
              <w:t>±</w:t>
            </w:r>
            <w:r>
              <w:rPr>
                <w:spacing w:val="-1"/>
                <w:sz w:val="24"/>
              </w:rPr>
              <w:t> </w:t>
            </w:r>
            <w:r>
              <w:rPr>
                <w:spacing w:val="-4"/>
                <w:sz w:val="24"/>
              </w:rPr>
              <w:t>0.77</w:t>
            </w:r>
          </w:p>
        </w:tc>
        <w:tc>
          <w:tcPr>
            <w:tcW w:w="1217" w:type="dxa"/>
          </w:tcPr>
          <w:p>
            <w:pPr>
              <w:pStyle w:val="TableParagraph"/>
              <w:spacing w:before="133"/>
              <w:ind w:left="4" w:right="167"/>
              <w:jc w:val="center"/>
              <w:rPr>
                <w:sz w:val="24"/>
              </w:rPr>
            </w:pPr>
            <w:r>
              <w:rPr>
                <w:spacing w:val="-5"/>
                <w:sz w:val="24"/>
              </w:rPr>
              <w:t>0/6</w:t>
            </w:r>
          </w:p>
        </w:tc>
        <w:tc>
          <w:tcPr>
            <w:tcW w:w="1800" w:type="dxa"/>
          </w:tcPr>
          <w:p>
            <w:pPr>
              <w:pStyle w:val="TableParagraph"/>
              <w:spacing w:before="133"/>
              <w:ind w:left="543"/>
              <w:rPr>
                <w:sz w:val="24"/>
              </w:rPr>
            </w:pPr>
            <w:r>
              <w:rPr>
                <w:spacing w:val="-5"/>
                <w:sz w:val="24"/>
              </w:rPr>
              <w:t>0.0</w:t>
            </w:r>
          </w:p>
        </w:tc>
        <w:tc>
          <w:tcPr>
            <w:tcW w:w="1311" w:type="dxa"/>
          </w:tcPr>
          <w:p>
            <w:pPr>
              <w:pStyle w:val="TableParagraph"/>
              <w:spacing w:before="133"/>
              <w:ind w:right="50"/>
              <w:jc w:val="right"/>
              <w:rPr>
                <w:sz w:val="24"/>
              </w:rPr>
            </w:pPr>
            <w:r>
              <w:rPr>
                <w:spacing w:val="-5"/>
                <w:sz w:val="24"/>
              </w:rPr>
              <w:t>0.0</w:t>
            </w:r>
          </w:p>
        </w:tc>
      </w:tr>
      <w:tr>
        <w:trPr>
          <w:trHeight w:val="408" w:hRule="atLeast"/>
        </w:trPr>
        <w:tc>
          <w:tcPr>
            <w:tcW w:w="1550" w:type="dxa"/>
          </w:tcPr>
          <w:p>
            <w:pPr>
              <w:pStyle w:val="TableParagraph"/>
              <w:spacing w:line="256" w:lineRule="exact" w:before="133"/>
              <w:ind w:left="50"/>
              <w:rPr>
                <w:sz w:val="24"/>
              </w:rPr>
            </w:pPr>
            <w:r>
              <w:rPr>
                <w:sz w:val="24"/>
              </w:rPr>
              <w:t>DCP34</w:t>
            </w:r>
            <w:r>
              <w:rPr>
                <w:spacing w:val="-3"/>
                <w:sz w:val="24"/>
              </w:rPr>
              <w:t> </w:t>
            </w:r>
            <w:r>
              <w:rPr>
                <w:spacing w:val="-4"/>
                <w:sz w:val="24"/>
              </w:rPr>
              <w:t>(25)</w:t>
            </w:r>
          </w:p>
        </w:tc>
        <w:tc>
          <w:tcPr>
            <w:tcW w:w="1791" w:type="dxa"/>
          </w:tcPr>
          <w:p>
            <w:pPr>
              <w:pStyle w:val="TableParagraph"/>
              <w:spacing w:line="256" w:lineRule="exact" w:before="133"/>
              <w:ind w:left="331"/>
              <w:rPr>
                <w:sz w:val="24"/>
              </w:rPr>
            </w:pPr>
            <w:r>
              <w:rPr>
                <w:sz w:val="24"/>
              </w:rPr>
              <w:t>6.33</w:t>
            </w:r>
            <w:r>
              <w:rPr>
                <w:spacing w:val="-7"/>
                <w:sz w:val="24"/>
              </w:rPr>
              <w:t> </w:t>
            </w:r>
            <w:r>
              <w:rPr>
                <w:sz w:val="24"/>
              </w:rPr>
              <w:t>±</w:t>
            </w:r>
            <w:r>
              <w:rPr>
                <w:spacing w:val="-1"/>
                <w:sz w:val="24"/>
              </w:rPr>
              <w:t> </w:t>
            </w:r>
            <w:r>
              <w:rPr>
                <w:spacing w:val="-4"/>
                <w:sz w:val="24"/>
              </w:rPr>
              <w:t>0.76</w:t>
            </w:r>
          </w:p>
        </w:tc>
        <w:tc>
          <w:tcPr>
            <w:tcW w:w="1217" w:type="dxa"/>
          </w:tcPr>
          <w:p>
            <w:pPr>
              <w:pStyle w:val="TableParagraph"/>
              <w:spacing w:line="256" w:lineRule="exact" w:before="133"/>
              <w:ind w:left="4" w:right="167"/>
              <w:jc w:val="center"/>
              <w:rPr>
                <w:sz w:val="24"/>
              </w:rPr>
            </w:pPr>
            <w:r>
              <w:rPr>
                <w:spacing w:val="-5"/>
                <w:sz w:val="24"/>
              </w:rPr>
              <w:t>0/6</w:t>
            </w:r>
          </w:p>
        </w:tc>
        <w:tc>
          <w:tcPr>
            <w:tcW w:w="1800" w:type="dxa"/>
          </w:tcPr>
          <w:p>
            <w:pPr>
              <w:pStyle w:val="TableParagraph"/>
              <w:spacing w:line="256" w:lineRule="exact" w:before="133"/>
              <w:ind w:left="540"/>
              <w:rPr>
                <w:sz w:val="24"/>
              </w:rPr>
            </w:pPr>
            <w:r>
              <w:rPr>
                <w:spacing w:val="-5"/>
                <w:sz w:val="24"/>
              </w:rPr>
              <w:t>0.0</w:t>
            </w:r>
          </w:p>
        </w:tc>
        <w:tc>
          <w:tcPr>
            <w:tcW w:w="1311" w:type="dxa"/>
          </w:tcPr>
          <w:p>
            <w:pPr>
              <w:pStyle w:val="TableParagraph"/>
              <w:spacing w:line="256" w:lineRule="exact" w:before="133"/>
              <w:ind w:right="46"/>
              <w:jc w:val="right"/>
              <w:rPr>
                <w:sz w:val="24"/>
              </w:rPr>
            </w:pPr>
            <w:r>
              <w:rPr>
                <w:spacing w:val="-5"/>
                <w:sz w:val="24"/>
              </w:rPr>
              <w:t>0.0</w:t>
            </w:r>
          </w:p>
        </w:tc>
      </w:tr>
    </w:tbl>
    <w:p>
      <w:pPr>
        <w:pStyle w:val="BodyText"/>
        <w:rPr>
          <w:b/>
          <w:sz w:val="20"/>
        </w:rPr>
      </w:pPr>
    </w:p>
    <w:p>
      <w:pPr>
        <w:pStyle w:val="BodyText"/>
        <w:rPr>
          <w:b/>
          <w:sz w:val="20"/>
        </w:rPr>
      </w:pPr>
    </w:p>
    <w:p>
      <w:pPr>
        <w:pStyle w:val="BodyText"/>
        <w:spacing w:before="149" w:after="1"/>
        <w:rPr>
          <w:b/>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gridCol w:w="1701"/>
        <w:gridCol w:w="1217"/>
        <w:gridCol w:w="1802"/>
        <w:gridCol w:w="1310"/>
      </w:tblGrid>
      <w:tr>
        <w:trPr>
          <w:trHeight w:val="408" w:hRule="atLeast"/>
        </w:trPr>
        <w:tc>
          <w:tcPr>
            <w:tcW w:w="1642" w:type="dxa"/>
          </w:tcPr>
          <w:p>
            <w:pPr>
              <w:pStyle w:val="TableParagraph"/>
              <w:spacing w:line="266" w:lineRule="exact"/>
              <w:ind w:left="50"/>
              <w:rPr>
                <w:sz w:val="24"/>
              </w:rPr>
            </w:pPr>
            <w:r>
              <w:rPr>
                <w:sz w:val="24"/>
              </w:rPr>
              <w:t>DCP23</w:t>
            </w:r>
            <w:r>
              <w:rPr>
                <w:spacing w:val="-1"/>
                <w:sz w:val="24"/>
              </w:rPr>
              <w:t> </w:t>
            </w:r>
            <w:r>
              <w:rPr>
                <w:spacing w:val="-2"/>
                <w:sz w:val="24"/>
              </w:rPr>
              <w:t>(12.5)</w:t>
            </w:r>
          </w:p>
        </w:tc>
        <w:tc>
          <w:tcPr>
            <w:tcW w:w="1701" w:type="dxa"/>
          </w:tcPr>
          <w:p>
            <w:pPr>
              <w:pStyle w:val="TableParagraph"/>
              <w:spacing w:line="266" w:lineRule="exact"/>
              <w:ind w:left="239"/>
              <w:rPr>
                <w:sz w:val="24"/>
              </w:rPr>
            </w:pPr>
            <w:r>
              <w:rPr>
                <w:sz w:val="24"/>
              </w:rPr>
              <w:t>6.83</w:t>
            </w:r>
            <w:r>
              <w:rPr>
                <w:spacing w:val="-7"/>
                <w:sz w:val="24"/>
              </w:rPr>
              <w:t> </w:t>
            </w:r>
            <w:r>
              <w:rPr>
                <w:sz w:val="24"/>
              </w:rPr>
              <w:t>±</w:t>
            </w:r>
            <w:r>
              <w:rPr>
                <w:spacing w:val="-1"/>
                <w:sz w:val="24"/>
              </w:rPr>
              <w:t> </w:t>
            </w:r>
            <w:r>
              <w:rPr>
                <w:spacing w:val="-4"/>
                <w:sz w:val="24"/>
              </w:rPr>
              <w:t>0.31</w:t>
            </w:r>
          </w:p>
        </w:tc>
        <w:tc>
          <w:tcPr>
            <w:tcW w:w="1217" w:type="dxa"/>
          </w:tcPr>
          <w:p>
            <w:pPr>
              <w:pStyle w:val="TableParagraph"/>
              <w:spacing w:line="266" w:lineRule="exact"/>
              <w:ind w:right="167"/>
              <w:jc w:val="center"/>
              <w:rPr>
                <w:sz w:val="24"/>
              </w:rPr>
            </w:pPr>
            <w:r>
              <w:rPr>
                <w:spacing w:val="-5"/>
                <w:sz w:val="24"/>
              </w:rPr>
              <w:t>0/6</w:t>
            </w:r>
          </w:p>
        </w:tc>
        <w:tc>
          <w:tcPr>
            <w:tcW w:w="1802" w:type="dxa"/>
          </w:tcPr>
          <w:p>
            <w:pPr>
              <w:pStyle w:val="TableParagraph"/>
              <w:spacing w:line="266" w:lineRule="exact"/>
              <w:ind w:left="538"/>
              <w:rPr>
                <w:sz w:val="24"/>
              </w:rPr>
            </w:pPr>
            <w:r>
              <w:rPr>
                <w:spacing w:val="-5"/>
                <w:sz w:val="24"/>
              </w:rPr>
              <w:t>0.0</w:t>
            </w:r>
          </w:p>
        </w:tc>
        <w:tc>
          <w:tcPr>
            <w:tcW w:w="1310" w:type="dxa"/>
          </w:tcPr>
          <w:p>
            <w:pPr>
              <w:pStyle w:val="TableParagraph"/>
              <w:spacing w:line="266" w:lineRule="exact"/>
              <w:ind w:right="48"/>
              <w:jc w:val="right"/>
              <w:rPr>
                <w:sz w:val="24"/>
              </w:rPr>
            </w:pPr>
            <w:r>
              <w:rPr>
                <w:spacing w:val="-5"/>
                <w:sz w:val="24"/>
              </w:rPr>
              <w:t>0.0</w:t>
            </w:r>
          </w:p>
        </w:tc>
      </w:tr>
      <w:tr>
        <w:trPr>
          <w:trHeight w:val="552" w:hRule="atLeast"/>
        </w:trPr>
        <w:tc>
          <w:tcPr>
            <w:tcW w:w="1642" w:type="dxa"/>
          </w:tcPr>
          <w:p>
            <w:pPr>
              <w:pStyle w:val="TableParagraph"/>
              <w:spacing w:before="133"/>
              <w:ind w:left="50"/>
              <w:rPr>
                <w:sz w:val="24"/>
              </w:rPr>
            </w:pPr>
            <w:r>
              <w:rPr>
                <w:sz w:val="24"/>
              </w:rPr>
              <w:t>DCP25</w:t>
            </w:r>
            <w:r>
              <w:rPr>
                <w:spacing w:val="-1"/>
                <w:sz w:val="24"/>
              </w:rPr>
              <w:t> </w:t>
            </w:r>
            <w:r>
              <w:rPr>
                <w:spacing w:val="-2"/>
                <w:sz w:val="24"/>
              </w:rPr>
              <w:t>(12.5)</w:t>
            </w:r>
          </w:p>
        </w:tc>
        <w:tc>
          <w:tcPr>
            <w:tcW w:w="1701" w:type="dxa"/>
          </w:tcPr>
          <w:p>
            <w:pPr>
              <w:pStyle w:val="TableParagraph"/>
              <w:spacing w:before="133"/>
              <w:ind w:left="240"/>
              <w:rPr>
                <w:sz w:val="24"/>
              </w:rPr>
            </w:pPr>
            <w:r>
              <w:rPr>
                <w:sz w:val="24"/>
              </w:rPr>
              <w:t>7.17</w:t>
            </w:r>
            <w:r>
              <w:rPr>
                <w:spacing w:val="-7"/>
                <w:sz w:val="24"/>
              </w:rPr>
              <w:t> </w:t>
            </w:r>
            <w:r>
              <w:rPr>
                <w:sz w:val="24"/>
              </w:rPr>
              <w:t>±</w:t>
            </w:r>
            <w:r>
              <w:rPr>
                <w:spacing w:val="-1"/>
                <w:sz w:val="24"/>
              </w:rPr>
              <w:t> </w:t>
            </w:r>
            <w:r>
              <w:rPr>
                <w:spacing w:val="-4"/>
                <w:sz w:val="24"/>
              </w:rPr>
              <w:t>0.54</w:t>
            </w:r>
          </w:p>
        </w:tc>
        <w:tc>
          <w:tcPr>
            <w:tcW w:w="1217" w:type="dxa"/>
          </w:tcPr>
          <w:p>
            <w:pPr>
              <w:pStyle w:val="TableParagraph"/>
              <w:spacing w:before="133"/>
              <w:ind w:right="167"/>
              <w:jc w:val="center"/>
              <w:rPr>
                <w:sz w:val="24"/>
              </w:rPr>
            </w:pPr>
            <w:r>
              <w:rPr>
                <w:spacing w:val="-5"/>
                <w:sz w:val="24"/>
              </w:rPr>
              <w:t>0/6</w:t>
            </w:r>
          </w:p>
        </w:tc>
        <w:tc>
          <w:tcPr>
            <w:tcW w:w="1802" w:type="dxa"/>
          </w:tcPr>
          <w:p>
            <w:pPr>
              <w:pStyle w:val="TableParagraph"/>
              <w:spacing w:before="133"/>
              <w:ind w:left="541"/>
              <w:rPr>
                <w:sz w:val="24"/>
              </w:rPr>
            </w:pPr>
            <w:r>
              <w:rPr>
                <w:spacing w:val="-5"/>
                <w:sz w:val="24"/>
              </w:rPr>
              <w:t>0.0</w:t>
            </w:r>
          </w:p>
        </w:tc>
        <w:tc>
          <w:tcPr>
            <w:tcW w:w="1310" w:type="dxa"/>
          </w:tcPr>
          <w:p>
            <w:pPr>
              <w:pStyle w:val="TableParagraph"/>
              <w:spacing w:before="133"/>
              <w:ind w:right="53"/>
              <w:jc w:val="right"/>
              <w:rPr>
                <w:sz w:val="24"/>
              </w:rPr>
            </w:pPr>
            <w:r>
              <w:rPr>
                <w:spacing w:val="-5"/>
                <w:sz w:val="24"/>
              </w:rPr>
              <w:t>0.0</w:t>
            </w:r>
          </w:p>
        </w:tc>
      </w:tr>
      <w:tr>
        <w:trPr>
          <w:trHeight w:val="408" w:hRule="atLeast"/>
        </w:trPr>
        <w:tc>
          <w:tcPr>
            <w:tcW w:w="1642" w:type="dxa"/>
          </w:tcPr>
          <w:p>
            <w:pPr>
              <w:pStyle w:val="TableParagraph"/>
              <w:spacing w:line="256" w:lineRule="exact" w:before="133"/>
              <w:ind w:left="50"/>
              <w:rPr>
                <w:sz w:val="24"/>
              </w:rPr>
            </w:pPr>
            <w:r>
              <w:rPr>
                <w:sz w:val="24"/>
              </w:rPr>
              <w:t>DCP34</w:t>
            </w:r>
            <w:r>
              <w:rPr>
                <w:spacing w:val="-3"/>
                <w:sz w:val="24"/>
              </w:rPr>
              <w:t> </w:t>
            </w:r>
            <w:r>
              <w:rPr>
                <w:spacing w:val="-2"/>
                <w:sz w:val="24"/>
              </w:rPr>
              <w:t>(12.5)</w:t>
            </w:r>
          </w:p>
        </w:tc>
        <w:tc>
          <w:tcPr>
            <w:tcW w:w="1701" w:type="dxa"/>
          </w:tcPr>
          <w:p>
            <w:pPr>
              <w:pStyle w:val="TableParagraph"/>
              <w:spacing w:line="256" w:lineRule="exact" w:before="133"/>
              <w:ind w:left="240"/>
              <w:rPr>
                <w:sz w:val="24"/>
              </w:rPr>
            </w:pPr>
            <w:r>
              <w:rPr>
                <w:sz w:val="24"/>
              </w:rPr>
              <w:t>6.33</w:t>
            </w:r>
            <w:r>
              <w:rPr>
                <w:spacing w:val="-7"/>
                <w:sz w:val="24"/>
              </w:rPr>
              <w:t> </w:t>
            </w:r>
            <w:r>
              <w:rPr>
                <w:sz w:val="24"/>
              </w:rPr>
              <w:t>±</w:t>
            </w:r>
            <w:r>
              <w:rPr>
                <w:spacing w:val="-1"/>
                <w:sz w:val="24"/>
              </w:rPr>
              <w:t> </w:t>
            </w:r>
            <w:r>
              <w:rPr>
                <w:spacing w:val="-4"/>
                <w:sz w:val="24"/>
              </w:rPr>
              <w:t>0.61</w:t>
            </w:r>
          </w:p>
        </w:tc>
        <w:tc>
          <w:tcPr>
            <w:tcW w:w="1217" w:type="dxa"/>
          </w:tcPr>
          <w:p>
            <w:pPr>
              <w:pStyle w:val="TableParagraph"/>
              <w:spacing w:line="256" w:lineRule="exact" w:before="133"/>
              <w:ind w:right="167"/>
              <w:jc w:val="center"/>
              <w:rPr>
                <w:sz w:val="24"/>
              </w:rPr>
            </w:pPr>
            <w:r>
              <w:rPr>
                <w:spacing w:val="-5"/>
                <w:sz w:val="24"/>
              </w:rPr>
              <w:t>0/6</w:t>
            </w:r>
          </w:p>
        </w:tc>
        <w:tc>
          <w:tcPr>
            <w:tcW w:w="1802" w:type="dxa"/>
          </w:tcPr>
          <w:p>
            <w:pPr>
              <w:pStyle w:val="TableParagraph"/>
              <w:spacing w:line="256" w:lineRule="exact" w:before="133"/>
              <w:ind w:left="541"/>
              <w:rPr>
                <w:sz w:val="24"/>
              </w:rPr>
            </w:pPr>
            <w:r>
              <w:rPr>
                <w:spacing w:val="-5"/>
                <w:sz w:val="24"/>
              </w:rPr>
              <w:t>0.0</w:t>
            </w:r>
          </w:p>
        </w:tc>
        <w:tc>
          <w:tcPr>
            <w:tcW w:w="1310" w:type="dxa"/>
          </w:tcPr>
          <w:p>
            <w:pPr>
              <w:pStyle w:val="TableParagraph"/>
              <w:spacing w:line="256" w:lineRule="exact" w:before="133"/>
              <w:ind w:right="48"/>
              <w:jc w:val="right"/>
              <w:rPr>
                <w:sz w:val="24"/>
              </w:rPr>
            </w:pPr>
            <w:r>
              <w:rPr>
                <w:spacing w:val="-5"/>
                <w:sz w:val="24"/>
              </w:rPr>
              <w:t>0.0</w:t>
            </w:r>
          </w:p>
        </w:tc>
      </w:tr>
    </w:tbl>
    <w:p>
      <w:pPr>
        <w:pStyle w:val="BodyText"/>
        <w:rPr>
          <w:b/>
        </w:rPr>
      </w:pPr>
    </w:p>
    <w:p>
      <w:pPr>
        <w:pStyle w:val="BodyText"/>
        <w:rPr>
          <w:b/>
        </w:rPr>
      </w:pPr>
    </w:p>
    <w:p>
      <w:pPr>
        <w:pStyle w:val="BodyText"/>
        <w:spacing w:before="2"/>
        <w:rPr>
          <w:b/>
        </w:rPr>
      </w:pPr>
    </w:p>
    <w:p>
      <w:pPr>
        <w:pStyle w:val="BodyText"/>
        <w:tabs>
          <w:tab w:pos="2449" w:val="left" w:leader="none"/>
          <w:tab w:pos="4439" w:val="left" w:leader="none"/>
          <w:tab w:pos="5770" w:val="left" w:leader="none"/>
          <w:tab w:pos="8305" w:val="right" w:leader="none"/>
        </w:tabs>
        <w:ind w:left="681"/>
        <w:jc w:val="both"/>
      </w:pPr>
      <w:r>
        <w:rPr/>
        <mc:AlternateContent>
          <mc:Choice Requires="wps">
            <w:drawing>
              <wp:anchor distT="0" distB="0" distL="0" distR="0" allowOverlap="1" layoutInCell="1" locked="0" behindDoc="0" simplePos="0" relativeHeight="15799808">
                <wp:simplePos x="0" y="0"/>
                <wp:positionH relativeFrom="page">
                  <wp:posOffset>1371600</wp:posOffset>
                </wp:positionH>
                <wp:positionV relativeFrom="paragraph">
                  <wp:posOffset>241006</wp:posOffset>
                </wp:positionV>
                <wp:extent cx="5600700" cy="127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5600700" cy="1270"/>
                        </a:xfrm>
                        <a:custGeom>
                          <a:avLst/>
                          <a:gdLst/>
                          <a:ahLst/>
                          <a:cxnLst/>
                          <a:rect l="l" t="t" r="r" b="b"/>
                          <a:pathLst>
                            <a:path w="5600700" h="0">
                              <a:moveTo>
                                <a:pt x="0" y="0"/>
                              </a:moveTo>
                              <a:lnTo>
                                <a:pt x="5600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9808" from="108pt,18.976875pt" to="549pt,18.976875pt" stroked="true" strokeweight=".75pt" strokecolor="#000000">
                <v:stroke dashstyle="solid"/>
                <w10:wrap type="none"/>
              </v:line>
            </w:pict>
          </mc:Fallback>
        </mc:AlternateContent>
      </w:r>
      <w:r>
        <w:rPr/>
        <w:t>PHB </w:t>
      </w:r>
      <w:r>
        <w:rPr>
          <w:spacing w:val="-4"/>
        </w:rPr>
        <w:t>(30)</w:t>
      </w:r>
      <w:r>
        <w:rPr/>
        <w:tab/>
        <w:t>14.83 ±</w:t>
      </w:r>
      <w:r>
        <w:rPr>
          <w:spacing w:val="-1"/>
        </w:rPr>
        <w:t> </w:t>
      </w:r>
      <w:r>
        <w:rPr>
          <w:spacing w:val="-4"/>
        </w:rPr>
        <w:t>1.49*</w:t>
      </w:r>
      <w:r>
        <w:rPr/>
        <w:tab/>
      </w:r>
      <w:r>
        <w:rPr>
          <w:spacing w:val="-5"/>
        </w:rPr>
        <w:t>0/6</w:t>
      </w:r>
      <w:r>
        <w:rPr/>
        <w:tab/>
      </w:r>
      <w:r>
        <w:rPr>
          <w:spacing w:val="-5"/>
        </w:rPr>
        <w:t>0.0</w:t>
      </w:r>
      <w:r>
        <w:rPr/>
        <w:tab/>
      </w:r>
      <w:r>
        <w:rPr>
          <w:spacing w:val="-4"/>
        </w:rPr>
        <w:t>66.7</w:t>
      </w:r>
    </w:p>
    <w:p>
      <w:pPr>
        <w:pStyle w:val="BodyText"/>
        <w:spacing w:before="276"/>
        <w:ind w:left="681" w:right="270"/>
        <w:jc w:val="both"/>
      </w:pPr>
      <w:r>
        <w:rPr/>
        <w:t>Values</w:t>
      </w:r>
      <w:r>
        <w:rPr>
          <w:spacing w:val="-1"/>
        </w:rPr>
        <w:t> </w:t>
      </w:r>
      <w:r>
        <w:rPr/>
        <w:t>are presented as</w:t>
      </w:r>
      <w:r>
        <w:rPr>
          <w:spacing w:val="-1"/>
        </w:rPr>
        <w:t> </w:t>
      </w:r>
      <w:r>
        <w:rPr/>
        <w:t>Mean</w:t>
      </w:r>
      <w:r>
        <w:rPr>
          <w:spacing w:val="-4"/>
        </w:rPr>
        <w:t> </w:t>
      </w:r>
      <w:r>
        <w:rPr/>
        <w:t>±</w:t>
      </w:r>
      <w:r>
        <w:rPr>
          <w:spacing w:val="-1"/>
        </w:rPr>
        <w:t> </w:t>
      </w:r>
      <w:r>
        <w:rPr/>
        <w:t>SEM, n = 6;</w:t>
      </w:r>
      <w:r>
        <w:rPr>
          <w:spacing w:val="-4"/>
        </w:rPr>
        <w:t> </w:t>
      </w:r>
      <w:r>
        <w:rPr/>
        <w:t>DCP23, DCP25 and DCP34 = 2,3-, 2,5- and 3,4- Dichloro – 3(aminophenyl) propanamides respectively, PHB = Phenobabitone; Control = 30% propylene glycol, 70% distil water; Significant difference in the mean onset of seizures between control (vehicle) group and treated groups at *p&lt;0.05 (ANOVA) followed by Post hoc (Scheffe) for multiple comparism.</w:t>
      </w:r>
    </w:p>
    <w:p>
      <w:pPr>
        <w:spacing w:after="0"/>
        <w:jc w:val="both"/>
        <w:sectPr>
          <w:pgSz w:w="12240" w:h="15840"/>
          <w:pgMar w:header="0" w:footer="1066" w:top="1360" w:bottom="1260" w:left="1480" w:right="1160"/>
        </w:sectPr>
      </w:pPr>
    </w:p>
    <w:p>
      <w:pPr>
        <w:pStyle w:val="Heading2"/>
        <w:numPr>
          <w:ilvl w:val="2"/>
          <w:numId w:val="14"/>
        </w:numPr>
        <w:tabs>
          <w:tab w:pos="1222" w:val="left" w:leader="none"/>
        </w:tabs>
        <w:spacing w:line="240" w:lineRule="auto" w:before="77" w:after="0"/>
        <w:ind w:left="1222" w:right="0" w:hanging="541"/>
        <w:jc w:val="both"/>
      </w:pPr>
      <w:bookmarkStart w:name="_TOC_250016" w:id="68"/>
      <w:r>
        <w:rPr/>
        <w:t>Picrotoxin-induced</w:t>
      </w:r>
      <w:r>
        <w:rPr>
          <w:spacing w:val="-6"/>
        </w:rPr>
        <w:t> </w:t>
      </w:r>
      <w:r>
        <w:rPr/>
        <w:t>seizure</w:t>
      </w:r>
      <w:r>
        <w:rPr>
          <w:spacing w:val="-5"/>
        </w:rPr>
        <w:t> </w:t>
      </w:r>
      <w:r>
        <w:rPr/>
        <w:t>in</w:t>
      </w:r>
      <w:r>
        <w:rPr>
          <w:spacing w:val="-3"/>
        </w:rPr>
        <w:t> </w:t>
      </w:r>
      <w:bookmarkEnd w:id="68"/>
      <w:r>
        <w:rPr>
          <w:spacing w:val="-4"/>
        </w:rPr>
        <w:t>mice</w:t>
      </w:r>
    </w:p>
    <w:p>
      <w:pPr>
        <w:pStyle w:val="BodyText"/>
        <w:spacing w:line="480" w:lineRule="auto" w:before="271"/>
        <w:ind w:left="681" w:right="274"/>
        <w:jc w:val="both"/>
      </w:pPr>
      <w:r>
        <w:rPr/>
        <w:t>Picrotoxin is a non-competitive GABA antagonist that blocks the chloride channel. In Picrotoxin-induced seizure test there was good protection offered by DCP23 and DCP25 against clonic convulsion and mortality. The percentage protections recorded at the dose of 50 mg/kg for DCP23 and DCP25 were 66.7% and 83.3%, respectively, while at 25 mg/kg the protections were 50.0% (DCP23) and 66.7% (DCP25). Where as, protection against mortality at 50 mg/kg was 100% for both DCP23 and DCP25;</w:t>
      </w:r>
      <w:r>
        <w:rPr>
          <w:spacing w:val="-1"/>
        </w:rPr>
        <w:t> </w:t>
      </w:r>
      <w:r>
        <w:rPr/>
        <w:t>while at 25 mg/kg the protections were 50% and 66.7% for DCP23 and DCP25 respectively. However, the compounds did offer protection against convulsion and mortality at 12.5 mg/kg. Diazepam at the dose of 10 mg/kg gave 100% protection against convulsion. Also, DCP25 at doses of 50 mg/kg and 25 mg/kg showed statistically significant (p&lt;0.005) difference as compared to the control. Similarly, DCP23 showed statistical significant (p&lt;0.05) difference at 50 mg/kg only (Table 4.17).</w:t>
      </w:r>
    </w:p>
    <w:p>
      <w:pPr>
        <w:spacing w:after="0" w:line="480" w:lineRule="auto"/>
        <w:jc w:val="both"/>
        <w:sectPr>
          <w:pgSz w:w="12240" w:h="15840"/>
          <w:pgMar w:header="0" w:footer="1066" w:top="1360" w:bottom="1260" w:left="1480" w:right="1160"/>
        </w:sectPr>
      </w:pPr>
    </w:p>
    <w:p>
      <w:pPr>
        <w:pStyle w:val="Heading2"/>
        <w:spacing w:line="480" w:lineRule="auto" w:before="77"/>
        <w:jc w:val="left"/>
      </w:pPr>
      <w:r>
        <w:rPr/>
        <w:t>Table</w:t>
      </w:r>
      <w:r>
        <w:rPr>
          <w:spacing w:val="40"/>
        </w:rPr>
        <w:t> </w:t>
      </w:r>
      <w:r>
        <w:rPr/>
        <w:t>4.17:</w:t>
      </w:r>
      <w:r>
        <w:rPr>
          <w:spacing w:val="40"/>
        </w:rPr>
        <w:t> </w:t>
      </w:r>
      <w:r>
        <w:rPr/>
        <w:t>Effect</w:t>
      </w:r>
      <w:r>
        <w:rPr>
          <w:spacing w:val="40"/>
        </w:rPr>
        <w:t> </w:t>
      </w:r>
      <w:r>
        <w:rPr/>
        <w:t>of</w:t>
      </w:r>
      <w:r>
        <w:rPr>
          <w:spacing w:val="40"/>
        </w:rPr>
        <w:t> </w:t>
      </w:r>
      <w:r>
        <w:rPr/>
        <w:t>DCP23,</w:t>
      </w:r>
      <w:r>
        <w:rPr>
          <w:spacing w:val="40"/>
        </w:rPr>
        <w:t> </w:t>
      </w:r>
      <w:r>
        <w:rPr/>
        <w:t>DCP25</w:t>
      </w:r>
      <w:r>
        <w:rPr>
          <w:spacing w:val="40"/>
        </w:rPr>
        <w:t> </w:t>
      </w:r>
      <w:r>
        <w:rPr/>
        <w:t>and</w:t>
      </w:r>
      <w:r>
        <w:rPr>
          <w:spacing w:val="40"/>
        </w:rPr>
        <w:t> </w:t>
      </w:r>
      <w:r>
        <w:rPr/>
        <w:t>DCP34</w:t>
      </w:r>
      <w:r>
        <w:rPr>
          <w:spacing w:val="40"/>
        </w:rPr>
        <w:t> </w:t>
      </w:r>
      <w:r>
        <w:rPr/>
        <w:t>and</w:t>
      </w:r>
      <w:r>
        <w:rPr>
          <w:spacing w:val="40"/>
        </w:rPr>
        <w:t> </w:t>
      </w:r>
      <w:r>
        <w:rPr/>
        <w:t>Diazepam</w:t>
      </w:r>
      <w:r>
        <w:rPr>
          <w:spacing w:val="40"/>
        </w:rPr>
        <w:t> </w:t>
      </w:r>
      <w:r>
        <w:rPr/>
        <w:t>on</w:t>
      </w:r>
      <w:r>
        <w:rPr>
          <w:spacing w:val="40"/>
        </w:rPr>
        <w:t> </w:t>
      </w:r>
      <w:r>
        <w:rPr/>
        <w:t>Picrotoxin- induced Seizures in Mice</w:t>
      </w:r>
    </w:p>
    <w:p>
      <w:pPr>
        <w:pStyle w:val="BodyText"/>
        <w:spacing w:before="9"/>
        <w:rPr>
          <w:b/>
          <w:sz w:val="12"/>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7"/>
        <w:gridCol w:w="2017"/>
        <w:gridCol w:w="1264"/>
        <w:gridCol w:w="2344"/>
        <w:gridCol w:w="1877"/>
      </w:tblGrid>
      <w:tr>
        <w:trPr>
          <w:trHeight w:val="981" w:hRule="atLeast"/>
        </w:trPr>
        <w:tc>
          <w:tcPr>
            <w:tcW w:w="1137" w:type="dxa"/>
            <w:tcBorders>
              <w:top w:val="single" w:sz="6" w:space="0" w:color="000000"/>
              <w:bottom w:val="single" w:sz="6" w:space="0" w:color="000000"/>
            </w:tcBorders>
          </w:tcPr>
          <w:p>
            <w:pPr>
              <w:pStyle w:val="TableParagraph"/>
              <w:spacing w:line="242" w:lineRule="auto" w:before="115"/>
              <w:ind w:right="148"/>
              <w:rPr>
                <w:sz w:val="24"/>
              </w:rPr>
            </w:pPr>
            <w:r>
              <w:rPr>
                <w:spacing w:val="-2"/>
                <w:sz w:val="24"/>
              </w:rPr>
              <w:t>Treatment (mg/kg)</w:t>
            </w:r>
          </w:p>
        </w:tc>
        <w:tc>
          <w:tcPr>
            <w:tcW w:w="2017" w:type="dxa"/>
            <w:tcBorders>
              <w:top w:val="single" w:sz="6" w:space="0" w:color="000000"/>
              <w:bottom w:val="single" w:sz="6" w:space="0" w:color="000000"/>
            </w:tcBorders>
          </w:tcPr>
          <w:p>
            <w:pPr>
              <w:pStyle w:val="TableParagraph"/>
              <w:spacing w:before="115"/>
              <w:ind w:left="153"/>
              <w:rPr>
                <w:sz w:val="24"/>
              </w:rPr>
            </w:pPr>
            <w:r>
              <w:rPr>
                <w:sz w:val="24"/>
              </w:rPr>
              <w:t>Mean</w:t>
            </w:r>
            <w:r>
              <w:rPr>
                <w:spacing w:val="-8"/>
                <w:sz w:val="24"/>
              </w:rPr>
              <w:t> </w:t>
            </w:r>
            <w:r>
              <w:rPr>
                <w:spacing w:val="-2"/>
                <w:sz w:val="24"/>
              </w:rPr>
              <w:t>Latency</w:t>
            </w:r>
          </w:p>
          <w:p>
            <w:pPr>
              <w:pStyle w:val="TableParagraph"/>
              <w:spacing w:before="2"/>
              <w:ind w:left="179"/>
              <w:rPr>
                <w:sz w:val="24"/>
              </w:rPr>
            </w:pPr>
            <w:r>
              <w:rPr>
                <w:sz w:val="24"/>
              </w:rPr>
              <w:t>of</w:t>
            </w:r>
            <w:r>
              <w:rPr>
                <w:spacing w:val="-8"/>
                <w:sz w:val="24"/>
              </w:rPr>
              <w:t> </w:t>
            </w:r>
            <w:r>
              <w:rPr>
                <w:sz w:val="24"/>
              </w:rPr>
              <w:t>Seizures</w:t>
            </w:r>
            <w:r>
              <w:rPr>
                <w:spacing w:val="-2"/>
                <w:sz w:val="24"/>
              </w:rPr>
              <w:t> (min)</w:t>
            </w:r>
          </w:p>
        </w:tc>
        <w:tc>
          <w:tcPr>
            <w:tcW w:w="1264" w:type="dxa"/>
            <w:tcBorders>
              <w:top w:val="single" w:sz="6" w:space="0" w:color="000000"/>
              <w:bottom w:val="single" w:sz="6" w:space="0" w:color="000000"/>
            </w:tcBorders>
          </w:tcPr>
          <w:p>
            <w:pPr>
              <w:pStyle w:val="TableParagraph"/>
              <w:spacing w:line="242" w:lineRule="auto" w:before="115"/>
              <w:ind w:left="188" w:right="89" w:hanging="10"/>
              <w:rPr>
                <w:sz w:val="24"/>
              </w:rPr>
            </w:pPr>
            <w:r>
              <w:rPr>
                <w:spacing w:val="-2"/>
                <w:sz w:val="24"/>
              </w:rPr>
              <w:t>Quantal Protection</w:t>
            </w:r>
          </w:p>
        </w:tc>
        <w:tc>
          <w:tcPr>
            <w:tcW w:w="2344" w:type="dxa"/>
            <w:tcBorders>
              <w:top w:val="single" w:sz="6" w:space="0" w:color="000000"/>
              <w:bottom w:val="single" w:sz="6" w:space="0" w:color="000000"/>
            </w:tcBorders>
          </w:tcPr>
          <w:p>
            <w:pPr>
              <w:pStyle w:val="TableParagraph"/>
              <w:spacing w:line="242" w:lineRule="auto" w:before="115"/>
              <w:ind w:left="151" w:hanging="60"/>
              <w:rPr>
                <w:sz w:val="24"/>
              </w:rPr>
            </w:pPr>
            <w:r>
              <w:rPr>
                <w:sz w:val="24"/>
              </w:rPr>
              <w:t>(%)</w:t>
            </w:r>
            <w:r>
              <w:rPr>
                <w:spacing w:val="-15"/>
                <w:sz w:val="24"/>
              </w:rPr>
              <w:t> </w:t>
            </w:r>
            <w:r>
              <w:rPr>
                <w:sz w:val="24"/>
              </w:rPr>
              <w:t>Protection</w:t>
            </w:r>
            <w:r>
              <w:rPr>
                <w:spacing w:val="-15"/>
                <w:sz w:val="24"/>
              </w:rPr>
              <w:t> </w:t>
            </w:r>
            <w:r>
              <w:rPr>
                <w:sz w:val="24"/>
              </w:rPr>
              <w:t>against </w:t>
            </w:r>
            <w:r>
              <w:rPr>
                <w:spacing w:val="-2"/>
                <w:sz w:val="24"/>
              </w:rPr>
              <w:t>Seizures</w:t>
            </w:r>
          </w:p>
        </w:tc>
        <w:tc>
          <w:tcPr>
            <w:tcW w:w="1877" w:type="dxa"/>
            <w:tcBorders>
              <w:top w:val="single" w:sz="6" w:space="0" w:color="000000"/>
              <w:bottom w:val="single" w:sz="6" w:space="0" w:color="000000"/>
            </w:tcBorders>
          </w:tcPr>
          <w:p>
            <w:pPr>
              <w:pStyle w:val="TableParagraph"/>
              <w:spacing w:line="242" w:lineRule="auto" w:before="115"/>
              <w:ind w:left="117" w:firstLine="15"/>
              <w:rPr>
                <w:sz w:val="24"/>
              </w:rPr>
            </w:pPr>
            <w:r>
              <w:rPr>
                <w:spacing w:val="-2"/>
                <w:sz w:val="24"/>
              </w:rPr>
              <w:t>Protection</w:t>
            </w:r>
            <w:r>
              <w:rPr>
                <w:spacing w:val="-13"/>
                <w:sz w:val="24"/>
              </w:rPr>
              <w:t> </w:t>
            </w:r>
            <w:r>
              <w:rPr>
                <w:spacing w:val="-2"/>
                <w:sz w:val="24"/>
              </w:rPr>
              <w:t>against </w:t>
            </w:r>
            <w:r>
              <w:rPr>
                <w:sz w:val="24"/>
              </w:rPr>
              <w:t>Mortality (%)</w:t>
            </w:r>
          </w:p>
        </w:tc>
      </w:tr>
      <w:tr>
        <w:trPr>
          <w:trHeight w:val="499" w:hRule="atLeast"/>
        </w:trPr>
        <w:tc>
          <w:tcPr>
            <w:tcW w:w="1137" w:type="dxa"/>
            <w:tcBorders>
              <w:top w:val="single" w:sz="6" w:space="0" w:color="000000"/>
            </w:tcBorders>
          </w:tcPr>
          <w:p>
            <w:pPr>
              <w:pStyle w:val="TableParagraph"/>
              <w:spacing w:line="256" w:lineRule="exact" w:before="223"/>
              <w:rPr>
                <w:sz w:val="24"/>
              </w:rPr>
            </w:pPr>
            <w:r>
              <w:rPr>
                <w:spacing w:val="-2"/>
                <w:sz w:val="24"/>
              </w:rPr>
              <w:t>Control</w:t>
            </w:r>
          </w:p>
        </w:tc>
        <w:tc>
          <w:tcPr>
            <w:tcW w:w="2017" w:type="dxa"/>
            <w:tcBorders>
              <w:top w:val="single" w:sz="6" w:space="0" w:color="000000"/>
            </w:tcBorders>
          </w:tcPr>
          <w:p>
            <w:pPr>
              <w:pStyle w:val="TableParagraph"/>
              <w:spacing w:line="256" w:lineRule="exact" w:before="223"/>
              <w:ind w:left="443"/>
              <w:rPr>
                <w:sz w:val="24"/>
              </w:rPr>
            </w:pPr>
            <w:r>
              <w:rPr>
                <w:sz w:val="24"/>
              </w:rPr>
              <w:t>13.33</w:t>
            </w:r>
            <w:r>
              <w:rPr>
                <w:spacing w:val="-2"/>
                <w:sz w:val="24"/>
              </w:rPr>
              <w:t> </w:t>
            </w:r>
            <w:r>
              <w:rPr>
                <w:sz w:val="24"/>
              </w:rPr>
              <w:t>±</w:t>
            </w:r>
            <w:r>
              <w:rPr>
                <w:spacing w:val="-1"/>
                <w:sz w:val="24"/>
              </w:rPr>
              <w:t> </w:t>
            </w:r>
            <w:r>
              <w:rPr>
                <w:spacing w:val="-4"/>
                <w:sz w:val="24"/>
              </w:rPr>
              <w:t>0.95</w:t>
            </w:r>
          </w:p>
        </w:tc>
        <w:tc>
          <w:tcPr>
            <w:tcW w:w="1264" w:type="dxa"/>
            <w:tcBorders>
              <w:top w:val="single" w:sz="6" w:space="0" w:color="000000"/>
            </w:tcBorders>
          </w:tcPr>
          <w:p>
            <w:pPr>
              <w:pStyle w:val="TableParagraph"/>
              <w:spacing w:line="256" w:lineRule="exact" w:before="223"/>
              <w:ind w:right="59"/>
              <w:jc w:val="center"/>
              <w:rPr>
                <w:sz w:val="24"/>
              </w:rPr>
            </w:pPr>
            <w:r>
              <w:rPr>
                <w:spacing w:val="-5"/>
                <w:sz w:val="24"/>
              </w:rPr>
              <w:t>0/6</w:t>
            </w:r>
          </w:p>
        </w:tc>
        <w:tc>
          <w:tcPr>
            <w:tcW w:w="2344" w:type="dxa"/>
            <w:tcBorders>
              <w:top w:val="single" w:sz="6" w:space="0" w:color="000000"/>
            </w:tcBorders>
          </w:tcPr>
          <w:p>
            <w:pPr>
              <w:pStyle w:val="TableParagraph"/>
              <w:spacing w:line="256" w:lineRule="exact" w:before="223"/>
              <w:ind w:left="573"/>
              <w:rPr>
                <w:sz w:val="24"/>
              </w:rPr>
            </w:pPr>
            <w:r>
              <w:rPr>
                <w:spacing w:val="-5"/>
                <w:sz w:val="24"/>
              </w:rPr>
              <w:t>0.0</w:t>
            </w:r>
          </w:p>
        </w:tc>
        <w:tc>
          <w:tcPr>
            <w:tcW w:w="1877" w:type="dxa"/>
            <w:tcBorders>
              <w:top w:val="single" w:sz="6" w:space="0" w:color="000000"/>
            </w:tcBorders>
          </w:tcPr>
          <w:p>
            <w:pPr>
              <w:pStyle w:val="TableParagraph"/>
              <w:spacing w:line="256" w:lineRule="exact" w:before="223"/>
              <w:ind w:left="513"/>
              <w:rPr>
                <w:sz w:val="24"/>
              </w:rPr>
            </w:pPr>
            <w:r>
              <w:rPr>
                <w:spacing w:val="-5"/>
                <w:sz w:val="24"/>
              </w:rPr>
              <w:t>0.0</w:t>
            </w:r>
          </w:p>
        </w:tc>
      </w:tr>
    </w:tbl>
    <w:p>
      <w:pPr>
        <w:pStyle w:val="BodyText"/>
        <w:rPr>
          <w:b/>
          <w:sz w:val="20"/>
        </w:rPr>
      </w:pPr>
    </w:p>
    <w:p>
      <w:pPr>
        <w:pStyle w:val="BodyText"/>
        <w:rPr>
          <w:b/>
          <w:sz w:val="20"/>
        </w:rPr>
      </w:pPr>
    </w:p>
    <w:p>
      <w:pPr>
        <w:pStyle w:val="BodyText"/>
        <w:spacing w:before="141"/>
        <w:rPr>
          <w:b/>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1880"/>
        <w:gridCol w:w="1189"/>
        <w:gridCol w:w="1891"/>
        <w:gridCol w:w="1551"/>
      </w:tblGrid>
      <w:tr>
        <w:trPr>
          <w:trHeight w:val="408" w:hRule="atLeast"/>
        </w:trPr>
        <w:tc>
          <w:tcPr>
            <w:tcW w:w="1459" w:type="dxa"/>
          </w:tcPr>
          <w:p>
            <w:pPr>
              <w:pStyle w:val="TableParagraph"/>
              <w:spacing w:line="266" w:lineRule="exact"/>
              <w:ind w:left="50"/>
              <w:rPr>
                <w:sz w:val="24"/>
              </w:rPr>
            </w:pPr>
            <w:r>
              <w:rPr>
                <w:sz w:val="24"/>
              </w:rPr>
              <w:t>DCP23</w:t>
            </w:r>
            <w:r>
              <w:rPr>
                <w:spacing w:val="-3"/>
                <w:sz w:val="24"/>
              </w:rPr>
              <w:t> </w:t>
            </w:r>
            <w:r>
              <w:rPr>
                <w:spacing w:val="-4"/>
                <w:sz w:val="24"/>
              </w:rPr>
              <w:t>(50)</w:t>
            </w:r>
          </w:p>
        </w:tc>
        <w:tc>
          <w:tcPr>
            <w:tcW w:w="1880" w:type="dxa"/>
          </w:tcPr>
          <w:p>
            <w:pPr>
              <w:pStyle w:val="TableParagraph"/>
              <w:spacing w:line="266" w:lineRule="exact"/>
              <w:ind w:left="240"/>
              <w:rPr>
                <w:sz w:val="24"/>
              </w:rPr>
            </w:pPr>
            <w:r>
              <w:rPr>
                <w:sz w:val="24"/>
              </w:rPr>
              <w:t>20.50 ±</w:t>
            </w:r>
            <w:r>
              <w:rPr>
                <w:spacing w:val="-1"/>
                <w:sz w:val="24"/>
              </w:rPr>
              <w:t> </w:t>
            </w:r>
            <w:r>
              <w:rPr>
                <w:spacing w:val="-2"/>
                <w:sz w:val="24"/>
              </w:rPr>
              <w:t>2.50*</w:t>
            </w:r>
          </w:p>
        </w:tc>
        <w:tc>
          <w:tcPr>
            <w:tcW w:w="1189" w:type="dxa"/>
          </w:tcPr>
          <w:p>
            <w:pPr>
              <w:pStyle w:val="TableParagraph"/>
              <w:spacing w:line="266" w:lineRule="exact"/>
              <w:ind w:left="312"/>
              <w:rPr>
                <w:sz w:val="24"/>
              </w:rPr>
            </w:pPr>
            <w:r>
              <w:rPr>
                <w:spacing w:val="-5"/>
                <w:sz w:val="24"/>
              </w:rPr>
              <w:t>4/6</w:t>
            </w:r>
          </w:p>
        </w:tc>
        <w:tc>
          <w:tcPr>
            <w:tcW w:w="1891" w:type="dxa"/>
          </w:tcPr>
          <w:p>
            <w:pPr>
              <w:pStyle w:val="TableParagraph"/>
              <w:spacing w:line="266" w:lineRule="exact"/>
              <w:ind w:left="573"/>
              <w:rPr>
                <w:sz w:val="24"/>
              </w:rPr>
            </w:pPr>
            <w:r>
              <w:rPr>
                <w:spacing w:val="-4"/>
                <w:sz w:val="24"/>
              </w:rPr>
              <w:t>66.7</w:t>
            </w:r>
          </w:p>
        </w:tc>
        <w:tc>
          <w:tcPr>
            <w:tcW w:w="1551" w:type="dxa"/>
          </w:tcPr>
          <w:p>
            <w:pPr>
              <w:pStyle w:val="TableParagraph"/>
              <w:spacing w:line="266" w:lineRule="exact"/>
              <w:ind w:right="110"/>
              <w:jc w:val="right"/>
              <w:rPr>
                <w:sz w:val="24"/>
              </w:rPr>
            </w:pPr>
            <w:r>
              <w:rPr>
                <w:spacing w:val="-2"/>
                <w:sz w:val="24"/>
              </w:rPr>
              <w:t>100.0</w:t>
            </w:r>
          </w:p>
        </w:tc>
      </w:tr>
      <w:tr>
        <w:trPr>
          <w:trHeight w:val="408" w:hRule="atLeast"/>
        </w:trPr>
        <w:tc>
          <w:tcPr>
            <w:tcW w:w="1459" w:type="dxa"/>
          </w:tcPr>
          <w:p>
            <w:pPr>
              <w:pStyle w:val="TableParagraph"/>
              <w:spacing w:line="256" w:lineRule="exact" w:before="133"/>
              <w:ind w:left="50"/>
              <w:rPr>
                <w:sz w:val="24"/>
              </w:rPr>
            </w:pPr>
            <w:r>
              <w:rPr>
                <w:sz w:val="24"/>
              </w:rPr>
              <w:t>DCP25</w:t>
            </w:r>
            <w:r>
              <w:rPr>
                <w:spacing w:val="-3"/>
                <w:sz w:val="24"/>
              </w:rPr>
              <w:t> </w:t>
            </w:r>
            <w:r>
              <w:rPr>
                <w:spacing w:val="-4"/>
                <w:sz w:val="24"/>
              </w:rPr>
              <w:t>(50)</w:t>
            </w:r>
          </w:p>
        </w:tc>
        <w:tc>
          <w:tcPr>
            <w:tcW w:w="1880" w:type="dxa"/>
          </w:tcPr>
          <w:p>
            <w:pPr>
              <w:pStyle w:val="TableParagraph"/>
              <w:spacing w:line="256" w:lineRule="exact" w:before="133"/>
              <w:ind w:left="240"/>
              <w:rPr>
                <w:sz w:val="24"/>
              </w:rPr>
            </w:pPr>
            <w:r>
              <w:rPr>
                <w:sz w:val="24"/>
              </w:rPr>
              <w:t>21.00 ±</w:t>
            </w:r>
            <w:r>
              <w:rPr>
                <w:spacing w:val="-1"/>
                <w:sz w:val="24"/>
              </w:rPr>
              <w:t> </w:t>
            </w:r>
            <w:r>
              <w:rPr>
                <w:spacing w:val="-4"/>
                <w:sz w:val="24"/>
              </w:rPr>
              <w:t>00**</w:t>
            </w:r>
          </w:p>
        </w:tc>
        <w:tc>
          <w:tcPr>
            <w:tcW w:w="1189" w:type="dxa"/>
          </w:tcPr>
          <w:p>
            <w:pPr>
              <w:pStyle w:val="TableParagraph"/>
              <w:spacing w:line="256" w:lineRule="exact" w:before="133"/>
              <w:ind w:left="312"/>
              <w:rPr>
                <w:sz w:val="24"/>
              </w:rPr>
            </w:pPr>
            <w:r>
              <w:rPr>
                <w:spacing w:val="-5"/>
                <w:sz w:val="24"/>
              </w:rPr>
              <w:t>5/6</w:t>
            </w:r>
          </w:p>
        </w:tc>
        <w:tc>
          <w:tcPr>
            <w:tcW w:w="1891" w:type="dxa"/>
          </w:tcPr>
          <w:p>
            <w:pPr>
              <w:pStyle w:val="TableParagraph"/>
              <w:spacing w:line="256" w:lineRule="exact" w:before="133"/>
              <w:ind w:left="573"/>
              <w:rPr>
                <w:sz w:val="24"/>
              </w:rPr>
            </w:pPr>
            <w:r>
              <w:rPr>
                <w:spacing w:val="-4"/>
                <w:sz w:val="24"/>
              </w:rPr>
              <w:t>83.3</w:t>
            </w:r>
          </w:p>
        </w:tc>
        <w:tc>
          <w:tcPr>
            <w:tcW w:w="1551" w:type="dxa"/>
          </w:tcPr>
          <w:p>
            <w:pPr>
              <w:pStyle w:val="TableParagraph"/>
              <w:spacing w:line="256" w:lineRule="exact" w:before="133"/>
              <w:ind w:right="43"/>
              <w:jc w:val="right"/>
              <w:rPr>
                <w:sz w:val="24"/>
              </w:rPr>
            </w:pPr>
            <w:r>
              <w:rPr>
                <w:spacing w:val="-2"/>
                <w:sz w:val="24"/>
              </w:rPr>
              <w:t>100.0</w:t>
            </w:r>
          </w:p>
        </w:tc>
      </w:tr>
    </w:tbl>
    <w:p>
      <w:pPr>
        <w:pStyle w:val="BodyText"/>
        <w:rPr>
          <w:b/>
          <w:sz w:val="20"/>
        </w:rPr>
      </w:pPr>
    </w:p>
    <w:p>
      <w:pPr>
        <w:pStyle w:val="BodyText"/>
        <w:rPr>
          <w:b/>
          <w:sz w:val="20"/>
        </w:rPr>
      </w:pPr>
    </w:p>
    <w:p>
      <w:pPr>
        <w:pStyle w:val="BodyText"/>
        <w:spacing w:before="150"/>
        <w:rPr>
          <w:b/>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1971"/>
        <w:gridCol w:w="1130"/>
        <w:gridCol w:w="1890"/>
        <w:gridCol w:w="1404"/>
      </w:tblGrid>
      <w:tr>
        <w:trPr>
          <w:trHeight w:val="408" w:hRule="atLeast"/>
        </w:trPr>
        <w:tc>
          <w:tcPr>
            <w:tcW w:w="1459" w:type="dxa"/>
          </w:tcPr>
          <w:p>
            <w:pPr>
              <w:pStyle w:val="TableParagraph"/>
              <w:spacing w:line="266" w:lineRule="exact"/>
              <w:ind w:left="50"/>
              <w:rPr>
                <w:sz w:val="24"/>
              </w:rPr>
            </w:pPr>
            <w:r>
              <w:rPr>
                <w:sz w:val="24"/>
              </w:rPr>
              <w:t>DCP23</w:t>
            </w:r>
            <w:r>
              <w:rPr>
                <w:spacing w:val="-3"/>
                <w:sz w:val="24"/>
              </w:rPr>
              <w:t> </w:t>
            </w:r>
            <w:r>
              <w:rPr>
                <w:spacing w:val="-4"/>
                <w:sz w:val="24"/>
              </w:rPr>
              <w:t>(25)</w:t>
            </w:r>
          </w:p>
        </w:tc>
        <w:tc>
          <w:tcPr>
            <w:tcW w:w="1971" w:type="dxa"/>
          </w:tcPr>
          <w:p>
            <w:pPr>
              <w:pStyle w:val="TableParagraph"/>
              <w:spacing w:line="266" w:lineRule="exact"/>
              <w:ind w:left="240"/>
              <w:rPr>
                <w:sz w:val="24"/>
              </w:rPr>
            </w:pPr>
            <w:r>
              <w:rPr>
                <w:sz w:val="24"/>
              </w:rPr>
              <w:t>17.00</w:t>
            </w:r>
            <w:r>
              <w:rPr>
                <w:spacing w:val="-2"/>
                <w:sz w:val="24"/>
              </w:rPr>
              <w:t> </w:t>
            </w:r>
            <w:r>
              <w:rPr>
                <w:sz w:val="24"/>
              </w:rPr>
              <w:t>±</w:t>
            </w:r>
            <w:r>
              <w:rPr>
                <w:spacing w:val="-1"/>
                <w:sz w:val="24"/>
              </w:rPr>
              <w:t> </w:t>
            </w:r>
            <w:r>
              <w:rPr>
                <w:spacing w:val="-4"/>
                <w:sz w:val="24"/>
              </w:rPr>
              <w:t>0.58</w:t>
            </w:r>
          </w:p>
        </w:tc>
        <w:tc>
          <w:tcPr>
            <w:tcW w:w="1130" w:type="dxa"/>
          </w:tcPr>
          <w:p>
            <w:pPr>
              <w:pStyle w:val="TableParagraph"/>
              <w:spacing w:line="266" w:lineRule="exact"/>
              <w:ind w:left="221"/>
              <w:rPr>
                <w:sz w:val="24"/>
              </w:rPr>
            </w:pPr>
            <w:r>
              <w:rPr>
                <w:spacing w:val="-5"/>
                <w:sz w:val="24"/>
              </w:rPr>
              <w:t>3/6</w:t>
            </w:r>
          </w:p>
        </w:tc>
        <w:tc>
          <w:tcPr>
            <w:tcW w:w="1890" w:type="dxa"/>
          </w:tcPr>
          <w:p>
            <w:pPr>
              <w:pStyle w:val="TableParagraph"/>
              <w:spacing w:line="266" w:lineRule="exact"/>
              <w:ind w:left="541"/>
              <w:rPr>
                <w:sz w:val="24"/>
              </w:rPr>
            </w:pPr>
            <w:r>
              <w:rPr>
                <w:spacing w:val="-4"/>
                <w:sz w:val="24"/>
              </w:rPr>
              <w:t>50.0</w:t>
            </w:r>
          </w:p>
        </w:tc>
        <w:tc>
          <w:tcPr>
            <w:tcW w:w="1404" w:type="dxa"/>
          </w:tcPr>
          <w:p>
            <w:pPr>
              <w:pStyle w:val="TableParagraph"/>
              <w:spacing w:line="266" w:lineRule="exact"/>
              <w:ind w:right="52"/>
              <w:jc w:val="right"/>
              <w:rPr>
                <w:sz w:val="24"/>
              </w:rPr>
            </w:pPr>
            <w:r>
              <w:rPr>
                <w:spacing w:val="-4"/>
                <w:sz w:val="24"/>
              </w:rPr>
              <w:t>50.0</w:t>
            </w:r>
          </w:p>
        </w:tc>
      </w:tr>
      <w:tr>
        <w:trPr>
          <w:trHeight w:val="408" w:hRule="atLeast"/>
        </w:trPr>
        <w:tc>
          <w:tcPr>
            <w:tcW w:w="1459" w:type="dxa"/>
          </w:tcPr>
          <w:p>
            <w:pPr>
              <w:pStyle w:val="TableParagraph"/>
              <w:spacing w:line="256" w:lineRule="exact" w:before="133"/>
              <w:ind w:left="50"/>
              <w:rPr>
                <w:sz w:val="24"/>
              </w:rPr>
            </w:pPr>
            <w:r>
              <w:rPr>
                <w:sz w:val="24"/>
              </w:rPr>
              <w:t>DCP25</w:t>
            </w:r>
            <w:r>
              <w:rPr>
                <w:spacing w:val="-3"/>
                <w:sz w:val="24"/>
              </w:rPr>
              <w:t> </w:t>
            </w:r>
            <w:r>
              <w:rPr>
                <w:spacing w:val="-4"/>
                <w:sz w:val="24"/>
              </w:rPr>
              <w:t>(25)</w:t>
            </w:r>
          </w:p>
        </w:tc>
        <w:tc>
          <w:tcPr>
            <w:tcW w:w="1971" w:type="dxa"/>
          </w:tcPr>
          <w:p>
            <w:pPr>
              <w:pStyle w:val="TableParagraph"/>
              <w:spacing w:line="256" w:lineRule="exact" w:before="133"/>
              <w:ind w:left="302"/>
              <w:rPr>
                <w:sz w:val="24"/>
              </w:rPr>
            </w:pPr>
            <w:r>
              <w:rPr>
                <w:sz w:val="24"/>
              </w:rPr>
              <w:t>24.50</w:t>
            </w:r>
            <w:r>
              <w:rPr>
                <w:spacing w:val="-5"/>
                <w:sz w:val="24"/>
              </w:rPr>
              <w:t> </w:t>
            </w:r>
            <w:r>
              <w:rPr>
                <w:sz w:val="24"/>
              </w:rPr>
              <w:t>±</w:t>
            </w:r>
            <w:r>
              <w:rPr>
                <w:spacing w:val="-1"/>
                <w:sz w:val="24"/>
              </w:rPr>
              <w:t> </w:t>
            </w:r>
            <w:r>
              <w:rPr>
                <w:spacing w:val="-2"/>
                <w:sz w:val="24"/>
              </w:rPr>
              <w:t>0.50**</w:t>
            </w:r>
          </w:p>
        </w:tc>
        <w:tc>
          <w:tcPr>
            <w:tcW w:w="1130" w:type="dxa"/>
          </w:tcPr>
          <w:p>
            <w:pPr>
              <w:pStyle w:val="TableParagraph"/>
              <w:spacing w:line="256" w:lineRule="exact" w:before="133"/>
              <w:ind w:left="283"/>
              <w:rPr>
                <w:sz w:val="24"/>
              </w:rPr>
            </w:pPr>
            <w:r>
              <w:rPr>
                <w:spacing w:val="-5"/>
                <w:sz w:val="24"/>
              </w:rPr>
              <w:t>4/6</w:t>
            </w:r>
          </w:p>
        </w:tc>
        <w:tc>
          <w:tcPr>
            <w:tcW w:w="1890" w:type="dxa"/>
          </w:tcPr>
          <w:p>
            <w:pPr>
              <w:pStyle w:val="TableParagraph"/>
              <w:spacing w:line="256" w:lineRule="exact" w:before="133"/>
              <w:ind w:left="541"/>
              <w:rPr>
                <w:sz w:val="24"/>
              </w:rPr>
            </w:pPr>
            <w:r>
              <w:rPr>
                <w:spacing w:val="-4"/>
                <w:sz w:val="24"/>
              </w:rPr>
              <w:t>66.7</w:t>
            </w:r>
          </w:p>
        </w:tc>
        <w:tc>
          <w:tcPr>
            <w:tcW w:w="1404" w:type="dxa"/>
          </w:tcPr>
          <w:p>
            <w:pPr>
              <w:pStyle w:val="TableParagraph"/>
              <w:spacing w:line="256" w:lineRule="exact" w:before="133"/>
              <w:ind w:right="47"/>
              <w:jc w:val="right"/>
              <w:rPr>
                <w:sz w:val="24"/>
              </w:rPr>
            </w:pPr>
            <w:r>
              <w:rPr>
                <w:spacing w:val="-4"/>
                <w:sz w:val="24"/>
              </w:rPr>
              <w:t>66.7</w:t>
            </w:r>
          </w:p>
        </w:tc>
      </w:tr>
    </w:tbl>
    <w:p>
      <w:pPr>
        <w:pStyle w:val="BodyText"/>
        <w:rPr>
          <w:b/>
          <w:sz w:val="20"/>
        </w:rPr>
      </w:pPr>
    </w:p>
    <w:p>
      <w:pPr>
        <w:pStyle w:val="BodyText"/>
        <w:rPr>
          <w:b/>
          <w:sz w:val="20"/>
        </w:rPr>
      </w:pPr>
    </w:p>
    <w:p>
      <w:pPr>
        <w:pStyle w:val="BodyText"/>
        <w:spacing w:before="150"/>
        <w:rPr>
          <w:b/>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1"/>
        <w:gridCol w:w="1791"/>
        <w:gridCol w:w="1248"/>
        <w:gridCol w:w="1798"/>
        <w:gridCol w:w="1314"/>
      </w:tblGrid>
      <w:tr>
        <w:trPr>
          <w:trHeight w:val="408" w:hRule="atLeast"/>
        </w:trPr>
        <w:tc>
          <w:tcPr>
            <w:tcW w:w="1581" w:type="dxa"/>
          </w:tcPr>
          <w:p>
            <w:pPr>
              <w:pStyle w:val="TableParagraph"/>
              <w:spacing w:line="266" w:lineRule="exact"/>
              <w:ind w:right="127"/>
              <w:jc w:val="center"/>
              <w:rPr>
                <w:sz w:val="24"/>
              </w:rPr>
            </w:pPr>
            <w:r>
              <w:rPr>
                <w:sz w:val="24"/>
              </w:rPr>
              <w:t>DCP23</w:t>
            </w:r>
            <w:r>
              <w:rPr>
                <w:spacing w:val="-1"/>
                <w:sz w:val="24"/>
              </w:rPr>
              <w:t> </w:t>
            </w:r>
            <w:r>
              <w:rPr>
                <w:spacing w:val="-2"/>
                <w:sz w:val="24"/>
              </w:rPr>
              <w:t>(12.5)</w:t>
            </w:r>
          </w:p>
        </w:tc>
        <w:tc>
          <w:tcPr>
            <w:tcW w:w="1791" w:type="dxa"/>
          </w:tcPr>
          <w:p>
            <w:pPr>
              <w:pStyle w:val="TableParagraph"/>
              <w:spacing w:line="266" w:lineRule="exact"/>
              <w:ind w:left="180"/>
              <w:rPr>
                <w:sz w:val="24"/>
              </w:rPr>
            </w:pPr>
            <w:r>
              <w:rPr>
                <w:sz w:val="24"/>
              </w:rPr>
              <w:t>17.12</w:t>
            </w:r>
            <w:r>
              <w:rPr>
                <w:spacing w:val="-7"/>
                <w:sz w:val="24"/>
              </w:rPr>
              <w:t> </w:t>
            </w:r>
            <w:r>
              <w:rPr>
                <w:sz w:val="24"/>
              </w:rPr>
              <w:t>±</w:t>
            </w:r>
            <w:r>
              <w:rPr>
                <w:spacing w:val="-1"/>
                <w:sz w:val="24"/>
              </w:rPr>
              <w:t> </w:t>
            </w:r>
            <w:r>
              <w:rPr>
                <w:spacing w:val="-4"/>
                <w:sz w:val="24"/>
              </w:rPr>
              <w:t>0.58</w:t>
            </w:r>
          </w:p>
        </w:tc>
        <w:tc>
          <w:tcPr>
            <w:tcW w:w="1248" w:type="dxa"/>
          </w:tcPr>
          <w:p>
            <w:pPr>
              <w:pStyle w:val="TableParagraph"/>
              <w:spacing w:line="266" w:lineRule="exact"/>
              <w:ind w:left="404"/>
              <w:rPr>
                <w:sz w:val="24"/>
              </w:rPr>
            </w:pPr>
            <w:r>
              <w:rPr>
                <w:spacing w:val="-5"/>
                <w:sz w:val="24"/>
              </w:rPr>
              <w:t>0/6</w:t>
            </w:r>
          </w:p>
        </w:tc>
        <w:tc>
          <w:tcPr>
            <w:tcW w:w="1798" w:type="dxa"/>
          </w:tcPr>
          <w:p>
            <w:pPr>
              <w:pStyle w:val="TableParagraph"/>
              <w:spacing w:line="266" w:lineRule="exact"/>
              <w:ind w:left="540"/>
              <w:rPr>
                <w:sz w:val="24"/>
              </w:rPr>
            </w:pPr>
            <w:r>
              <w:rPr>
                <w:spacing w:val="-5"/>
                <w:sz w:val="24"/>
              </w:rPr>
              <w:t>0.0</w:t>
            </w:r>
          </w:p>
        </w:tc>
        <w:tc>
          <w:tcPr>
            <w:tcW w:w="1314" w:type="dxa"/>
          </w:tcPr>
          <w:p>
            <w:pPr>
              <w:pStyle w:val="TableParagraph"/>
              <w:spacing w:line="266" w:lineRule="exact"/>
              <w:ind w:right="45"/>
              <w:jc w:val="right"/>
              <w:rPr>
                <w:sz w:val="24"/>
              </w:rPr>
            </w:pPr>
            <w:r>
              <w:rPr>
                <w:spacing w:val="-5"/>
                <w:sz w:val="24"/>
              </w:rPr>
              <w:t>0.0</w:t>
            </w:r>
          </w:p>
        </w:tc>
      </w:tr>
      <w:tr>
        <w:trPr>
          <w:trHeight w:val="408" w:hRule="atLeast"/>
        </w:trPr>
        <w:tc>
          <w:tcPr>
            <w:tcW w:w="1581" w:type="dxa"/>
          </w:tcPr>
          <w:p>
            <w:pPr>
              <w:pStyle w:val="TableParagraph"/>
              <w:spacing w:line="256" w:lineRule="exact" w:before="133"/>
              <w:ind w:right="127"/>
              <w:jc w:val="center"/>
              <w:rPr>
                <w:sz w:val="24"/>
              </w:rPr>
            </w:pPr>
            <w:r>
              <w:rPr>
                <w:sz w:val="24"/>
              </w:rPr>
              <w:t>DCP25</w:t>
            </w:r>
            <w:r>
              <w:rPr>
                <w:spacing w:val="-1"/>
                <w:sz w:val="24"/>
              </w:rPr>
              <w:t> </w:t>
            </w:r>
            <w:r>
              <w:rPr>
                <w:spacing w:val="-2"/>
                <w:sz w:val="24"/>
              </w:rPr>
              <w:t>(12.5)</w:t>
            </w:r>
          </w:p>
        </w:tc>
        <w:tc>
          <w:tcPr>
            <w:tcW w:w="1791" w:type="dxa"/>
          </w:tcPr>
          <w:p>
            <w:pPr>
              <w:pStyle w:val="TableParagraph"/>
              <w:spacing w:line="256" w:lineRule="exact" w:before="133"/>
              <w:ind w:left="180"/>
              <w:rPr>
                <w:sz w:val="24"/>
              </w:rPr>
            </w:pPr>
            <w:r>
              <w:rPr>
                <w:sz w:val="24"/>
              </w:rPr>
              <w:t>15.83</w:t>
            </w:r>
            <w:r>
              <w:rPr>
                <w:spacing w:val="-7"/>
                <w:sz w:val="24"/>
              </w:rPr>
              <w:t> </w:t>
            </w:r>
            <w:r>
              <w:rPr>
                <w:sz w:val="24"/>
              </w:rPr>
              <w:t>±</w:t>
            </w:r>
            <w:r>
              <w:rPr>
                <w:spacing w:val="-1"/>
                <w:sz w:val="24"/>
              </w:rPr>
              <w:t> </w:t>
            </w:r>
            <w:r>
              <w:rPr>
                <w:spacing w:val="-4"/>
                <w:sz w:val="24"/>
              </w:rPr>
              <w:t>1.51</w:t>
            </w:r>
          </w:p>
        </w:tc>
        <w:tc>
          <w:tcPr>
            <w:tcW w:w="1248" w:type="dxa"/>
          </w:tcPr>
          <w:p>
            <w:pPr>
              <w:pStyle w:val="TableParagraph"/>
              <w:spacing w:line="256" w:lineRule="exact" w:before="133"/>
              <w:ind w:left="404"/>
              <w:rPr>
                <w:sz w:val="24"/>
              </w:rPr>
            </w:pPr>
            <w:r>
              <w:rPr>
                <w:spacing w:val="-5"/>
                <w:sz w:val="24"/>
              </w:rPr>
              <w:t>0/6</w:t>
            </w:r>
          </w:p>
        </w:tc>
        <w:tc>
          <w:tcPr>
            <w:tcW w:w="1798" w:type="dxa"/>
          </w:tcPr>
          <w:p>
            <w:pPr>
              <w:pStyle w:val="TableParagraph"/>
              <w:spacing w:line="256" w:lineRule="exact" w:before="133"/>
              <w:ind w:left="540"/>
              <w:rPr>
                <w:sz w:val="24"/>
              </w:rPr>
            </w:pPr>
            <w:r>
              <w:rPr>
                <w:spacing w:val="-5"/>
                <w:sz w:val="24"/>
              </w:rPr>
              <w:t>0.0</w:t>
            </w:r>
          </w:p>
        </w:tc>
        <w:tc>
          <w:tcPr>
            <w:tcW w:w="1314" w:type="dxa"/>
          </w:tcPr>
          <w:p>
            <w:pPr>
              <w:pStyle w:val="TableParagraph"/>
              <w:spacing w:line="256" w:lineRule="exact" w:before="133"/>
              <w:ind w:right="45"/>
              <w:jc w:val="right"/>
              <w:rPr>
                <w:sz w:val="24"/>
              </w:rPr>
            </w:pPr>
            <w:r>
              <w:rPr>
                <w:spacing w:val="-5"/>
                <w:sz w:val="24"/>
              </w:rPr>
              <w:t>0.0</w:t>
            </w:r>
          </w:p>
        </w:tc>
      </w:tr>
    </w:tbl>
    <w:p>
      <w:pPr>
        <w:pStyle w:val="BodyText"/>
        <w:rPr>
          <w:b/>
        </w:rPr>
      </w:pPr>
    </w:p>
    <w:p>
      <w:pPr>
        <w:pStyle w:val="BodyText"/>
        <w:rPr>
          <w:b/>
        </w:rPr>
      </w:pPr>
    </w:p>
    <w:p>
      <w:pPr>
        <w:pStyle w:val="BodyText"/>
        <w:spacing w:before="2"/>
        <w:rPr>
          <w:b/>
        </w:rPr>
      </w:pPr>
    </w:p>
    <w:p>
      <w:pPr>
        <w:pStyle w:val="BodyText"/>
        <w:tabs>
          <w:tab w:pos="2602" w:val="left" w:leader="none"/>
          <w:tab w:pos="4407" w:val="left" w:leader="none"/>
          <w:tab w:pos="5732" w:val="left" w:leader="none"/>
          <w:tab w:pos="8008" w:val="left" w:leader="none"/>
        </w:tabs>
        <w:ind w:left="681"/>
        <w:jc w:val="both"/>
      </w:pPr>
      <w:r>
        <w:rPr/>
        <w:t>DZ</w:t>
      </w:r>
      <w:r>
        <w:rPr>
          <w:spacing w:val="-1"/>
        </w:rPr>
        <w:t> </w:t>
      </w:r>
      <w:r>
        <w:rPr>
          <w:spacing w:val="-4"/>
        </w:rPr>
        <w:t>(10)</w:t>
      </w:r>
      <w:r>
        <w:rPr/>
        <w:tab/>
      </w:r>
      <w:r>
        <w:rPr>
          <w:spacing w:val="-5"/>
        </w:rPr>
        <w:t>0.0</w:t>
      </w:r>
      <w:r>
        <w:rPr/>
        <w:tab/>
      </w:r>
      <w:r>
        <w:rPr>
          <w:spacing w:val="-5"/>
        </w:rPr>
        <w:t>6/6</w:t>
      </w:r>
      <w:r>
        <w:rPr/>
        <w:tab/>
      </w:r>
      <w:r>
        <w:rPr>
          <w:spacing w:val="-2"/>
        </w:rPr>
        <w:t>100.0</w:t>
      </w:r>
      <w:r>
        <w:rPr/>
        <w:tab/>
      </w:r>
      <w:r>
        <w:rPr>
          <w:spacing w:val="-2"/>
        </w:rPr>
        <w:t>100.0</w:t>
      </w:r>
    </w:p>
    <w:p>
      <w:pPr>
        <w:pStyle w:val="BodyText"/>
        <w:spacing w:before="11"/>
        <w:rPr>
          <w:sz w:val="7"/>
        </w:rPr>
      </w:pPr>
      <w:r>
        <w:rPr/>
        <mc:AlternateContent>
          <mc:Choice Requires="wps">
            <w:drawing>
              <wp:anchor distT="0" distB="0" distL="0" distR="0" allowOverlap="1" layoutInCell="1" locked="0" behindDoc="1" simplePos="0" relativeHeight="487659520">
                <wp:simplePos x="0" y="0"/>
                <wp:positionH relativeFrom="page">
                  <wp:posOffset>1371600</wp:posOffset>
                </wp:positionH>
                <wp:positionV relativeFrom="paragraph">
                  <wp:posOffset>73635</wp:posOffset>
                </wp:positionV>
                <wp:extent cx="5486400"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5.798047pt;width:432pt;height:.1pt;mso-position-horizontal-relative:page;mso-position-vertical-relative:paragraph;z-index:-15656960;mso-wrap-distance-left:0;mso-wrap-distance-right:0" id="docshape116" coordorigin="2160,116" coordsize="8640,0" path="m2160,116l10800,116e" filled="false" stroked="true" strokeweight=".75pt" strokecolor="#000000">
                <v:path arrowok="t"/>
                <v:stroke dashstyle="solid"/>
                <w10:wrap type="topAndBottom"/>
              </v:shape>
            </w:pict>
          </mc:Fallback>
        </mc:AlternateContent>
      </w:r>
    </w:p>
    <w:p>
      <w:pPr>
        <w:pStyle w:val="BodyText"/>
        <w:spacing w:before="153"/>
        <w:ind w:left="681" w:right="270"/>
        <w:jc w:val="both"/>
      </w:pPr>
      <w:r>
        <w:rPr/>
        <w:t>Values are presented as Mean ± SEM, n = 6 per group; DCP23, DCP25 and DCP34 =</w:t>
      </w:r>
      <w:r>
        <w:rPr>
          <w:spacing w:val="40"/>
        </w:rPr>
        <w:t> </w:t>
      </w:r>
      <w:r>
        <w:rPr/>
        <w:t>2,3-, 2,5- and 3,4- Dichloro – 3(aminophenyl) propanamides respectively, DZ = Diazepam; Control = 30% propylene glycol, 70% distil water; Significant difference in the mean</w:t>
      </w:r>
      <w:r>
        <w:rPr>
          <w:spacing w:val="-3"/>
        </w:rPr>
        <w:t> </w:t>
      </w:r>
      <w:r>
        <w:rPr/>
        <w:t>onset of</w:t>
      </w:r>
      <w:r>
        <w:rPr>
          <w:spacing w:val="-3"/>
        </w:rPr>
        <w:t> </w:t>
      </w:r>
      <w:r>
        <w:rPr/>
        <w:t>seizures between</w:t>
      </w:r>
      <w:r>
        <w:rPr>
          <w:spacing w:val="-3"/>
        </w:rPr>
        <w:t> </w:t>
      </w:r>
      <w:r>
        <w:rPr/>
        <w:t>control</w:t>
      </w:r>
      <w:r>
        <w:rPr>
          <w:spacing w:val="-7"/>
        </w:rPr>
        <w:t> </w:t>
      </w:r>
      <w:r>
        <w:rPr/>
        <w:t>(vehicle) group and treated groups at *p&lt;0.05 and *p&lt;0.005 (ANOVA) followed by Post hoc (Scheffe) for multiple comparism.</w:t>
      </w:r>
    </w:p>
    <w:p>
      <w:pPr>
        <w:spacing w:after="0"/>
        <w:jc w:val="both"/>
        <w:sectPr>
          <w:pgSz w:w="12240" w:h="15840"/>
          <w:pgMar w:header="0" w:footer="1066" w:top="1360" w:bottom="1260" w:left="1480" w:right="1160"/>
        </w:sectPr>
      </w:pPr>
    </w:p>
    <w:p>
      <w:pPr>
        <w:pStyle w:val="Heading2"/>
        <w:numPr>
          <w:ilvl w:val="2"/>
          <w:numId w:val="16"/>
        </w:numPr>
        <w:tabs>
          <w:tab w:pos="1222" w:val="left" w:leader="none"/>
        </w:tabs>
        <w:spacing w:line="240" w:lineRule="auto" w:before="77" w:after="0"/>
        <w:ind w:left="1222" w:right="0" w:hanging="541"/>
        <w:jc w:val="left"/>
      </w:pPr>
      <w:bookmarkStart w:name="_TOC_250015" w:id="69"/>
      <w:r>
        <w:rPr/>
        <w:t>Pentylenetetrazole-induced</w:t>
      </w:r>
      <w:r>
        <w:rPr>
          <w:spacing w:val="-7"/>
        </w:rPr>
        <w:t> </w:t>
      </w:r>
      <w:r>
        <w:rPr/>
        <w:t>Kindling</w:t>
      </w:r>
      <w:r>
        <w:rPr>
          <w:spacing w:val="-2"/>
        </w:rPr>
        <w:t> </w:t>
      </w:r>
      <w:r>
        <w:rPr/>
        <w:t>in</w:t>
      </w:r>
      <w:r>
        <w:rPr>
          <w:spacing w:val="-6"/>
        </w:rPr>
        <w:t> </w:t>
      </w:r>
      <w:bookmarkEnd w:id="69"/>
      <w:r>
        <w:rPr>
          <w:spacing w:val="-4"/>
        </w:rPr>
        <w:t>Mice</w:t>
      </w:r>
    </w:p>
    <w:p>
      <w:pPr>
        <w:pStyle w:val="BodyText"/>
        <w:spacing w:before="235"/>
        <w:rPr>
          <w:b/>
        </w:rPr>
      </w:pPr>
    </w:p>
    <w:p>
      <w:pPr>
        <w:pStyle w:val="BodyText"/>
        <w:spacing w:line="480" w:lineRule="auto"/>
        <w:ind w:left="681" w:right="274"/>
        <w:jc w:val="both"/>
      </w:pPr>
      <w:r>
        <w:rPr/>
        <w:t>DCP23, DCP25 and DCP34 (50 mg/kg) retarded the severity</w:t>
      </w:r>
      <w:r>
        <w:rPr>
          <w:spacing w:val="-5"/>
        </w:rPr>
        <w:t> </w:t>
      </w:r>
      <w:r>
        <w:rPr/>
        <w:t>of</w:t>
      </w:r>
      <w:r>
        <w:rPr>
          <w:spacing w:val="-3"/>
        </w:rPr>
        <w:t> </w:t>
      </w:r>
      <w:r>
        <w:rPr/>
        <w:t>seizure episodes induced by sub convulsive dose (40 mg/kg) of pentylenetetrazole which was administered at alternate day for 15 days. The retardation as recorded by seizure scoring mode (0 to 5), was statistically significant (p&lt;0.05) throughout the treatment days for all the</w:t>
      </w:r>
      <w:r>
        <w:rPr>
          <w:spacing w:val="40"/>
        </w:rPr>
        <w:t> </w:t>
      </w:r>
      <w:r>
        <w:rPr/>
        <w:t>compounds. There was graded increase in the severity of seizure from Day 1 to Day 5 where it reached plateau, there after the severity dropped at Day 6 and was maintained through Day 7 up to the last treatment day (Figure 5).</w:t>
      </w:r>
    </w:p>
    <w:p>
      <w:pPr>
        <w:spacing w:after="0" w:line="480" w:lineRule="auto"/>
        <w:jc w:val="both"/>
        <w:sectPr>
          <w:pgSz w:w="12240" w:h="15840"/>
          <w:pgMar w:header="0" w:footer="1066" w:top="1360" w:bottom="1260" w:left="1480" w:right="1160"/>
        </w:sectPr>
      </w:pPr>
    </w:p>
    <w:p>
      <w:pPr>
        <w:pStyle w:val="BodyText"/>
        <w:rPr>
          <w:sz w:val="20"/>
        </w:rPr>
      </w:pPr>
    </w:p>
    <w:p>
      <w:pPr>
        <w:pStyle w:val="BodyText"/>
        <w:rPr>
          <w:sz w:val="20"/>
        </w:rPr>
      </w:pPr>
    </w:p>
    <w:p>
      <w:pPr>
        <w:pStyle w:val="BodyText"/>
        <w:spacing w:before="36"/>
        <w:rPr>
          <w:sz w:val="20"/>
        </w:rPr>
      </w:pPr>
    </w:p>
    <w:p>
      <w:pPr>
        <w:pStyle w:val="BodyText"/>
        <w:ind w:left="689"/>
        <w:rPr>
          <w:sz w:val="20"/>
        </w:rPr>
      </w:pPr>
      <w:r>
        <w:rPr>
          <w:sz w:val="20"/>
        </w:rPr>
        <w:drawing>
          <wp:inline distT="0" distB="0" distL="0" distR="0">
            <wp:extent cx="5009331" cy="4462272"/>
            <wp:effectExtent l="0" t="0" r="0" b="0"/>
            <wp:docPr id="209" name="Image 209"/>
            <wp:cNvGraphicFramePr>
              <a:graphicFrameLocks/>
            </wp:cNvGraphicFramePr>
            <a:graphic>
              <a:graphicData uri="http://schemas.openxmlformats.org/drawingml/2006/picture">
                <pic:pic>
                  <pic:nvPicPr>
                    <pic:cNvPr id="209" name="Image 209"/>
                    <pic:cNvPicPr/>
                  </pic:nvPicPr>
                  <pic:blipFill>
                    <a:blip r:embed="rId14" cstate="print"/>
                    <a:stretch>
                      <a:fillRect/>
                    </a:stretch>
                  </pic:blipFill>
                  <pic:spPr>
                    <a:xfrm>
                      <a:off x="0" y="0"/>
                      <a:ext cx="5009331" cy="4462272"/>
                    </a:xfrm>
                    <a:prstGeom prst="rect">
                      <a:avLst/>
                    </a:prstGeom>
                  </pic:spPr>
                </pic:pic>
              </a:graphicData>
            </a:graphic>
          </wp:inline>
        </w:drawing>
      </w:r>
      <w:r>
        <w:rPr>
          <w:sz w:val="20"/>
        </w:rPr>
      </w:r>
    </w:p>
    <w:p>
      <w:pPr>
        <w:pStyle w:val="BodyText"/>
        <w:spacing w:before="25"/>
      </w:pPr>
    </w:p>
    <w:p>
      <w:pPr>
        <w:pStyle w:val="Heading2"/>
        <w:spacing w:line="237" w:lineRule="auto"/>
        <w:jc w:val="left"/>
      </w:pPr>
      <w:r>
        <w:rPr/>
        <w:t>Figure 5: Effect of DCP23, DCP25 and DCP34 against Pentylenetetrazole-induced Kindling in Mice</w:t>
      </w:r>
    </w:p>
    <w:p>
      <w:pPr>
        <w:pStyle w:val="BodyText"/>
        <w:spacing w:line="275" w:lineRule="exact"/>
        <w:ind w:left="681"/>
      </w:pPr>
      <w:r>
        <w:rPr/>
        <w:t>n</w:t>
      </w:r>
      <w:r>
        <w:rPr>
          <w:spacing w:val="-6"/>
        </w:rPr>
        <w:t> </w:t>
      </w:r>
      <w:r>
        <w:rPr/>
        <w:t>=</w:t>
      </w:r>
      <w:r>
        <w:rPr>
          <w:spacing w:val="1"/>
        </w:rPr>
        <w:t> </w:t>
      </w:r>
      <w:r>
        <w:rPr/>
        <w:t>7</w:t>
      </w:r>
      <w:r>
        <w:rPr>
          <w:spacing w:val="2"/>
        </w:rPr>
        <w:t> </w:t>
      </w:r>
      <w:r>
        <w:rPr/>
        <w:t>rats per</w:t>
      </w:r>
      <w:r>
        <w:rPr>
          <w:spacing w:val="3"/>
        </w:rPr>
        <w:t> </w:t>
      </w:r>
      <w:r>
        <w:rPr>
          <w:spacing w:val="-4"/>
        </w:rPr>
        <w:t>group</w:t>
      </w:r>
    </w:p>
    <w:p>
      <w:pPr>
        <w:spacing w:after="0" w:line="275" w:lineRule="exact"/>
        <w:sectPr>
          <w:pgSz w:w="12240" w:h="15840"/>
          <w:pgMar w:header="0" w:footer="1066" w:top="1820" w:bottom="1260" w:left="1480" w:right="1160"/>
        </w:sectPr>
      </w:pPr>
    </w:p>
    <w:p>
      <w:pPr>
        <w:pStyle w:val="Heading2"/>
        <w:numPr>
          <w:ilvl w:val="2"/>
          <w:numId w:val="16"/>
        </w:numPr>
        <w:tabs>
          <w:tab w:pos="1222" w:val="left" w:leader="none"/>
        </w:tabs>
        <w:spacing w:line="240" w:lineRule="auto" w:before="77" w:after="0"/>
        <w:ind w:left="1222" w:right="0" w:hanging="541"/>
        <w:jc w:val="both"/>
      </w:pPr>
      <w:bookmarkStart w:name="_TOC_250014" w:id="70"/>
      <w:r>
        <w:rPr/>
        <w:t>Determination</w:t>
      </w:r>
      <w:r>
        <w:rPr>
          <w:spacing w:val="-2"/>
        </w:rPr>
        <w:t> </w:t>
      </w:r>
      <w:r>
        <w:rPr/>
        <w:t>of</w:t>
      </w:r>
      <w:r>
        <w:rPr>
          <w:spacing w:val="-6"/>
        </w:rPr>
        <w:t> </w:t>
      </w:r>
      <w:r>
        <w:rPr/>
        <w:t>median</w:t>
      </w:r>
      <w:r>
        <w:rPr>
          <w:spacing w:val="-1"/>
        </w:rPr>
        <w:t> </w:t>
      </w:r>
      <w:r>
        <w:rPr/>
        <w:t>effective</w:t>
      </w:r>
      <w:r>
        <w:rPr>
          <w:spacing w:val="-4"/>
        </w:rPr>
        <w:t> </w:t>
      </w:r>
      <w:r>
        <w:rPr/>
        <w:t>dose</w:t>
      </w:r>
      <w:r>
        <w:rPr>
          <w:spacing w:val="-3"/>
        </w:rPr>
        <w:t> </w:t>
      </w:r>
      <w:r>
        <w:rPr>
          <w:spacing w:val="-2"/>
        </w:rPr>
        <w:t>(ED</w:t>
      </w:r>
      <w:r>
        <w:rPr>
          <w:spacing w:val="-2"/>
          <w:vertAlign w:val="subscript"/>
        </w:rPr>
        <w:t>50</w:t>
      </w:r>
      <w:bookmarkEnd w:id="70"/>
      <w:r>
        <w:rPr>
          <w:spacing w:val="-2"/>
          <w:vertAlign w:val="baseline"/>
        </w:rPr>
        <w:t>)</w:t>
      </w:r>
    </w:p>
    <w:p>
      <w:pPr>
        <w:pStyle w:val="BodyText"/>
        <w:spacing w:before="271"/>
        <w:ind w:left="681"/>
        <w:jc w:val="both"/>
      </w:pPr>
      <w:r>
        <w:rPr/>
        <w:t>The</w:t>
      </w:r>
      <w:r>
        <w:rPr>
          <w:spacing w:val="37"/>
        </w:rPr>
        <w:t> </w:t>
      </w:r>
      <w:r>
        <w:rPr/>
        <w:t>medial</w:t>
      </w:r>
      <w:r>
        <w:rPr>
          <w:spacing w:val="30"/>
        </w:rPr>
        <w:t> </w:t>
      </w:r>
      <w:r>
        <w:rPr/>
        <w:t>effective</w:t>
      </w:r>
      <w:r>
        <w:rPr>
          <w:spacing w:val="33"/>
        </w:rPr>
        <w:t> </w:t>
      </w:r>
      <w:r>
        <w:rPr/>
        <w:t>doses</w:t>
      </w:r>
      <w:r>
        <w:rPr>
          <w:spacing w:val="33"/>
        </w:rPr>
        <w:t> </w:t>
      </w:r>
      <w:r>
        <w:rPr/>
        <w:t>(ED</w:t>
      </w:r>
      <w:r>
        <w:rPr>
          <w:vertAlign w:val="subscript"/>
        </w:rPr>
        <w:t>50</w:t>
      </w:r>
      <w:r>
        <w:rPr>
          <w:vertAlign w:val="baseline"/>
        </w:rPr>
        <w:t>)</w:t>
      </w:r>
      <w:r>
        <w:rPr>
          <w:spacing w:val="35"/>
          <w:vertAlign w:val="baseline"/>
        </w:rPr>
        <w:t> </w:t>
      </w:r>
      <w:r>
        <w:rPr>
          <w:vertAlign w:val="baseline"/>
        </w:rPr>
        <w:t>for</w:t>
      </w:r>
      <w:r>
        <w:rPr>
          <w:spacing w:val="36"/>
          <w:vertAlign w:val="baseline"/>
        </w:rPr>
        <w:t> </w:t>
      </w:r>
      <w:r>
        <w:rPr>
          <w:vertAlign w:val="baseline"/>
        </w:rPr>
        <w:t>DCP23,</w:t>
      </w:r>
      <w:r>
        <w:rPr>
          <w:spacing w:val="36"/>
          <w:vertAlign w:val="baseline"/>
        </w:rPr>
        <w:t> </w:t>
      </w:r>
      <w:r>
        <w:rPr>
          <w:vertAlign w:val="baseline"/>
        </w:rPr>
        <w:t>DCP25</w:t>
      </w:r>
      <w:r>
        <w:rPr>
          <w:spacing w:val="34"/>
          <w:vertAlign w:val="baseline"/>
        </w:rPr>
        <w:t> </w:t>
      </w:r>
      <w:r>
        <w:rPr>
          <w:vertAlign w:val="baseline"/>
        </w:rPr>
        <w:t>and</w:t>
      </w:r>
      <w:r>
        <w:rPr>
          <w:spacing w:val="34"/>
          <w:vertAlign w:val="baseline"/>
        </w:rPr>
        <w:t> </w:t>
      </w:r>
      <w:r>
        <w:rPr>
          <w:vertAlign w:val="baseline"/>
        </w:rPr>
        <w:t>DCP34</w:t>
      </w:r>
      <w:r>
        <w:rPr>
          <w:spacing w:val="34"/>
          <w:vertAlign w:val="baseline"/>
        </w:rPr>
        <w:t> </w:t>
      </w:r>
      <w:r>
        <w:rPr>
          <w:vertAlign w:val="baseline"/>
        </w:rPr>
        <w:t>using</w:t>
      </w:r>
      <w:r>
        <w:rPr>
          <w:spacing w:val="39"/>
          <w:vertAlign w:val="baseline"/>
        </w:rPr>
        <w:t> </w:t>
      </w:r>
      <w:r>
        <w:rPr>
          <w:vertAlign w:val="baseline"/>
        </w:rPr>
        <w:t>MEST</w:t>
      </w:r>
      <w:r>
        <w:rPr>
          <w:spacing w:val="36"/>
          <w:vertAlign w:val="baseline"/>
        </w:rPr>
        <w:t> </w:t>
      </w:r>
      <w:r>
        <w:rPr>
          <w:spacing w:val="-4"/>
          <w:vertAlign w:val="baseline"/>
        </w:rPr>
        <w:t>were</w:t>
      </w:r>
    </w:p>
    <w:p>
      <w:pPr>
        <w:pStyle w:val="BodyText"/>
        <w:spacing w:before="1"/>
      </w:pPr>
    </w:p>
    <w:p>
      <w:pPr>
        <w:pStyle w:val="BodyText"/>
        <w:ind w:left="681"/>
        <w:jc w:val="both"/>
      </w:pPr>
      <w:r>
        <w:rPr/>
        <w:t>25.12</w:t>
      </w:r>
      <w:r>
        <w:rPr>
          <w:spacing w:val="17"/>
        </w:rPr>
        <w:t> </w:t>
      </w:r>
      <w:r>
        <w:rPr/>
        <w:t>mg/kg,</w:t>
      </w:r>
      <w:r>
        <w:rPr>
          <w:spacing w:val="17"/>
        </w:rPr>
        <w:t> </w:t>
      </w:r>
      <w:r>
        <w:rPr/>
        <w:t>39.81</w:t>
      </w:r>
      <w:r>
        <w:rPr>
          <w:spacing w:val="20"/>
        </w:rPr>
        <w:t> </w:t>
      </w:r>
      <w:r>
        <w:rPr/>
        <w:t>mg/kg</w:t>
      </w:r>
      <w:r>
        <w:rPr>
          <w:spacing w:val="19"/>
        </w:rPr>
        <w:t> </w:t>
      </w:r>
      <w:r>
        <w:rPr/>
        <w:t>and</w:t>
      </w:r>
      <w:r>
        <w:rPr>
          <w:spacing w:val="15"/>
        </w:rPr>
        <w:t> </w:t>
      </w:r>
      <w:r>
        <w:rPr/>
        <w:t>44.67</w:t>
      </w:r>
      <w:r>
        <w:rPr>
          <w:spacing w:val="19"/>
        </w:rPr>
        <w:t> </w:t>
      </w:r>
      <w:r>
        <w:rPr/>
        <w:t>mg/kg,</w:t>
      </w:r>
      <w:r>
        <w:rPr>
          <w:spacing w:val="18"/>
        </w:rPr>
        <w:t> </w:t>
      </w:r>
      <w:r>
        <w:rPr/>
        <w:t>respectively,</w:t>
      </w:r>
      <w:r>
        <w:rPr>
          <w:spacing w:val="16"/>
        </w:rPr>
        <w:t> </w:t>
      </w:r>
      <w:r>
        <w:rPr/>
        <w:t>while</w:t>
      </w:r>
      <w:r>
        <w:rPr>
          <w:spacing w:val="19"/>
        </w:rPr>
        <w:t> </w:t>
      </w:r>
      <w:r>
        <w:rPr/>
        <w:t>that</w:t>
      </w:r>
      <w:r>
        <w:rPr>
          <w:spacing w:val="19"/>
        </w:rPr>
        <w:t> </w:t>
      </w:r>
      <w:r>
        <w:rPr/>
        <w:t>of</w:t>
      </w:r>
      <w:r>
        <w:rPr>
          <w:spacing w:val="7"/>
        </w:rPr>
        <w:t> </w:t>
      </w:r>
      <w:r>
        <w:rPr/>
        <w:t>picrotoxin</w:t>
      </w:r>
      <w:r>
        <w:rPr>
          <w:spacing w:val="10"/>
        </w:rPr>
        <w:t> </w:t>
      </w:r>
      <w:r>
        <w:rPr>
          <w:spacing w:val="-4"/>
        </w:rPr>
        <w:t>were</w:t>
      </w:r>
    </w:p>
    <w:p>
      <w:pPr>
        <w:pStyle w:val="BodyText"/>
      </w:pPr>
    </w:p>
    <w:p>
      <w:pPr>
        <w:pStyle w:val="BodyText"/>
        <w:spacing w:line="480" w:lineRule="auto"/>
        <w:ind w:left="681" w:right="275"/>
        <w:jc w:val="both"/>
      </w:pPr>
      <w:r>
        <w:rPr/>
        <w:t>35.48 mg/kg (DCP23) and 28.18 mg/kg (DCP25). Whereas, their medial toxic doses as determined by</w:t>
      </w:r>
      <w:r>
        <w:rPr>
          <w:spacing w:val="-11"/>
        </w:rPr>
        <w:t> </w:t>
      </w:r>
      <w:r>
        <w:rPr/>
        <w:t>walking beam</w:t>
      </w:r>
      <w:r>
        <w:rPr>
          <w:spacing w:val="-10"/>
        </w:rPr>
        <w:t> </w:t>
      </w:r>
      <w:r>
        <w:rPr/>
        <w:t>test for</w:t>
      </w:r>
      <w:r>
        <w:rPr>
          <w:spacing w:val="-1"/>
        </w:rPr>
        <w:t> </w:t>
      </w:r>
      <w:r>
        <w:rPr/>
        <w:t>motor</w:t>
      </w:r>
      <w:r>
        <w:rPr>
          <w:spacing w:val="-1"/>
        </w:rPr>
        <w:t> </w:t>
      </w:r>
      <w:r>
        <w:rPr/>
        <w:t>coordination</w:t>
      </w:r>
      <w:r>
        <w:rPr>
          <w:spacing w:val="-6"/>
        </w:rPr>
        <w:t> </w:t>
      </w:r>
      <w:r>
        <w:rPr/>
        <w:t>deficit, were</w:t>
      </w:r>
      <w:r>
        <w:rPr>
          <w:spacing w:val="-3"/>
        </w:rPr>
        <w:t> </w:t>
      </w:r>
      <w:r>
        <w:rPr/>
        <w:t>100.0</w:t>
      </w:r>
      <w:r>
        <w:rPr>
          <w:spacing w:val="-2"/>
        </w:rPr>
        <w:t> </w:t>
      </w:r>
      <w:r>
        <w:rPr/>
        <w:t>mg/kg, 100.0 mg/kg</w:t>
      </w:r>
      <w:r>
        <w:rPr>
          <w:spacing w:val="-3"/>
        </w:rPr>
        <w:t> </w:t>
      </w:r>
      <w:r>
        <w:rPr/>
        <w:t>and 104.7 mg/kg, respectively. Accordingly,</w:t>
      </w:r>
      <w:r>
        <w:rPr>
          <w:spacing w:val="-1"/>
        </w:rPr>
        <w:t> </w:t>
      </w:r>
      <w:r>
        <w:rPr/>
        <w:t>their</w:t>
      </w:r>
      <w:r>
        <w:rPr>
          <w:spacing w:val="-2"/>
        </w:rPr>
        <w:t> </w:t>
      </w:r>
      <w:r>
        <w:rPr/>
        <w:t>protective index values</w:t>
      </w:r>
      <w:r>
        <w:rPr>
          <w:spacing w:val="-1"/>
        </w:rPr>
        <w:t> </w:t>
      </w:r>
      <w:r>
        <w:rPr/>
        <w:t>(MEST) were 3.98, 2.51 and 2.33, respectively; while that of picrotoxin test were 2.82 (DCP23) and 3.55 (DCP25) (Table 4.18).</w:t>
      </w:r>
    </w:p>
    <w:p>
      <w:pPr>
        <w:pStyle w:val="BodyText"/>
        <w:spacing w:before="51"/>
      </w:pPr>
    </w:p>
    <w:p>
      <w:pPr>
        <w:pStyle w:val="Heading2"/>
      </w:pPr>
      <w:r>
        <w:rPr/>
        <w:t>Table</w:t>
      </w:r>
      <w:r>
        <w:rPr>
          <w:spacing w:val="-2"/>
        </w:rPr>
        <w:t> </w:t>
      </w:r>
      <w:r>
        <w:rPr/>
        <w:t>4.18:</w:t>
      </w:r>
      <w:r>
        <w:rPr>
          <w:spacing w:val="1"/>
        </w:rPr>
        <w:t> </w:t>
      </w:r>
      <w:r>
        <w:rPr/>
        <w:t>Protective</w:t>
      </w:r>
      <w:r>
        <w:rPr>
          <w:spacing w:val="-1"/>
        </w:rPr>
        <w:t> </w:t>
      </w:r>
      <w:r>
        <w:rPr/>
        <w:t>Index</w:t>
      </w:r>
      <w:r>
        <w:rPr>
          <w:spacing w:val="-6"/>
        </w:rPr>
        <w:t> </w:t>
      </w:r>
      <w:r>
        <w:rPr/>
        <w:t>Values</w:t>
      </w:r>
      <w:r>
        <w:rPr>
          <w:spacing w:val="-2"/>
        </w:rPr>
        <w:t> </w:t>
      </w:r>
      <w:r>
        <w:rPr/>
        <w:t>of</w:t>
      </w:r>
      <w:r>
        <w:rPr>
          <w:spacing w:val="-1"/>
        </w:rPr>
        <w:t> </w:t>
      </w:r>
      <w:r>
        <w:rPr/>
        <w:t>DCP23,</w:t>
      </w:r>
      <w:r>
        <w:rPr>
          <w:spacing w:val="2"/>
        </w:rPr>
        <w:t> </w:t>
      </w:r>
      <w:r>
        <w:rPr/>
        <w:t>DCP25</w:t>
      </w:r>
      <w:r>
        <w:rPr>
          <w:spacing w:val="-1"/>
        </w:rPr>
        <w:t> </w:t>
      </w:r>
      <w:r>
        <w:rPr/>
        <w:t>and DCP34</w:t>
      </w:r>
      <w:r>
        <w:rPr>
          <w:spacing w:val="1"/>
        </w:rPr>
        <w:t> </w:t>
      </w:r>
      <w:r>
        <w:rPr/>
        <w:t>in</w:t>
      </w:r>
      <w:r>
        <w:rPr>
          <w:spacing w:val="-4"/>
        </w:rPr>
        <w:t> Mice</w:t>
      </w:r>
    </w:p>
    <w:p>
      <w:pPr>
        <w:pStyle w:val="BodyText"/>
        <w:spacing w:before="112"/>
        <w:rPr>
          <w:b/>
          <w:sz w:val="20"/>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1"/>
        <w:gridCol w:w="1425"/>
        <w:gridCol w:w="1029"/>
        <w:gridCol w:w="1330"/>
        <w:gridCol w:w="1951"/>
        <w:gridCol w:w="1885"/>
      </w:tblGrid>
      <w:tr>
        <w:trPr>
          <w:trHeight w:val="1063" w:hRule="atLeast"/>
        </w:trPr>
        <w:tc>
          <w:tcPr>
            <w:tcW w:w="1071" w:type="dxa"/>
            <w:tcBorders>
              <w:top w:val="single" w:sz="6" w:space="0" w:color="000000"/>
              <w:bottom w:val="single" w:sz="6" w:space="0" w:color="000000"/>
            </w:tcBorders>
          </w:tcPr>
          <w:p>
            <w:pPr>
              <w:pStyle w:val="TableParagraph"/>
              <w:spacing w:before="195"/>
              <w:rPr>
                <w:sz w:val="24"/>
              </w:rPr>
            </w:pPr>
            <w:r>
              <w:rPr>
                <w:spacing w:val="-2"/>
                <w:sz w:val="24"/>
              </w:rPr>
              <w:t>Compound</w:t>
            </w:r>
          </w:p>
        </w:tc>
        <w:tc>
          <w:tcPr>
            <w:tcW w:w="1425" w:type="dxa"/>
            <w:tcBorders>
              <w:top w:val="single" w:sz="6" w:space="0" w:color="000000"/>
              <w:bottom w:val="single" w:sz="6" w:space="0" w:color="000000"/>
            </w:tcBorders>
          </w:tcPr>
          <w:p>
            <w:pPr>
              <w:pStyle w:val="TableParagraph"/>
              <w:spacing w:before="11"/>
              <w:rPr>
                <w:b/>
                <w:sz w:val="16"/>
              </w:rPr>
            </w:pPr>
          </w:p>
          <w:p>
            <w:pPr>
              <w:pStyle w:val="TableParagraph"/>
              <w:ind w:left="432"/>
              <w:rPr>
                <w:sz w:val="24"/>
              </w:rPr>
            </w:pPr>
            <w:r>
              <w:rPr>
                <w:sz w:val="24"/>
                <w:vertAlign w:val="superscript"/>
              </w:rPr>
              <w:t>M</w:t>
            </w:r>
            <w:r>
              <w:rPr>
                <w:spacing w:val="-3"/>
                <w:sz w:val="24"/>
                <w:vertAlign w:val="baseline"/>
              </w:rPr>
              <w:t> </w:t>
            </w:r>
            <w:r>
              <w:rPr>
                <w:spacing w:val="-4"/>
                <w:sz w:val="24"/>
                <w:vertAlign w:val="baseline"/>
              </w:rPr>
              <w:t>ED</w:t>
            </w:r>
            <w:r>
              <w:rPr>
                <w:spacing w:val="-4"/>
                <w:sz w:val="24"/>
                <w:vertAlign w:val="subscript"/>
              </w:rPr>
              <w:t>50</w:t>
            </w:r>
          </w:p>
          <w:p>
            <w:pPr>
              <w:pStyle w:val="TableParagraph"/>
              <w:spacing w:before="3"/>
              <w:ind w:left="442"/>
              <w:rPr>
                <w:sz w:val="24"/>
              </w:rPr>
            </w:pPr>
            <w:r>
              <w:rPr>
                <w:spacing w:val="-2"/>
                <w:sz w:val="24"/>
              </w:rPr>
              <w:t>(mg/kg)</w:t>
            </w:r>
          </w:p>
        </w:tc>
        <w:tc>
          <w:tcPr>
            <w:tcW w:w="1029" w:type="dxa"/>
            <w:tcBorders>
              <w:top w:val="single" w:sz="6" w:space="0" w:color="000000"/>
              <w:bottom w:val="single" w:sz="6" w:space="0" w:color="000000"/>
            </w:tcBorders>
          </w:tcPr>
          <w:p>
            <w:pPr>
              <w:pStyle w:val="TableParagraph"/>
              <w:spacing w:before="11"/>
              <w:rPr>
                <w:b/>
                <w:sz w:val="16"/>
              </w:rPr>
            </w:pPr>
          </w:p>
          <w:p>
            <w:pPr>
              <w:pStyle w:val="TableParagraph"/>
              <w:ind w:left="385"/>
              <w:rPr>
                <w:sz w:val="24"/>
              </w:rPr>
            </w:pPr>
            <w:r>
              <w:rPr>
                <w:spacing w:val="-4"/>
                <w:sz w:val="24"/>
                <w:vertAlign w:val="superscript"/>
              </w:rPr>
              <w:t>P</w:t>
            </w:r>
            <w:r>
              <w:rPr>
                <w:spacing w:val="-4"/>
                <w:sz w:val="24"/>
                <w:vertAlign w:val="baseline"/>
              </w:rPr>
              <w:t>ED</w:t>
            </w:r>
            <w:r>
              <w:rPr>
                <w:spacing w:val="-4"/>
                <w:sz w:val="24"/>
                <w:vertAlign w:val="subscript"/>
              </w:rPr>
              <w:t>50</w:t>
            </w:r>
          </w:p>
          <w:p>
            <w:pPr>
              <w:pStyle w:val="TableParagraph"/>
              <w:spacing w:before="3"/>
              <w:ind w:left="210"/>
              <w:rPr>
                <w:sz w:val="24"/>
              </w:rPr>
            </w:pPr>
            <w:r>
              <w:rPr>
                <w:spacing w:val="-2"/>
                <w:sz w:val="24"/>
              </w:rPr>
              <w:t>(mg/kg)</w:t>
            </w:r>
          </w:p>
        </w:tc>
        <w:tc>
          <w:tcPr>
            <w:tcW w:w="1330" w:type="dxa"/>
            <w:tcBorders>
              <w:top w:val="single" w:sz="6" w:space="0" w:color="000000"/>
              <w:bottom w:val="single" w:sz="6" w:space="0" w:color="000000"/>
            </w:tcBorders>
          </w:tcPr>
          <w:p>
            <w:pPr>
              <w:pStyle w:val="TableParagraph"/>
              <w:spacing w:before="11"/>
              <w:rPr>
                <w:b/>
                <w:sz w:val="16"/>
              </w:rPr>
            </w:pPr>
          </w:p>
          <w:p>
            <w:pPr>
              <w:pStyle w:val="TableParagraph"/>
              <w:ind w:left="514"/>
              <w:jc w:val="center"/>
              <w:rPr>
                <w:sz w:val="24"/>
              </w:rPr>
            </w:pPr>
            <w:r>
              <w:rPr>
                <w:spacing w:val="-4"/>
                <w:sz w:val="24"/>
              </w:rPr>
              <w:t>TD</w:t>
            </w:r>
            <w:r>
              <w:rPr>
                <w:spacing w:val="-4"/>
                <w:sz w:val="24"/>
                <w:vertAlign w:val="subscript"/>
              </w:rPr>
              <w:t>50</w:t>
            </w:r>
          </w:p>
          <w:p>
            <w:pPr>
              <w:pStyle w:val="TableParagraph"/>
              <w:spacing w:before="3"/>
              <w:ind w:left="425"/>
              <w:jc w:val="center"/>
              <w:rPr>
                <w:sz w:val="24"/>
              </w:rPr>
            </w:pPr>
            <w:r>
              <w:rPr>
                <w:spacing w:val="-2"/>
                <w:sz w:val="24"/>
              </w:rPr>
              <w:t>(mg/kg)</w:t>
            </w:r>
          </w:p>
        </w:tc>
        <w:tc>
          <w:tcPr>
            <w:tcW w:w="1951" w:type="dxa"/>
            <w:tcBorders>
              <w:top w:val="single" w:sz="6" w:space="0" w:color="000000"/>
              <w:bottom w:val="single" w:sz="6" w:space="0" w:color="000000"/>
            </w:tcBorders>
          </w:tcPr>
          <w:p>
            <w:pPr>
              <w:pStyle w:val="TableParagraph"/>
              <w:spacing w:before="195"/>
              <w:ind w:left="552"/>
              <w:rPr>
                <w:sz w:val="24"/>
              </w:rPr>
            </w:pPr>
            <w:r>
              <w:rPr>
                <w:sz w:val="24"/>
              </w:rPr>
              <w:t>PI</w:t>
            </w:r>
            <w:r>
              <w:rPr>
                <w:spacing w:val="-1"/>
                <w:sz w:val="24"/>
              </w:rPr>
              <w:t> </w:t>
            </w:r>
            <w:r>
              <w:rPr>
                <w:spacing w:val="-2"/>
                <w:sz w:val="24"/>
              </w:rPr>
              <w:t>(MEST)</w:t>
            </w:r>
          </w:p>
        </w:tc>
        <w:tc>
          <w:tcPr>
            <w:tcW w:w="1885" w:type="dxa"/>
            <w:tcBorders>
              <w:top w:val="single" w:sz="6" w:space="0" w:color="000000"/>
              <w:bottom w:val="single" w:sz="6" w:space="0" w:color="000000"/>
            </w:tcBorders>
          </w:tcPr>
          <w:p>
            <w:pPr>
              <w:pStyle w:val="TableParagraph"/>
              <w:spacing w:before="195"/>
              <w:ind w:left="92"/>
              <w:rPr>
                <w:sz w:val="24"/>
              </w:rPr>
            </w:pPr>
            <w:r>
              <w:rPr>
                <w:sz w:val="24"/>
              </w:rPr>
              <w:t>PI</w:t>
            </w:r>
            <w:r>
              <w:rPr>
                <w:spacing w:val="-1"/>
                <w:sz w:val="24"/>
              </w:rPr>
              <w:t> </w:t>
            </w:r>
            <w:r>
              <w:rPr>
                <w:spacing w:val="-2"/>
                <w:sz w:val="24"/>
              </w:rPr>
              <w:t>(Picrotoxin)</w:t>
            </w:r>
          </w:p>
        </w:tc>
      </w:tr>
      <w:tr>
        <w:trPr>
          <w:trHeight w:val="688" w:hRule="atLeast"/>
        </w:trPr>
        <w:tc>
          <w:tcPr>
            <w:tcW w:w="1071" w:type="dxa"/>
            <w:tcBorders>
              <w:top w:val="single" w:sz="6" w:space="0" w:color="000000"/>
            </w:tcBorders>
          </w:tcPr>
          <w:p>
            <w:pPr>
              <w:pStyle w:val="TableParagraph"/>
              <w:spacing w:before="269"/>
              <w:rPr>
                <w:sz w:val="24"/>
              </w:rPr>
            </w:pPr>
            <w:r>
              <w:rPr>
                <w:spacing w:val="-2"/>
                <w:sz w:val="24"/>
              </w:rPr>
              <w:t>DCP23</w:t>
            </w:r>
          </w:p>
        </w:tc>
        <w:tc>
          <w:tcPr>
            <w:tcW w:w="1425" w:type="dxa"/>
            <w:tcBorders>
              <w:top w:val="single" w:sz="6" w:space="0" w:color="000000"/>
            </w:tcBorders>
          </w:tcPr>
          <w:p>
            <w:pPr>
              <w:pStyle w:val="TableParagraph"/>
              <w:spacing w:before="269"/>
              <w:ind w:left="495"/>
              <w:rPr>
                <w:sz w:val="24"/>
              </w:rPr>
            </w:pPr>
            <w:r>
              <w:rPr>
                <w:spacing w:val="-2"/>
                <w:sz w:val="24"/>
              </w:rPr>
              <w:t>25.12</w:t>
            </w:r>
          </w:p>
        </w:tc>
        <w:tc>
          <w:tcPr>
            <w:tcW w:w="1029" w:type="dxa"/>
            <w:tcBorders>
              <w:top w:val="single" w:sz="6" w:space="0" w:color="000000"/>
            </w:tcBorders>
          </w:tcPr>
          <w:p>
            <w:pPr>
              <w:pStyle w:val="TableParagraph"/>
              <w:spacing w:before="269"/>
              <w:ind w:left="326"/>
              <w:rPr>
                <w:sz w:val="24"/>
              </w:rPr>
            </w:pPr>
            <w:r>
              <w:rPr>
                <w:spacing w:val="-2"/>
                <w:sz w:val="24"/>
              </w:rPr>
              <w:t>35.48</w:t>
            </w:r>
          </w:p>
        </w:tc>
        <w:tc>
          <w:tcPr>
            <w:tcW w:w="1330" w:type="dxa"/>
            <w:tcBorders>
              <w:top w:val="single" w:sz="6" w:space="0" w:color="000000"/>
            </w:tcBorders>
          </w:tcPr>
          <w:p>
            <w:pPr>
              <w:pStyle w:val="TableParagraph"/>
              <w:spacing w:before="269"/>
              <w:ind w:left="619"/>
              <w:rPr>
                <w:sz w:val="24"/>
              </w:rPr>
            </w:pPr>
            <w:r>
              <w:rPr>
                <w:spacing w:val="-2"/>
                <w:sz w:val="24"/>
              </w:rPr>
              <w:t>100.0</w:t>
            </w:r>
          </w:p>
        </w:tc>
        <w:tc>
          <w:tcPr>
            <w:tcW w:w="1951" w:type="dxa"/>
            <w:tcBorders>
              <w:top w:val="single" w:sz="6" w:space="0" w:color="000000"/>
            </w:tcBorders>
          </w:tcPr>
          <w:p>
            <w:pPr>
              <w:pStyle w:val="TableParagraph"/>
              <w:spacing w:before="269"/>
              <w:ind w:left="19" w:right="205"/>
              <w:jc w:val="center"/>
              <w:rPr>
                <w:sz w:val="24"/>
              </w:rPr>
            </w:pPr>
            <w:r>
              <w:rPr>
                <w:spacing w:val="-4"/>
                <w:sz w:val="24"/>
              </w:rPr>
              <w:t>3.98</w:t>
            </w:r>
          </w:p>
        </w:tc>
        <w:tc>
          <w:tcPr>
            <w:tcW w:w="1885" w:type="dxa"/>
            <w:tcBorders>
              <w:top w:val="single" w:sz="6" w:space="0" w:color="000000"/>
            </w:tcBorders>
          </w:tcPr>
          <w:p>
            <w:pPr>
              <w:pStyle w:val="TableParagraph"/>
              <w:spacing w:before="269"/>
              <w:ind w:left="159"/>
              <w:rPr>
                <w:sz w:val="24"/>
              </w:rPr>
            </w:pPr>
            <w:r>
              <w:rPr>
                <w:spacing w:val="-4"/>
                <w:sz w:val="24"/>
              </w:rPr>
              <w:t>2.82</w:t>
            </w:r>
          </w:p>
        </w:tc>
      </w:tr>
      <w:tr>
        <w:trPr>
          <w:trHeight w:val="552" w:hRule="atLeast"/>
        </w:trPr>
        <w:tc>
          <w:tcPr>
            <w:tcW w:w="1071" w:type="dxa"/>
          </w:tcPr>
          <w:p>
            <w:pPr>
              <w:pStyle w:val="TableParagraph"/>
              <w:spacing w:before="133"/>
              <w:rPr>
                <w:sz w:val="24"/>
              </w:rPr>
            </w:pPr>
            <w:r>
              <w:rPr>
                <w:spacing w:val="-2"/>
                <w:sz w:val="24"/>
              </w:rPr>
              <w:t>DCP25</w:t>
            </w:r>
          </w:p>
        </w:tc>
        <w:tc>
          <w:tcPr>
            <w:tcW w:w="1425" w:type="dxa"/>
          </w:tcPr>
          <w:p>
            <w:pPr>
              <w:pStyle w:val="TableParagraph"/>
              <w:spacing w:before="133"/>
              <w:ind w:left="552"/>
              <w:rPr>
                <w:sz w:val="24"/>
              </w:rPr>
            </w:pPr>
            <w:r>
              <w:rPr>
                <w:spacing w:val="-2"/>
                <w:sz w:val="24"/>
              </w:rPr>
              <w:t>39.81</w:t>
            </w:r>
          </w:p>
        </w:tc>
        <w:tc>
          <w:tcPr>
            <w:tcW w:w="1029" w:type="dxa"/>
          </w:tcPr>
          <w:p>
            <w:pPr>
              <w:pStyle w:val="TableParagraph"/>
              <w:spacing w:before="133"/>
              <w:ind w:right="101"/>
              <w:jc w:val="right"/>
              <w:rPr>
                <w:sz w:val="24"/>
              </w:rPr>
            </w:pPr>
            <w:r>
              <w:rPr>
                <w:spacing w:val="-2"/>
                <w:sz w:val="24"/>
              </w:rPr>
              <w:t>28.18</w:t>
            </w:r>
          </w:p>
        </w:tc>
        <w:tc>
          <w:tcPr>
            <w:tcW w:w="1330" w:type="dxa"/>
          </w:tcPr>
          <w:p>
            <w:pPr>
              <w:pStyle w:val="TableParagraph"/>
              <w:spacing w:before="133"/>
              <w:ind w:left="557"/>
              <w:rPr>
                <w:sz w:val="24"/>
              </w:rPr>
            </w:pPr>
            <w:r>
              <w:rPr>
                <w:spacing w:val="-2"/>
                <w:sz w:val="24"/>
              </w:rPr>
              <w:t>100.0</w:t>
            </w:r>
          </w:p>
        </w:tc>
        <w:tc>
          <w:tcPr>
            <w:tcW w:w="1951" w:type="dxa"/>
          </w:tcPr>
          <w:p>
            <w:pPr>
              <w:pStyle w:val="TableParagraph"/>
              <w:spacing w:before="133"/>
              <w:ind w:right="205"/>
              <w:jc w:val="center"/>
              <w:rPr>
                <w:sz w:val="24"/>
              </w:rPr>
            </w:pPr>
            <w:r>
              <w:rPr>
                <w:spacing w:val="-4"/>
                <w:sz w:val="24"/>
              </w:rPr>
              <w:t>2.51</w:t>
            </w:r>
          </w:p>
        </w:tc>
        <w:tc>
          <w:tcPr>
            <w:tcW w:w="1885" w:type="dxa"/>
          </w:tcPr>
          <w:p>
            <w:pPr>
              <w:pStyle w:val="TableParagraph"/>
              <w:spacing w:before="133"/>
              <w:ind w:left="219"/>
              <w:rPr>
                <w:sz w:val="24"/>
              </w:rPr>
            </w:pPr>
            <w:r>
              <w:rPr>
                <w:spacing w:val="-4"/>
                <w:sz w:val="24"/>
              </w:rPr>
              <w:t>3.55</w:t>
            </w:r>
          </w:p>
        </w:tc>
      </w:tr>
      <w:tr>
        <w:trPr>
          <w:trHeight w:val="552" w:hRule="atLeast"/>
        </w:trPr>
        <w:tc>
          <w:tcPr>
            <w:tcW w:w="1071" w:type="dxa"/>
          </w:tcPr>
          <w:p>
            <w:pPr>
              <w:pStyle w:val="TableParagraph"/>
              <w:spacing w:before="133"/>
              <w:rPr>
                <w:sz w:val="24"/>
              </w:rPr>
            </w:pPr>
            <w:r>
              <w:rPr>
                <w:spacing w:val="-2"/>
                <w:sz w:val="24"/>
              </w:rPr>
              <w:t>DCP34</w:t>
            </w:r>
          </w:p>
        </w:tc>
        <w:tc>
          <w:tcPr>
            <w:tcW w:w="1425" w:type="dxa"/>
          </w:tcPr>
          <w:p>
            <w:pPr>
              <w:pStyle w:val="TableParagraph"/>
              <w:spacing w:before="133"/>
              <w:ind w:left="540"/>
              <w:rPr>
                <w:sz w:val="24"/>
              </w:rPr>
            </w:pPr>
            <w:r>
              <w:rPr>
                <w:spacing w:val="-2"/>
                <w:sz w:val="24"/>
              </w:rPr>
              <w:t>44.67</w:t>
            </w:r>
          </w:p>
        </w:tc>
        <w:tc>
          <w:tcPr>
            <w:tcW w:w="1029" w:type="dxa"/>
          </w:tcPr>
          <w:p>
            <w:pPr>
              <w:pStyle w:val="TableParagraph"/>
              <w:spacing w:before="133"/>
              <w:ind w:left="433"/>
              <w:rPr>
                <w:sz w:val="24"/>
              </w:rPr>
            </w:pPr>
            <w:r>
              <w:rPr>
                <w:spacing w:val="-5"/>
                <w:sz w:val="24"/>
              </w:rPr>
              <w:t>ND</w:t>
            </w:r>
          </w:p>
        </w:tc>
        <w:tc>
          <w:tcPr>
            <w:tcW w:w="1330" w:type="dxa"/>
          </w:tcPr>
          <w:p>
            <w:pPr>
              <w:pStyle w:val="TableParagraph"/>
              <w:spacing w:before="133"/>
              <w:ind w:left="588"/>
              <w:rPr>
                <w:sz w:val="24"/>
              </w:rPr>
            </w:pPr>
            <w:r>
              <w:rPr>
                <w:spacing w:val="-2"/>
                <w:sz w:val="24"/>
              </w:rPr>
              <w:t>104.7</w:t>
            </w:r>
          </w:p>
        </w:tc>
        <w:tc>
          <w:tcPr>
            <w:tcW w:w="1951" w:type="dxa"/>
          </w:tcPr>
          <w:p>
            <w:pPr>
              <w:pStyle w:val="TableParagraph"/>
              <w:spacing w:before="133"/>
              <w:ind w:left="81" w:right="205"/>
              <w:jc w:val="center"/>
              <w:rPr>
                <w:sz w:val="24"/>
              </w:rPr>
            </w:pPr>
            <w:r>
              <w:rPr>
                <w:spacing w:val="-4"/>
                <w:sz w:val="24"/>
              </w:rPr>
              <w:t>2.33</w:t>
            </w:r>
          </w:p>
        </w:tc>
        <w:tc>
          <w:tcPr>
            <w:tcW w:w="1885" w:type="dxa"/>
          </w:tcPr>
          <w:p>
            <w:pPr>
              <w:pStyle w:val="TableParagraph"/>
              <w:spacing w:before="133"/>
              <w:ind w:left="219"/>
              <w:rPr>
                <w:sz w:val="24"/>
              </w:rPr>
            </w:pPr>
            <w:r>
              <w:rPr>
                <w:spacing w:val="-5"/>
                <w:sz w:val="24"/>
              </w:rPr>
              <w:t>ND</w:t>
            </w:r>
          </w:p>
        </w:tc>
      </w:tr>
      <w:tr>
        <w:trPr>
          <w:trHeight w:val="532" w:hRule="atLeast"/>
        </w:trPr>
        <w:tc>
          <w:tcPr>
            <w:tcW w:w="1071" w:type="dxa"/>
            <w:tcBorders>
              <w:bottom w:val="single" w:sz="6" w:space="0" w:color="000000"/>
            </w:tcBorders>
          </w:tcPr>
          <w:p>
            <w:pPr>
              <w:pStyle w:val="TableParagraph"/>
              <w:spacing w:before="133"/>
              <w:rPr>
                <w:sz w:val="24"/>
              </w:rPr>
            </w:pPr>
            <w:r>
              <w:rPr>
                <w:spacing w:val="-2"/>
                <w:sz w:val="24"/>
              </w:rPr>
              <w:t>Phenytoin</w:t>
            </w:r>
          </w:p>
        </w:tc>
        <w:tc>
          <w:tcPr>
            <w:tcW w:w="1425" w:type="dxa"/>
            <w:tcBorders>
              <w:bottom w:val="single" w:sz="6" w:space="0" w:color="000000"/>
            </w:tcBorders>
          </w:tcPr>
          <w:p>
            <w:pPr>
              <w:pStyle w:val="TableParagraph"/>
              <w:spacing w:before="133"/>
              <w:ind w:right="15"/>
              <w:jc w:val="center"/>
              <w:rPr>
                <w:sz w:val="24"/>
              </w:rPr>
            </w:pPr>
            <w:r>
              <w:rPr>
                <w:spacing w:val="-4"/>
                <w:sz w:val="24"/>
              </w:rPr>
              <w:t>12.2</w:t>
            </w:r>
          </w:p>
        </w:tc>
        <w:tc>
          <w:tcPr>
            <w:tcW w:w="1029" w:type="dxa"/>
            <w:tcBorders>
              <w:bottom w:val="single" w:sz="6" w:space="0" w:color="000000"/>
            </w:tcBorders>
          </w:tcPr>
          <w:p>
            <w:pPr>
              <w:pStyle w:val="TableParagraph"/>
              <w:spacing w:before="133"/>
              <w:ind w:left="448"/>
              <w:rPr>
                <w:sz w:val="24"/>
              </w:rPr>
            </w:pPr>
            <w:r>
              <w:rPr>
                <w:spacing w:val="-5"/>
                <w:sz w:val="24"/>
              </w:rPr>
              <w:t>ND</w:t>
            </w:r>
          </w:p>
        </w:tc>
        <w:tc>
          <w:tcPr>
            <w:tcW w:w="1330" w:type="dxa"/>
            <w:tcBorders>
              <w:bottom w:val="single" w:sz="6" w:space="0" w:color="000000"/>
            </w:tcBorders>
          </w:tcPr>
          <w:p>
            <w:pPr>
              <w:pStyle w:val="TableParagraph"/>
              <w:spacing w:before="133"/>
              <w:ind w:left="665"/>
              <w:rPr>
                <w:sz w:val="24"/>
              </w:rPr>
            </w:pPr>
            <w:r>
              <w:rPr>
                <w:spacing w:val="-2"/>
                <w:sz w:val="24"/>
              </w:rPr>
              <w:t>I52.0</w:t>
            </w:r>
          </w:p>
        </w:tc>
        <w:tc>
          <w:tcPr>
            <w:tcW w:w="1951" w:type="dxa"/>
            <w:tcBorders>
              <w:bottom w:val="single" w:sz="6" w:space="0" w:color="000000"/>
            </w:tcBorders>
          </w:tcPr>
          <w:p>
            <w:pPr>
              <w:pStyle w:val="TableParagraph"/>
              <w:spacing w:before="133"/>
              <w:ind w:left="24" w:right="205"/>
              <w:jc w:val="center"/>
              <w:rPr>
                <w:sz w:val="24"/>
              </w:rPr>
            </w:pPr>
            <w:r>
              <w:rPr>
                <w:spacing w:val="-4"/>
                <w:sz w:val="24"/>
              </w:rPr>
              <w:t>9.46</w:t>
            </w:r>
          </w:p>
        </w:tc>
        <w:tc>
          <w:tcPr>
            <w:tcW w:w="1885" w:type="dxa"/>
            <w:tcBorders>
              <w:bottom w:val="single" w:sz="6" w:space="0" w:color="000000"/>
            </w:tcBorders>
          </w:tcPr>
          <w:p>
            <w:pPr>
              <w:pStyle w:val="TableParagraph"/>
              <w:spacing w:before="133"/>
              <w:ind w:left="278"/>
              <w:rPr>
                <w:sz w:val="24"/>
              </w:rPr>
            </w:pPr>
            <w:r>
              <w:rPr>
                <w:spacing w:val="-5"/>
                <w:sz w:val="24"/>
              </w:rPr>
              <w:t>ND</w:t>
            </w:r>
          </w:p>
        </w:tc>
      </w:tr>
      <w:tr>
        <w:trPr>
          <w:trHeight w:val="461" w:hRule="atLeast"/>
        </w:trPr>
        <w:tc>
          <w:tcPr>
            <w:tcW w:w="1071" w:type="dxa"/>
            <w:tcBorders>
              <w:top w:val="single" w:sz="6" w:space="0" w:color="000000"/>
            </w:tcBorders>
          </w:tcPr>
          <w:p>
            <w:pPr>
              <w:pStyle w:val="TableParagraph"/>
              <w:spacing w:line="256" w:lineRule="exact" w:before="185"/>
              <w:rPr>
                <w:sz w:val="24"/>
              </w:rPr>
            </w:pPr>
            <w:r>
              <w:rPr>
                <w:sz w:val="24"/>
              </w:rPr>
              <w:t>2,3</w:t>
            </w:r>
            <w:r>
              <w:rPr>
                <w:spacing w:val="66"/>
                <w:sz w:val="24"/>
              </w:rPr>
              <w:t> </w:t>
            </w:r>
            <w:r>
              <w:rPr>
                <w:spacing w:val="-4"/>
                <w:sz w:val="24"/>
              </w:rPr>
              <w:t>DCP,</w:t>
            </w:r>
          </w:p>
        </w:tc>
        <w:tc>
          <w:tcPr>
            <w:tcW w:w="1425" w:type="dxa"/>
            <w:tcBorders>
              <w:top w:val="single" w:sz="6" w:space="0" w:color="000000"/>
            </w:tcBorders>
          </w:tcPr>
          <w:p>
            <w:pPr>
              <w:pStyle w:val="TableParagraph"/>
              <w:spacing w:line="256" w:lineRule="exact" w:before="185"/>
              <w:ind w:left="8"/>
              <w:rPr>
                <w:sz w:val="24"/>
              </w:rPr>
            </w:pPr>
            <w:r>
              <w:rPr>
                <w:sz w:val="24"/>
              </w:rPr>
              <w:t>2,5</w:t>
            </w:r>
            <w:r>
              <w:rPr>
                <w:spacing w:val="61"/>
                <w:sz w:val="24"/>
              </w:rPr>
              <w:t> </w:t>
            </w:r>
            <w:r>
              <w:rPr>
                <w:sz w:val="24"/>
              </w:rPr>
              <w:t>DCP</w:t>
            </w:r>
            <w:r>
              <w:rPr>
                <w:spacing w:val="62"/>
                <w:sz w:val="24"/>
              </w:rPr>
              <w:t> </w:t>
            </w:r>
            <w:r>
              <w:rPr>
                <w:spacing w:val="-5"/>
                <w:sz w:val="24"/>
              </w:rPr>
              <w:t>and</w:t>
            </w:r>
          </w:p>
        </w:tc>
        <w:tc>
          <w:tcPr>
            <w:tcW w:w="1029" w:type="dxa"/>
            <w:tcBorders>
              <w:top w:val="single" w:sz="6" w:space="0" w:color="000000"/>
            </w:tcBorders>
          </w:tcPr>
          <w:p>
            <w:pPr>
              <w:pStyle w:val="TableParagraph"/>
              <w:spacing w:line="256" w:lineRule="exact" w:before="185"/>
              <w:ind w:right="74"/>
              <w:jc w:val="right"/>
              <w:rPr>
                <w:sz w:val="24"/>
              </w:rPr>
            </w:pPr>
            <w:r>
              <w:rPr>
                <w:sz w:val="24"/>
              </w:rPr>
              <w:t>3,4</w:t>
            </w:r>
            <w:r>
              <w:rPr>
                <w:spacing w:val="66"/>
                <w:sz w:val="24"/>
              </w:rPr>
              <w:t> </w:t>
            </w:r>
            <w:r>
              <w:rPr>
                <w:spacing w:val="-5"/>
                <w:sz w:val="24"/>
              </w:rPr>
              <w:t>DCP</w:t>
            </w:r>
          </w:p>
        </w:tc>
        <w:tc>
          <w:tcPr>
            <w:tcW w:w="1330" w:type="dxa"/>
            <w:tcBorders>
              <w:top w:val="single" w:sz="6" w:space="0" w:color="000000"/>
            </w:tcBorders>
          </w:tcPr>
          <w:p>
            <w:pPr>
              <w:pStyle w:val="TableParagraph"/>
              <w:spacing w:line="256" w:lineRule="exact" w:before="185"/>
              <w:ind w:left="48"/>
              <w:rPr>
                <w:sz w:val="24"/>
              </w:rPr>
            </w:pPr>
            <w:r>
              <w:rPr>
                <w:sz w:val="24"/>
              </w:rPr>
              <w:t>=</w:t>
            </w:r>
            <w:r>
              <w:rPr>
                <w:spacing w:val="72"/>
                <w:sz w:val="24"/>
              </w:rPr>
              <w:t> </w:t>
            </w:r>
            <w:r>
              <w:rPr>
                <w:sz w:val="24"/>
              </w:rPr>
              <w:t>2,3-,</w:t>
            </w:r>
            <w:r>
              <w:rPr>
                <w:spacing w:val="68"/>
                <w:sz w:val="24"/>
              </w:rPr>
              <w:t> </w:t>
            </w:r>
            <w:r>
              <w:rPr>
                <w:spacing w:val="-4"/>
                <w:sz w:val="24"/>
              </w:rPr>
              <w:t>2,5-</w:t>
            </w:r>
          </w:p>
        </w:tc>
        <w:tc>
          <w:tcPr>
            <w:tcW w:w="1951" w:type="dxa"/>
            <w:tcBorders>
              <w:top w:val="single" w:sz="6" w:space="0" w:color="000000"/>
            </w:tcBorders>
          </w:tcPr>
          <w:p>
            <w:pPr>
              <w:pStyle w:val="TableParagraph"/>
              <w:spacing w:line="256" w:lineRule="exact" w:before="185"/>
              <w:ind w:left="57"/>
              <w:rPr>
                <w:sz w:val="24"/>
              </w:rPr>
            </w:pPr>
            <w:r>
              <w:rPr>
                <w:sz w:val="24"/>
              </w:rPr>
              <w:t>and</w:t>
            </w:r>
            <w:r>
              <w:rPr>
                <w:spacing w:val="62"/>
                <w:sz w:val="24"/>
              </w:rPr>
              <w:t> </w:t>
            </w:r>
            <w:r>
              <w:rPr>
                <w:sz w:val="24"/>
              </w:rPr>
              <w:t>3,4-</w:t>
            </w:r>
            <w:r>
              <w:rPr>
                <w:spacing w:val="64"/>
                <w:sz w:val="24"/>
              </w:rPr>
              <w:t> </w:t>
            </w:r>
            <w:r>
              <w:rPr>
                <w:spacing w:val="-2"/>
                <w:sz w:val="24"/>
              </w:rPr>
              <w:t>Dichloro</w:t>
            </w:r>
          </w:p>
        </w:tc>
        <w:tc>
          <w:tcPr>
            <w:tcW w:w="1885" w:type="dxa"/>
            <w:tcBorders>
              <w:top w:val="single" w:sz="6" w:space="0" w:color="000000"/>
            </w:tcBorders>
          </w:tcPr>
          <w:p>
            <w:pPr>
              <w:pStyle w:val="TableParagraph"/>
              <w:spacing w:line="256" w:lineRule="exact" w:before="185"/>
              <w:ind w:left="61"/>
              <w:rPr>
                <w:sz w:val="24"/>
              </w:rPr>
            </w:pPr>
            <w:r>
              <w:rPr>
                <w:sz w:val="24"/>
              </w:rPr>
              <w:t>–</w:t>
            </w:r>
            <w:r>
              <w:rPr>
                <w:spacing w:val="64"/>
                <w:sz w:val="24"/>
              </w:rPr>
              <w:t> </w:t>
            </w:r>
            <w:r>
              <w:rPr>
                <w:spacing w:val="-2"/>
                <w:sz w:val="24"/>
              </w:rPr>
              <w:t>3(aminophenyl)</w:t>
            </w:r>
          </w:p>
        </w:tc>
      </w:tr>
    </w:tbl>
    <w:p>
      <w:pPr>
        <w:pStyle w:val="BodyText"/>
        <w:ind w:left="681" w:right="278"/>
        <w:jc w:val="both"/>
      </w:pPr>
      <w:r>
        <w:rPr/>
        <w:t>propanamides respectively, </w:t>
      </w:r>
      <w:r>
        <w:rPr>
          <w:vertAlign w:val="superscript"/>
        </w:rPr>
        <w:t>M</w:t>
      </w:r>
      <w:r>
        <w:rPr>
          <w:vertAlign w:val="baseline"/>
        </w:rPr>
        <w:t> ED</w:t>
      </w:r>
      <w:r>
        <w:rPr>
          <w:vertAlign w:val="subscript"/>
        </w:rPr>
        <w:t>50</w:t>
      </w:r>
      <w:r>
        <w:rPr>
          <w:vertAlign w:val="baseline"/>
        </w:rPr>
        <w:t> = Median effective dose for maximal electroshock model,</w:t>
      </w:r>
      <w:r>
        <w:rPr>
          <w:spacing w:val="80"/>
          <w:w w:val="150"/>
          <w:vertAlign w:val="baseline"/>
        </w:rPr>
        <w:t> </w:t>
      </w:r>
      <w:r>
        <w:rPr>
          <w:vertAlign w:val="superscript"/>
        </w:rPr>
        <w:t>P</w:t>
      </w:r>
      <w:r>
        <w:rPr>
          <w:vertAlign w:val="baseline"/>
        </w:rPr>
        <w:t>ED</w:t>
      </w:r>
      <w:r>
        <w:rPr>
          <w:vertAlign w:val="subscript"/>
        </w:rPr>
        <w:t>50</w:t>
      </w:r>
      <w:r>
        <w:rPr>
          <w:spacing w:val="-15"/>
          <w:vertAlign w:val="baseline"/>
        </w:rPr>
        <w:t> </w:t>
      </w:r>
      <w:r>
        <w:rPr>
          <w:vertAlign w:val="baseline"/>
        </w:rPr>
        <w:t>=</w:t>
      </w:r>
      <w:r>
        <w:rPr>
          <w:spacing w:val="-15"/>
          <w:vertAlign w:val="baseline"/>
        </w:rPr>
        <w:t> </w:t>
      </w:r>
      <w:r>
        <w:rPr>
          <w:vertAlign w:val="baseline"/>
        </w:rPr>
        <w:t>Median</w:t>
      </w:r>
      <w:r>
        <w:rPr>
          <w:spacing w:val="-6"/>
          <w:vertAlign w:val="baseline"/>
        </w:rPr>
        <w:t> </w:t>
      </w:r>
      <w:r>
        <w:rPr>
          <w:vertAlign w:val="baseline"/>
        </w:rPr>
        <w:t>effective</w:t>
      </w:r>
      <w:r>
        <w:rPr>
          <w:spacing w:val="-3"/>
          <w:vertAlign w:val="baseline"/>
        </w:rPr>
        <w:t> </w:t>
      </w:r>
      <w:r>
        <w:rPr>
          <w:vertAlign w:val="baseline"/>
        </w:rPr>
        <w:t>dose</w:t>
      </w:r>
      <w:r>
        <w:rPr>
          <w:spacing w:val="-3"/>
          <w:vertAlign w:val="baseline"/>
        </w:rPr>
        <w:t> </w:t>
      </w:r>
      <w:r>
        <w:rPr>
          <w:vertAlign w:val="baseline"/>
        </w:rPr>
        <w:t>for</w:t>
      </w:r>
      <w:r>
        <w:rPr>
          <w:spacing w:val="-1"/>
          <w:vertAlign w:val="baseline"/>
        </w:rPr>
        <w:t> </w:t>
      </w:r>
      <w:r>
        <w:rPr>
          <w:vertAlign w:val="baseline"/>
        </w:rPr>
        <w:t>picrotoxin</w:t>
      </w:r>
      <w:r>
        <w:rPr>
          <w:spacing w:val="40"/>
          <w:vertAlign w:val="baseline"/>
        </w:rPr>
        <w:t> </w:t>
      </w:r>
      <w:r>
        <w:rPr>
          <w:vertAlign w:val="baseline"/>
        </w:rPr>
        <w:t>model,</w:t>
      </w:r>
      <w:r>
        <w:rPr>
          <w:spacing w:val="-15"/>
          <w:vertAlign w:val="baseline"/>
        </w:rPr>
        <w:t> </w:t>
      </w:r>
      <w:r>
        <w:rPr>
          <w:vertAlign w:val="baseline"/>
        </w:rPr>
        <w:t>TD</w:t>
      </w:r>
      <w:r>
        <w:rPr>
          <w:vertAlign w:val="subscript"/>
        </w:rPr>
        <w:t>50</w:t>
      </w:r>
      <w:r>
        <w:rPr>
          <w:spacing w:val="-15"/>
          <w:vertAlign w:val="baseline"/>
        </w:rPr>
        <w:t> </w:t>
      </w:r>
      <w:r>
        <w:rPr>
          <w:vertAlign w:val="baseline"/>
        </w:rPr>
        <w:t>=</w:t>
      </w:r>
      <w:r>
        <w:rPr>
          <w:spacing w:val="40"/>
          <w:vertAlign w:val="baseline"/>
        </w:rPr>
        <w:t> </w:t>
      </w:r>
      <w:r>
        <w:rPr>
          <w:vertAlign w:val="baseline"/>
        </w:rPr>
        <w:t>Median</w:t>
      </w:r>
      <w:r>
        <w:rPr>
          <w:spacing w:val="-6"/>
          <w:vertAlign w:val="baseline"/>
        </w:rPr>
        <w:t> </w:t>
      </w:r>
      <w:r>
        <w:rPr>
          <w:vertAlign w:val="baseline"/>
        </w:rPr>
        <w:t>toxic</w:t>
      </w:r>
      <w:r>
        <w:rPr>
          <w:spacing w:val="-3"/>
          <w:vertAlign w:val="baseline"/>
        </w:rPr>
        <w:t> </w:t>
      </w:r>
      <w:r>
        <w:rPr>
          <w:vertAlign w:val="baseline"/>
        </w:rPr>
        <w:t>dose, PI (MEST)</w:t>
      </w:r>
      <w:r>
        <w:rPr>
          <w:spacing w:val="-2"/>
          <w:vertAlign w:val="baseline"/>
        </w:rPr>
        <w:t> </w:t>
      </w:r>
      <w:r>
        <w:rPr>
          <w:vertAlign w:val="baseline"/>
        </w:rPr>
        <w:t>= Protective index for maximal</w:t>
      </w:r>
      <w:r>
        <w:rPr>
          <w:spacing w:val="-3"/>
          <w:vertAlign w:val="baseline"/>
        </w:rPr>
        <w:t> </w:t>
      </w:r>
      <w:r>
        <w:rPr>
          <w:vertAlign w:val="baseline"/>
        </w:rPr>
        <w:t>electroshock test,</w:t>
      </w:r>
      <w:r>
        <w:rPr>
          <w:spacing w:val="-1"/>
          <w:vertAlign w:val="baseline"/>
        </w:rPr>
        <w:t> </w:t>
      </w:r>
      <w:r>
        <w:rPr>
          <w:vertAlign w:val="baseline"/>
        </w:rPr>
        <w:t>PI</w:t>
      </w:r>
      <w:r>
        <w:rPr>
          <w:spacing w:val="-2"/>
          <w:vertAlign w:val="baseline"/>
        </w:rPr>
        <w:t> </w:t>
      </w:r>
      <w:r>
        <w:rPr>
          <w:vertAlign w:val="baseline"/>
        </w:rPr>
        <w:t>(Picrotoxin) = Protective index for picrotoxin,</w:t>
      </w:r>
      <w:r>
        <w:rPr>
          <w:spacing w:val="40"/>
          <w:vertAlign w:val="baseline"/>
        </w:rPr>
        <w:t> </w:t>
      </w:r>
      <w:r>
        <w:rPr>
          <w:vertAlign w:val="baseline"/>
        </w:rPr>
        <w:t>n = 6 mice per group, ND = Not determined.</w:t>
      </w:r>
    </w:p>
    <w:p>
      <w:pPr>
        <w:spacing w:after="0"/>
        <w:jc w:val="both"/>
        <w:sectPr>
          <w:pgSz w:w="12240" w:h="15840"/>
          <w:pgMar w:header="0" w:footer="1066" w:top="1360" w:bottom="1260" w:left="1480" w:right="1160"/>
        </w:sectPr>
      </w:pPr>
    </w:p>
    <w:p>
      <w:pPr>
        <w:pStyle w:val="Heading2"/>
        <w:numPr>
          <w:ilvl w:val="2"/>
          <w:numId w:val="16"/>
        </w:numPr>
        <w:tabs>
          <w:tab w:pos="1222" w:val="left" w:leader="none"/>
        </w:tabs>
        <w:spacing w:line="240" w:lineRule="auto" w:before="77" w:after="0"/>
        <w:ind w:left="1222" w:right="0" w:hanging="541"/>
        <w:jc w:val="both"/>
      </w:pPr>
      <w:bookmarkStart w:name="_TOC_250013" w:id="71"/>
      <w:r>
        <w:rPr/>
        <w:t>Tolerance</w:t>
      </w:r>
      <w:r>
        <w:rPr>
          <w:spacing w:val="-4"/>
        </w:rPr>
        <w:t> </w:t>
      </w:r>
      <w:r>
        <w:rPr/>
        <w:t>study</w:t>
      </w:r>
      <w:r>
        <w:rPr>
          <w:spacing w:val="-3"/>
        </w:rPr>
        <w:t> </w:t>
      </w:r>
      <w:r>
        <w:rPr/>
        <w:t>using</w:t>
      </w:r>
      <w:r>
        <w:rPr>
          <w:spacing w:val="-3"/>
        </w:rPr>
        <w:t> </w:t>
      </w:r>
      <w:r>
        <w:rPr/>
        <w:t>maxmal</w:t>
      </w:r>
      <w:r>
        <w:rPr>
          <w:spacing w:val="-8"/>
        </w:rPr>
        <w:t> </w:t>
      </w:r>
      <w:r>
        <w:rPr/>
        <w:t>electroshock</w:t>
      </w:r>
      <w:r>
        <w:rPr>
          <w:spacing w:val="-6"/>
        </w:rPr>
        <w:t> </w:t>
      </w:r>
      <w:bookmarkEnd w:id="71"/>
      <w:r>
        <w:rPr>
          <w:spacing w:val="-4"/>
        </w:rPr>
        <w:t>test</w:t>
      </w:r>
    </w:p>
    <w:p>
      <w:pPr>
        <w:pStyle w:val="BodyText"/>
        <w:spacing w:line="480" w:lineRule="auto" w:before="271"/>
        <w:ind w:left="681" w:right="280"/>
        <w:jc w:val="both"/>
      </w:pPr>
      <w:r>
        <w:rPr/>
        <w:t>The three compounds (DCP23, DCP25 and DCP34) administered via oral route, at the dose of 100 mg/kg, offered protection against Tonic Hind Limb Extension according to the frequency of their administration. For the single administration the percentage protection</w:t>
      </w:r>
      <w:r>
        <w:rPr>
          <w:spacing w:val="-7"/>
        </w:rPr>
        <w:t> </w:t>
      </w:r>
      <w:r>
        <w:rPr/>
        <w:t>were</w:t>
      </w:r>
      <w:r>
        <w:rPr>
          <w:spacing w:val="-3"/>
        </w:rPr>
        <w:t> </w:t>
      </w:r>
      <w:r>
        <w:rPr/>
        <w:t>37.5%,</w:t>
      </w:r>
      <w:r>
        <w:rPr>
          <w:spacing w:val="-5"/>
        </w:rPr>
        <w:t> </w:t>
      </w:r>
      <w:r>
        <w:rPr/>
        <w:t>50%</w:t>
      </w:r>
      <w:r>
        <w:rPr>
          <w:spacing w:val="-5"/>
        </w:rPr>
        <w:t> </w:t>
      </w:r>
      <w:r>
        <w:rPr/>
        <w:t>and</w:t>
      </w:r>
      <w:r>
        <w:rPr>
          <w:spacing w:val="-2"/>
        </w:rPr>
        <w:t> </w:t>
      </w:r>
      <w:r>
        <w:rPr/>
        <w:t>0.0%</w:t>
      </w:r>
      <w:r>
        <w:rPr>
          <w:spacing w:val="-5"/>
        </w:rPr>
        <w:t> </w:t>
      </w:r>
      <w:r>
        <w:rPr/>
        <w:t>respectively. While</w:t>
      </w:r>
      <w:r>
        <w:rPr>
          <w:spacing w:val="-3"/>
        </w:rPr>
        <w:t> </w:t>
      </w:r>
      <w:r>
        <w:rPr/>
        <w:t>that</w:t>
      </w:r>
      <w:r>
        <w:rPr>
          <w:spacing w:val="-2"/>
        </w:rPr>
        <w:t> </w:t>
      </w:r>
      <w:r>
        <w:rPr/>
        <w:t>of</w:t>
      </w:r>
      <w:r>
        <w:rPr>
          <w:spacing w:val="-10"/>
        </w:rPr>
        <w:t> </w:t>
      </w:r>
      <w:r>
        <w:rPr/>
        <w:t>daily</w:t>
      </w:r>
      <w:r>
        <w:rPr>
          <w:spacing w:val="-7"/>
        </w:rPr>
        <w:t> </w:t>
      </w:r>
      <w:r>
        <w:rPr/>
        <w:t>administration</w:t>
      </w:r>
      <w:r>
        <w:rPr>
          <w:spacing w:val="-2"/>
        </w:rPr>
        <w:t> </w:t>
      </w:r>
      <w:r>
        <w:rPr/>
        <w:t>for 5 days offered higher protections of 50%, 75% and 25%, respectively (Table 4.19).</w:t>
      </w:r>
    </w:p>
    <w:p>
      <w:pPr>
        <w:pStyle w:val="BodyText"/>
        <w:spacing w:before="4"/>
      </w:pPr>
    </w:p>
    <w:p>
      <w:pPr>
        <w:pStyle w:val="Heading2"/>
        <w:spacing w:line="242" w:lineRule="auto"/>
        <w:ind w:right="280"/>
      </w:pPr>
      <w:r>
        <w:rPr/>
        <w:t>Table 4.19: Effect of Single and Multiple Oral Administrations of DCP23, DCP25 and DCP34 on Maximal Electroshock-induced Seizure in Mice</w:t>
      </w:r>
    </w:p>
    <w:p>
      <w:pPr>
        <w:pStyle w:val="BodyText"/>
        <w:spacing w:before="164" w:after="1"/>
        <w:rPr>
          <w:b/>
          <w:sz w:val="20"/>
        </w:rPr>
      </w:pPr>
    </w:p>
    <w:tbl>
      <w:tblPr>
        <w:tblW w:w="0" w:type="auto"/>
        <w:jc w:val="left"/>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4"/>
        <w:gridCol w:w="3404"/>
        <w:gridCol w:w="3502"/>
      </w:tblGrid>
      <w:tr>
        <w:trPr>
          <w:trHeight w:val="1065" w:hRule="atLeast"/>
        </w:trPr>
        <w:tc>
          <w:tcPr>
            <w:tcW w:w="1734" w:type="dxa"/>
            <w:tcBorders>
              <w:top w:val="single" w:sz="6" w:space="0" w:color="000000"/>
              <w:bottom w:val="single" w:sz="6" w:space="0" w:color="000000"/>
            </w:tcBorders>
          </w:tcPr>
          <w:p>
            <w:pPr>
              <w:pStyle w:val="TableParagraph"/>
              <w:spacing w:line="242" w:lineRule="auto" w:before="140"/>
              <w:ind w:right="402"/>
              <w:rPr>
                <w:sz w:val="24"/>
              </w:rPr>
            </w:pPr>
            <w:r>
              <w:rPr>
                <w:spacing w:val="-2"/>
                <w:sz w:val="24"/>
              </w:rPr>
              <w:t>Compound </w:t>
            </w:r>
            <w:r>
              <w:rPr>
                <w:sz w:val="24"/>
              </w:rPr>
              <w:t>(Dose</w:t>
            </w:r>
            <w:r>
              <w:rPr>
                <w:spacing w:val="-15"/>
                <w:sz w:val="24"/>
              </w:rPr>
              <w:t> </w:t>
            </w:r>
            <w:r>
              <w:rPr>
                <w:sz w:val="24"/>
              </w:rPr>
              <w:t>mg/kg)</w:t>
            </w:r>
          </w:p>
        </w:tc>
        <w:tc>
          <w:tcPr>
            <w:tcW w:w="3404" w:type="dxa"/>
            <w:tcBorders>
              <w:top w:val="single" w:sz="6" w:space="0" w:color="000000"/>
              <w:bottom w:val="single" w:sz="6" w:space="0" w:color="000000"/>
            </w:tcBorders>
          </w:tcPr>
          <w:p>
            <w:pPr>
              <w:pStyle w:val="TableParagraph"/>
              <w:spacing w:line="242" w:lineRule="auto" w:before="140"/>
              <w:ind w:left="427"/>
              <w:rPr>
                <w:sz w:val="24"/>
              </w:rPr>
            </w:pPr>
            <w:r>
              <w:rPr>
                <w:sz w:val="24"/>
              </w:rPr>
              <w:t>%</w:t>
            </w:r>
            <w:r>
              <w:rPr>
                <w:spacing w:val="-15"/>
                <w:sz w:val="24"/>
              </w:rPr>
              <w:t> </w:t>
            </w:r>
            <w:r>
              <w:rPr>
                <w:sz w:val="24"/>
              </w:rPr>
              <w:t>Protection</w:t>
            </w:r>
            <w:r>
              <w:rPr>
                <w:spacing w:val="-15"/>
                <w:sz w:val="24"/>
              </w:rPr>
              <w:t> </w:t>
            </w:r>
            <w:r>
              <w:rPr>
                <w:sz w:val="24"/>
              </w:rPr>
              <w:t>against</w:t>
            </w:r>
            <w:r>
              <w:rPr>
                <w:spacing w:val="-14"/>
                <w:sz w:val="24"/>
              </w:rPr>
              <w:t> </w:t>
            </w:r>
            <w:r>
              <w:rPr>
                <w:sz w:val="24"/>
              </w:rPr>
              <w:t>seizure (single oral administration)</w:t>
            </w:r>
          </w:p>
        </w:tc>
        <w:tc>
          <w:tcPr>
            <w:tcW w:w="3502" w:type="dxa"/>
            <w:tcBorders>
              <w:top w:val="single" w:sz="6" w:space="0" w:color="000000"/>
              <w:bottom w:val="single" w:sz="6" w:space="0" w:color="000000"/>
            </w:tcBorders>
          </w:tcPr>
          <w:p>
            <w:pPr>
              <w:pStyle w:val="TableParagraph"/>
              <w:spacing w:line="242" w:lineRule="auto" w:before="140"/>
              <w:ind w:left="624" w:right="155"/>
              <w:rPr>
                <w:sz w:val="24"/>
              </w:rPr>
            </w:pPr>
            <w:r>
              <w:rPr>
                <w:sz w:val="24"/>
              </w:rPr>
              <w:t>%</w:t>
            </w:r>
            <w:r>
              <w:rPr>
                <w:spacing w:val="-15"/>
                <w:sz w:val="24"/>
              </w:rPr>
              <w:t> </w:t>
            </w:r>
            <w:r>
              <w:rPr>
                <w:sz w:val="24"/>
              </w:rPr>
              <w:t>Protection</w:t>
            </w:r>
            <w:r>
              <w:rPr>
                <w:spacing w:val="-15"/>
                <w:sz w:val="24"/>
              </w:rPr>
              <w:t> </w:t>
            </w:r>
            <w:r>
              <w:rPr>
                <w:sz w:val="24"/>
              </w:rPr>
              <w:t>against</w:t>
            </w:r>
            <w:r>
              <w:rPr>
                <w:spacing w:val="-13"/>
                <w:sz w:val="24"/>
              </w:rPr>
              <w:t> </w:t>
            </w:r>
            <w:r>
              <w:rPr>
                <w:sz w:val="24"/>
              </w:rPr>
              <w:t>seizure (5-day oral administration)</w:t>
            </w:r>
          </w:p>
        </w:tc>
      </w:tr>
      <w:tr>
        <w:trPr>
          <w:trHeight w:val="583" w:hRule="atLeast"/>
        </w:trPr>
        <w:tc>
          <w:tcPr>
            <w:tcW w:w="1734" w:type="dxa"/>
            <w:tcBorders>
              <w:top w:val="single" w:sz="6" w:space="0" w:color="000000"/>
            </w:tcBorders>
          </w:tcPr>
          <w:p>
            <w:pPr>
              <w:pStyle w:val="TableParagraph"/>
              <w:spacing w:before="164"/>
              <w:rPr>
                <w:sz w:val="24"/>
              </w:rPr>
            </w:pPr>
            <w:r>
              <w:rPr>
                <w:sz w:val="24"/>
              </w:rPr>
              <w:t>DCP23</w:t>
            </w:r>
            <w:r>
              <w:rPr>
                <w:spacing w:val="-1"/>
                <w:sz w:val="24"/>
              </w:rPr>
              <w:t> </w:t>
            </w:r>
            <w:r>
              <w:rPr>
                <w:spacing w:val="-2"/>
                <w:sz w:val="24"/>
              </w:rPr>
              <w:t>(100)</w:t>
            </w:r>
          </w:p>
        </w:tc>
        <w:tc>
          <w:tcPr>
            <w:tcW w:w="3404" w:type="dxa"/>
            <w:tcBorders>
              <w:top w:val="single" w:sz="6" w:space="0" w:color="000000"/>
            </w:tcBorders>
          </w:tcPr>
          <w:p>
            <w:pPr>
              <w:pStyle w:val="TableParagraph"/>
              <w:spacing w:before="164"/>
              <w:ind w:left="240" w:right="803"/>
              <w:jc w:val="center"/>
              <w:rPr>
                <w:sz w:val="24"/>
              </w:rPr>
            </w:pPr>
            <w:r>
              <w:rPr>
                <w:spacing w:val="-2"/>
                <w:sz w:val="24"/>
              </w:rPr>
              <w:t>37.50</w:t>
            </w:r>
          </w:p>
        </w:tc>
        <w:tc>
          <w:tcPr>
            <w:tcW w:w="3502" w:type="dxa"/>
            <w:tcBorders>
              <w:top w:val="single" w:sz="6" w:space="0" w:color="000000"/>
            </w:tcBorders>
          </w:tcPr>
          <w:p>
            <w:pPr>
              <w:pStyle w:val="TableParagraph"/>
              <w:spacing w:before="164"/>
              <w:ind w:right="387"/>
              <w:jc w:val="center"/>
              <w:rPr>
                <w:sz w:val="24"/>
              </w:rPr>
            </w:pPr>
            <w:r>
              <w:rPr>
                <w:spacing w:val="-4"/>
                <w:sz w:val="24"/>
              </w:rPr>
              <w:t>50.0</w:t>
            </w:r>
          </w:p>
        </w:tc>
      </w:tr>
      <w:tr>
        <w:trPr>
          <w:trHeight w:val="552" w:hRule="atLeast"/>
        </w:trPr>
        <w:tc>
          <w:tcPr>
            <w:tcW w:w="1734" w:type="dxa"/>
          </w:tcPr>
          <w:p>
            <w:pPr>
              <w:pStyle w:val="TableParagraph"/>
              <w:spacing w:before="133"/>
              <w:rPr>
                <w:sz w:val="24"/>
              </w:rPr>
            </w:pPr>
            <w:r>
              <w:rPr>
                <w:sz w:val="24"/>
              </w:rPr>
              <w:t>DCP25</w:t>
            </w:r>
            <w:r>
              <w:rPr>
                <w:spacing w:val="-1"/>
                <w:sz w:val="24"/>
              </w:rPr>
              <w:t> </w:t>
            </w:r>
            <w:r>
              <w:rPr>
                <w:spacing w:val="-2"/>
                <w:sz w:val="24"/>
              </w:rPr>
              <w:t>(100)</w:t>
            </w:r>
          </w:p>
        </w:tc>
        <w:tc>
          <w:tcPr>
            <w:tcW w:w="3404" w:type="dxa"/>
          </w:tcPr>
          <w:p>
            <w:pPr>
              <w:pStyle w:val="TableParagraph"/>
              <w:spacing w:before="133"/>
              <w:ind w:left="120" w:right="803"/>
              <w:jc w:val="center"/>
              <w:rPr>
                <w:sz w:val="24"/>
              </w:rPr>
            </w:pPr>
            <w:r>
              <w:rPr>
                <w:spacing w:val="-4"/>
                <w:sz w:val="24"/>
              </w:rPr>
              <w:t>50.0</w:t>
            </w:r>
          </w:p>
        </w:tc>
        <w:tc>
          <w:tcPr>
            <w:tcW w:w="3502" w:type="dxa"/>
          </w:tcPr>
          <w:p>
            <w:pPr>
              <w:pStyle w:val="TableParagraph"/>
              <w:spacing w:before="133"/>
              <w:ind w:right="387"/>
              <w:jc w:val="center"/>
              <w:rPr>
                <w:sz w:val="24"/>
              </w:rPr>
            </w:pPr>
            <w:r>
              <w:rPr>
                <w:spacing w:val="-4"/>
                <w:sz w:val="24"/>
              </w:rPr>
              <w:t>75.0</w:t>
            </w:r>
          </w:p>
        </w:tc>
      </w:tr>
      <w:tr>
        <w:trPr>
          <w:trHeight w:val="648" w:hRule="atLeast"/>
        </w:trPr>
        <w:tc>
          <w:tcPr>
            <w:tcW w:w="1734" w:type="dxa"/>
            <w:tcBorders>
              <w:bottom w:val="single" w:sz="6" w:space="0" w:color="000000"/>
            </w:tcBorders>
          </w:tcPr>
          <w:p>
            <w:pPr>
              <w:pStyle w:val="TableParagraph"/>
              <w:spacing w:before="133"/>
              <w:rPr>
                <w:sz w:val="24"/>
              </w:rPr>
            </w:pPr>
            <w:r>
              <w:rPr>
                <w:sz w:val="24"/>
              </w:rPr>
              <w:t>DCP34</w:t>
            </w:r>
            <w:r>
              <w:rPr>
                <w:spacing w:val="-1"/>
                <w:sz w:val="24"/>
              </w:rPr>
              <w:t> </w:t>
            </w:r>
            <w:r>
              <w:rPr>
                <w:spacing w:val="-2"/>
                <w:sz w:val="24"/>
              </w:rPr>
              <w:t>(100)</w:t>
            </w:r>
          </w:p>
        </w:tc>
        <w:tc>
          <w:tcPr>
            <w:tcW w:w="3404" w:type="dxa"/>
            <w:tcBorders>
              <w:bottom w:val="single" w:sz="6" w:space="0" w:color="000000"/>
            </w:tcBorders>
          </w:tcPr>
          <w:p>
            <w:pPr>
              <w:pStyle w:val="TableParagraph"/>
              <w:spacing w:before="133"/>
              <w:ind w:right="803"/>
              <w:jc w:val="center"/>
              <w:rPr>
                <w:sz w:val="24"/>
              </w:rPr>
            </w:pPr>
            <w:r>
              <w:rPr>
                <w:spacing w:val="-5"/>
                <w:sz w:val="24"/>
              </w:rPr>
              <w:t>0.0</w:t>
            </w:r>
          </w:p>
        </w:tc>
        <w:tc>
          <w:tcPr>
            <w:tcW w:w="3502" w:type="dxa"/>
            <w:tcBorders>
              <w:bottom w:val="single" w:sz="6" w:space="0" w:color="000000"/>
            </w:tcBorders>
          </w:tcPr>
          <w:p>
            <w:pPr>
              <w:pStyle w:val="TableParagraph"/>
              <w:spacing w:before="133"/>
              <w:ind w:right="387"/>
              <w:jc w:val="center"/>
              <w:rPr>
                <w:sz w:val="24"/>
              </w:rPr>
            </w:pPr>
            <w:r>
              <w:rPr>
                <w:spacing w:val="-4"/>
                <w:sz w:val="24"/>
              </w:rPr>
              <w:t>25.0</w:t>
            </w:r>
          </w:p>
        </w:tc>
      </w:tr>
      <w:tr>
        <w:trPr>
          <w:trHeight w:val="576" w:hRule="atLeast"/>
        </w:trPr>
        <w:tc>
          <w:tcPr>
            <w:tcW w:w="1734" w:type="dxa"/>
            <w:tcBorders>
              <w:top w:val="single" w:sz="6" w:space="0" w:color="000000"/>
            </w:tcBorders>
          </w:tcPr>
          <w:p>
            <w:pPr>
              <w:pStyle w:val="TableParagraph"/>
              <w:spacing w:before="24"/>
              <w:rPr>
                <w:b/>
                <w:sz w:val="24"/>
              </w:rPr>
            </w:pPr>
          </w:p>
          <w:p>
            <w:pPr>
              <w:pStyle w:val="TableParagraph"/>
              <w:spacing w:line="256" w:lineRule="exact"/>
              <w:rPr>
                <w:sz w:val="24"/>
              </w:rPr>
            </w:pPr>
            <w:r>
              <w:rPr>
                <w:sz w:val="24"/>
              </w:rPr>
              <w:t>DCP23,</w:t>
            </w:r>
            <w:r>
              <w:rPr>
                <w:spacing w:val="26"/>
                <w:sz w:val="24"/>
              </w:rPr>
              <w:t>  </w:t>
            </w:r>
            <w:r>
              <w:rPr>
                <w:spacing w:val="-2"/>
                <w:sz w:val="24"/>
              </w:rPr>
              <w:t>DCP25</w:t>
            </w:r>
          </w:p>
        </w:tc>
        <w:tc>
          <w:tcPr>
            <w:tcW w:w="3404" w:type="dxa"/>
            <w:tcBorders>
              <w:top w:val="single" w:sz="6" w:space="0" w:color="000000"/>
            </w:tcBorders>
          </w:tcPr>
          <w:p>
            <w:pPr>
              <w:pStyle w:val="TableParagraph"/>
              <w:spacing w:before="24"/>
              <w:rPr>
                <w:b/>
                <w:sz w:val="24"/>
              </w:rPr>
            </w:pPr>
          </w:p>
          <w:p>
            <w:pPr>
              <w:pStyle w:val="TableParagraph"/>
              <w:spacing w:line="256" w:lineRule="exact"/>
              <w:ind w:left="86"/>
              <w:rPr>
                <w:sz w:val="24"/>
              </w:rPr>
            </w:pPr>
            <w:r>
              <w:rPr>
                <w:sz w:val="24"/>
              </w:rPr>
              <w:t>and</w:t>
            </w:r>
            <w:r>
              <w:rPr>
                <w:spacing w:val="25"/>
                <w:sz w:val="24"/>
              </w:rPr>
              <w:t>  </w:t>
            </w:r>
            <w:r>
              <w:rPr>
                <w:sz w:val="24"/>
              </w:rPr>
              <w:t>DCP34</w:t>
            </w:r>
            <w:r>
              <w:rPr>
                <w:spacing w:val="26"/>
                <w:sz w:val="24"/>
              </w:rPr>
              <w:t>  </w:t>
            </w:r>
            <w:r>
              <w:rPr>
                <w:sz w:val="24"/>
              </w:rPr>
              <w:t>=</w:t>
            </w:r>
            <w:r>
              <w:rPr>
                <w:spacing w:val="31"/>
                <w:sz w:val="24"/>
              </w:rPr>
              <w:t>  </w:t>
            </w:r>
            <w:r>
              <w:rPr>
                <w:sz w:val="24"/>
              </w:rPr>
              <w:t>2,3-,</w:t>
            </w:r>
            <w:r>
              <w:rPr>
                <w:spacing w:val="28"/>
                <w:sz w:val="24"/>
              </w:rPr>
              <w:t>  </w:t>
            </w:r>
            <w:r>
              <w:rPr>
                <w:sz w:val="24"/>
              </w:rPr>
              <w:t>2,5-</w:t>
            </w:r>
            <w:r>
              <w:rPr>
                <w:spacing w:val="28"/>
                <w:sz w:val="24"/>
              </w:rPr>
              <w:t>  </w:t>
            </w:r>
            <w:r>
              <w:rPr>
                <w:spacing w:val="-5"/>
                <w:sz w:val="24"/>
              </w:rPr>
              <w:t>and</w:t>
            </w:r>
          </w:p>
        </w:tc>
        <w:tc>
          <w:tcPr>
            <w:tcW w:w="3502" w:type="dxa"/>
            <w:tcBorders>
              <w:top w:val="single" w:sz="6" w:space="0" w:color="000000"/>
            </w:tcBorders>
          </w:tcPr>
          <w:p>
            <w:pPr>
              <w:pStyle w:val="TableParagraph"/>
              <w:spacing w:before="24"/>
              <w:rPr>
                <w:b/>
                <w:sz w:val="24"/>
              </w:rPr>
            </w:pPr>
          </w:p>
          <w:p>
            <w:pPr>
              <w:pStyle w:val="TableParagraph"/>
              <w:spacing w:line="256" w:lineRule="exact"/>
              <w:ind w:left="86"/>
              <w:rPr>
                <w:sz w:val="24"/>
              </w:rPr>
            </w:pPr>
            <w:r>
              <w:rPr>
                <w:sz w:val="24"/>
              </w:rPr>
              <w:t>3,4-</w:t>
            </w:r>
            <w:r>
              <w:rPr>
                <w:spacing w:val="26"/>
                <w:sz w:val="24"/>
              </w:rPr>
              <w:t>  </w:t>
            </w:r>
            <w:r>
              <w:rPr>
                <w:sz w:val="24"/>
              </w:rPr>
              <w:t>Dichloro</w:t>
            </w:r>
            <w:r>
              <w:rPr>
                <w:spacing w:val="30"/>
                <w:sz w:val="24"/>
              </w:rPr>
              <w:t>  </w:t>
            </w:r>
            <w:r>
              <w:rPr>
                <w:sz w:val="24"/>
              </w:rPr>
              <w:t>–</w:t>
            </w:r>
            <w:r>
              <w:rPr>
                <w:spacing w:val="26"/>
                <w:sz w:val="24"/>
              </w:rPr>
              <w:t>  </w:t>
            </w:r>
            <w:r>
              <w:rPr>
                <w:spacing w:val="-2"/>
                <w:sz w:val="24"/>
              </w:rPr>
              <w:t>3(aminophenyl)</w:t>
            </w:r>
          </w:p>
        </w:tc>
      </w:tr>
    </w:tbl>
    <w:p>
      <w:pPr>
        <w:pStyle w:val="BodyText"/>
        <w:spacing w:before="269"/>
        <w:ind w:left="681"/>
        <w:jc w:val="both"/>
      </w:pPr>
      <w:r>
        <w:rPr/>
        <w:t>propanamides</w:t>
      </w:r>
      <w:r>
        <w:rPr>
          <w:spacing w:val="-4"/>
        </w:rPr>
        <w:t> </w:t>
      </w:r>
      <w:r>
        <w:rPr/>
        <w:t>respectively;</w:t>
      </w:r>
      <w:r>
        <w:rPr>
          <w:spacing w:val="6"/>
        </w:rPr>
        <w:t> </w:t>
      </w:r>
      <w:r>
        <w:rPr/>
        <w:t>n</w:t>
      </w:r>
      <w:r>
        <w:rPr>
          <w:spacing w:val="-7"/>
        </w:rPr>
        <w:t> </w:t>
      </w:r>
      <w:r>
        <w:rPr>
          <w:b/>
        </w:rPr>
        <w:t>=</w:t>
      </w:r>
      <w:r>
        <w:rPr>
          <w:b/>
          <w:spacing w:val="-4"/>
        </w:rPr>
        <w:t> </w:t>
      </w:r>
      <w:r>
        <w:rPr/>
        <w:t>8</w:t>
      </w:r>
      <w:r>
        <w:rPr>
          <w:spacing w:val="2"/>
        </w:rPr>
        <w:t> </w:t>
      </w:r>
      <w:r>
        <w:rPr/>
        <w:t>mice</w:t>
      </w:r>
      <w:r>
        <w:rPr>
          <w:spacing w:val="-3"/>
        </w:rPr>
        <w:t> </w:t>
      </w:r>
      <w:r>
        <w:rPr/>
        <w:t>per</w:t>
      </w:r>
      <w:r>
        <w:rPr>
          <w:spacing w:val="-1"/>
        </w:rPr>
        <w:t> </w:t>
      </w:r>
      <w:r>
        <w:rPr>
          <w:spacing w:val="-4"/>
        </w:rPr>
        <w:t>group</w:t>
      </w:r>
    </w:p>
    <w:p>
      <w:pPr>
        <w:spacing w:after="0"/>
        <w:jc w:val="both"/>
        <w:sectPr>
          <w:pgSz w:w="12240" w:h="15840"/>
          <w:pgMar w:header="0" w:footer="1066" w:top="1360" w:bottom="1260" w:left="1480" w:right="1160"/>
        </w:sectPr>
      </w:pPr>
    </w:p>
    <w:p>
      <w:pPr>
        <w:pStyle w:val="Heading2"/>
        <w:numPr>
          <w:ilvl w:val="1"/>
          <w:numId w:val="14"/>
        </w:numPr>
        <w:tabs>
          <w:tab w:pos="1045" w:val="left" w:leader="none"/>
        </w:tabs>
        <w:spacing w:line="240" w:lineRule="auto" w:before="77" w:after="0"/>
        <w:ind w:left="1045" w:right="0" w:hanging="364"/>
        <w:jc w:val="both"/>
      </w:pPr>
      <w:bookmarkStart w:name="_TOC_250012" w:id="72"/>
      <w:r>
        <w:rPr/>
        <w:t>Pharmacological</w:t>
      </w:r>
      <w:r>
        <w:rPr>
          <w:spacing w:val="-14"/>
        </w:rPr>
        <w:t> </w:t>
      </w:r>
      <w:bookmarkEnd w:id="72"/>
      <w:r>
        <w:rPr>
          <w:spacing w:val="-2"/>
        </w:rPr>
        <w:t>Interaction</w:t>
      </w:r>
    </w:p>
    <w:p>
      <w:pPr>
        <w:pStyle w:val="BodyText"/>
        <w:rPr>
          <w:b/>
        </w:rPr>
      </w:pPr>
    </w:p>
    <w:p>
      <w:pPr>
        <w:pStyle w:val="Heading2"/>
        <w:numPr>
          <w:ilvl w:val="2"/>
          <w:numId w:val="14"/>
        </w:numPr>
        <w:tabs>
          <w:tab w:pos="1255" w:val="left" w:leader="none"/>
        </w:tabs>
        <w:spacing w:line="480" w:lineRule="auto" w:before="0" w:after="0"/>
        <w:ind w:left="681" w:right="290" w:firstLine="0"/>
        <w:jc w:val="both"/>
      </w:pPr>
      <w:bookmarkStart w:name="_TOC_250011" w:id="73"/>
      <w:bookmarkEnd w:id="73"/>
      <w:r>
        <w:rPr/>
        <w:t>Effect of fluphenamic acid on anticonvulsant activity of DCP23, DCP25 and DCP34 in mice</w:t>
      </w:r>
    </w:p>
    <w:p>
      <w:pPr>
        <w:pStyle w:val="BodyText"/>
        <w:spacing w:line="480" w:lineRule="auto"/>
        <w:ind w:left="681" w:right="276"/>
        <w:jc w:val="both"/>
      </w:pPr>
      <w:r>
        <w:rPr/>
        <w:t>Fluphenamic</w:t>
      </w:r>
      <w:r>
        <w:rPr>
          <w:spacing w:val="-3"/>
        </w:rPr>
        <w:t> </w:t>
      </w:r>
      <w:r>
        <w:rPr/>
        <w:t>acid modulates</w:t>
      </w:r>
      <w:r>
        <w:rPr>
          <w:spacing w:val="-3"/>
        </w:rPr>
        <w:t> </w:t>
      </w:r>
      <w:r>
        <w:rPr/>
        <w:t>neuronal</w:t>
      </w:r>
      <w:r>
        <w:rPr>
          <w:spacing w:val="-6"/>
        </w:rPr>
        <w:t> </w:t>
      </w:r>
      <w:r>
        <w:rPr/>
        <w:t>sodium</w:t>
      </w:r>
      <w:r>
        <w:rPr>
          <w:spacing w:val="-6"/>
        </w:rPr>
        <w:t> </w:t>
      </w:r>
      <w:r>
        <w:rPr/>
        <w:t>channels</w:t>
      </w:r>
      <w:r>
        <w:rPr>
          <w:spacing w:val="-3"/>
        </w:rPr>
        <w:t> </w:t>
      </w:r>
      <w:r>
        <w:rPr/>
        <w:t>there by</w:t>
      </w:r>
      <w:r>
        <w:rPr>
          <w:spacing w:val="-11"/>
        </w:rPr>
        <w:t> </w:t>
      </w:r>
      <w:r>
        <w:rPr/>
        <w:t>reducing sodium</w:t>
      </w:r>
      <w:r>
        <w:rPr>
          <w:spacing w:val="-6"/>
        </w:rPr>
        <w:t> </w:t>
      </w:r>
      <w:r>
        <w:rPr/>
        <w:t>current, thus, prevent seizure generation. Fluphenamic acid treated groups (20 mg/kg, 10 mg/kg and 5 mg/kg) gave 100%, 100% and 0% against Tonic Hind Limb Extension (THLE). When the group that was treated with fluphenamic acid at the dose of 5 mg/kg (0% protection)</w:t>
      </w:r>
      <w:r>
        <w:rPr>
          <w:spacing w:val="-1"/>
        </w:rPr>
        <w:t> </w:t>
      </w:r>
      <w:r>
        <w:rPr/>
        <w:t>was</w:t>
      </w:r>
      <w:r>
        <w:rPr>
          <w:spacing w:val="-4"/>
        </w:rPr>
        <w:t> </w:t>
      </w:r>
      <w:r>
        <w:rPr/>
        <w:t>co-administered</w:t>
      </w:r>
      <w:r>
        <w:rPr>
          <w:spacing w:val="-2"/>
        </w:rPr>
        <w:t> </w:t>
      </w:r>
      <w:r>
        <w:rPr/>
        <w:t>with</w:t>
      </w:r>
      <w:r>
        <w:rPr>
          <w:spacing w:val="-7"/>
        </w:rPr>
        <w:t> </w:t>
      </w:r>
      <w:r>
        <w:rPr/>
        <w:t>DCP23</w:t>
      </w:r>
      <w:r>
        <w:rPr>
          <w:spacing w:val="-2"/>
        </w:rPr>
        <w:t> </w:t>
      </w:r>
      <w:r>
        <w:rPr/>
        <w:t>(50 mg/kg), DCP25</w:t>
      </w:r>
      <w:r>
        <w:rPr>
          <w:spacing w:val="-2"/>
        </w:rPr>
        <w:t> </w:t>
      </w:r>
      <w:r>
        <w:rPr/>
        <w:t>(50 mg/kg) and DCP34 (50 mg/kg), the</w:t>
      </w:r>
      <w:r>
        <w:rPr>
          <w:spacing w:val="-2"/>
        </w:rPr>
        <w:t> </w:t>
      </w:r>
      <w:r>
        <w:rPr/>
        <w:t>protection</w:t>
      </w:r>
      <w:r>
        <w:rPr>
          <w:spacing w:val="-6"/>
        </w:rPr>
        <w:t> </w:t>
      </w:r>
      <w:r>
        <w:rPr/>
        <w:t>against THLE was</w:t>
      </w:r>
      <w:r>
        <w:rPr>
          <w:spacing w:val="-3"/>
        </w:rPr>
        <w:t> </w:t>
      </w:r>
      <w:r>
        <w:rPr/>
        <w:t>100% for DCP23</w:t>
      </w:r>
      <w:r>
        <w:rPr>
          <w:spacing w:val="-1"/>
        </w:rPr>
        <w:t> </w:t>
      </w:r>
      <w:r>
        <w:rPr/>
        <w:t>and</w:t>
      </w:r>
      <w:r>
        <w:rPr>
          <w:spacing w:val="-1"/>
        </w:rPr>
        <w:t> </w:t>
      </w:r>
      <w:r>
        <w:rPr/>
        <w:t>DCP25, while</w:t>
      </w:r>
      <w:r>
        <w:rPr>
          <w:spacing w:val="-2"/>
        </w:rPr>
        <w:t> </w:t>
      </w:r>
      <w:r>
        <w:rPr/>
        <w:t>that of DCP34 was 50%. The groups</w:t>
      </w:r>
      <w:r>
        <w:rPr>
          <w:spacing w:val="-3"/>
        </w:rPr>
        <w:t> </w:t>
      </w:r>
      <w:r>
        <w:rPr/>
        <w:t>treated with</w:t>
      </w:r>
      <w:r>
        <w:rPr>
          <w:spacing w:val="-2"/>
        </w:rPr>
        <w:t> </w:t>
      </w:r>
      <w:r>
        <w:rPr/>
        <w:t>DCP23, DCP25 and DCP34 gave 66.7%, 50% and 16.7% respectively. Also, when phenytoin (10 mg/kg) was coadministered with fluphenamic</w:t>
      </w:r>
      <w:r>
        <w:rPr>
          <w:spacing w:val="-1"/>
        </w:rPr>
        <w:t> </w:t>
      </w:r>
      <w:r>
        <w:rPr/>
        <w:t>acid (5 mg/kg) there</w:t>
      </w:r>
      <w:r>
        <w:rPr>
          <w:spacing w:val="-1"/>
        </w:rPr>
        <w:t> </w:t>
      </w:r>
      <w:r>
        <w:rPr/>
        <w:t>was</w:t>
      </w:r>
      <w:r>
        <w:rPr>
          <w:spacing w:val="-2"/>
        </w:rPr>
        <w:t> </w:t>
      </w:r>
      <w:r>
        <w:rPr/>
        <w:t>an enhanced activity</w:t>
      </w:r>
      <w:r>
        <w:rPr>
          <w:spacing w:val="-5"/>
        </w:rPr>
        <w:t> </w:t>
      </w:r>
      <w:r>
        <w:rPr/>
        <w:t>than when</w:t>
      </w:r>
      <w:r>
        <w:rPr>
          <w:spacing w:val="-5"/>
        </w:rPr>
        <w:t> </w:t>
      </w:r>
      <w:r>
        <w:rPr/>
        <w:t>the</w:t>
      </w:r>
      <w:r>
        <w:rPr>
          <w:spacing w:val="-1"/>
        </w:rPr>
        <w:t> </w:t>
      </w:r>
      <w:r>
        <w:rPr/>
        <w:t>two at 5 mg/kg each (Table 4.20).</w:t>
      </w:r>
    </w:p>
    <w:p>
      <w:pPr>
        <w:spacing w:after="0" w:line="480" w:lineRule="auto"/>
        <w:jc w:val="both"/>
        <w:sectPr>
          <w:pgSz w:w="12240" w:h="15840"/>
          <w:pgMar w:header="0" w:footer="1066" w:top="1360" w:bottom="1260" w:left="1480" w:right="1160"/>
        </w:sectPr>
      </w:pPr>
    </w:p>
    <w:p>
      <w:pPr>
        <w:pStyle w:val="Heading2"/>
        <w:spacing w:line="237" w:lineRule="auto" w:before="79"/>
        <w:jc w:val="left"/>
      </w:pPr>
      <w:r>
        <w:rPr/>
        <w:t>Table</w:t>
      </w:r>
      <w:r>
        <w:rPr>
          <w:spacing w:val="40"/>
        </w:rPr>
        <w:t> </w:t>
      </w:r>
      <w:r>
        <w:rPr/>
        <w:t>4.20:</w:t>
      </w:r>
      <w:r>
        <w:rPr>
          <w:spacing w:val="40"/>
        </w:rPr>
        <w:t> </w:t>
      </w:r>
      <w:r>
        <w:rPr/>
        <w:t>Effect</w:t>
      </w:r>
      <w:r>
        <w:rPr>
          <w:spacing w:val="40"/>
        </w:rPr>
        <w:t> </w:t>
      </w:r>
      <w:r>
        <w:rPr/>
        <w:t>of</w:t>
      </w:r>
      <w:r>
        <w:rPr>
          <w:spacing w:val="40"/>
        </w:rPr>
        <w:t> </w:t>
      </w:r>
      <w:r>
        <w:rPr/>
        <w:t>Fluphenamic</w:t>
      </w:r>
      <w:r>
        <w:rPr>
          <w:spacing w:val="40"/>
        </w:rPr>
        <w:t> </w:t>
      </w:r>
      <w:r>
        <w:rPr/>
        <w:t>Acid</w:t>
      </w:r>
      <w:r>
        <w:rPr>
          <w:spacing w:val="40"/>
        </w:rPr>
        <w:t> </w:t>
      </w:r>
      <w:r>
        <w:rPr/>
        <w:t>on</w:t>
      </w:r>
      <w:r>
        <w:rPr>
          <w:spacing w:val="74"/>
        </w:rPr>
        <w:t> </w:t>
      </w:r>
      <w:r>
        <w:rPr/>
        <w:t>Anticonvulsant</w:t>
      </w:r>
      <w:r>
        <w:rPr>
          <w:spacing w:val="40"/>
        </w:rPr>
        <w:t> </w:t>
      </w:r>
      <w:r>
        <w:rPr/>
        <w:t>Activity</w:t>
      </w:r>
      <w:r>
        <w:rPr>
          <w:spacing w:val="40"/>
        </w:rPr>
        <w:t> </w:t>
      </w:r>
      <w:r>
        <w:rPr/>
        <w:t>of</w:t>
      </w:r>
      <w:r>
        <w:rPr>
          <w:spacing w:val="40"/>
        </w:rPr>
        <w:t> </w:t>
      </w:r>
      <w:r>
        <w:rPr/>
        <w:t>DCP23,</w:t>
      </w:r>
      <w:r>
        <w:rPr>
          <w:spacing w:val="40"/>
        </w:rPr>
        <w:t> </w:t>
      </w:r>
      <w:r>
        <w:rPr/>
        <w:t>DCP25 and DCP34 in Maximal Electroshock-induced Seizure in Mice</w:t>
      </w:r>
    </w:p>
    <w:p>
      <w:pPr>
        <w:pStyle w:val="BodyText"/>
        <w:spacing w:before="208"/>
        <w:rPr>
          <w:b/>
          <w:sz w:val="20"/>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0"/>
        <w:gridCol w:w="2514"/>
        <w:gridCol w:w="2319"/>
        <w:gridCol w:w="1844"/>
      </w:tblGrid>
      <w:tr>
        <w:trPr>
          <w:trHeight w:val="385" w:hRule="atLeast"/>
        </w:trPr>
        <w:tc>
          <w:tcPr>
            <w:tcW w:w="2320" w:type="dxa"/>
            <w:tcBorders>
              <w:top w:val="single" w:sz="6" w:space="0" w:color="000000"/>
            </w:tcBorders>
          </w:tcPr>
          <w:p>
            <w:pPr>
              <w:pStyle w:val="TableParagraph"/>
              <w:spacing w:line="260" w:lineRule="exact" w:before="105"/>
              <w:ind w:left="180"/>
              <w:rPr>
                <w:sz w:val="24"/>
              </w:rPr>
            </w:pPr>
            <w:r>
              <w:rPr>
                <w:sz w:val="24"/>
              </w:rPr>
              <w:t>Treatment </w:t>
            </w:r>
            <w:r>
              <w:rPr>
                <w:spacing w:val="-2"/>
                <w:sz w:val="24"/>
              </w:rPr>
              <w:t>(mg/kg)</w:t>
            </w:r>
          </w:p>
        </w:tc>
        <w:tc>
          <w:tcPr>
            <w:tcW w:w="2514" w:type="dxa"/>
            <w:tcBorders>
              <w:top w:val="single" w:sz="6" w:space="0" w:color="000000"/>
            </w:tcBorders>
          </w:tcPr>
          <w:p>
            <w:pPr>
              <w:pStyle w:val="TableParagraph"/>
              <w:spacing w:line="260" w:lineRule="exact" w:before="105"/>
              <w:ind w:left="324"/>
              <w:rPr>
                <w:sz w:val="24"/>
              </w:rPr>
            </w:pPr>
            <w:r>
              <w:rPr>
                <w:sz w:val="24"/>
              </w:rPr>
              <w:t>Quantal</w:t>
            </w:r>
            <w:r>
              <w:rPr>
                <w:spacing w:val="-6"/>
                <w:sz w:val="24"/>
              </w:rPr>
              <w:t> </w:t>
            </w:r>
            <w:r>
              <w:rPr>
                <w:spacing w:val="-2"/>
                <w:sz w:val="24"/>
              </w:rPr>
              <w:t>Protection</w:t>
            </w:r>
          </w:p>
        </w:tc>
        <w:tc>
          <w:tcPr>
            <w:tcW w:w="2319" w:type="dxa"/>
            <w:tcBorders>
              <w:top w:val="single" w:sz="6" w:space="0" w:color="000000"/>
            </w:tcBorders>
          </w:tcPr>
          <w:p>
            <w:pPr>
              <w:pStyle w:val="TableParagraph"/>
              <w:spacing w:line="260" w:lineRule="exact" w:before="105"/>
              <w:ind w:left="388"/>
              <w:rPr>
                <w:sz w:val="24"/>
              </w:rPr>
            </w:pPr>
            <w:r>
              <w:rPr>
                <w:sz w:val="24"/>
              </w:rPr>
              <w:t>%</w:t>
            </w:r>
            <w:r>
              <w:rPr>
                <w:spacing w:val="1"/>
                <w:sz w:val="24"/>
              </w:rPr>
              <w:t> </w:t>
            </w:r>
            <w:r>
              <w:rPr>
                <w:spacing w:val="-2"/>
                <w:sz w:val="24"/>
              </w:rPr>
              <w:t>Protection</w:t>
            </w:r>
          </w:p>
        </w:tc>
        <w:tc>
          <w:tcPr>
            <w:tcW w:w="1844" w:type="dxa"/>
            <w:tcBorders>
              <w:top w:val="single" w:sz="6" w:space="0" w:color="000000"/>
            </w:tcBorders>
          </w:tcPr>
          <w:p>
            <w:pPr>
              <w:pStyle w:val="TableParagraph"/>
              <w:spacing w:line="260" w:lineRule="exact" w:before="105"/>
              <w:ind w:left="412"/>
              <w:rPr>
                <w:sz w:val="24"/>
              </w:rPr>
            </w:pPr>
            <w:r>
              <w:rPr>
                <w:sz w:val="24"/>
              </w:rPr>
              <w:t>%</w:t>
            </w:r>
            <w:r>
              <w:rPr>
                <w:spacing w:val="1"/>
                <w:sz w:val="24"/>
              </w:rPr>
              <w:t> </w:t>
            </w:r>
            <w:r>
              <w:rPr>
                <w:spacing w:val="-2"/>
                <w:sz w:val="24"/>
              </w:rPr>
              <w:t>Mortality</w:t>
            </w:r>
          </w:p>
        </w:tc>
      </w:tr>
      <w:tr>
        <w:trPr>
          <w:trHeight w:val="269" w:hRule="atLeast"/>
        </w:trPr>
        <w:tc>
          <w:tcPr>
            <w:tcW w:w="2320" w:type="dxa"/>
          </w:tcPr>
          <w:p>
            <w:pPr>
              <w:pStyle w:val="TableParagraph"/>
              <w:rPr>
                <w:sz w:val="18"/>
              </w:rPr>
            </w:pPr>
          </w:p>
        </w:tc>
        <w:tc>
          <w:tcPr>
            <w:tcW w:w="2514" w:type="dxa"/>
          </w:tcPr>
          <w:p>
            <w:pPr>
              <w:pStyle w:val="TableParagraph"/>
              <w:rPr>
                <w:sz w:val="18"/>
              </w:rPr>
            </w:pPr>
          </w:p>
        </w:tc>
        <w:tc>
          <w:tcPr>
            <w:tcW w:w="2319" w:type="dxa"/>
          </w:tcPr>
          <w:p>
            <w:pPr>
              <w:pStyle w:val="TableParagraph"/>
              <w:spacing w:line="250" w:lineRule="exact"/>
              <w:ind w:left="388"/>
              <w:rPr>
                <w:sz w:val="24"/>
              </w:rPr>
            </w:pPr>
            <w:r>
              <w:rPr>
                <w:sz w:val="24"/>
              </w:rPr>
              <w:t>Against</w:t>
            </w:r>
            <w:r>
              <w:rPr>
                <w:spacing w:val="-4"/>
                <w:sz w:val="24"/>
              </w:rPr>
              <w:t> </w:t>
            </w:r>
            <w:r>
              <w:rPr>
                <w:spacing w:val="-2"/>
                <w:sz w:val="24"/>
              </w:rPr>
              <w:t>Seizure</w:t>
            </w:r>
          </w:p>
        </w:tc>
        <w:tc>
          <w:tcPr>
            <w:tcW w:w="1844" w:type="dxa"/>
          </w:tcPr>
          <w:p>
            <w:pPr>
              <w:pStyle w:val="TableParagraph"/>
              <w:spacing w:line="250" w:lineRule="exact"/>
              <w:ind w:left="412"/>
              <w:rPr>
                <w:sz w:val="24"/>
              </w:rPr>
            </w:pPr>
            <w:r>
              <w:rPr>
                <w:spacing w:val="-2"/>
                <w:sz w:val="24"/>
              </w:rPr>
              <w:t>Protection</w:t>
            </w:r>
          </w:p>
        </w:tc>
      </w:tr>
    </w:tbl>
    <w:p>
      <w:pPr>
        <w:pStyle w:val="BodyText"/>
        <w:spacing w:before="157"/>
        <w:rPr>
          <w:b/>
          <w:sz w:val="20"/>
        </w:rPr>
      </w:pPr>
      <w:r>
        <w:rPr/>
        <mc:AlternateContent>
          <mc:Choice Requires="wps">
            <w:drawing>
              <wp:anchor distT="0" distB="0" distL="0" distR="0" allowOverlap="1" layoutInCell="1" locked="0" behindDoc="1" simplePos="0" relativeHeight="487660032">
                <wp:simplePos x="0" y="0"/>
                <wp:positionH relativeFrom="page">
                  <wp:posOffset>1257300</wp:posOffset>
                </wp:positionH>
                <wp:positionV relativeFrom="paragraph">
                  <wp:posOffset>260984</wp:posOffset>
                </wp:positionV>
                <wp:extent cx="5715000" cy="1270"/>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pt;margin-top:20.549999pt;width:450pt;height:.1pt;mso-position-horizontal-relative:page;mso-position-vertical-relative:paragraph;z-index:-15656448;mso-wrap-distance-left:0;mso-wrap-distance-right:0" id="docshape117" coordorigin="1980,411" coordsize="9000,0" path="m1980,411l10980,411e" filled="false" stroked="true" strokeweight=".75pt" strokecolor="#000000">
                <v:path arrowok="t"/>
                <v:stroke dashstyle="solid"/>
                <w10:wrap type="topAndBottom"/>
              </v:shape>
            </w:pict>
          </mc:Fallback>
        </mc:AlternateContent>
      </w:r>
    </w:p>
    <w:p>
      <w:pPr>
        <w:pStyle w:val="BodyText"/>
        <w:spacing w:before="183"/>
        <w:rPr>
          <w:b/>
          <w:sz w:val="20"/>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2"/>
        <w:gridCol w:w="1217"/>
        <w:gridCol w:w="1159"/>
        <w:gridCol w:w="2096"/>
        <w:gridCol w:w="1915"/>
      </w:tblGrid>
      <w:tr>
        <w:trPr>
          <w:trHeight w:val="409" w:hRule="atLeast"/>
        </w:trPr>
        <w:tc>
          <w:tcPr>
            <w:tcW w:w="2432" w:type="dxa"/>
          </w:tcPr>
          <w:p>
            <w:pPr>
              <w:pStyle w:val="TableParagraph"/>
              <w:spacing w:line="266" w:lineRule="exact"/>
              <w:ind w:left="180"/>
              <w:rPr>
                <w:sz w:val="24"/>
              </w:rPr>
            </w:pPr>
            <w:r>
              <w:rPr>
                <w:spacing w:val="-2"/>
                <w:sz w:val="24"/>
              </w:rPr>
              <w:t>Control</w:t>
            </w:r>
          </w:p>
        </w:tc>
        <w:tc>
          <w:tcPr>
            <w:tcW w:w="1217" w:type="dxa"/>
          </w:tcPr>
          <w:p>
            <w:pPr>
              <w:pStyle w:val="TableParagraph"/>
              <w:spacing w:line="266" w:lineRule="exact"/>
              <w:ind w:right="95"/>
              <w:jc w:val="right"/>
              <w:rPr>
                <w:sz w:val="24"/>
              </w:rPr>
            </w:pPr>
            <w:r>
              <w:rPr>
                <w:spacing w:val="-5"/>
                <w:sz w:val="24"/>
              </w:rPr>
              <w:t>0/6</w:t>
            </w:r>
          </w:p>
        </w:tc>
        <w:tc>
          <w:tcPr>
            <w:tcW w:w="1159" w:type="dxa"/>
          </w:tcPr>
          <w:p>
            <w:pPr>
              <w:pStyle w:val="TableParagraph"/>
              <w:rPr>
                <w:sz w:val="24"/>
              </w:rPr>
            </w:pPr>
          </w:p>
        </w:tc>
        <w:tc>
          <w:tcPr>
            <w:tcW w:w="2096" w:type="dxa"/>
          </w:tcPr>
          <w:p>
            <w:pPr>
              <w:pStyle w:val="TableParagraph"/>
              <w:spacing w:line="266" w:lineRule="exact"/>
              <w:ind w:left="283" w:right="163"/>
              <w:jc w:val="center"/>
              <w:rPr>
                <w:sz w:val="24"/>
              </w:rPr>
            </w:pPr>
            <w:r>
              <w:rPr>
                <w:spacing w:val="-5"/>
                <w:sz w:val="24"/>
              </w:rPr>
              <w:t>0.0</w:t>
            </w:r>
          </w:p>
        </w:tc>
        <w:tc>
          <w:tcPr>
            <w:tcW w:w="1915" w:type="dxa"/>
          </w:tcPr>
          <w:p>
            <w:pPr>
              <w:pStyle w:val="TableParagraph"/>
              <w:spacing w:line="266" w:lineRule="exact"/>
              <w:ind w:left="844"/>
              <w:rPr>
                <w:sz w:val="24"/>
              </w:rPr>
            </w:pPr>
            <w:r>
              <w:rPr>
                <w:spacing w:val="-2"/>
                <w:sz w:val="24"/>
              </w:rPr>
              <w:t>100.0</w:t>
            </w:r>
          </w:p>
        </w:tc>
      </w:tr>
      <w:tr>
        <w:trPr>
          <w:trHeight w:val="552" w:hRule="atLeast"/>
        </w:trPr>
        <w:tc>
          <w:tcPr>
            <w:tcW w:w="2432" w:type="dxa"/>
          </w:tcPr>
          <w:p>
            <w:pPr>
              <w:pStyle w:val="TableParagraph"/>
              <w:spacing w:before="133"/>
              <w:ind w:left="180"/>
              <w:rPr>
                <w:sz w:val="24"/>
              </w:rPr>
            </w:pPr>
            <w:r>
              <w:rPr>
                <w:sz w:val="24"/>
              </w:rPr>
              <w:t>FA</w:t>
            </w:r>
            <w:r>
              <w:rPr>
                <w:spacing w:val="-4"/>
                <w:sz w:val="24"/>
              </w:rPr>
              <w:t> (20)</w:t>
            </w:r>
          </w:p>
        </w:tc>
        <w:tc>
          <w:tcPr>
            <w:tcW w:w="1217" w:type="dxa"/>
          </w:tcPr>
          <w:p>
            <w:pPr>
              <w:pStyle w:val="TableParagraph"/>
              <w:spacing w:before="133"/>
              <w:ind w:right="95"/>
              <w:jc w:val="right"/>
              <w:rPr>
                <w:sz w:val="24"/>
              </w:rPr>
            </w:pPr>
            <w:r>
              <w:rPr>
                <w:spacing w:val="-5"/>
                <w:sz w:val="24"/>
              </w:rPr>
              <w:t>6/6</w:t>
            </w:r>
          </w:p>
        </w:tc>
        <w:tc>
          <w:tcPr>
            <w:tcW w:w="1159" w:type="dxa"/>
          </w:tcPr>
          <w:p>
            <w:pPr>
              <w:pStyle w:val="TableParagraph"/>
              <w:rPr>
                <w:sz w:val="24"/>
              </w:rPr>
            </w:pPr>
          </w:p>
        </w:tc>
        <w:tc>
          <w:tcPr>
            <w:tcW w:w="2096" w:type="dxa"/>
          </w:tcPr>
          <w:p>
            <w:pPr>
              <w:pStyle w:val="TableParagraph"/>
              <w:spacing w:before="133"/>
              <w:ind w:left="957"/>
              <w:rPr>
                <w:sz w:val="24"/>
              </w:rPr>
            </w:pPr>
            <w:r>
              <w:rPr>
                <w:spacing w:val="-2"/>
                <w:sz w:val="24"/>
              </w:rPr>
              <w:t>100.0</w:t>
            </w:r>
          </w:p>
        </w:tc>
        <w:tc>
          <w:tcPr>
            <w:tcW w:w="1915" w:type="dxa"/>
          </w:tcPr>
          <w:p>
            <w:pPr>
              <w:pStyle w:val="TableParagraph"/>
              <w:spacing w:before="133"/>
              <w:ind w:left="844"/>
              <w:rPr>
                <w:sz w:val="24"/>
              </w:rPr>
            </w:pPr>
            <w:r>
              <w:rPr>
                <w:spacing w:val="-2"/>
                <w:sz w:val="24"/>
              </w:rPr>
              <w:t>100.0</w:t>
            </w:r>
          </w:p>
        </w:tc>
      </w:tr>
      <w:tr>
        <w:trPr>
          <w:trHeight w:val="552" w:hRule="atLeast"/>
        </w:trPr>
        <w:tc>
          <w:tcPr>
            <w:tcW w:w="2432" w:type="dxa"/>
          </w:tcPr>
          <w:p>
            <w:pPr>
              <w:pStyle w:val="TableParagraph"/>
              <w:spacing w:before="133"/>
              <w:ind w:left="180"/>
              <w:rPr>
                <w:sz w:val="24"/>
              </w:rPr>
            </w:pPr>
            <w:r>
              <w:rPr>
                <w:sz w:val="24"/>
              </w:rPr>
              <w:t>FA</w:t>
            </w:r>
            <w:r>
              <w:rPr>
                <w:spacing w:val="-4"/>
                <w:sz w:val="24"/>
              </w:rPr>
              <w:t> (10)</w:t>
            </w:r>
          </w:p>
        </w:tc>
        <w:tc>
          <w:tcPr>
            <w:tcW w:w="1217" w:type="dxa"/>
          </w:tcPr>
          <w:p>
            <w:pPr>
              <w:pStyle w:val="TableParagraph"/>
              <w:spacing w:before="133"/>
              <w:ind w:right="95"/>
              <w:jc w:val="right"/>
              <w:rPr>
                <w:sz w:val="24"/>
              </w:rPr>
            </w:pPr>
            <w:r>
              <w:rPr>
                <w:spacing w:val="-5"/>
                <w:sz w:val="24"/>
              </w:rPr>
              <w:t>6/6</w:t>
            </w:r>
          </w:p>
        </w:tc>
        <w:tc>
          <w:tcPr>
            <w:tcW w:w="1159" w:type="dxa"/>
          </w:tcPr>
          <w:p>
            <w:pPr>
              <w:pStyle w:val="TableParagraph"/>
              <w:rPr>
                <w:sz w:val="24"/>
              </w:rPr>
            </w:pPr>
          </w:p>
        </w:tc>
        <w:tc>
          <w:tcPr>
            <w:tcW w:w="2096" w:type="dxa"/>
          </w:tcPr>
          <w:p>
            <w:pPr>
              <w:pStyle w:val="TableParagraph"/>
              <w:spacing w:before="133"/>
              <w:ind w:left="957"/>
              <w:rPr>
                <w:sz w:val="24"/>
              </w:rPr>
            </w:pPr>
            <w:r>
              <w:rPr>
                <w:spacing w:val="-2"/>
                <w:sz w:val="24"/>
              </w:rPr>
              <w:t>100.0</w:t>
            </w:r>
          </w:p>
        </w:tc>
        <w:tc>
          <w:tcPr>
            <w:tcW w:w="1915" w:type="dxa"/>
          </w:tcPr>
          <w:p>
            <w:pPr>
              <w:pStyle w:val="TableParagraph"/>
              <w:spacing w:before="133"/>
              <w:ind w:left="844"/>
              <w:rPr>
                <w:sz w:val="24"/>
              </w:rPr>
            </w:pPr>
            <w:r>
              <w:rPr>
                <w:spacing w:val="-2"/>
                <w:sz w:val="24"/>
              </w:rPr>
              <w:t>100.0</w:t>
            </w:r>
          </w:p>
        </w:tc>
      </w:tr>
      <w:tr>
        <w:trPr>
          <w:trHeight w:val="552" w:hRule="atLeast"/>
        </w:trPr>
        <w:tc>
          <w:tcPr>
            <w:tcW w:w="2432" w:type="dxa"/>
          </w:tcPr>
          <w:p>
            <w:pPr>
              <w:pStyle w:val="TableParagraph"/>
              <w:spacing w:before="133"/>
              <w:ind w:left="180"/>
              <w:rPr>
                <w:sz w:val="24"/>
              </w:rPr>
            </w:pPr>
            <w:r>
              <w:rPr>
                <w:sz w:val="24"/>
              </w:rPr>
              <w:t>FA</w:t>
            </w:r>
            <w:r>
              <w:rPr>
                <w:spacing w:val="-4"/>
                <w:sz w:val="24"/>
              </w:rPr>
              <w:t> </w:t>
            </w:r>
            <w:r>
              <w:rPr>
                <w:spacing w:val="-5"/>
                <w:sz w:val="24"/>
              </w:rPr>
              <w:t>(5)</w:t>
            </w:r>
          </w:p>
        </w:tc>
        <w:tc>
          <w:tcPr>
            <w:tcW w:w="1217" w:type="dxa"/>
          </w:tcPr>
          <w:p>
            <w:pPr>
              <w:pStyle w:val="TableParagraph"/>
              <w:spacing w:before="133"/>
              <w:ind w:right="95"/>
              <w:jc w:val="right"/>
              <w:rPr>
                <w:sz w:val="24"/>
              </w:rPr>
            </w:pPr>
            <w:r>
              <w:rPr>
                <w:spacing w:val="-5"/>
                <w:sz w:val="24"/>
              </w:rPr>
              <w:t>0/6</w:t>
            </w:r>
          </w:p>
        </w:tc>
        <w:tc>
          <w:tcPr>
            <w:tcW w:w="1159" w:type="dxa"/>
          </w:tcPr>
          <w:p>
            <w:pPr>
              <w:pStyle w:val="TableParagraph"/>
              <w:rPr>
                <w:sz w:val="24"/>
              </w:rPr>
            </w:pPr>
          </w:p>
        </w:tc>
        <w:tc>
          <w:tcPr>
            <w:tcW w:w="2096" w:type="dxa"/>
          </w:tcPr>
          <w:p>
            <w:pPr>
              <w:pStyle w:val="TableParagraph"/>
              <w:spacing w:before="133"/>
              <w:ind w:left="283" w:right="43"/>
              <w:jc w:val="center"/>
              <w:rPr>
                <w:sz w:val="24"/>
              </w:rPr>
            </w:pPr>
            <w:r>
              <w:rPr>
                <w:spacing w:val="-5"/>
                <w:sz w:val="24"/>
              </w:rPr>
              <w:t>0.0</w:t>
            </w:r>
          </w:p>
        </w:tc>
        <w:tc>
          <w:tcPr>
            <w:tcW w:w="1915" w:type="dxa"/>
          </w:tcPr>
          <w:p>
            <w:pPr>
              <w:pStyle w:val="TableParagraph"/>
              <w:spacing w:before="133"/>
              <w:ind w:left="844"/>
              <w:rPr>
                <w:sz w:val="24"/>
              </w:rPr>
            </w:pPr>
            <w:r>
              <w:rPr>
                <w:spacing w:val="-2"/>
                <w:sz w:val="24"/>
              </w:rPr>
              <w:t>100.0</w:t>
            </w:r>
          </w:p>
        </w:tc>
      </w:tr>
      <w:tr>
        <w:trPr>
          <w:trHeight w:val="552" w:hRule="atLeast"/>
        </w:trPr>
        <w:tc>
          <w:tcPr>
            <w:tcW w:w="2432" w:type="dxa"/>
          </w:tcPr>
          <w:p>
            <w:pPr>
              <w:pStyle w:val="TableParagraph"/>
              <w:spacing w:before="133"/>
              <w:ind w:left="180"/>
              <w:rPr>
                <w:sz w:val="24"/>
              </w:rPr>
            </w:pPr>
            <w:r>
              <w:rPr>
                <w:sz w:val="24"/>
              </w:rPr>
              <w:t>DCP23</w:t>
            </w:r>
            <w:r>
              <w:rPr>
                <w:spacing w:val="-3"/>
                <w:sz w:val="24"/>
              </w:rPr>
              <w:t> </w:t>
            </w:r>
            <w:r>
              <w:rPr>
                <w:spacing w:val="-4"/>
                <w:sz w:val="24"/>
              </w:rPr>
              <w:t>(50)</w:t>
            </w:r>
          </w:p>
        </w:tc>
        <w:tc>
          <w:tcPr>
            <w:tcW w:w="1217" w:type="dxa"/>
          </w:tcPr>
          <w:p>
            <w:pPr>
              <w:pStyle w:val="TableParagraph"/>
              <w:spacing w:before="133"/>
              <w:ind w:right="95"/>
              <w:jc w:val="right"/>
              <w:rPr>
                <w:sz w:val="24"/>
              </w:rPr>
            </w:pPr>
            <w:r>
              <w:rPr>
                <w:spacing w:val="-5"/>
                <w:sz w:val="24"/>
              </w:rPr>
              <w:t>4/6</w:t>
            </w:r>
          </w:p>
        </w:tc>
        <w:tc>
          <w:tcPr>
            <w:tcW w:w="1159" w:type="dxa"/>
          </w:tcPr>
          <w:p>
            <w:pPr>
              <w:pStyle w:val="TableParagraph"/>
              <w:rPr>
                <w:sz w:val="24"/>
              </w:rPr>
            </w:pPr>
          </w:p>
        </w:tc>
        <w:tc>
          <w:tcPr>
            <w:tcW w:w="2096" w:type="dxa"/>
          </w:tcPr>
          <w:p>
            <w:pPr>
              <w:pStyle w:val="TableParagraph"/>
              <w:spacing w:before="133"/>
              <w:ind w:left="1019"/>
              <w:rPr>
                <w:sz w:val="24"/>
              </w:rPr>
            </w:pPr>
            <w:r>
              <w:rPr>
                <w:spacing w:val="-2"/>
                <w:sz w:val="24"/>
              </w:rPr>
              <w:t>66.67</w:t>
            </w:r>
          </w:p>
        </w:tc>
        <w:tc>
          <w:tcPr>
            <w:tcW w:w="1915" w:type="dxa"/>
          </w:tcPr>
          <w:p>
            <w:pPr>
              <w:pStyle w:val="TableParagraph"/>
              <w:spacing w:before="133"/>
              <w:ind w:left="844"/>
              <w:rPr>
                <w:sz w:val="24"/>
              </w:rPr>
            </w:pPr>
            <w:r>
              <w:rPr>
                <w:spacing w:val="-2"/>
                <w:sz w:val="24"/>
              </w:rPr>
              <w:t>100.0</w:t>
            </w:r>
          </w:p>
        </w:tc>
      </w:tr>
      <w:tr>
        <w:trPr>
          <w:trHeight w:val="551" w:hRule="atLeast"/>
        </w:trPr>
        <w:tc>
          <w:tcPr>
            <w:tcW w:w="2432" w:type="dxa"/>
          </w:tcPr>
          <w:p>
            <w:pPr>
              <w:pStyle w:val="TableParagraph"/>
              <w:spacing w:before="133"/>
              <w:ind w:left="180"/>
              <w:rPr>
                <w:sz w:val="24"/>
              </w:rPr>
            </w:pPr>
            <w:r>
              <w:rPr>
                <w:sz w:val="24"/>
              </w:rPr>
              <w:t>FA</w:t>
            </w:r>
            <w:r>
              <w:rPr>
                <w:spacing w:val="-7"/>
                <w:sz w:val="24"/>
              </w:rPr>
              <w:t> </w:t>
            </w:r>
            <w:r>
              <w:rPr>
                <w:sz w:val="24"/>
              </w:rPr>
              <w:t>(5)</w:t>
            </w:r>
            <w:r>
              <w:rPr>
                <w:spacing w:val="3"/>
                <w:sz w:val="24"/>
              </w:rPr>
              <w:t> </w:t>
            </w:r>
            <w:r>
              <w:rPr>
                <w:sz w:val="24"/>
              </w:rPr>
              <w:t>+ DCP23</w:t>
            </w:r>
            <w:r>
              <w:rPr>
                <w:spacing w:val="-3"/>
                <w:sz w:val="24"/>
              </w:rPr>
              <w:t> </w:t>
            </w:r>
            <w:r>
              <w:rPr>
                <w:spacing w:val="-4"/>
                <w:sz w:val="24"/>
              </w:rPr>
              <w:t>(50)</w:t>
            </w:r>
          </w:p>
        </w:tc>
        <w:tc>
          <w:tcPr>
            <w:tcW w:w="1217" w:type="dxa"/>
          </w:tcPr>
          <w:p>
            <w:pPr>
              <w:pStyle w:val="TableParagraph"/>
              <w:spacing w:before="133"/>
              <w:ind w:right="95"/>
              <w:jc w:val="right"/>
              <w:rPr>
                <w:sz w:val="24"/>
              </w:rPr>
            </w:pPr>
            <w:r>
              <w:rPr>
                <w:spacing w:val="-5"/>
                <w:sz w:val="24"/>
              </w:rPr>
              <w:t>6/6</w:t>
            </w:r>
          </w:p>
        </w:tc>
        <w:tc>
          <w:tcPr>
            <w:tcW w:w="1159" w:type="dxa"/>
          </w:tcPr>
          <w:p>
            <w:pPr>
              <w:pStyle w:val="TableParagraph"/>
              <w:rPr>
                <w:sz w:val="24"/>
              </w:rPr>
            </w:pPr>
          </w:p>
        </w:tc>
        <w:tc>
          <w:tcPr>
            <w:tcW w:w="2096" w:type="dxa"/>
          </w:tcPr>
          <w:p>
            <w:pPr>
              <w:pStyle w:val="TableParagraph"/>
              <w:spacing w:before="133"/>
              <w:ind w:left="1019"/>
              <w:rPr>
                <w:sz w:val="24"/>
              </w:rPr>
            </w:pPr>
            <w:r>
              <w:rPr>
                <w:spacing w:val="-2"/>
                <w:sz w:val="24"/>
              </w:rPr>
              <w:t>100.0</w:t>
            </w:r>
          </w:p>
        </w:tc>
        <w:tc>
          <w:tcPr>
            <w:tcW w:w="1915" w:type="dxa"/>
          </w:tcPr>
          <w:p>
            <w:pPr>
              <w:pStyle w:val="TableParagraph"/>
              <w:spacing w:before="133"/>
              <w:ind w:left="844"/>
              <w:rPr>
                <w:sz w:val="24"/>
              </w:rPr>
            </w:pPr>
            <w:r>
              <w:rPr>
                <w:spacing w:val="-2"/>
                <w:sz w:val="24"/>
              </w:rPr>
              <w:t>100.0</w:t>
            </w:r>
          </w:p>
        </w:tc>
      </w:tr>
      <w:tr>
        <w:trPr>
          <w:trHeight w:val="552" w:hRule="atLeast"/>
        </w:trPr>
        <w:tc>
          <w:tcPr>
            <w:tcW w:w="2432" w:type="dxa"/>
          </w:tcPr>
          <w:p>
            <w:pPr>
              <w:pStyle w:val="TableParagraph"/>
              <w:spacing w:before="133"/>
              <w:ind w:left="180"/>
              <w:rPr>
                <w:sz w:val="24"/>
              </w:rPr>
            </w:pPr>
            <w:r>
              <w:rPr>
                <w:sz w:val="24"/>
              </w:rPr>
              <w:t>DCP25</w:t>
            </w:r>
            <w:r>
              <w:rPr>
                <w:spacing w:val="-3"/>
                <w:sz w:val="24"/>
              </w:rPr>
              <w:t> </w:t>
            </w:r>
            <w:r>
              <w:rPr>
                <w:spacing w:val="-4"/>
                <w:sz w:val="24"/>
              </w:rPr>
              <w:t>(50)</w:t>
            </w:r>
          </w:p>
        </w:tc>
        <w:tc>
          <w:tcPr>
            <w:tcW w:w="1217" w:type="dxa"/>
          </w:tcPr>
          <w:p>
            <w:pPr>
              <w:pStyle w:val="TableParagraph"/>
              <w:spacing w:before="133"/>
              <w:ind w:right="95"/>
              <w:jc w:val="right"/>
              <w:rPr>
                <w:sz w:val="24"/>
              </w:rPr>
            </w:pPr>
            <w:r>
              <w:rPr>
                <w:spacing w:val="-5"/>
                <w:sz w:val="24"/>
              </w:rPr>
              <w:t>3/6</w:t>
            </w:r>
          </w:p>
        </w:tc>
        <w:tc>
          <w:tcPr>
            <w:tcW w:w="1159" w:type="dxa"/>
          </w:tcPr>
          <w:p>
            <w:pPr>
              <w:pStyle w:val="TableParagraph"/>
              <w:rPr>
                <w:sz w:val="24"/>
              </w:rPr>
            </w:pPr>
          </w:p>
        </w:tc>
        <w:tc>
          <w:tcPr>
            <w:tcW w:w="2096" w:type="dxa"/>
          </w:tcPr>
          <w:p>
            <w:pPr>
              <w:pStyle w:val="TableParagraph"/>
              <w:spacing w:before="133"/>
              <w:ind w:left="1019"/>
              <w:rPr>
                <w:sz w:val="24"/>
              </w:rPr>
            </w:pPr>
            <w:r>
              <w:rPr>
                <w:spacing w:val="-4"/>
                <w:sz w:val="24"/>
              </w:rPr>
              <w:t>50.0</w:t>
            </w:r>
          </w:p>
        </w:tc>
        <w:tc>
          <w:tcPr>
            <w:tcW w:w="1915" w:type="dxa"/>
          </w:tcPr>
          <w:p>
            <w:pPr>
              <w:pStyle w:val="TableParagraph"/>
              <w:spacing w:before="133"/>
              <w:ind w:left="844"/>
              <w:rPr>
                <w:sz w:val="24"/>
              </w:rPr>
            </w:pPr>
            <w:r>
              <w:rPr>
                <w:spacing w:val="-2"/>
                <w:sz w:val="24"/>
              </w:rPr>
              <w:t>100.0</w:t>
            </w:r>
          </w:p>
        </w:tc>
      </w:tr>
      <w:tr>
        <w:trPr>
          <w:trHeight w:val="552" w:hRule="atLeast"/>
        </w:trPr>
        <w:tc>
          <w:tcPr>
            <w:tcW w:w="2432" w:type="dxa"/>
          </w:tcPr>
          <w:p>
            <w:pPr>
              <w:pStyle w:val="TableParagraph"/>
              <w:spacing w:before="133"/>
              <w:ind w:left="180"/>
              <w:rPr>
                <w:sz w:val="24"/>
              </w:rPr>
            </w:pPr>
            <w:r>
              <w:rPr>
                <w:sz w:val="24"/>
              </w:rPr>
              <w:t>FA</w:t>
            </w:r>
            <w:r>
              <w:rPr>
                <w:spacing w:val="-7"/>
                <w:sz w:val="24"/>
              </w:rPr>
              <w:t> </w:t>
            </w:r>
            <w:r>
              <w:rPr>
                <w:sz w:val="24"/>
              </w:rPr>
              <w:t>(5)</w:t>
            </w:r>
            <w:r>
              <w:rPr>
                <w:spacing w:val="3"/>
                <w:sz w:val="24"/>
              </w:rPr>
              <w:t> </w:t>
            </w:r>
            <w:r>
              <w:rPr>
                <w:sz w:val="24"/>
              </w:rPr>
              <w:t>+ DCP25</w:t>
            </w:r>
            <w:r>
              <w:rPr>
                <w:spacing w:val="-3"/>
                <w:sz w:val="24"/>
              </w:rPr>
              <w:t> </w:t>
            </w:r>
            <w:r>
              <w:rPr>
                <w:spacing w:val="-4"/>
                <w:sz w:val="24"/>
              </w:rPr>
              <w:t>(50)</w:t>
            </w:r>
          </w:p>
        </w:tc>
        <w:tc>
          <w:tcPr>
            <w:tcW w:w="1217" w:type="dxa"/>
          </w:tcPr>
          <w:p>
            <w:pPr>
              <w:pStyle w:val="TableParagraph"/>
              <w:spacing w:before="133"/>
              <w:ind w:right="95"/>
              <w:jc w:val="right"/>
              <w:rPr>
                <w:sz w:val="24"/>
              </w:rPr>
            </w:pPr>
            <w:r>
              <w:rPr>
                <w:spacing w:val="-5"/>
                <w:sz w:val="24"/>
              </w:rPr>
              <w:t>6/6</w:t>
            </w:r>
          </w:p>
        </w:tc>
        <w:tc>
          <w:tcPr>
            <w:tcW w:w="1159" w:type="dxa"/>
          </w:tcPr>
          <w:p>
            <w:pPr>
              <w:pStyle w:val="TableParagraph"/>
              <w:rPr>
                <w:sz w:val="24"/>
              </w:rPr>
            </w:pPr>
          </w:p>
        </w:tc>
        <w:tc>
          <w:tcPr>
            <w:tcW w:w="2096" w:type="dxa"/>
          </w:tcPr>
          <w:p>
            <w:pPr>
              <w:pStyle w:val="TableParagraph"/>
              <w:spacing w:before="133"/>
              <w:ind w:left="1019"/>
              <w:rPr>
                <w:sz w:val="24"/>
              </w:rPr>
            </w:pPr>
            <w:r>
              <w:rPr>
                <w:spacing w:val="-2"/>
                <w:sz w:val="24"/>
              </w:rPr>
              <w:t>100.0</w:t>
            </w:r>
          </w:p>
        </w:tc>
        <w:tc>
          <w:tcPr>
            <w:tcW w:w="1915" w:type="dxa"/>
          </w:tcPr>
          <w:p>
            <w:pPr>
              <w:pStyle w:val="TableParagraph"/>
              <w:spacing w:before="133"/>
              <w:ind w:left="844"/>
              <w:rPr>
                <w:sz w:val="24"/>
              </w:rPr>
            </w:pPr>
            <w:r>
              <w:rPr>
                <w:spacing w:val="-2"/>
                <w:sz w:val="24"/>
              </w:rPr>
              <w:t>100.0</w:t>
            </w:r>
          </w:p>
        </w:tc>
      </w:tr>
      <w:tr>
        <w:trPr>
          <w:trHeight w:val="552" w:hRule="atLeast"/>
        </w:trPr>
        <w:tc>
          <w:tcPr>
            <w:tcW w:w="2432" w:type="dxa"/>
          </w:tcPr>
          <w:p>
            <w:pPr>
              <w:pStyle w:val="TableParagraph"/>
              <w:spacing w:before="133"/>
              <w:ind w:left="180"/>
              <w:rPr>
                <w:sz w:val="24"/>
              </w:rPr>
            </w:pPr>
            <w:r>
              <w:rPr>
                <w:sz w:val="24"/>
              </w:rPr>
              <w:t>DCP34</w:t>
            </w:r>
            <w:r>
              <w:rPr>
                <w:spacing w:val="-3"/>
                <w:sz w:val="24"/>
              </w:rPr>
              <w:t> </w:t>
            </w:r>
            <w:r>
              <w:rPr>
                <w:spacing w:val="-4"/>
                <w:sz w:val="24"/>
              </w:rPr>
              <w:t>(50)</w:t>
            </w:r>
          </w:p>
        </w:tc>
        <w:tc>
          <w:tcPr>
            <w:tcW w:w="1217" w:type="dxa"/>
          </w:tcPr>
          <w:p>
            <w:pPr>
              <w:pStyle w:val="TableParagraph"/>
              <w:spacing w:before="133"/>
              <w:ind w:right="95"/>
              <w:jc w:val="right"/>
              <w:rPr>
                <w:sz w:val="24"/>
              </w:rPr>
            </w:pPr>
            <w:r>
              <w:rPr>
                <w:spacing w:val="-5"/>
                <w:sz w:val="24"/>
              </w:rPr>
              <w:t>1/6</w:t>
            </w:r>
          </w:p>
        </w:tc>
        <w:tc>
          <w:tcPr>
            <w:tcW w:w="1159" w:type="dxa"/>
          </w:tcPr>
          <w:p>
            <w:pPr>
              <w:pStyle w:val="TableParagraph"/>
              <w:rPr>
                <w:sz w:val="24"/>
              </w:rPr>
            </w:pPr>
          </w:p>
        </w:tc>
        <w:tc>
          <w:tcPr>
            <w:tcW w:w="2096" w:type="dxa"/>
          </w:tcPr>
          <w:p>
            <w:pPr>
              <w:pStyle w:val="TableParagraph"/>
              <w:spacing w:before="133"/>
              <w:ind w:left="1019"/>
              <w:rPr>
                <w:sz w:val="24"/>
              </w:rPr>
            </w:pPr>
            <w:r>
              <w:rPr>
                <w:spacing w:val="-2"/>
                <w:sz w:val="24"/>
              </w:rPr>
              <w:t>16.67</w:t>
            </w:r>
          </w:p>
        </w:tc>
        <w:tc>
          <w:tcPr>
            <w:tcW w:w="1915" w:type="dxa"/>
          </w:tcPr>
          <w:p>
            <w:pPr>
              <w:pStyle w:val="TableParagraph"/>
              <w:spacing w:before="133"/>
              <w:ind w:left="844"/>
              <w:rPr>
                <w:sz w:val="24"/>
              </w:rPr>
            </w:pPr>
            <w:r>
              <w:rPr>
                <w:spacing w:val="-2"/>
                <w:sz w:val="24"/>
              </w:rPr>
              <w:t>100.0</w:t>
            </w:r>
          </w:p>
        </w:tc>
      </w:tr>
      <w:tr>
        <w:trPr>
          <w:trHeight w:val="552" w:hRule="atLeast"/>
        </w:trPr>
        <w:tc>
          <w:tcPr>
            <w:tcW w:w="2432" w:type="dxa"/>
          </w:tcPr>
          <w:p>
            <w:pPr>
              <w:pStyle w:val="TableParagraph"/>
              <w:spacing w:before="133"/>
              <w:ind w:left="180"/>
              <w:rPr>
                <w:sz w:val="24"/>
              </w:rPr>
            </w:pPr>
            <w:r>
              <w:rPr>
                <w:sz w:val="24"/>
              </w:rPr>
              <w:t>FA</w:t>
            </w:r>
            <w:r>
              <w:rPr>
                <w:spacing w:val="-7"/>
                <w:sz w:val="24"/>
              </w:rPr>
              <w:t> </w:t>
            </w:r>
            <w:r>
              <w:rPr>
                <w:sz w:val="24"/>
              </w:rPr>
              <w:t>(5)</w:t>
            </w:r>
            <w:r>
              <w:rPr>
                <w:spacing w:val="3"/>
                <w:sz w:val="24"/>
              </w:rPr>
              <w:t> </w:t>
            </w:r>
            <w:r>
              <w:rPr>
                <w:sz w:val="24"/>
              </w:rPr>
              <w:t>+ DCP34</w:t>
            </w:r>
            <w:r>
              <w:rPr>
                <w:spacing w:val="-3"/>
                <w:sz w:val="24"/>
              </w:rPr>
              <w:t> </w:t>
            </w:r>
            <w:r>
              <w:rPr>
                <w:spacing w:val="-4"/>
                <w:sz w:val="24"/>
              </w:rPr>
              <w:t>(50)</w:t>
            </w:r>
          </w:p>
        </w:tc>
        <w:tc>
          <w:tcPr>
            <w:tcW w:w="1217" w:type="dxa"/>
          </w:tcPr>
          <w:p>
            <w:pPr>
              <w:pStyle w:val="TableParagraph"/>
              <w:spacing w:before="133"/>
              <w:ind w:right="95"/>
              <w:jc w:val="right"/>
              <w:rPr>
                <w:sz w:val="24"/>
              </w:rPr>
            </w:pPr>
            <w:r>
              <w:rPr>
                <w:spacing w:val="-5"/>
                <w:sz w:val="24"/>
              </w:rPr>
              <w:t>3/6</w:t>
            </w:r>
          </w:p>
        </w:tc>
        <w:tc>
          <w:tcPr>
            <w:tcW w:w="1159" w:type="dxa"/>
          </w:tcPr>
          <w:p>
            <w:pPr>
              <w:pStyle w:val="TableParagraph"/>
              <w:rPr>
                <w:sz w:val="24"/>
              </w:rPr>
            </w:pPr>
          </w:p>
        </w:tc>
        <w:tc>
          <w:tcPr>
            <w:tcW w:w="2096" w:type="dxa"/>
          </w:tcPr>
          <w:p>
            <w:pPr>
              <w:pStyle w:val="TableParagraph"/>
              <w:spacing w:before="133"/>
              <w:ind w:left="1019"/>
              <w:rPr>
                <w:sz w:val="24"/>
              </w:rPr>
            </w:pPr>
            <w:r>
              <w:rPr>
                <w:spacing w:val="-4"/>
                <w:sz w:val="24"/>
              </w:rPr>
              <w:t>50.0</w:t>
            </w:r>
          </w:p>
        </w:tc>
        <w:tc>
          <w:tcPr>
            <w:tcW w:w="1915" w:type="dxa"/>
          </w:tcPr>
          <w:p>
            <w:pPr>
              <w:pStyle w:val="TableParagraph"/>
              <w:spacing w:before="133"/>
              <w:ind w:left="844"/>
              <w:rPr>
                <w:sz w:val="24"/>
              </w:rPr>
            </w:pPr>
            <w:r>
              <w:rPr>
                <w:spacing w:val="-2"/>
                <w:sz w:val="24"/>
              </w:rPr>
              <w:t>100.0</w:t>
            </w:r>
          </w:p>
        </w:tc>
      </w:tr>
      <w:tr>
        <w:trPr>
          <w:trHeight w:val="552" w:hRule="atLeast"/>
        </w:trPr>
        <w:tc>
          <w:tcPr>
            <w:tcW w:w="2432" w:type="dxa"/>
          </w:tcPr>
          <w:p>
            <w:pPr>
              <w:pStyle w:val="TableParagraph"/>
              <w:spacing w:before="133"/>
              <w:ind w:left="180"/>
              <w:rPr>
                <w:sz w:val="24"/>
              </w:rPr>
            </w:pPr>
            <w:r>
              <w:rPr>
                <w:sz w:val="24"/>
              </w:rPr>
              <w:t>FA</w:t>
            </w:r>
            <w:r>
              <w:rPr>
                <w:spacing w:val="-8"/>
                <w:sz w:val="24"/>
              </w:rPr>
              <w:t> </w:t>
            </w:r>
            <w:r>
              <w:rPr>
                <w:sz w:val="24"/>
              </w:rPr>
              <w:t>(5)</w:t>
            </w:r>
            <w:r>
              <w:rPr>
                <w:spacing w:val="2"/>
                <w:sz w:val="24"/>
              </w:rPr>
              <w:t> </w:t>
            </w:r>
            <w:r>
              <w:rPr>
                <w:sz w:val="24"/>
              </w:rPr>
              <w:t>+ PHT</w:t>
            </w:r>
            <w:r>
              <w:rPr>
                <w:spacing w:val="-2"/>
                <w:sz w:val="24"/>
              </w:rPr>
              <w:t> </w:t>
            </w:r>
            <w:r>
              <w:rPr>
                <w:spacing w:val="-5"/>
                <w:sz w:val="24"/>
              </w:rPr>
              <w:t>(5)</w:t>
            </w:r>
          </w:p>
        </w:tc>
        <w:tc>
          <w:tcPr>
            <w:tcW w:w="1217" w:type="dxa"/>
          </w:tcPr>
          <w:p>
            <w:pPr>
              <w:pStyle w:val="TableParagraph"/>
              <w:spacing w:before="133"/>
              <w:ind w:right="87"/>
              <w:jc w:val="right"/>
              <w:rPr>
                <w:sz w:val="24"/>
              </w:rPr>
            </w:pPr>
            <w:r>
              <w:rPr>
                <w:spacing w:val="-5"/>
                <w:sz w:val="24"/>
              </w:rPr>
              <w:t>0/6</w:t>
            </w:r>
          </w:p>
        </w:tc>
        <w:tc>
          <w:tcPr>
            <w:tcW w:w="1159" w:type="dxa"/>
          </w:tcPr>
          <w:p>
            <w:pPr>
              <w:pStyle w:val="TableParagraph"/>
              <w:rPr>
                <w:sz w:val="24"/>
              </w:rPr>
            </w:pPr>
          </w:p>
        </w:tc>
        <w:tc>
          <w:tcPr>
            <w:tcW w:w="2096" w:type="dxa"/>
          </w:tcPr>
          <w:p>
            <w:pPr>
              <w:pStyle w:val="TableParagraph"/>
              <w:spacing w:before="133"/>
              <w:ind w:left="283"/>
              <w:jc w:val="center"/>
              <w:rPr>
                <w:sz w:val="24"/>
              </w:rPr>
            </w:pPr>
            <w:r>
              <w:rPr>
                <w:spacing w:val="-5"/>
                <w:sz w:val="24"/>
              </w:rPr>
              <w:t>0.0</w:t>
            </w:r>
          </w:p>
        </w:tc>
        <w:tc>
          <w:tcPr>
            <w:tcW w:w="1915" w:type="dxa"/>
          </w:tcPr>
          <w:p>
            <w:pPr>
              <w:pStyle w:val="TableParagraph"/>
              <w:spacing w:before="133"/>
              <w:ind w:left="844"/>
              <w:rPr>
                <w:sz w:val="24"/>
              </w:rPr>
            </w:pPr>
            <w:r>
              <w:rPr>
                <w:spacing w:val="-2"/>
                <w:sz w:val="24"/>
              </w:rPr>
              <w:t>100.0</w:t>
            </w:r>
          </w:p>
        </w:tc>
      </w:tr>
      <w:tr>
        <w:trPr>
          <w:trHeight w:val="661" w:hRule="atLeast"/>
        </w:trPr>
        <w:tc>
          <w:tcPr>
            <w:tcW w:w="2432" w:type="dxa"/>
            <w:tcBorders>
              <w:bottom w:val="single" w:sz="6" w:space="0" w:color="000000"/>
            </w:tcBorders>
          </w:tcPr>
          <w:p>
            <w:pPr>
              <w:pStyle w:val="TableParagraph"/>
              <w:spacing w:before="133"/>
              <w:ind w:left="180"/>
              <w:rPr>
                <w:sz w:val="24"/>
              </w:rPr>
            </w:pPr>
            <w:r>
              <w:rPr>
                <w:sz w:val="24"/>
              </w:rPr>
              <w:t>FA</w:t>
            </w:r>
            <w:r>
              <w:rPr>
                <w:spacing w:val="-8"/>
                <w:sz w:val="24"/>
              </w:rPr>
              <w:t> </w:t>
            </w:r>
            <w:r>
              <w:rPr>
                <w:sz w:val="24"/>
              </w:rPr>
              <w:t>(5)</w:t>
            </w:r>
            <w:r>
              <w:rPr>
                <w:spacing w:val="2"/>
                <w:sz w:val="24"/>
              </w:rPr>
              <w:t> </w:t>
            </w:r>
            <w:r>
              <w:rPr>
                <w:sz w:val="24"/>
              </w:rPr>
              <w:t>+ PHT</w:t>
            </w:r>
            <w:r>
              <w:rPr>
                <w:spacing w:val="-2"/>
                <w:sz w:val="24"/>
              </w:rPr>
              <w:t> </w:t>
            </w:r>
            <w:r>
              <w:rPr>
                <w:spacing w:val="-4"/>
                <w:sz w:val="24"/>
              </w:rPr>
              <w:t>(10)</w:t>
            </w:r>
          </w:p>
        </w:tc>
        <w:tc>
          <w:tcPr>
            <w:tcW w:w="1217" w:type="dxa"/>
            <w:tcBorders>
              <w:bottom w:val="single" w:sz="6" w:space="0" w:color="000000"/>
            </w:tcBorders>
          </w:tcPr>
          <w:p>
            <w:pPr>
              <w:pStyle w:val="TableParagraph"/>
              <w:spacing w:before="133"/>
              <w:ind w:right="67"/>
              <w:jc w:val="right"/>
              <w:rPr>
                <w:sz w:val="24"/>
              </w:rPr>
            </w:pPr>
            <w:r>
              <w:rPr>
                <w:spacing w:val="-5"/>
                <w:sz w:val="24"/>
              </w:rPr>
              <w:t>6/6</w:t>
            </w:r>
          </w:p>
        </w:tc>
        <w:tc>
          <w:tcPr>
            <w:tcW w:w="1159" w:type="dxa"/>
            <w:tcBorders>
              <w:bottom w:val="single" w:sz="6" w:space="0" w:color="000000"/>
            </w:tcBorders>
          </w:tcPr>
          <w:p>
            <w:pPr>
              <w:pStyle w:val="TableParagraph"/>
              <w:rPr>
                <w:sz w:val="24"/>
              </w:rPr>
            </w:pPr>
          </w:p>
        </w:tc>
        <w:tc>
          <w:tcPr>
            <w:tcW w:w="2096" w:type="dxa"/>
            <w:tcBorders>
              <w:bottom w:val="single" w:sz="6" w:space="0" w:color="000000"/>
            </w:tcBorders>
          </w:tcPr>
          <w:p>
            <w:pPr>
              <w:pStyle w:val="TableParagraph"/>
              <w:spacing w:before="133"/>
              <w:ind w:left="1019"/>
              <w:rPr>
                <w:sz w:val="24"/>
              </w:rPr>
            </w:pPr>
            <w:r>
              <w:rPr>
                <w:spacing w:val="-2"/>
                <w:sz w:val="24"/>
              </w:rPr>
              <w:t>100.0</w:t>
            </w:r>
          </w:p>
        </w:tc>
        <w:tc>
          <w:tcPr>
            <w:tcW w:w="1915" w:type="dxa"/>
            <w:tcBorders>
              <w:bottom w:val="single" w:sz="6" w:space="0" w:color="000000"/>
            </w:tcBorders>
          </w:tcPr>
          <w:p>
            <w:pPr>
              <w:pStyle w:val="TableParagraph"/>
              <w:spacing w:before="133"/>
              <w:ind w:left="844"/>
              <w:rPr>
                <w:sz w:val="24"/>
              </w:rPr>
            </w:pPr>
            <w:r>
              <w:rPr>
                <w:spacing w:val="-2"/>
                <w:sz w:val="24"/>
              </w:rPr>
              <w:t>100.0</w:t>
            </w:r>
          </w:p>
        </w:tc>
      </w:tr>
      <w:tr>
        <w:trPr>
          <w:trHeight w:val="284" w:hRule="atLeast"/>
        </w:trPr>
        <w:tc>
          <w:tcPr>
            <w:tcW w:w="2432" w:type="dxa"/>
            <w:tcBorders>
              <w:top w:val="single" w:sz="6" w:space="0" w:color="000000"/>
            </w:tcBorders>
          </w:tcPr>
          <w:p>
            <w:pPr>
              <w:pStyle w:val="TableParagraph"/>
              <w:spacing w:line="256" w:lineRule="exact" w:before="9"/>
              <w:ind w:left="180"/>
              <w:rPr>
                <w:sz w:val="24"/>
              </w:rPr>
            </w:pPr>
            <w:r>
              <w:rPr>
                <w:sz w:val="24"/>
              </w:rPr>
              <w:t>DCP23,</w:t>
            </w:r>
            <w:r>
              <w:rPr>
                <w:spacing w:val="26"/>
                <w:sz w:val="24"/>
              </w:rPr>
              <w:t>  </w:t>
            </w:r>
            <w:r>
              <w:rPr>
                <w:sz w:val="24"/>
              </w:rPr>
              <w:t>DCP25</w:t>
            </w:r>
            <w:r>
              <w:rPr>
                <w:spacing w:val="80"/>
                <w:w w:val="150"/>
                <w:sz w:val="24"/>
              </w:rPr>
              <w:t> </w:t>
            </w:r>
            <w:r>
              <w:rPr>
                <w:spacing w:val="-5"/>
                <w:sz w:val="24"/>
              </w:rPr>
              <w:t>and</w:t>
            </w:r>
          </w:p>
        </w:tc>
        <w:tc>
          <w:tcPr>
            <w:tcW w:w="1217" w:type="dxa"/>
            <w:tcBorders>
              <w:top w:val="single" w:sz="6" w:space="0" w:color="000000"/>
            </w:tcBorders>
          </w:tcPr>
          <w:p>
            <w:pPr>
              <w:pStyle w:val="TableParagraph"/>
              <w:spacing w:line="256" w:lineRule="exact" w:before="9"/>
              <w:ind w:right="108"/>
              <w:jc w:val="right"/>
              <w:rPr>
                <w:sz w:val="24"/>
              </w:rPr>
            </w:pPr>
            <w:r>
              <w:rPr>
                <w:sz w:val="24"/>
              </w:rPr>
              <w:t>DCP34</w:t>
            </w:r>
            <w:r>
              <w:rPr>
                <w:spacing w:val="27"/>
                <w:sz w:val="24"/>
              </w:rPr>
              <w:t>  </w:t>
            </w:r>
            <w:r>
              <w:rPr>
                <w:spacing w:val="-10"/>
                <w:sz w:val="24"/>
              </w:rPr>
              <w:t>=</w:t>
            </w:r>
          </w:p>
        </w:tc>
        <w:tc>
          <w:tcPr>
            <w:tcW w:w="1159" w:type="dxa"/>
            <w:tcBorders>
              <w:top w:val="single" w:sz="6" w:space="0" w:color="000000"/>
            </w:tcBorders>
          </w:tcPr>
          <w:p>
            <w:pPr>
              <w:pStyle w:val="TableParagraph"/>
              <w:spacing w:line="256" w:lineRule="exact" w:before="9"/>
              <w:ind w:left="70"/>
              <w:rPr>
                <w:sz w:val="24"/>
              </w:rPr>
            </w:pPr>
            <w:r>
              <w:rPr>
                <w:sz w:val="24"/>
              </w:rPr>
              <w:t>2,3-,</w:t>
            </w:r>
            <w:r>
              <w:rPr>
                <w:spacing w:val="28"/>
                <w:sz w:val="24"/>
              </w:rPr>
              <w:t>  </w:t>
            </w:r>
            <w:r>
              <w:rPr>
                <w:spacing w:val="-4"/>
                <w:sz w:val="24"/>
              </w:rPr>
              <w:t>2,5-</w:t>
            </w:r>
          </w:p>
        </w:tc>
        <w:tc>
          <w:tcPr>
            <w:tcW w:w="2096" w:type="dxa"/>
            <w:tcBorders>
              <w:top w:val="single" w:sz="6" w:space="0" w:color="000000"/>
            </w:tcBorders>
          </w:tcPr>
          <w:p>
            <w:pPr>
              <w:pStyle w:val="TableParagraph"/>
              <w:spacing w:line="256" w:lineRule="exact" w:before="9"/>
              <w:ind w:left="88"/>
              <w:rPr>
                <w:sz w:val="24"/>
              </w:rPr>
            </w:pPr>
            <w:r>
              <w:rPr>
                <w:sz w:val="24"/>
              </w:rPr>
              <w:t>and</w:t>
            </w:r>
            <w:r>
              <w:rPr>
                <w:spacing w:val="77"/>
                <w:w w:val="150"/>
                <w:sz w:val="24"/>
              </w:rPr>
              <w:t> </w:t>
            </w:r>
            <w:r>
              <w:rPr>
                <w:sz w:val="24"/>
              </w:rPr>
              <w:t>3,4-</w:t>
            </w:r>
            <w:r>
              <w:rPr>
                <w:spacing w:val="25"/>
                <w:sz w:val="24"/>
              </w:rPr>
              <w:t>  </w:t>
            </w:r>
            <w:r>
              <w:rPr>
                <w:spacing w:val="-2"/>
                <w:sz w:val="24"/>
              </w:rPr>
              <w:t>Dichloro</w:t>
            </w:r>
          </w:p>
        </w:tc>
        <w:tc>
          <w:tcPr>
            <w:tcW w:w="1915" w:type="dxa"/>
            <w:tcBorders>
              <w:top w:val="single" w:sz="6" w:space="0" w:color="000000"/>
            </w:tcBorders>
          </w:tcPr>
          <w:p>
            <w:pPr>
              <w:pStyle w:val="TableParagraph"/>
              <w:spacing w:line="256" w:lineRule="exact" w:before="9"/>
              <w:ind w:left="90"/>
              <w:rPr>
                <w:sz w:val="24"/>
              </w:rPr>
            </w:pPr>
            <w:r>
              <w:rPr>
                <w:sz w:val="24"/>
              </w:rPr>
              <w:t>–</w:t>
            </w:r>
            <w:r>
              <w:rPr>
                <w:spacing w:val="26"/>
                <w:sz w:val="24"/>
              </w:rPr>
              <w:t>  </w:t>
            </w:r>
            <w:r>
              <w:rPr>
                <w:spacing w:val="-2"/>
                <w:sz w:val="24"/>
              </w:rPr>
              <w:t>3(aminophenyl)</w:t>
            </w:r>
          </w:p>
        </w:tc>
      </w:tr>
    </w:tbl>
    <w:p>
      <w:pPr>
        <w:pStyle w:val="BodyText"/>
        <w:spacing w:before="4"/>
        <w:rPr>
          <w:b/>
        </w:rPr>
      </w:pPr>
    </w:p>
    <w:p>
      <w:pPr>
        <w:pStyle w:val="BodyText"/>
        <w:ind w:left="681"/>
      </w:pPr>
      <w:r>
        <w:rPr/>
        <w:t>propanamides</w:t>
      </w:r>
      <w:r>
        <w:rPr>
          <w:spacing w:val="-3"/>
        </w:rPr>
        <w:t> </w:t>
      </w:r>
      <w:r>
        <w:rPr/>
        <w:t>respectively,</w:t>
      </w:r>
      <w:r>
        <w:rPr>
          <w:spacing w:val="2"/>
        </w:rPr>
        <w:t> </w:t>
      </w:r>
      <w:r>
        <w:rPr/>
        <w:t>FA</w:t>
      </w:r>
      <w:r>
        <w:rPr>
          <w:spacing w:val="54"/>
        </w:rPr>
        <w:t> </w:t>
      </w:r>
      <w:r>
        <w:rPr/>
        <w:t>=</w:t>
      </w:r>
      <w:r>
        <w:rPr>
          <w:spacing w:val="-1"/>
        </w:rPr>
        <w:t> </w:t>
      </w:r>
      <w:r>
        <w:rPr/>
        <w:t>Fluphenamic</w:t>
      </w:r>
      <w:r>
        <w:rPr>
          <w:spacing w:val="-1"/>
        </w:rPr>
        <w:t> </w:t>
      </w:r>
      <w:r>
        <w:rPr/>
        <w:t>acid,</w:t>
      </w:r>
      <w:r>
        <w:rPr>
          <w:spacing w:val="1"/>
        </w:rPr>
        <w:t> </w:t>
      </w:r>
      <w:r>
        <w:rPr/>
        <w:t>n</w:t>
      </w:r>
      <w:r>
        <w:rPr>
          <w:spacing w:val="-5"/>
        </w:rPr>
        <w:t> </w:t>
      </w:r>
      <w:r>
        <w:rPr/>
        <w:t>=</w:t>
      </w:r>
      <w:r>
        <w:rPr>
          <w:spacing w:val="-1"/>
        </w:rPr>
        <w:t> </w:t>
      </w:r>
      <w:r>
        <w:rPr/>
        <w:t>6 per</w:t>
      </w:r>
      <w:r>
        <w:rPr>
          <w:spacing w:val="-3"/>
        </w:rPr>
        <w:t> </w:t>
      </w:r>
      <w:r>
        <w:rPr>
          <w:spacing w:val="-2"/>
        </w:rPr>
        <w:t>group.</w:t>
      </w:r>
    </w:p>
    <w:p>
      <w:pPr>
        <w:spacing w:after="0"/>
        <w:sectPr>
          <w:pgSz w:w="12240" w:h="15840"/>
          <w:pgMar w:header="0" w:footer="1066" w:top="1360" w:bottom="1260" w:left="1480" w:right="1160"/>
        </w:sectPr>
      </w:pPr>
    </w:p>
    <w:p>
      <w:pPr>
        <w:pStyle w:val="Heading2"/>
        <w:numPr>
          <w:ilvl w:val="2"/>
          <w:numId w:val="14"/>
        </w:numPr>
        <w:tabs>
          <w:tab w:pos="1260" w:val="left" w:leader="none"/>
        </w:tabs>
        <w:spacing w:line="237" w:lineRule="auto" w:before="79" w:after="0"/>
        <w:ind w:left="681" w:right="280" w:firstLine="0"/>
        <w:jc w:val="left"/>
      </w:pPr>
      <w:bookmarkStart w:name="_TOC_250010" w:id="74"/>
      <w:r>
        <w:rPr/>
        <w:t>Effect</w:t>
      </w:r>
      <w:r>
        <w:rPr>
          <w:spacing w:val="32"/>
        </w:rPr>
        <w:t> </w:t>
      </w:r>
      <w:r>
        <w:rPr/>
        <w:t>of Nickel</w:t>
      </w:r>
      <w:r>
        <w:rPr>
          <w:spacing w:val="31"/>
        </w:rPr>
        <w:t> </w:t>
      </w:r>
      <w:r>
        <w:rPr/>
        <w:t>Chloride</w:t>
      </w:r>
      <w:r>
        <w:rPr>
          <w:spacing w:val="38"/>
        </w:rPr>
        <w:t> </w:t>
      </w:r>
      <w:r>
        <w:rPr/>
        <w:t>on</w:t>
      </w:r>
      <w:r>
        <w:rPr>
          <w:spacing w:val="32"/>
        </w:rPr>
        <w:t> </w:t>
      </w:r>
      <w:r>
        <w:rPr/>
        <w:t>DCP23</w:t>
      </w:r>
      <w:r>
        <w:rPr>
          <w:spacing w:val="30"/>
        </w:rPr>
        <w:t> </w:t>
      </w:r>
      <w:r>
        <w:rPr/>
        <w:t>and</w:t>
      </w:r>
      <w:r>
        <w:rPr>
          <w:spacing w:val="32"/>
        </w:rPr>
        <w:t> </w:t>
      </w:r>
      <w:r>
        <w:rPr/>
        <w:t>DCP25</w:t>
      </w:r>
      <w:r>
        <w:rPr>
          <w:spacing w:val="31"/>
        </w:rPr>
        <w:t> </w:t>
      </w:r>
      <w:r>
        <w:rPr/>
        <w:t>against</w:t>
      </w:r>
      <w:r>
        <w:rPr>
          <w:spacing w:val="38"/>
        </w:rPr>
        <w:t> </w:t>
      </w:r>
      <w:bookmarkEnd w:id="74"/>
      <w:r>
        <w:rPr/>
        <w:t>Pentylenetetrazole- induced Seizure in Mice</w:t>
      </w:r>
    </w:p>
    <w:p>
      <w:pPr>
        <w:pStyle w:val="BodyText"/>
        <w:spacing w:before="275"/>
        <w:rPr>
          <w:b/>
        </w:rPr>
      </w:pPr>
    </w:p>
    <w:p>
      <w:pPr>
        <w:pStyle w:val="BodyText"/>
        <w:spacing w:line="480" w:lineRule="auto"/>
        <w:ind w:left="681" w:right="269"/>
        <w:jc w:val="both"/>
      </w:pPr>
      <w:r>
        <w:rPr/>
        <w:t>Nickel chloride is a selective blocker for low voltage-activated T-type Ca2+ channels. Nickel</w:t>
      </w:r>
      <w:r>
        <w:rPr>
          <w:spacing w:val="-6"/>
        </w:rPr>
        <w:t> </w:t>
      </w:r>
      <w:r>
        <w:rPr/>
        <w:t>chloride</w:t>
      </w:r>
      <w:r>
        <w:rPr>
          <w:spacing w:val="-2"/>
        </w:rPr>
        <w:t> </w:t>
      </w:r>
      <w:r>
        <w:rPr/>
        <w:t>at</w:t>
      </w:r>
      <w:r>
        <w:rPr>
          <w:spacing w:val="-1"/>
        </w:rPr>
        <w:t> </w:t>
      </w:r>
      <w:r>
        <w:rPr/>
        <w:t>the</w:t>
      </w:r>
      <w:r>
        <w:rPr>
          <w:spacing w:val="-2"/>
        </w:rPr>
        <w:t> </w:t>
      </w:r>
      <w:r>
        <w:rPr/>
        <w:t>dose</w:t>
      </w:r>
      <w:r>
        <w:rPr>
          <w:spacing w:val="-2"/>
        </w:rPr>
        <w:t> </w:t>
      </w:r>
      <w:r>
        <w:rPr/>
        <w:t>of</w:t>
      </w:r>
      <w:r>
        <w:rPr>
          <w:spacing w:val="-9"/>
        </w:rPr>
        <w:t> </w:t>
      </w:r>
      <w:r>
        <w:rPr/>
        <w:t>5 mg/kg</w:t>
      </w:r>
      <w:r>
        <w:rPr>
          <w:spacing w:val="-1"/>
        </w:rPr>
        <w:t> </w:t>
      </w:r>
      <w:r>
        <w:rPr/>
        <w:t>offered</w:t>
      </w:r>
      <w:r>
        <w:rPr>
          <w:spacing w:val="-1"/>
        </w:rPr>
        <w:t> </w:t>
      </w:r>
      <w:r>
        <w:rPr/>
        <w:t>16.7% and</w:t>
      </w:r>
      <w:r>
        <w:rPr>
          <w:spacing w:val="-1"/>
        </w:rPr>
        <w:t> </w:t>
      </w:r>
      <w:r>
        <w:rPr/>
        <w:t>83.3% protection</w:t>
      </w:r>
      <w:r>
        <w:rPr>
          <w:spacing w:val="-6"/>
        </w:rPr>
        <w:t> </w:t>
      </w:r>
      <w:r>
        <w:rPr/>
        <w:t>against clonic convulsions</w:t>
      </w:r>
      <w:r>
        <w:rPr>
          <w:spacing w:val="-2"/>
        </w:rPr>
        <w:t> </w:t>
      </w:r>
      <w:r>
        <w:rPr/>
        <w:t>and death</w:t>
      </w:r>
      <w:r>
        <w:rPr>
          <w:spacing w:val="-5"/>
        </w:rPr>
        <w:t> </w:t>
      </w:r>
      <w:r>
        <w:rPr/>
        <w:t>(mortality) respectively. When DCP23 (25 mg/kg) and DCP25 (25 mg/kg) were interacted with same dose of nickel chloride the percentage protections against seizure and mortality for DCP23 were 66.67% and 83.33 respectively; while that of DCP25 were 33.33% and 66.67% respectively. Similarly the co-administration of the two compounds led to statistically significant difference (p&lt;0.05) in the mean onset of seizure when compared to the control group; using ANOVA Test followed by Post hoc Test (Scheffe). Also, DCP23 and DCP25 offered accordance protection against convulsion and mortality of 33.3% and 50%, 33.3 and 66.7% each, respectively. Same dose of nickel chloride potentiated the effect of sodium valproate (100 mg/kg) from 33.3% to 83.3% (Table 4.21).</w:t>
      </w:r>
    </w:p>
    <w:p>
      <w:pPr>
        <w:spacing w:after="0" w:line="480" w:lineRule="auto"/>
        <w:jc w:val="both"/>
        <w:sectPr>
          <w:pgSz w:w="12240" w:h="15840"/>
          <w:pgMar w:header="0" w:footer="1066" w:top="1360" w:bottom="1260" w:left="1480" w:right="1160"/>
        </w:sectPr>
      </w:pPr>
    </w:p>
    <w:p>
      <w:pPr>
        <w:pStyle w:val="Heading2"/>
        <w:tabs>
          <w:tab w:pos="1496" w:val="left" w:leader="none"/>
          <w:tab w:pos="2236" w:val="left" w:leader="none"/>
          <w:tab w:pos="3081" w:val="left" w:leader="none"/>
          <w:tab w:pos="3513" w:val="left" w:leader="none"/>
          <w:tab w:pos="4400" w:val="left" w:leader="none"/>
          <w:tab w:pos="5542" w:val="left" w:leader="none"/>
          <w:tab w:pos="6034" w:val="left" w:leader="none"/>
          <w:tab w:pos="6999" w:val="left" w:leader="none"/>
          <w:tab w:pos="7624" w:val="left" w:leader="none"/>
          <w:tab w:pos="8589" w:val="left" w:leader="none"/>
        </w:tabs>
        <w:spacing w:line="237" w:lineRule="auto" w:before="79"/>
        <w:ind w:right="276"/>
        <w:jc w:val="left"/>
      </w:pPr>
      <w:r>
        <w:rPr>
          <w:spacing w:val="-2"/>
        </w:rPr>
        <w:t>Table</w:t>
      </w:r>
      <w:r>
        <w:rPr/>
        <w:tab/>
      </w:r>
      <w:r>
        <w:rPr>
          <w:spacing w:val="-2"/>
        </w:rPr>
        <w:t>4.21:</w:t>
      </w:r>
      <w:r>
        <w:rPr/>
        <w:tab/>
      </w:r>
      <w:r>
        <w:rPr>
          <w:spacing w:val="-2"/>
        </w:rPr>
        <w:t>Effect</w:t>
      </w:r>
      <w:r>
        <w:rPr/>
        <w:tab/>
      </w:r>
      <w:r>
        <w:rPr>
          <w:spacing w:val="-6"/>
        </w:rPr>
        <w:t>of</w:t>
      </w:r>
      <w:r>
        <w:rPr/>
        <w:tab/>
      </w:r>
      <w:r>
        <w:rPr>
          <w:spacing w:val="-2"/>
        </w:rPr>
        <w:t>Nickel</w:t>
      </w:r>
      <w:r>
        <w:rPr/>
        <w:tab/>
      </w:r>
      <w:r>
        <w:rPr>
          <w:spacing w:val="-2"/>
        </w:rPr>
        <w:t>Chloride</w:t>
      </w:r>
      <w:r>
        <w:rPr/>
        <w:tab/>
      </w:r>
      <w:r>
        <w:rPr>
          <w:spacing w:val="-6"/>
        </w:rPr>
        <w:t>on</w:t>
      </w:r>
      <w:r>
        <w:rPr/>
        <w:tab/>
      </w:r>
      <w:r>
        <w:rPr>
          <w:spacing w:val="-2"/>
        </w:rPr>
        <w:t>DCP23</w:t>
      </w:r>
      <w:r>
        <w:rPr/>
        <w:tab/>
      </w:r>
      <w:r>
        <w:rPr>
          <w:spacing w:val="-4"/>
        </w:rPr>
        <w:t>and</w:t>
      </w:r>
      <w:r>
        <w:rPr/>
        <w:tab/>
      </w:r>
      <w:r>
        <w:rPr>
          <w:spacing w:val="-2"/>
        </w:rPr>
        <w:t>DCP25</w:t>
      </w:r>
      <w:r>
        <w:rPr/>
        <w:tab/>
      </w:r>
      <w:r>
        <w:rPr>
          <w:spacing w:val="-2"/>
        </w:rPr>
        <w:t>against </w:t>
      </w:r>
      <w:r>
        <w:rPr/>
        <w:t>Pentylenetetrazole-induced Seizure in Mice</w:t>
      </w:r>
    </w:p>
    <w:p>
      <w:pPr>
        <w:pStyle w:val="BodyText"/>
        <w:spacing w:before="76"/>
        <w:rPr>
          <w:b/>
          <w:sz w:val="20"/>
        </w:rPr>
      </w:pPr>
      <w:r>
        <w:rPr/>
        <mc:AlternateContent>
          <mc:Choice Requires="wps">
            <w:drawing>
              <wp:anchor distT="0" distB="0" distL="0" distR="0" allowOverlap="1" layoutInCell="1" locked="0" behindDoc="1" simplePos="0" relativeHeight="487660544">
                <wp:simplePos x="0" y="0"/>
                <wp:positionH relativeFrom="page">
                  <wp:posOffset>1257300</wp:posOffset>
                </wp:positionH>
                <wp:positionV relativeFrom="paragraph">
                  <wp:posOffset>209909</wp:posOffset>
                </wp:positionV>
                <wp:extent cx="560070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5600700" cy="1270"/>
                        </a:xfrm>
                        <a:custGeom>
                          <a:avLst/>
                          <a:gdLst/>
                          <a:ahLst/>
                          <a:cxnLst/>
                          <a:rect l="l" t="t" r="r" b="b"/>
                          <a:pathLst>
                            <a:path w="5600700" h="0">
                              <a:moveTo>
                                <a:pt x="0" y="0"/>
                              </a:moveTo>
                              <a:lnTo>
                                <a:pt x="5600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pt;margin-top:16.52832pt;width:441pt;height:.1pt;mso-position-horizontal-relative:page;mso-position-vertical-relative:paragraph;z-index:-15655936;mso-wrap-distance-left:0;mso-wrap-distance-right:0" id="docshape118" coordorigin="1980,331" coordsize="8820,0" path="m1980,331l10800,331e" filled="false" stroked="true" strokeweight=".75pt" strokecolor="#000000">
                <v:path arrowok="t"/>
                <v:stroke dashstyle="solid"/>
                <w10:wrap type="topAndBottom"/>
              </v:shape>
            </w:pict>
          </mc:Fallback>
        </mc:AlternateContent>
      </w:r>
    </w:p>
    <w:p>
      <w:pPr>
        <w:pStyle w:val="BodyText"/>
        <w:spacing w:before="5"/>
        <w:rPr>
          <w:b/>
          <w:sz w:val="19"/>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3"/>
        <w:gridCol w:w="2553"/>
        <w:gridCol w:w="1532"/>
        <w:gridCol w:w="2103"/>
      </w:tblGrid>
      <w:tr>
        <w:trPr>
          <w:trHeight w:val="269" w:hRule="atLeast"/>
        </w:trPr>
        <w:tc>
          <w:tcPr>
            <w:tcW w:w="2633" w:type="dxa"/>
          </w:tcPr>
          <w:p>
            <w:pPr>
              <w:pStyle w:val="TableParagraph"/>
              <w:spacing w:line="250" w:lineRule="exact"/>
              <w:ind w:left="180"/>
              <w:rPr>
                <w:sz w:val="24"/>
              </w:rPr>
            </w:pPr>
            <w:r>
              <w:rPr>
                <w:spacing w:val="-2"/>
                <w:sz w:val="24"/>
              </w:rPr>
              <w:t>Treatment</w:t>
            </w:r>
          </w:p>
        </w:tc>
        <w:tc>
          <w:tcPr>
            <w:tcW w:w="2553" w:type="dxa"/>
          </w:tcPr>
          <w:p>
            <w:pPr>
              <w:pStyle w:val="TableParagraph"/>
              <w:spacing w:line="250" w:lineRule="exact"/>
              <w:ind w:left="193"/>
              <w:rPr>
                <w:sz w:val="24"/>
              </w:rPr>
            </w:pPr>
            <w:r>
              <w:rPr>
                <w:sz w:val="24"/>
              </w:rPr>
              <w:t>Mean</w:t>
            </w:r>
            <w:r>
              <w:rPr>
                <w:spacing w:val="-5"/>
                <w:sz w:val="24"/>
              </w:rPr>
              <w:t> </w:t>
            </w:r>
            <w:r>
              <w:rPr>
                <w:sz w:val="24"/>
              </w:rPr>
              <w:t>Onset of</w:t>
            </w:r>
            <w:r>
              <w:rPr>
                <w:spacing w:val="-7"/>
                <w:sz w:val="24"/>
              </w:rPr>
              <w:t> </w:t>
            </w:r>
            <w:r>
              <w:rPr>
                <w:spacing w:val="-2"/>
                <w:sz w:val="24"/>
              </w:rPr>
              <w:t>Seizure</w:t>
            </w:r>
          </w:p>
        </w:tc>
        <w:tc>
          <w:tcPr>
            <w:tcW w:w="1532" w:type="dxa"/>
          </w:tcPr>
          <w:p>
            <w:pPr>
              <w:pStyle w:val="TableParagraph"/>
              <w:spacing w:line="250" w:lineRule="exact"/>
              <w:ind w:right="126"/>
              <w:jc w:val="right"/>
              <w:rPr>
                <w:sz w:val="24"/>
              </w:rPr>
            </w:pPr>
            <w:r>
              <w:rPr>
                <w:sz w:val="24"/>
              </w:rPr>
              <w:t>%</w:t>
            </w:r>
            <w:r>
              <w:rPr>
                <w:spacing w:val="-1"/>
                <w:sz w:val="24"/>
              </w:rPr>
              <w:t> </w:t>
            </w:r>
            <w:r>
              <w:rPr>
                <w:spacing w:val="-2"/>
                <w:sz w:val="24"/>
              </w:rPr>
              <w:t>Protection</w:t>
            </w:r>
          </w:p>
        </w:tc>
        <w:tc>
          <w:tcPr>
            <w:tcW w:w="2103" w:type="dxa"/>
          </w:tcPr>
          <w:p>
            <w:pPr>
              <w:pStyle w:val="TableParagraph"/>
              <w:spacing w:line="250" w:lineRule="exact"/>
              <w:ind w:left="127"/>
              <w:rPr>
                <w:sz w:val="24"/>
              </w:rPr>
            </w:pPr>
            <w:r>
              <w:rPr>
                <w:sz w:val="24"/>
              </w:rPr>
              <w:t>Mortality</w:t>
            </w:r>
            <w:r>
              <w:rPr>
                <w:spacing w:val="-13"/>
                <w:sz w:val="24"/>
              </w:rPr>
              <w:t> </w:t>
            </w:r>
            <w:r>
              <w:rPr>
                <w:spacing w:val="-2"/>
                <w:sz w:val="24"/>
              </w:rPr>
              <w:t>Protection</w:t>
            </w:r>
          </w:p>
        </w:tc>
      </w:tr>
      <w:tr>
        <w:trPr>
          <w:trHeight w:val="571" w:hRule="atLeast"/>
        </w:trPr>
        <w:tc>
          <w:tcPr>
            <w:tcW w:w="2633" w:type="dxa"/>
            <w:tcBorders>
              <w:bottom w:val="single" w:sz="6" w:space="0" w:color="000000"/>
            </w:tcBorders>
          </w:tcPr>
          <w:p>
            <w:pPr>
              <w:pStyle w:val="TableParagraph"/>
              <w:spacing w:line="270" w:lineRule="exact"/>
              <w:ind w:left="243"/>
              <w:rPr>
                <w:sz w:val="24"/>
              </w:rPr>
            </w:pPr>
            <w:r>
              <w:rPr>
                <w:spacing w:val="-2"/>
                <w:sz w:val="24"/>
              </w:rPr>
              <w:t>(mg/kg)</w:t>
            </w:r>
          </w:p>
        </w:tc>
        <w:tc>
          <w:tcPr>
            <w:tcW w:w="2553" w:type="dxa"/>
            <w:tcBorders>
              <w:bottom w:val="single" w:sz="6" w:space="0" w:color="000000"/>
            </w:tcBorders>
          </w:tcPr>
          <w:p>
            <w:pPr>
              <w:pStyle w:val="TableParagraph"/>
              <w:spacing w:line="270" w:lineRule="exact"/>
              <w:ind w:left="428"/>
              <w:rPr>
                <w:sz w:val="24"/>
              </w:rPr>
            </w:pPr>
            <w:r>
              <w:rPr>
                <w:spacing w:val="-2"/>
                <w:sz w:val="24"/>
              </w:rPr>
              <w:t>(Minutes)</w:t>
            </w:r>
          </w:p>
        </w:tc>
        <w:tc>
          <w:tcPr>
            <w:tcW w:w="1532" w:type="dxa"/>
            <w:tcBorders>
              <w:bottom w:val="single" w:sz="6" w:space="0" w:color="000000"/>
            </w:tcBorders>
          </w:tcPr>
          <w:p>
            <w:pPr>
              <w:pStyle w:val="TableParagraph"/>
              <w:rPr>
                <w:sz w:val="24"/>
              </w:rPr>
            </w:pPr>
          </w:p>
        </w:tc>
        <w:tc>
          <w:tcPr>
            <w:tcW w:w="2103" w:type="dxa"/>
            <w:tcBorders>
              <w:bottom w:val="single" w:sz="6" w:space="0" w:color="000000"/>
            </w:tcBorders>
          </w:tcPr>
          <w:p>
            <w:pPr>
              <w:pStyle w:val="TableParagraph"/>
              <w:spacing w:line="270" w:lineRule="exact"/>
              <w:ind w:left="665"/>
              <w:rPr>
                <w:sz w:val="24"/>
              </w:rPr>
            </w:pPr>
            <w:r>
              <w:rPr>
                <w:spacing w:val="-5"/>
                <w:sz w:val="24"/>
              </w:rPr>
              <w:t>(%)</w:t>
            </w:r>
          </w:p>
        </w:tc>
      </w:tr>
      <w:tr>
        <w:trPr>
          <w:trHeight w:val="656" w:hRule="atLeast"/>
        </w:trPr>
        <w:tc>
          <w:tcPr>
            <w:tcW w:w="2633" w:type="dxa"/>
            <w:tcBorders>
              <w:top w:val="single" w:sz="6" w:space="0" w:color="000000"/>
            </w:tcBorders>
          </w:tcPr>
          <w:p>
            <w:pPr>
              <w:pStyle w:val="TableParagraph"/>
              <w:spacing w:before="237"/>
              <w:ind w:left="180"/>
              <w:rPr>
                <w:sz w:val="24"/>
              </w:rPr>
            </w:pPr>
            <w:r>
              <w:rPr>
                <w:spacing w:val="-2"/>
                <w:sz w:val="24"/>
              </w:rPr>
              <w:t>Control</w:t>
            </w:r>
          </w:p>
        </w:tc>
        <w:tc>
          <w:tcPr>
            <w:tcW w:w="2553" w:type="dxa"/>
            <w:tcBorders>
              <w:top w:val="single" w:sz="6" w:space="0" w:color="000000"/>
            </w:tcBorders>
          </w:tcPr>
          <w:p>
            <w:pPr>
              <w:pStyle w:val="TableParagraph"/>
              <w:spacing w:before="237"/>
              <w:ind w:left="428"/>
              <w:rPr>
                <w:sz w:val="24"/>
              </w:rPr>
            </w:pPr>
            <w:r>
              <w:rPr>
                <w:sz w:val="24"/>
              </w:rPr>
              <w:t>5.50</w:t>
            </w:r>
            <w:r>
              <w:rPr>
                <w:spacing w:val="3"/>
                <w:sz w:val="24"/>
              </w:rPr>
              <w:t> </w:t>
            </w:r>
            <w:r>
              <w:rPr>
                <w:sz w:val="24"/>
              </w:rPr>
              <w:t>±</w:t>
            </w:r>
            <w:r>
              <w:rPr>
                <w:spacing w:val="1"/>
                <w:sz w:val="24"/>
              </w:rPr>
              <w:t> </w:t>
            </w:r>
            <w:r>
              <w:rPr>
                <w:spacing w:val="-4"/>
                <w:sz w:val="24"/>
              </w:rPr>
              <w:t>0.85</w:t>
            </w:r>
          </w:p>
        </w:tc>
        <w:tc>
          <w:tcPr>
            <w:tcW w:w="1532" w:type="dxa"/>
            <w:tcBorders>
              <w:top w:val="single" w:sz="6" w:space="0" w:color="000000"/>
            </w:tcBorders>
          </w:tcPr>
          <w:p>
            <w:pPr>
              <w:pStyle w:val="TableParagraph"/>
              <w:spacing w:before="237"/>
              <w:ind w:left="756"/>
              <w:rPr>
                <w:sz w:val="24"/>
              </w:rPr>
            </w:pPr>
            <w:r>
              <w:rPr>
                <w:spacing w:val="-4"/>
                <w:sz w:val="24"/>
              </w:rPr>
              <w:t>0.00</w:t>
            </w:r>
          </w:p>
        </w:tc>
        <w:tc>
          <w:tcPr>
            <w:tcW w:w="2103" w:type="dxa"/>
            <w:tcBorders>
              <w:top w:val="single" w:sz="6" w:space="0" w:color="000000"/>
            </w:tcBorders>
          </w:tcPr>
          <w:p>
            <w:pPr>
              <w:pStyle w:val="TableParagraph"/>
              <w:spacing w:before="237"/>
              <w:ind w:left="1030"/>
              <w:rPr>
                <w:sz w:val="24"/>
              </w:rPr>
            </w:pPr>
            <w:r>
              <w:rPr>
                <w:spacing w:val="-2"/>
                <w:sz w:val="24"/>
              </w:rPr>
              <w:t>16.67</w:t>
            </w:r>
          </w:p>
        </w:tc>
      </w:tr>
      <w:tr>
        <w:trPr>
          <w:trHeight w:val="552" w:hRule="atLeast"/>
        </w:trPr>
        <w:tc>
          <w:tcPr>
            <w:tcW w:w="2633" w:type="dxa"/>
          </w:tcPr>
          <w:p>
            <w:pPr>
              <w:pStyle w:val="TableParagraph"/>
              <w:spacing w:before="133"/>
              <w:ind w:left="180"/>
              <w:rPr>
                <w:sz w:val="24"/>
              </w:rPr>
            </w:pPr>
            <w:r>
              <w:rPr>
                <w:sz w:val="24"/>
              </w:rPr>
              <w:t>NKL</w:t>
            </w:r>
            <w:r>
              <w:rPr>
                <w:spacing w:val="-2"/>
                <w:sz w:val="24"/>
              </w:rPr>
              <w:t> </w:t>
            </w:r>
            <w:r>
              <w:rPr>
                <w:spacing w:val="-5"/>
                <w:sz w:val="24"/>
              </w:rPr>
              <w:t>(5)</w:t>
            </w:r>
          </w:p>
        </w:tc>
        <w:tc>
          <w:tcPr>
            <w:tcW w:w="2553" w:type="dxa"/>
          </w:tcPr>
          <w:p>
            <w:pPr>
              <w:pStyle w:val="TableParagraph"/>
              <w:spacing w:before="133"/>
              <w:ind w:left="428"/>
              <w:rPr>
                <w:sz w:val="24"/>
              </w:rPr>
            </w:pPr>
            <w:r>
              <w:rPr>
                <w:sz w:val="24"/>
              </w:rPr>
              <w:t>12.60</w:t>
            </w:r>
            <w:r>
              <w:rPr>
                <w:spacing w:val="3"/>
                <w:sz w:val="24"/>
              </w:rPr>
              <w:t> </w:t>
            </w:r>
            <w:r>
              <w:rPr>
                <w:sz w:val="24"/>
              </w:rPr>
              <w:t>±</w:t>
            </w:r>
            <w:r>
              <w:rPr>
                <w:spacing w:val="1"/>
                <w:sz w:val="24"/>
              </w:rPr>
              <w:t> </w:t>
            </w:r>
            <w:r>
              <w:rPr>
                <w:spacing w:val="-2"/>
                <w:sz w:val="24"/>
              </w:rPr>
              <w:t>1.96*</w:t>
            </w:r>
          </w:p>
        </w:tc>
        <w:tc>
          <w:tcPr>
            <w:tcW w:w="1532" w:type="dxa"/>
          </w:tcPr>
          <w:p>
            <w:pPr>
              <w:pStyle w:val="TableParagraph"/>
              <w:spacing w:before="133"/>
              <w:ind w:right="231"/>
              <w:jc w:val="right"/>
              <w:rPr>
                <w:sz w:val="24"/>
              </w:rPr>
            </w:pPr>
            <w:r>
              <w:rPr>
                <w:spacing w:val="-2"/>
                <w:sz w:val="24"/>
              </w:rPr>
              <w:t>16.67</w:t>
            </w:r>
          </w:p>
        </w:tc>
        <w:tc>
          <w:tcPr>
            <w:tcW w:w="2103" w:type="dxa"/>
          </w:tcPr>
          <w:p>
            <w:pPr>
              <w:pStyle w:val="TableParagraph"/>
              <w:spacing w:before="133"/>
              <w:ind w:left="1030"/>
              <w:rPr>
                <w:sz w:val="24"/>
              </w:rPr>
            </w:pPr>
            <w:r>
              <w:rPr>
                <w:spacing w:val="-2"/>
                <w:sz w:val="24"/>
              </w:rPr>
              <w:t>83.33</w:t>
            </w:r>
          </w:p>
        </w:tc>
      </w:tr>
      <w:tr>
        <w:trPr>
          <w:trHeight w:val="551" w:hRule="atLeast"/>
        </w:trPr>
        <w:tc>
          <w:tcPr>
            <w:tcW w:w="2633" w:type="dxa"/>
          </w:tcPr>
          <w:p>
            <w:pPr>
              <w:pStyle w:val="TableParagraph"/>
              <w:spacing w:before="133"/>
              <w:ind w:left="180"/>
              <w:rPr>
                <w:sz w:val="24"/>
              </w:rPr>
            </w:pPr>
            <w:r>
              <w:rPr>
                <w:sz w:val="24"/>
              </w:rPr>
              <w:t>DCP23</w:t>
            </w:r>
            <w:r>
              <w:rPr>
                <w:spacing w:val="-3"/>
                <w:sz w:val="24"/>
              </w:rPr>
              <w:t> </w:t>
            </w:r>
            <w:r>
              <w:rPr>
                <w:spacing w:val="-4"/>
                <w:sz w:val="24"/>
              </w:rPr>
              <w:t>(25)</w:t>
            </w:r>
          </w:p>
        </w:tc>
        <w:tc>
          <w:tcPr>
            <w:tcW w:w="2553" w:type="dxa"/>
          </w:tcPr>
          <w:p>
            <w:pPr>
              <w:pStyle w:val="TableParagraph"/>
              <w:spacing w:before="133"/>
              <w:ind w:left="428"/>
              <w:rPr>
                <w:sz w:val="24"/>
              </w:rPr>
            </w:pPr>
            <w:r>
              <w:rPr>
                <w:sz w:val="24"/>
              </w:rPr>
              <w:t>15.25</w:t>
            </w:r>
            <w:r>
              <w:rPr>
                <w:spacing w:val="3"/>
                <w:sz w:val="24"/>
              </w:rPr>
              <w:t> </w:t>
            </w:r>
            <w:r>
              <w:rPr>
                <w:sz w:val="24"/>
              </w:rPr>
              <w:t>±</w:t>
            </w:r>
            <w:r>
              <w:rPr>
                <w:spacing w:val="1"/>
                <w:sz w:val="24"/>
              </w:rPr>
              <w:t> </w:t>
            </w:r>
            <w:r>
              <w:rPr>
                <w:spacing w:val="-2"/>
                <w:sz w:val="24"/>
              </w:rPr>
              <w:t>2.13*</w:t>
            </w:r>
          </w:p>
        </w:tc>
        <w:tc>
          <w:tcPr>
            <w:tcW w:w="1532" w:type="dxa"/>
          </w:tcPr>
          <w:p>
            <w:pPr>
              <w:pStyle w:val="TableParagraph"/>
              <w:spacing w:before="133"/>
              <w:ind w:right="231"/>
              <w:jc w:val="right"/>
              <w:rPr>
                <w:sz w:val="24"/>
              </w:rPr>
            </w:pPr>
            <w:r>
              <w:rPr>
                <w:spacing w:val="-2"/>
                <w:sz w:val="24"/>
              </w:rPr>
              <w:t>33.33</w:t>
            </w:r>
          </w:p>
        </w:tc>
        <w:tc>
          <w:tcPr>
            <w:tcW w:w="2103" w:type="dxa"/>
          </w:tcPr>
          <w:p>
            <w:pPr>
              <w:pStyle w:val="TableParagraph"/>
              <w:spacing w:before="133"/>
              <w:ind w:left="1030"/>
              <w:rPr>
                <w:sz w:val="24"/>
              </w:rPr>
            </w:pPr>
            <w:r>
              <w:rPr>
                <w:spacing w:val="-2"/>
                <w:sz w:val="24"/>
              </w:rPr>
              <w:t>50.00</w:t>
            </w:r>
          </w:p>
        </w:tc>
      </w:tr>
      <w:tr>
        <w:trPr>
          <w:trHeight w:val="552" w:hRule="atLeast"/>
        </w:trPr>
        <w:tc>
          <w:tcPr>
            <w:tcW w:w="2633" w:type="dxa"/>
          </w:tcPr>
          <w:p>
            <w:pPr>
              <w:pStyle w:val="TableParagraph"/>
              <w:spacing w:before="133"/>
              <w:ind w:left="180"/>
              <w:rPr>
                <w:sz w:val="24"/>
              </w:rPr>
            </w:pPr>
            <w:r>
              <w:rPr>
                <w:sz w:val="24"/>
              </w:rPr>
              <w:t>NKL</w:t>
            </w:r>
            <w:r>
              <w:rPr>
                <w:spacing w:val="-4"/>
                <w:sz w:val="24"/>
              </w:rPr>
              <w:t> </w:t>
            </w:r>
            <w:r>
              <w:rPr>
                <w:sz w:val="24"/>
              </w:rPr>
              <w:t>(5)</w:t>
            </w:r>
            <w:r>
              <w:rPr>
                <w:spacing w:val="3"/>
                <w:sz w:val="24"/>
              </w:rPr>
              <w:t> </w:t>
            </w:r>
            <w:r>
              <w:rPr>
                <w:sz w:val="24"/>
              </w:rPr>
              <w:t>+ DCP23</w:t>
            </w:r>
            <w:r>
              <w:rPr>
                <w:spacing w:val="-3"/>
                <w:sz w:val="24"/>
              </w:rPr>
              <w:t> </w:t>
            </w:r>
            <w:r>
              <w:rPr>
                <w:spacing w:val="-4"/>
                <w:sz w:val="24"/>
              </w:rPr>
              <w:t>(25)</w:t>
            </w:r>
          </w:p>
        </w:tc>
        <w:tc>
          <w:tcPr>
            <w:tcW w:w="2553" w:type="dxa"/>
          </w:tcPr>
          <w:p>
            <w:pPr>
              <w:pStyle w:val="TableParagraph"/>
              <w:spacing w:before="133"/>
              <w:ind w:left="491"/>
              <w:rPr>
                <w:sz w:val="24"/>
              </w:rPr>
            </w:pPr>
            <w:r>
              <w:rPr>
                <w:sz w:val="24"/>
              </w:rPr>
              <w:t>20.50</w:t>
            </w:r>
            <w:r>
              <w:rPr>
                <w:spacing w:val="-3"/>
                <w:sz w:val="24"/>
              </w:rPr>
              <w:t> </w:t>
            </w:r>
            <w:r>
              <w:rPr>
                <w:sz w:val="24"/>
              </w:rPr>
              <w:t>±</w:t>
            </w:r>
            <w:r>
              <w:rPr>
                <w:spacing w:val="2"/>
                <w:sz w:val="24"/>
              </w:rPr>
              <w:t> </w:t>
            </w:r>
            <w:r>
              <w:rPr>
                <w:spacing w:val="-2"/>
                <w:sz w:val="24"/>
              </w:rPr>
              <w:t>7.50*</w:t>
            </w:r>
          </w:p>
        </w:tc>
        <w:tc>
          <w:tcPr>
            <w:tcW w:w="1532" w:type="dxa"/>
          </w:tcPr>
          <w:p>
            <w:pPr>
              <w:pStyle w:val="TableParagraph"/>
              <w:spacing w:before="133"/>
              <w:ind w:right="231"/>
              <w:jc w:val="right"/>
              <w:rPr>
                <w:sz w:val="24"/>
              </w:rPr>
            </w:pPr>
            <w:r>
              <w:rPr>
                <w:spacing w:val="-2"/>
                <w:sz w:val="24"/>
              </w:rPr>
              <w:t>66.67</w:t>
            </w:r>
          </w:p>
        </w:tc>
        <w:tc>
          <w:tcPr>
            <w:tcW w:w="2103" w:type="dxa"/>
          </w:tcPr>
          <w:p>
            <w:pPr>
              <w:pStyle w:val="TableParagraph"/>
              <w:spacing w:before="133"/>
              <w:ind w:left="1030"/>
              <w:rPr>
                <w:sz w:val="24"/>
              </w:rPr>
            </w:pPr>
            <w:r>
              <w:rPr>
                <w:spacing w:val="-2"/>
                <w:sz w:val="24"/>
              </w:rPr>
              <w:t>83.33</w:t>
            </w:r>
          </w:p>
        </w:tc>
      </w:tr>
      <w:tr>
        <w:trPr>
          <w:trHeight w:val="552" w:hRule="atLeast"/>
        </w:trPr>
        <w:tc>
          <w:tcPr>
            <w:tcW w:w="2633" w:type="dxa"/>
          </w:tcPr>
          <w:p>
            <w:pPr>
              <w:pStyle w:val="TableParagraph"/>
              <w:spacing w:before="133"/>
              <w:ind w:left="180"/>
              <w:rPr>
                <w:sz w:val="24"/>
              </w:rPr>
            </w:pPr>
            <w:r>
              <w:rPr>
                <w:sz w:val="24"/>
              </w:rPr>
              <w:t>DCP25</w:t>
            </w:r>
            <w:r>
              <w:rPr>
                <w:spacing w:val="-3"/>
                <w:sz w:val="24"/>
              </w:rPr>
              <w:t> </w:t>
            </w:r>
            <w:r>
              <w:rPr>
                <w:spacing w:val="-4"/>
                <w:sz w:val="24"/>
              </w:rPr>
              <w:t>(25)</w:t>
            </w:r>
          </w:p>
        </w:tc>
        <w:tc>
          <w:tcPr>
            <w:tcW w:w="2553" w:type="dxa"/>
          </w:tcPr>
          <w:p>
            <w:pPr>
              <w:pStyle w:val="TableParagraph"/>
              <w:spacing w:before="133"/>
              <w:ind w:left="491"/>
              <w:rPr>
                <w:sz w:val="24"/>
              </w:rPr>
            </w:pPr>
            <w:r>
              <w:rPr>
                <w:sz w:val="24"/>
              </w:rPr>
              <w:t>10.00</w:t>
            </w:r>
            <w:r>
              <w:rPr>
                <w:spacing w:val="-3"/>
                <w:sz w:val="24"/>
              </w:rPr>
              <w:t> </w:t>
            </w:r>
            <w:r>
              <w:rPr>
                <w:sz w:val="24"/>
              </w:rPr>
              <w:t>±</w:t>
            </w:r>
            <w:r>
              <w:rPr>
                <w:spacing w:val="2"/>
                <w:sz w:val="24"/>
              </w:rPr>
              <w:t> </w:t>
            </w:r>
            <w:r>
              <w:rPr>
                <w:spacing w:val="-2"/>
                <w:sz w:val="24"/>
              </w:rPr>
              <w:t>1.78*</w:t>
            </w:r>
          </w:p>
        </w:tc>
        <w:tc>
          <w:tcPr>
            <w:tcW w:w="1532" w:type="dxa"/>
          </w:tcPr>
          <w:p>
            <w:pPr>
              <w:pStyle w:val="TableParagraph"/>
              <w:spacing w:before="133"/>
              <w:ind w:right="231"/>
              <w:jc w:val="right"/>
              <w:rPr>
                <w:sz w:val="24"/>
              </w:rPr>
            </w:pPr>
            <w:r>
              <w:rPr>
                <w:spacing w:val="-2"/>
                <w:sz w:val="24"/>
              </w:rPr>
              <w:t>33.33</w:t>
            </w:r>
          </w:p>
        </w:tc>
        <w:tc>
          <w:tcPr>
            <w:tcW w:w="2103" w:type="dxa"/>
          </w:tcPr>
          <w:p>
            <w:pPr>
              <w:pStyle w:val="TableParagraph"/>
              <w:spacing w:before="133"/>
              <w:ind w:left="1030"/>
              <w:rPr>
                <w:sz w:val="24"/>
              </w:rPr>
            </w:pPr>
            <w:r>
              <w:rPr>
                <w:spacing w:val="-2"/>
                <w:sz w:val="24"/>
              </w:rPr>
              <w:t>66.67</w:t>
            </w:r>
          </w:p>
        </w:tc>
      </w:tr>
      <w:tr>
        <w:trPr>
          <w:trHeight w:val="552" w:hRule="atLeast"/>
        </w:trPr>
        <w:tc>
          <w:tcPr>
            <w:tcW w:w="2633" w:type="dxa"/>
          </w:tcPr>
          <w:p>
            <w:pPr>
              <w:pStyle w:val="TableParagraph"/>
              <w:spacing w:before="133"/>
              <w:ind w:left="180"/>
              <w:rPr>
                <w:sz w:val="24"/>
              </w:rPr>
            </w:pPr>
            <w:r>
              <w:rPr>
                <w:sz w:val="24"/>
              </w:rPr>
              <w:t>NKL</w:t>
            </w:r>
            <w:r>
              <w:rPr>
                <w:spacing w:val="-4"/>
                <w:sz w:val="24"/>
              </w:rPr>
              <w:t> </w:t>
            </w:r>
            <w:r>
              <w:rPr>
                <w:sz w:val="24"/>
              </w:rPr>
              <w:t>(5)</w:t>
            </w:r>
            <w:r>
              <w:rPr>
                <w:spacing w:val="2"/>
                <w:sz w:val="24"/>
              </w:rPr>
              <w:t> </w:t>
            </w:r>
            <w:r>
              <w:rPr>
                <w:sz w:val="24"/>
              </w:rPr>
              <w:t>+ DCP25</w:t>
            </w:r>
            <w:r>
              <w:rPr>
                <w:spacing w:val="-3"/>
                <w:sz w:val="24"/>
              </w:rPr>
              <w:t> </w:t>
            </w:r>
            <w:r>
              <w:rPr>
                <w:spacing w:val="-4"/>
                <w:sz w:val="24"/>
              </w:rPr>
              <w:t>(25)</w:t>
            </w:r>
          </w:p>
        </w:tc>
        <w:tc>
          <w:tcPr>
            <w:tcW w:w="2553" w:type="dxa"/>
          </w:tcPr>
          <w:p>
            <w:pPr>
              <w:pStyle w:val="TableParagraph"/>
              <w:spacing w:before="133"/>
              <w:ind w:left="491"/>
              <w:rPr>
                <w:sz w:val="24"/>
              </w:rPr>
            </w:pPr>
            <w:r>
              <w:rPr>
                <w:sz w:val="24"/>
              </w:rPr>
              <w:t>17.50</w:t>
            </w:r>
            <w:r>
              <w:rPr>
                <w:spacing w:val="-3"/>
                <w:sz w:val="24"/>
              </w:rPr>
              <w:t> </w:t>
            </w:r>
            <w:r>
              <w:rPr>
                <w:sz w:val="24"/>
              </w:rPr>
              <w:t>±</w:t>
            </w:r>
            <w:r>
              <w:rPr>
                <w:spacing w:val="2"/>
                <w:sz w:val="24"/>
              </w:rPr>
              <w:t> </w:t>
            </w:r>
            <w:r>
              <w:rPr>
                <w:spacing w:val="-2"/>
                <w:sz w:val="24"/>
              </w:rPr>
              <w:t>2.25*</w:t>
            </w:r>
          </w:p>
        </w:tc>
        <w:tc>
          <w:tcPr>
            <w:tcW w:w="1532" w:type="dxa"/>
          </w:tcPr>
          <w:p>
            <w:pPr>
              <w:pStyle w:val="TableParagraph"/>
              <w:spacing w:before="133"/>
              <w:ind w:right="231"/>
              <w:jc w:val="right"/>
              <w:rPr>
                <w:sz w:val="24"/>
              </w:rPr>
            </w:pPr>
            <w:r>
              <w:rPr>
                <w:spacing w:val="-2"/>
                <w:sz w:val="24"/>
              </w:rPr>
              <w:t>33.33</w:t>
            </w:r>
          </w:p>
        </w:tc>
        <w:tc>
          <w:tcPr>
            <w:tcW w:w="2103" w:type="dxa"/>
          </w:tcPr>
          <w:p>
            <w:pPr>
              <w:pStyle w:val="TableParagraph"/>
              <w:spacing w:before="133"/>
              <w:ind w:left="1030"/>
              <w:rPr>
                <w:sz w:val="24"/>
              </w:rPr>
            </w:pPr>
            <w:r>
              <w:rPr>
                <w:spacing w:val="-2"/>
                <w:sz w:val="24"/>
              </w:rPr>
              <w:t>66.67</w:t>
            </w:r>
          </w:p>
        </w:tc>
      </w:tr>
      <w:tr>
        <w:trPr>
          <w:trHeight w:val="552" w:hRule="atLeast"/>
        </w:trPr>
        <w:tc>
          <w:tcPr>
            <w:tcW w:w="2633" w:type="dxa"/>
          </w:tcPr>
          <w:p>
            <w:pPr>
              <w:pStyle w:val="TableParagraph"/>
              <w:spacing w:before="133"/>
              <w:ind w:left="180"/>
              <w:rPr>
                <w:sz w:val="24"/>
              </w:rPr>
            </w:pPr>
            <w:r>
              <w:rPr>
                <w:sz w:val="24"/>
              </w:rPr>
              <w:t>VA</w:t>
            </w:r>
            <w:r>
              <w:rPr>
                <w:spacing w:val="-4"/>
                <w:sz w:val="24"/>
              </w:rPr>
              <w:t> </w:t>
            </w:r>
            <w:r>
              <w:rPr>
                <w:spacing w:val="-2"/>
                <w:sz w:val="24"/>
              </w:rPr>
              <w:t>(100)</w:t>
            </w:r>
          </w:p>
        </w:tc>
        <w:tc>
          <w:tcPr>
            <w:tcW w:w="2553" w:type="dxa"/>
          </w:tcPr>
          <w:p>
            <w:pPr>
              <w:pStyle w:val="TableParagraph"/>
              <w:spacing w:before="133"/>
              <w:ind w:left="491"/>
              <w:rPr>
                <w:sz w:val="24"/>
              </w:rPr>
            </w:pPr>
            <w:r>
              <w:rPr>
                <w:sz w:val="24"/>
              </w:rPr>
              <w:t>15.82</w:t>
            </w:r>
            <w:r>
              <w:rPr>
                <w:spacing w:val="-3"/>
                <w:sz w:val="24"/>
              </w:rPr>
              <w:t> </w:t>
            </w:r>
            <w:r>
              <w:rPr>
                <w:sz w:val="24"/>
              </w:rPr>
              <w:t>±</w:t>
            </w:r>
            <w:r>
              <w:rPr>
                <w:spacing w:val="2"/>
                <w:sz w:val="24"/>
              </w:rPr>
              <w:t> </w:t>
            </w:r>
            <w:r>
              <w:rPr>
                <w:spacing w:val="-2"/>
                <w:sz w:val="24"/>
              </w:rPr>
              <w:t>2.37*</w:t>
            </w:r>
          </w:p>
        </w:tc>
        <w:tc>
          <w:tcPr>
            <w:tcW w:w="1532" w:type="dxa"/>
          </w:tcPr>
          <w:p>
            <w:pPr>
              <w:pStyle w:val="TableParagraph"/>
              <w:spacing w:before="133"/>
              <w:ind w:right="231"/>
              <w:jc w:val="right"/>
              <w:rPr>
                <w:sz w:val="24"/>
              </w:rPr>
            </w:pPr>
            <w:r>
              <w:rPr>
                <w:spacing w:val="-2"/>
                <w:sz w:val="24"/>
              </w:rPr>
              <w:t>33.33</w:t>
            </w:r>
          </w:p>
        </w:tc>
        <w:tc>
          <w:tcPr>
            <w:tcW w:w="2103" w:type="dxa"/>
          </w:tcPr>
          <w:p>
            <w:pPr>
              <w:pStyle w:val="TableParagraph"/>
              <w:spacing w:before="133"/>
              <w:ind w:left="1030"/>
              <w:rPr>
                <w:sz w:val="24"/>
              </w:rPr>
            </w:pPr>
            <w:r>
              <w:rPr>
                <w:spacing w:val="-2"/>
                <w:sz w:val="24"/>
              </w:rPr>
              <w:t>100.0</w:t>
            </w:r>
          </w:p>
        </w:tc>
      </w:tr>
      <w:tr>
        <w:trPr>
          <w:trHeight w:val="409" w:hRule="atLeast"/>
        </w:trPr>
        <w:tc>
          <w:tcPr>
            <w:tcW w:w="2633" w:type="dxa"/>
          </w:tcPr>
          <w:p>
            <w:pPr>
              <w:pStyle w:val="TableParagraph"/>
              <w:spacing w:line="256" w:lineRule="exact" w:before="133"/>
              <w:ind w:left="180"/>
              <w:rPr>
                <w:sz w:val="24"/>
              </w:rPr>
            </w:pPr>
            <w:r>
              <w:rPr>
                <w:sz w:val="24"/>
              </w:rPr>
              <w:t>VA</w:t>
            </w:r>
            <w:r>
              <w:rPr>
                <w:spacing w:val="-8"/>
                <w:sz w:val="24"/>
              </w:rPr>
              <w:t> </w:t>
            </w:r>
            <w:r>
              <w:rPr>
                <w:sz w:val="24"/>
              </w:rPr>
              <w:t>(100)</w:t>
            </w:r>
            <w:r>
              <w:rPr>
                <w:spacing w:val="2"/>
                <w:sz w:val="24"/>
              </w:rPr>
              <w:t> </w:t>
            </w:r>
            <w:r>
              <w:rPr>
                <w:sz w:val="24"/>
              </w:rPr>
              <w:t>+ NKL</w:t>
            </w:r>
            <w:r>
              <w:rPr>
                <w:spacing w:val="-2"/>
                <w:sz w:val="24"/>
              </w:rPr>
              <w:t> </w:t>
            </w:r>
            <w:r>
              <w:rPr>
                <w:spacing w:val="-5"/>
                <w:sz w:val="24"/>
              </w:rPr>
              <w:t>(5)</w:t>
            </w:r>
          </w:p>
        </w:tc>
        <w:tc>
          <w:tcPr>
            <w:tcW w:w="2553" w:type="dxa"/>
          </w:tcPr>
          <w:p>
            <w:pPr>
              <w:pStyle w:val="TableParagraph"/>
              <w:spacing w:line="256" w:lineRule="exact" w:before="133"/>
              <w:ind w:left="491"/>
              <w:rPr>
                <w:sz w:val="24"/>
              </w:rPr>
            </w:pPr>
            <w:r>
              <w:rPr>
                <w:sz w:val="24"/>
              </w:rPr>
              <w:t>14.00</w:t>
            </w:r>
            <w:r>
              <w:rPr>
                <w:spacing w:val="-3"/>
                <w:sz w:val="24"/>
              </w:rPr>
              <w:t> </w:t>
            </w:r>
            <w:r>
              <w:rPr>
                <w:sz w:val="24"/>
              </w:rPr>
              <w:t>±</w:t>
            </w:r>
            <w:r>
              <w:rPr>
                <w:spacing w:val="2"/>
                <w:sz w:val="24"/>
              </w:rPr>
              <w:t> </w:t>
            </w:r>
            <w:r>
              <w:rPr>
                <w:spacing w:val="-5"/>
                <w:sz w:val="24"/>
              </w:rPr>
              <w:t>0.0</w:t>
            </w:r>
          </w:p>
        </w:tc>
        <w:tc>
          <w:tcPr>
            <w:tcW w:w="1532" w:type="dxa"/>
          </w:tcPr>
          <w:p>
            <w:pPr>
              <w:pStyle w:val="TableParagraph"/>
              <w:spacing w:line="256" w:lineRule="exact" w:before="133"/>
              <w:ind w:right="216"/>
              <w:jc w:val="right"/>
              <w:rPr>
                <w:sz w:val="24"/>
              </w:rPr>
            </w:pPr>
            <w:r>
              <w:rPr>
                <w:spacing w:val="-2"/>
                <w:sz w:val="24"/>
              </w:rPr>
              <w:t>83.33</w:t>
            </w:r>
          </w:p>
        </w:tc>
        <w:tc>
          <w:tcPr>
            <w:tcW w:w="2103" w:type="dxa"/>
          </w:tcPr>
          <w:p>
            <w:pPr>
              <w:pStyle w:val="TableParagraph"/>
              <w:spacing w:line="256" w:lineRule="exact" w:before="133"/>
              <w:ind w:left="1030"/>
              <w:rPr>
                <w:sz w:val="24"/>
              </w:rPr>
            </w:pPr>
            <w:r>
              <w:rPr>
                <w:spacing w:val="-2"/>
                <w:sz w:val="24"/>
              </w:rPr>
              <w:t>100.0</w:t>
            </w:r>
          </w:p>
        </w:tc>
      </w:tr>
    </w:tbl>
    <w:p>
      <w:pPr>
        <w:pStyle w:val="BodyText"/>
        <w:spacing w:before="67"/>
        <w:rPr>
          <w:b/>
          <w:sz w:val="20"/>
        </w:rPr>
      </w:pPr>
      <w:r>
        <w:rPr/>
        <mc:AlternateContent>
          <mc:Choice Requires="wps">
            <w:drawing>
              <wp:anchor distT="0" distB="0" distL="0" distR="0" allowOverlap="1" layoutInCell="1" locked="0" behindDoc="1" simplePos="0" relativeHeight="487661056">
                <wp:simplePos x="0" y="0"/>
                <wp:positionH relativeFrom="page">
                  <wp:posOffset>1257300</wp:posOffset>
                </wp:positionH>
                <wp:positionV relativeFrom="paragraph">
                  <wp:posOffset>204385</wp:posOffset>
                </wp:positionV>
                <wp:extent cx="5600700"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5600700" cy="1270"/>
                        </a:xfrm>
                        <a:custGeom>
                          <a:avLst/>
                          <a:gdLst/>
                          <a:ahLst/>
                          <a:cxnLst/>
                          <a:rect l="l" t="t" r="r" b="b"/>
                          <a:pathLst>
                            <a:path w="5600700" h="0">
                              <a:moveTo>
                                <a:pt x="0" y="0"/>
                              </a:moveTo>
                              <a:lnTo>
                                <a:pt x="5600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pt;margin-top:16.093359pt;width:441pt;height:.1pt;mso-position-horizontal-relative:page;mso-position-vertical-relative:paragraph;z-index:-15655424;mso-wrap-distance-left:0;mso-wrap-distance-right:0" id="docshape119" coordorigin="1980,322" coordsize="8820,0" path="m1980,322l10800,322e" filled="false" stroked="true" strokeweight=".75pt" strokecolor="#000000">
                <v:path arrowok="t"/>
                <v:stroke dashstyle="solid"/>
                <w10:wrap type="topAndBottom"/>
              </v:shape>
            </w:pict>
          </mc:Fallback>
        </mc:AlternateContent>
      </w:r>
    </w:p>
    <w:p>
      <w:pPr>
        <w:pStyle w:val="BodyText"/>
        <w:spacing w:line="480" w:lineRule="auto" w:before="224"/>
        <w:ind w:left="681" w:right="279" w:firstLine="57"/>
        <w:jc w:val="both"/>
      </w:pPr>
      <w:r>
        <w:rPr/>
        <w:t>Values are presented as Mean ± SEM, n = 6 per group; DCP23, DCP25 and DCP34 = 2,3-, 2,5- and 3,4- Dichloro – 3(aminophenyl) propanamides respectively, DZ = Diazepam; Control = 30% propylene glycol, 70% distil water; Significant difference in the mean onset of seizures between control (saline) group at *p&lt;0.05 using ANOVA.</w:t>
      </w:r>
    </w:p>
    <w:p>
      <w:pPr>
        <w:spacing w:after="0" w:line="480" w:lineRule="auto"/>
        <w:jc w:val="both"/>
        <w:sectPr>
          <w:pgSz w:w="12240" w:h="15840"/>
          <w:pgMar w:header="0" w:footer="1066" w:top="1360" w:bottom="1260" w:left="1480" w:right="1160"/>
        </w:sectPr>
      </w:pPr>
    </w:p>
    <w:p>
      <w:pPr>
        <w:pStyle w:val="Heading2"/>
        <w:numPr>
          <w:ilvl w:val="2"/>
          <w:numId w:val="14"/>
        </w:numPr>
        <w:tabs>
          <w:tab w:pos="1390" w:val="left" w:leader="none"/>
          <w:tab w:pos="2220" w:val="left" w:leader="none"/>
          <w:tab w:pos="2651" w:val="left" w:leader="none"/>
          <w:tab w:pos="4541" w:val="left" w:leader="none"/>
          <w:tab w:pos="5021" w:val="left" w:leader="none"/>
          <w:tab w:pos="6047" w:val="left" w:leader="none"/>
          <w:tab w:pos="7002" w:val="left" w:leader="none"/>
          <w:tab w:pos="7616" w:val="left" w:leader="none"/>
          <w:tab w:pos="8575" w:val="left" w:leader="none"/>
        </w:tabs>
        <w:spacing w:line="237" w:lineRule="auto" w:before="79" w:after="0"/>
        <w:ind w:left="681" w:right="289" w:firstLine="0"/>
        <w:jc w:val="left"/>
      </w:pPr>
      <w:bookmarkStart w:name="_TOC_250009" w:id="75"/>
      <w:r>
        <w:rPr>
          <w:spacing w:val="-2"/>
        </w:rPr>
        <w:t>Effect</w:t>
      </w:r>
      <w:r>
        <w:rPr/>
        <w:tab/>
      </w:r>
      <w:r>
        <w:rPr>
          <w:spacing w:val="-6"/>
        </w:rPr>
        <w:t>of</w:t>
      </w:r>
      <w:r>
        <w:rPr/>
        <w:tab/>
      </w:r>
      <w:r>
        <w:rPr>
          <w:spacing w:val="-2"/>
        </w:rPr>
        <w:t>Cyproheptadine</w:t>
      </w:r>
      <w:r>
        <w:rPr/>
        <w:tab/>
      </w:r>
      <w:r>
        <w:rPr>
          <w:spacing w:val="-6"/>
        </w:rPr>
        <w:t>on</w:t>
      </w:r>
      <w:r>
        <w:rPr/>
        <w:tab/>
      </w:r>
      <w:r>
        <w:rPr>
          <w:spacing w:val="-2"/>
        </w:rPr>
        <w:t>DCP23,</w:t>
      </w:r>
      <w:r>
        <w:rPr/>
        <w:tab/>
      </w:r>
      <w:r>
        <w:rPr>
          <w:spacing w:val="-2"/>
        </w:rPr>
        <w:t>DCP25</w:t>
      </w:r>
      <w:r>
        <w:rPr/>
        <w:tab/>
      </w:r>
      <w:r>
        <w:rPr>
          <w:spacing w:val="-4"/>
        </w:rPr>
        <w:t>and</w:t>
      </w:r>
      <w:r>
        <w:rPr/>
        <w:tab/>
      </w:r>
      <w:r>
        <w:rPr>
          <w:spacing w:val="-2"/>
        </w:rPr>
        <w:t>DCP34</w:t>
      </w:r>
      <w:r>
        <w:rPr/>
        <w:tab/>
      </w:r>
      <w:r>
        <w:rPr>
          <w:spacing w:val="-2"/>
        </w:rPr>
        <w:t>against </w:t>
      </w:r>
      <w:bookmarkEnd w:id="75"/>
      <w:r>
        <w:rPr/>
        <w:t>Pentylenetetrazole-induced Seizure in Mice</w:t>
      </w:r>
    </w:p>
    <w:p>
      <w:pPr>
        <w:pStyle w:val="BodyText"/>
        <w:spacing w:line="480" w:lineRule="auto" w:before="239"/>
        <w:ind w:left="681" w:right="274"/>
        <w:jc w:val="both"/>
      </w:pPr>
      <w:r>
        <w:rPr/>
        <w:t>Cyproheptadine induces seizure by blocking both serotonin (5HT1 and 5HT2) and histamine (H1). Cyproheptadine at the dose of 4 mg/kg did not enhance or reduce the protection ability of both DCP23 (50 mg/kg) and DCP25 (50 mg/kg), when compared to the</w:t>
      </w:r>
      <w:r>
        <w:rPr>
          <w:spacing w:val="-2"/>
        </w:rPr>
        <w:t> </w:t>
      </w:r>
      <w:r>
        <w:rPr/>
        <w:t>groups</w:t>
      </w:r>
      <w:r>
        <w:rPr>
          <w:spacing w:val="-8"/>
        </w:rPr>
        <w:t> </w:t>
      </w:r>
      <w:r>
        <w:rPr/>
        <w:t>treated</w:t>
      </w:r>
      <w:r>
        <w:rPr>
          <w:spacing w:val="-1"/>
        </w:rPr>
        <w:t> </w:t>
      </w:r>
      <w:r>
        <w:rPr/>
        <w:t>with</w:t>
      </w:r>
      <w:r>
        <w:rPr>
          <w:spacing w:val="-6"/>
        </w:rPr>
        <w:t> </w:t>
      </w:r>
      <w:r>
        <w:rPr/>
        <w:t>the</w:t>
      </w:r>
      <w:r>
        <w:rPr>
          <w:spacing w:val="-2"/>
        </w:rPr>
        <w:t> </w:t>
      </w:r>
      <w:r>
        <w:rPr/>
        <w:t>compounds</w:t>
      </w:r>
      <w:r>
        <w:rPr>
          <w:spacing w:val="-3"/>
        </w:rPr>
        <w:t> </w:t>
      </w:r>
      <w:r>
        <w:rPr/>
        <w:t>alone</w:t>
      </w:r>
      <w:r>
        <w:rPr>
          <w:spacing w:val="-2"/>
        </w:rPr>
        <w:t> </w:t>
      </w:r>
      <w:r>
        <w:rPr/>
        <w:t>and</w:t>
      </w:r>
      <w:r>
        <w:rPr>
          <w:spacing w:val="-1"/>
        </w:rPr>
        <w:t> </w:t>
      </w:r>
      <w:r>
        <w:rPr/>
        <w:t>that treated</w:t>
      </w:r>
      <w:r>
        <w:rPr>
          <w:spacing w:val="-6"/>
        </w:rPr>
        <w:t> </w:t>
      </w:r>
      <w:r>
        <w:rPr/>
        <w:t>with</w:t>
      </w:r>
      <w:r>
        <w:rPr>
          <w:spacing w:val="-6"/>
        </w:rPr>
        <w:t> </w:t>
      </w:r>
      <w:r>
        <w:rPr/>
        <w:t>cyproheptadine</w:t>
      </w:r>
      <w:r>
        <w:rPr>
          <w:spacing w:val="-2"/>
        </w:rPr>
        <w:t> </w:t>
      </w:r>
      <w:r>
        <w:rPr/>
        <w:t>and</w:t>
      </w:r>
      <w:r>
        <w:rPr>
          <w:spacing w:val="-1"/>
        </w:rPr>
        <w:t> </w:t>
      </w:r>
      <w:r>
        <w:rPr/>
        <w:t>the compounds; as each gave the same percentage protection (50%). However, DCP34 offered 16.67% protection which increased to 33.3% when coadministered with cyproheptadine.</w:t>
      </w:r>
      <w:r>
        <w:rPr>
          <w:spacing w:val="-1"/>
        </w:rPr>
        <w:t> </w:t>
      </w:r>
      <w:r>
        <w:rPr/>
        <w:t>All</w:t>
      </w:r>
      <w:r>
        <w:rPr>
          <w:spacing w:val="-8"/>
        </w:rPr>
        <w:t> </w:t>
      </w:r>
      <w:r>
        <w:rPr/>
        <w:t>the</w:t>
      </w:r>
      <w:r>
        <w:rPr>
          <w:spacing w:val="-4"/>
        </w:rPr>
        <w:t> </w:t>
      </w:r>
      <w:r>
        <w:rPr/>
        <w:t>treated</w:t>
      </w:r>
      <w:r>
        <w:rPr>
          <w:spacing w:val="-3"/>
        </w:rPr>
        <w:t> </w:t>
      </w:r>
      <w:r>
        <w:rPr/>
        <w:t>groups</w:t>
      </w:r>
      <w:r>
        <w:rPr>
          <w:spacing w:val="-5"/>
        </w:rPr>
        <w:t> </w:t>
      </w:r>
      <w:r>
        <w:rPr/>
        <w:t>except cyproheptadine</w:t>
      </w:r>
      <w:r>
        <w:rPr>
          <w:spacing w:val="-4"/>
        </w:rPr>
        <w:t> </w:t>
      </w:r>
      <w:r>
        <w:rPr/>
        <w:t>treated,</w:t>
      </w:r>
      <w:r>
        <w:rPr>
          <w:spacing w:val="-5"/>
        </w:rPr>
        <w:t> </w:t>
      </w:r>
      <w:r>
        <w:rPr/>
        <w:t>showed</w:t>
      </w:r>
      <w:r>
        <w:rPr>
          <w:spacing w:val="-3"/>
        </w:rPr>
        <w:t> </w:t>
      </w:r>
      <w:r>
        <w:rPr/>
        <w:t>statistically significant difference (p&lt;0.05 ) in the mean onset of seizure when compared to the</w:t>
      </w:r>
      <w:r>
        <w:rPr>
          <w:spacing w:val="40"/>
        </w:rPr>
        <w:t> </w:t>
      </w:r>
      <w:r>
        <w:rPr/>
        <w:t>control group using ANOVA followed by Post hoc Test (Scheffe) for multiple</w:t>
      </w:r>
      <w:r>
        <w:rPr>
          <w:spacing w:val="40"/>
        </w:rPr>
        <w:t> </w:t>
      </w:r>
      <w:r>
        <w:rPr/>
        <w:t>comparism (Table 4.22).</w:t>
      </w:r>
    </w:p>
    <w:p>
      <w:pPr>
        <w:spacing w:after="0" w:line="480" w:lineRule="auto"/>
        <w:jc w:val="both"/>
        <w:sectPr>
          <w:pgSz w:w="12240" w:h="15840"/>
          <w:pgMar w:header="0" w:footer="1066" w:top="1360" w:bottom="1260" w:left="1480" w:right="1160"/>
        </w:sectPr>
      </w:pPr>
    </w:p>
    <w:p>
      <w:pPr>
        <w:pStyle w:val="Heading2"/>
        <w:spacing w:line="237" w:lineRule="auto" w:before="79"/>
        <w:ind w:right="280"/>
        <w:jc w:val="left"/>
      </w:pPr>
      <w:r>
        <w:rPr/>
        <w:t>Table</w:t>
      </w:r>
      <w:r>
        <w:rPr>
          <w:spacing w:val="77"/>
        </w:rPr>
        <w:t> </w:t>
      </w:r>
      <w:r>
        <w:rPr/>
        <w:t>4.22:</w:t>
      </w:r>
      <w:r>
        <w:rPr>
          <w:spacing w:val="80"/>
        </w:rPr>
        <w:t> </w:t>
      </w:r>
      <w:r>
        <w:rPr/>
        <w:t>Effect</w:t>
      </w:r>
      <w:r>
        <w:rPr>
          <w:spacing w:val="80"/>
        </w:rPr>
        <w:t> </w:t>
      </w:r>
      <w:r>
        <w:rPr/>
        <w:t>of</w:t>
      </w:r>
      <w:r>
        <w:rPr>
          <w:spacing w:val="76"/>
        </w:rPr>
        <w:t> </w:t>
      </w:r>
      <w:r>
        <w:rPr/>
        <w:t>Cyproheptadine</w:t>
      </w:r>
      <w:r>
        <w:rPr>
          <w:spacing w:val="77"/>
        </w:rPr>
        <w:t> </w:t>
      </w:r>
      <w:r>
        <w:rPr/>
        <w:t>on</w:t>
      </w:r>
      <w:r>
        <w:rPr>
          <w:spacing w:val="80"/>
        </w:rPr>
        <w:t> </w:t>
      </w:r>
      <w:r>
        <w:rPr/>
        <w:t>DCP23,</w:t>
      </w:r>
      <w:r>
        <w:rPr>
          <w:spacing w:val="80"/>
        </w:rPr>
        <w:t> </w:t>
      </w:r>
      <w:r>
        <w:rPr/>
        <w:t>DCP25</w:t>
      </w:r>
      <w:r>
        <w:rPr>
          <w:spacing w:val="78"/>
        </w:rPr>
        <w:t> </w:t>
      </w:r>
      <w:r>
        <w:rPr/>
        <w:t>and</w:t>
      </w:r>
      <w:r>
        <w:rPr>
          <w:spacing w:val="79"/>
        </w:rPr>
        <w:t> </w:t>
      </w:r>
      <w:r>
        <w:rPr/>
        <w:t>DCP34</w:t>
      </w:r>
      <w:r>
        <w:rPr>
          <w:spacing w:val="80"/>
        </w:rPr>
        <w:t> </w:t>
      </w:r>
      <w:r>
        <w:rPr/>
        <w:t>against Pentylenetetrazole-induced Seizure in Mice</w:t>
      </w:r>
    </w:p>
    <w:p>
      <w:pPr>
        <w:pStyle w:val="BodyText"/>
        <w:spacing w:before="88"/>
        <w:rPr>
          <w:b/>
          <w:sz w:val="20"/>
        </w:rPr>
      </w:pPr>
      <w:r>
        <w:rPr/>
        <mc:AlternateContent>
          <mc:Choice Requires="wps">
            <w:drawing>
              <wp:anchor distT="0" distB="0" distL="0" distR="0" allowOverlap="1" layoutInCell="1" locked="0" behindDoc="1" simplePos="0" relativeHeight="487661568">
                <wp:simplePos x="0" y="0"/>
                <wp:positionH relativeFrom="page">
                  <wp:posOffset>1371600</wp:posOffset>
                </wp:positionH>
                <wp:positionV relativeFrom="paragraph">
                  <wp:posOffset>217529</wp:posOffset>
                </wp:positionV>
                <wp:extent cx="5486400"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7.128321pt;width:432pt;height:.1pt;mso-position-horizontal-relative:page;mso-position-vertical-relative:paragraph;z-index:-15654912;mso-wrap-distance-left:0;mso-wrap-distance-right:0" id="docshape120" coordorigin="2160,343" coordsize="8640,0" path="m2160,343l10800,343e" filled="false" stroked="true" strokeweight=".75pt" strokecolor="#000000">
                <v:path arrowok="t"/>
                <v:stroke dashstyle="solid"/>
                <w10:wrap type="topAndBottom"/>
              </v:shape>
            </w:pict>
          </mc:Fallback>
        </mc:AlternateContent>
      </w:r>
    </w:p>
    <w:p>
      <w:pPr>
        <w:pStyle w:val="BodyText"/>
        <w:spacing w:before="4"/>
        <w:rPr>
          <w:b/>
          <w:sz w:val="18"/>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3"/>
        <w:gridCol w:w="3122"/>
        <w:gridCol w:w="1668"/>
        <w:gridCol w:w="2179"/>
      </w:tblGrid>
      <w:tr>
        <w:trPr>
          <w:trHeight w:val="269" w:hRule="atLeast"/>
        </w:trPr>
        <w:tc>
          <w:tcPr>
            <w:tcW w:w="1713" w:type="dxa"/>
          </w:tcPr>
          <w:p>
            <w:pPr>
              <w:pStyle w:val="TableParagraph"/>
              <w:spacing w:line="250" w:lineRule="exact"/>
              <w:ind w:left="50"/>
              <w:rPr>
                <w:sz w:val="24"/>
              </w:rPr>
            </w:pPr>
            <w:r>
              <w:rPr>
                <w:spacing w:val="-2"/>
                <w:sz w:val="24"/>
              </w:rPr>
              <w:t>Treatment</w:t>
            </w:r>
          </w:p>
        </w:tc>
        <w:tc>
          <w:tcPr>
            <w:tcW w:w="3122" w:type="dxa"/>
          </w:tcPr>
          <w:p>
            <w:pPr>
              <w:pStyle w:val="TableParagraph"/>
              <w:spacing w:line="250" w:lineRule="exact"/>
              <w:ind w:left="679"/>
              <w:rPr>
                <w:sz w:val="24"/>
              </w:rPr>
            </w:pPr>
            <w:r>
              <w:rPr>
                <w:sz w:val="24"/>
              </w:rPr>
              <w:t>Mean</w:t>
            </w:r>
            <w:r>
              <w:rPr>
                <w:spacing w:val="-4"/>
                <w:sz w:val="24"/>
              </w:rPr>
              <w:t> </w:t>
            </w:r>
            <w:r>
              <w:rPr>
                <w:sz w:val="24"/>
              </w:rPr>
              <w:t>Onset</w:t>
            </w:r>
            <w:r>
              <w:rPr>
                <w:spacing w:val="2"/>
                <w:sz w:val="24"/>
              </w:rPr>
              <w:t> </w:t>
            </w:r>
            <w:r>
              <w:rPr>
                <w:sz w:val="24"/>
              </w:rPr>
              <w:t>of</w:t>
            </w:r>
            <w:r>
              <w:rPr>
                <w:spacing w:val="-6"/>
                <w:sz w:val="24"/>
              </w:rPr>
              <w:t> </w:t>
            </w:r>
            <w:r>
              <w:rPr>
                <w:spacing w:val="-2"/>
                <w:sz w:val="24"/>
              </w:rPr>
              <w:t>Seizure</w:t>
            </w:r>
          </w:p>
        </w:tc>
        <w:tc>
          <w:tcPr>
            <w:tcW w:w="1668" w:type="dxa"/>
          </w:tcPr>
          <w:p>
            <w:pPr>
              <w:pStyle w:val="TableParagraph"/>
              <w:spacing w:line="250" w:lineRule="exact"/>
              <w:ind w:left="242"/>
              <w:rPr>
                <w:sz w:val="24"/>
              </w:rPr>
            </w:pPr>
            <w:r>
              <w:rPr>
                <w:sz w:val="24"/>
              </w:rPr>
              <w:t>%</w:t>
            </w:r>
            <w:r>
              <w:rPr>
                <w:spacing w:val="-1"/>
                <w:sz w:val="24"/>
              </w:rPr>
              <w:t> </w:t>
            </w:r>
            <w:r>
              <w:rPr>
                <w:spacing w:val="-2"/>
                <w:sz w:val="24"/>
              </w:rPr>
              <w:t>Protection</w:t>
            </w:r>
          </w:p>
        </w:tc>
        <w:tc>
          <w:tcPr>
            <w:tcW w:w="2179" w:type="dxa"/>
          </w:tcPr>
          <w:p>
            <w:pPr>
              <w:pStyle w:val="TableParagraph"/>
              <w:spacing w:line="250" w:lineRule="exact"/>
              <w:ind w:left="180"/>
              <w:rPr>
                <w:sz w:val="24"/>
              </w:rPr>
            </w:pPr>
            <w:r>
              <w:rPr>
                <w:spacing w:val="-2"/>
                <w:sz w:val="24"/>
              </w:rPr>
              <w:t>Mortality</w:t>
            </w:r>
            <w:r>
              <w:rPr>
                <w:spacing w:val="1"/>
                <w:sz w:val="24"/>
              </w:rPr>
              <w:t> </w:t>
            </w:r>
            <w:r>
              <w:rPr>
                <w:spacing w:val="-2"/>
                <w:sz w:val="24"/>
              </w:rPr>
              <w:t>Protection</w:t>
            </w:r>
          </w:p>
        </w:tc>
      </w:tr>
      <w:tr>
        <w:trPr>
          <w:trHeight w:val="269" w:hRule="atLeast"/>
        </w:trPr>
        <w:tc>
          <w:tcPr>
            <w:tcW w:w="1713" w:type="dxa"/>
          </w:tcPr>
          <w:p>
            <w:pPr>
              <w:pStyle w:val="TableParagraph"/>
              <w:spacing w:line="250" w:lineRule="exact"/>
              <w:ind w:left="112"/>
              <w:rPr>
                <w:sz w:val="24"/>
              </w:rPr>
            </w:pPr>
            <w:r>
              <w:rPr>
                <w:spacing w:val="-2"/>
                <w:sz w:val="24"/>
              </w:rPr>
              <w:t>(mg/kg)</w:t>
            </w:r>
          </w:p>
        </w:tc>
        <w:tc>
          <w:tcPr>
            <w:tcW w:w="3122" w:type="dxa"/>
          </w:tcPr>
          <w:p>
            <w:pPr>
              <w:pStyle w:val="TableParagraph"/>
              <w:spacing w:line="250" w:lineRule="exact"/>
              <w:ind w:left="1218"/>
              <w:rPr>
                <w:sz w:val="24"/>
              </w:rPr>
            </w:pPr>
            <w:r>
              <w:rPr>
                <w:spacing w:val="-2"/>
                <w:sz w:val="24"/>
              </w:rPr>
              <w:t>(Minutes)</w:t>
            </w:r>
          </w:p>
        </w:tc>
        <w:tc>
          <w:tcPr>
            <w:tcW w:w="1668" w:type="dxa"/>
          </w:tcPr>
          <w:p>
            <w:pPr>
              <w:pStyle w:val="TableParagraph"/>
              <w:rPr>
                <w:sz w:val="18"/>
              </w:rPr>
            </w:pPr>
          </w:p>
        </w:tc>
        <w:tc>
          <w:tcPr>
            <w:tcW w:w="2179" w:type="dxa"/>
          </w:tcPr>
          <w:p>
            <w:pPr>
              <w:pStyle w:val="TableParagraph"/>
              <w:spacing w:line="250" w:lineRule="exact"/>
              <w:ind w:right="313"/>
              <w:jc w:val="center"/>
              <w:rPr>
                <w:sz w:val="24"/>
              </w:rPr>
            </w:pPr>
            <w:r>
              <w:rPr>
                <w:spacing w:val="-5"/>
                <w:sz w:val="24"/>
              </w:rPr>
              <w:t>(%)</w:t>
            </w:r>
          </w:p>
        </w:tc>
      </w:tr>
    </w:tbl>
    <w:p>
      <w:pPr>
        <w:pStyle w:val="BodyText"/>
        <w:rPr>
          <w:b/>
          <w:sz w:val="20"/>
        </w:rPr>
      </w:pPr>
    </w:p>
    <w:p>
      <w:pPr>
        <w:pStyle w:val="BodyText"/>
        <w:spacing w:before="18"/>
        <w:rPr>
          <w:b/>
          <w:sz w:val="20"/>
        </w:rPr>
      </w:pPr>
      <w:r>
        <w:rPr/>
        <mc:AlternateContent>
          <mc:Choice Requires="wps">
            <w:drawing>
              <wp:anchor distT="0" distB="0" distL="0" distR="0" allowOverlap="1" layoutInCell="1" locked="0" behindDoc="1" simplePos="0" relativeHeight="487662080">
                <wp:simplePos x="0" y="0"/>
                <wp:positionH relativeFrom="page">
                  <wp:posOffset>1371600</wp:posOffset>
                </wp:positionH>
                <wp:positionV relativeFrom="paragraph">
                  <wp:posOffset>173283</wp:posOffset>
                </wp:positionV>
                <wp:extent cx="5486400" cy="127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3.644336pt;width:432pt;height:.1pt;mso-position-horizontal-relative:page;mso-position-vertical-relative:paragraph;z-index:-15654400;mso-wrap-distance-left:0;mso-wrap-distance-right:0" id="docshape121" coordorigin="2160,273" coordsize="8640,0" path="m2160,273l10800,273e" filled="false" stroked="true" strokeweight=".75pt" strokecolor="#000000">
                <v:path arrowok="t"/>
                <v:stroke dashstyle="solid"/>
                <w10:wrap type="topAndBottom"/>
              </v:shape>
            </w:pict>
          </mc:Fallback>
        </mc:AlternateContent>
      </w:r>
    </w:p>
    <w:p>
      <w:pPr>
        <w:pStyle w:val="BodyText"/>
        <w:spacing w:before="99"/>
        <w:rPr>
          <w:b/>
          <w:sz w:val="20"/>
        </w:rPr>
      </w:pPr>
    </w:p>
    <w:tbl>
      <w:tblPr>
        <w:tblW w:w="0" w:type="auto"/>
        <w:jc w:val="left"/>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6"/>
        <w:gridCol w:w="2263"/>
        <w:gridCol w:w="1887"/>
        <w:gridCol w:w="1281"/>
      </w:tblGrid>
      <w:tr>
        <w:trPr>
          <w:trHeight w:val="409" w:hRule="atLeast"/>
        </w:trPr>
        <w:tc>
          <w:tcPr>
            <w:tcW w:w="2836" w:type="dxa"/>
          </w:tcPr>
          <w:p>
            <w:pPr>
              <w:pStyle w:val="TableParagraph"/>
              <w:spacing w:line="266" w:lineRule="exact"/>
              <w:ind w:left="50"/>
              <w:rPr>
                <w:sz w:val="24"/>
              </w:rPr>
            </w:pPr>
            <w:r>
              <w:rPr>
                <w:spacing w:val="-2"/>
                <w:sz w:val="24"/>
              </w:rPr>
              <w:t>Control</w:t>
            </w:r>
          </w:p>
        </w:tc>
        <w:tc>
          <w:tcPr>
            <w:tcW w:w="2263" w:type="dxa"/>
          </w:tcPr>
          <w:p>
            <w:pPr>
              <w:pStyle w:val="TableParagraph"/>
              <w:spacing w:line="266" w:lineRule="exact"/>
              <w:ind w:left="277"/>
              <w:rPr>
                <w:sz w:val="24"/>
              </w:rPr>
            </w:pPr>
            <w:r>
              <w:rPr>
                <w:sz w:val="24"/>
              </w:rPr>
              <w:t>5.67</w:t>
            </w:r>
            <w:r>
              <w:rPr>
                <w:spacing w:val="-5"/>
                <w:sz w:val="24"/>
              </w:rPr>
              <w:t> </w:t>
            </w:r>
            <w:r>
              <w:rPr>
                <w:sz w:val="24"/>
              </w:rPr>
              <w:t>±</w:t>
            </w:r>
            <w:r>
              <w:rPr>
                <w:spacing w:val="2"/>
                <w:sz w:val="24"/>
              </w:rPr>
              <w:t> </w:t>
            </w:r>
            <w:r>
              <w:rPr>
                <w:spacing w:val="-4"/>
                <w:sz w:val="24"/>
              </w:rPr>
              <w:t>0.98</w:t>
            </w:r>
          </w:p>
        </w:tc>
        <w:tc>
          <w:tcPr>
            <w:tcW w:w="1887" w:type="dxa"/>
          </w:tcPr>
          <w:p>
            <w:pPr>
              <w:pStyle w:val="TableParagraph"/>
              <w:spacing w:line="266" w:lineRule="exact"/>
              <w:ind w:left="85" w:right="122"/>
              <w:jc w:val="center"/>
              <w:rPr>
                <w:sz w:val="24"/>
              </w:rPr>
            </w:pPr>
            <w:r>
              <w:rPr>
                <w:spacing w:val="-4"/>
                <w:sz w:val="24"/>
              </w:rPr>
              <w:t>0.00</w:t>
            </w:r>
          </w:p>
        </w:tc>
        <w:tc>
          <w:tcPr>
            <w:tcW w:w="1281" w:type="dxa"/>
          </w:tcPr>
          <w:p>
            <w:pPr>
              <w:pStyle w:val="TableParagraph"/>
              <w:spacing w:line="266" w:lineRule="exact"/>
              <w:ind w:right="110"/>
              <w:jc w:val="right"/>
              <w:rPr>
                <w:sz w:val="24"/>
              </w:rPr>
            </w:pPr>
            <w:r>
              <w:rPr>
                <w:spacing w:val="-2"/>
                <w:sz w:val="24"/>
              </w:rPr>
              <w:t>16.67</w:t>
            </w:r>
          </w:p>
        </w:tc>
      </w:tr>
      <w:tr>
        <w:trPr>
          <w:trHeight w:val="552" w:hRule="atLeast"/>
        </w:trPr>
        <w:tc>
          <w:tcPr>
            <w:tcW w:w="2836" w:type="dxa"/>
          </w:tcPr>
          <w:p>
            <w:pPr>
              <w:pStyle w:val="TableParagraph"/>
              <w:spacing w:before="133"/>
              <w:ind w:left="50"/>
              <w:rPr>
                <w:sz w:val="24"/>
              </w:rPr>
            </w:pPr>
            <w:r>
              <w:rPr>
                <w:sz w:val="24"/>
              </w:rPr>
              <w:t>CYPRO</w:t>
            </w:r>
            <w:r>
              <w:rPr>
                <w:spacing w:val="-5"/>
                <w:sz w:val="24"/>
              </w:rPr>
              <w:t> (4)</w:t>
            </w:r>
          </w:p>
        </w:tc>
        <w:tc>
          <w:tcPr>
            <w:tcW w:w="2263" w:type="dxa"/>
          </w:tcPr>
          <w:p>
            <w:pPr>
              <w:pStyle w:val="TableParagraph"/>
              <w:spacing w:before="133"/>
              <w:ind w:left="277"/>
              <w:rPr>
                <w:sz w:val="24"/>
              </w:rPr>
            </w:pPr>
            <w:r>
              <w:rPr>
                <w:sz w:val="24"/>
              </w:rPr>
              <w:t>6.17</w:t>
            </w:r>
            <w:r>
              <w:rPr>
                <w:spacing w:val="-5"/>
                <w:sz w:val="24"/>
              </w:rPr>
              <w:t> </w:t>
            </w:r>
            <w:r>
              <w:rPr>
                <w:sz w:val="24"/>
              </w:rPr>
              <w:t>±</w:t>
            </w:r>
            <w:r>
              <w:rPr>
                <w:spacing w:val="2"/>
                <w:sz w:val="24"/>
              </w:rPr>
              <w:t> </w:t>
            </w:r>
            <w:r>
              <w:rPr>
                <w:spacing w:val="-4"/>
                <w:sz w:val="24"/>
              </w:rPr>
              <w:t>1.11</w:t>
            </w:r>
          </w:p>
        </w:tc>
        <w:tc>
          <w:tcPr>
            <w:tcW w:w="1887" w:type="dxa"/>
          </w:tcPr>
          <w:p>
            <w:pPr>
              <w:pStyle w:val="TableParagraph"/>
              <w:spacing w:before="133"/>
              <w:ind w:left="85" w:right="122"/>
              <w:jc w:val="center"/>
              <w:rPr>
                <w:sz w:val="24"/>
              </w:rPr>
            </w:pPr>
            <w:r>
              <w:rPr>
                <w:spacing w:val="-4"/>
                <w:sz w:val="24"/>
              </w:rPr>
              <w:t>0.00</w:t>
            </w:r>
          </w:p>
        </w:tc>
        <w:tc>
          <w:tcPr>
            <w:tcW w:w="1281" w:type="dxa"/>
          </w:tcPr>
          <w:p>
            <w:pPr>
              <w:pStyle w:val="TableParagraph"/>
              <w:spacing w:before="133"/>
              <w:ind w:right="110"/>
              <w:jc w:val="right"/>
              <w:rPr>
                <w:sz w:val="24"/>
              </w:rPr>
            </w:pPr>
            <w:r>
              <w:rPr>
                <w:spacing w:val="-2"/>
                <w:sz w:val="24"/>
              </w:rPr>
              <w:t>83.33</w:t>
            </w:r>
          </w:p>
        </w:tc>
      </w:tr>
      <w:tr>
        <w:trPr>
          <w:trHeight w:val="552" w:hRule="atLeast"/>
        </w:trPr>
        <w:tc>
          <w:tcPr>
            <w:tcW w:w="2836" w:type="dxa"/>
          </w:tcPr>
          <w:p>
            <w:pPr>
              <w:pStyle w:val="TableParagraph"/>
              <w:spacing w:before="133"/>
              <w:ind w:left="50"/>
              <w:rPr>
                <w:sz w:val="24"/>
              </w:rPr>
            </w:pPr>
            <w:r>
              <w:rPr>
                <w:sz w:val="24"/>
              </w:rPr>
              <w:t>DCP23</w:t>
            </w:r>
            <w:r>
              <w:rPr>
                <w:spacing w:val="-3"/>
                <w:sz w:val="24"/>
              </w:rPr>
              <w:t> </w:t>
            </w:r>
            <w:r>
              <w:rPr>
                <w:spacing w:val="-4"/>
                <w:sz w:val="24"/>
              </w:rPr>
              <w:t>(50)</w:t>
            </w:r>
          </w:p>
        </w:tc>
        <w:tc>
          <w:tcPr>
            <w:tcW w:w="2263" w:type="dxa"/>
          </w:tcPr>
          <w:p>
            <w:pPr>
              <w:pStyle w:val="TableParagraph"/>
              <w:spacing w:before="133"/>
              <w:ind w:left="277"/>
              <w:rPr>
                <w:sz w:val="24"/>
              </w:rPr>
            </w:pPr>
            <w:r>
              <w:rPr>
                <w:sz w:val="24"/>
              </w:rPr>
              <w:t>9.67</w:t>
            </w:r>
            <w:r>
              <w:rPr>
                <w:spacing w:val="-3"/>
                <w:sz w:val="24"/>
              </w:rPr>
              <w:t> </w:t>
            </w:r>
            <w:r>
              <w:rPr>
                <w:sz w:val="24"/>
              </w:rPr>
              <w:t>±</w:t>
            </w:r>
            <w:r>
              <w:rPr>
                <w:spacing w:val="2"/>
                <w:sz w:val="24"/>
              </w:rPr>
              <w:t> </w:t>
            </w:r>
            <w:r>
              <w:rPr>
                <w:spacing w:val="-2"/>
                <w:sz w:val="24"/>
              </w:rPr>
              <w:t>1.86*</w:t>
            </w:r>
          </w:p>
        </w:tc>
        <w:tc>
          <w:tcPr>
            <w:tcW w:w="1887" w:type="dxa"/>
          </w:tcPr>
          <w:p>
            <w:pPr>
              <w:pStyle w:val="TableParagraph"/>
              <w:spacing w:before="133"/>
              <w:ind w:left="117" w:right="37"/>
              <w:jc w:val="center"/>
              <w:rPr>
                <w:sz w:val="24"/>
              </w:rPr>
            </w:pPr>
            <w:r>
              <w:rPr>
                <w:spacing w:val="-2"/>
                <w:sz w:val="24"/>
              </w:rPr>
              <w:t>50.00</w:t>
            </w:r>
          </w:p>
        </w:tc>
        <w:tc>
          <w:tcPr>
            <w:tcW w:w="1281" w:type="dxa"/>
          </w:tcPr>
          <w:p>
            <w:pPr>
              <w:pStyle w:val="TableParagraph"/>
              <w:spacing w:before="133"/>
              <w:ind w:right="110"/>
              <w:jc w:val="right"/>
              <w:rPr>
                <w:sz w:val="24"/>
              </w:rPr>
            </w:pPr>
            <w:r>
              <w:rPr>
                <w:spacing w:val="-2"/>
                <w:sz w:val="24"/>
              </w:rPr>
              <w:t>50.00</w:t>
            </w:r>
          </w:p>
        </w:tc>
      </w:tr>
      <w:tr>
        <w:trPr>
          <w:trHeight w:val="552" w:hRule="atLeast"/>
        </w:trPr>
        <w:tc>
          <w:tcPr>
            <w:tcW w:w="2836" w:type="dxa"/>
          </w:tcPr>
          <w:p>
            <w:pPr>
              <w:pStyle w:val="TableParagraph"/>
              <w:spacing w:before="133"/>
              <w:ind w:left="50"/>
              <w:rPr>
                <w:sz w:val="24"/>
              </w:rPr>
            </w:pPr>
            <w:r>
              <w:rPr>
                <w:sz w:val="24"/>
              </w:rPr>
              <w:t>CYPRO</w:t>
            </w:r>
            <w:r>
              <w:rPr>
                <w:spacing w:val="-3"/>
                <w:sz w:val="24"/>
              </w:rPr>
              <w:t> </w:t>
            </w:r>
            <w:r>
              <w:rPr>
                <w:sz w:val="24"/>
              </w:rPr>
              <w:t>(6)</w:t>
            </w:r>
            <w:r>
              <w:rPr>
                <w:spacing w:val="2"/>
                <w:sz w:val="24"/>
              </w:rPr>
              <w:t> </w:t>
            </w:r>
            <w:r>
              <w:rPr>
                <w:sz w:val="24"/>
              </w:rPr>
              <w:t>+ DCP23</w:t>
            </w:r>
            <w:r>
              <w:rPr>
                <w:spacing w:val="-4"/>
                <w:sz w:val="24"/>
              </w:rPr>
              <w:t> (50)</w:t>
            </w:r>
          </w:p>
        </w:tc>
        <w:tc>
          <w:tcPr>
            <w:tcW w:w="2263" w:type="dxa"/>
          </w:tcPr>
          <w:p>
            <w:pPr>
              <w:pStyle w:val="TableParagraph"/>
              <w:spacing w:before="133"/>
              <w:ind w:left="219"/>
              <w:rPr>
                <w:sz w:val="24"/>
              </w:rPr>
            </w:pPr>
            <w:r>
              <w:rPr>
                <w:sz w:val="24"/>
              </w:rPr>
              <w:t>10.00 ±</w:t>
            </w:r>
            <w:r>
              <w:rPr>
                <w:spacing w:val="-1"/>
                <w:sz w:val="24"/>
              </w:rPr>
              <w:t> </w:t>
            </w:r>
            <w:r>
              <w:rPr>
                <w:spacing w:val="-2"/>
                <w:sz w:val="24"/>
              </w:rPr>
              <w:t>1.00*</w:t>
            </w:r>
          </w:p>
        </w:tc>
        <w:tc>
          <w:tcPr>
            <w:tcW w:w="1887" w:type="dxa"/>
          </w:tcPr>
          <w:p>
            <w:pPr>
              <w:pStyle w:val="TableParagraph"/>
              <w:spacing w:before="133"/>
              <w:ind w:left="117" w:right="37"/>
              <w:jc w:val="center"/>
              <w:rPr>
                <w:sz w:val="24"/>
              </w:rPr>
            </w:pPr>
            <w:r>
              <w:rPr>
                <w:spacing w:val="-2"/>
                <w:sz w:val="24"/>
              </w:rPr>
              <w:t>50.00</w:t>
            </w:r>
          </w:p>
        </w:tc>
        <w:tc>
          <w:tcPr>
            <w:tcW w:w="1281" w:type="dxa"/>
          </w:tcPr>
          <w:p>
            <w:pPr>
              <w:pStyle w:val="TableParagraph"/>
              <w:spacing w:before="133"/>
              <w:ind w:right="110"/>
              <w:jc w:val="right"/>
              <w:rPr>
                <w:sz w:val="24"/>
              </w:rPr>
            </w:pPr>
            <w:r>
              <w:rPr>
                <w:spacing w:val="-2"/>
                <w:sz w:val="24"/>
              </w:rPr>
              <w:t>33.33</w:t>
            </w:r>
          </w:p>
        </w:tc>
      </w:tr>
      <w:tr>
        <w:trPr>
          <w:trHeight w:val="552" w:hRule="atLeast"/>
        </w:trPr>
        <w:tc>
          <w:tcPr>
            <w:tcW w:w="2836" w:type="dxa"/>
          </w:tcPr>
          <w:p>
            <w:pPr>
              <w:pStyle w:val="TableParagraph"/>
              <w:spacing w:before="133"/>
              <w:ind w:left="50"/>
              <w:rPr>
                <w:sz w:val="24"/>
              </w:rPr>
            </w:pPr>
            <w:r>
              <w:rPr>
                <w:sz w:val="24"/>
              </w:rPr>
              <w:t>DCP25</w:t>
            </w:r>
            <w:r>
              <w:rPr>
                <w:spacing w:val="-3"/>
                <w:sz w:val="24"/>
              </w:rPr>
              <w:t> </w:t>
            </w:r>
            <w:r>
              <w:rPr>
                <w:spacing w:val="-4"/>
                <w:sz w:val="24"/>
              </w:rPr>
              <w:t>(50)</w:t>
            </w:r>
          </w:p>
        </w:tc>
        <w:tc>
          <w:tcPr>
            <w:tcW w:w="2263" w:type="dxa"/>
          </w:tcPr>
          <w:p>
            <w:pPr>
              <w:pStyle w:val="TableParagraph"/>
              <w:spacing w:before="133"/>
              <w:ind w:left="219"/>
              <w:rPr>
                <w:sz w:val="24"/>
              </w:rPr>
            </w:pPr>
            <w:r>
              <w:rPr>
                <w:sz w:val="24"/>
              </w:rPr>
              <w:t>13.67 ±</w:t>
            </w:r>
            <w:r>
              <w:rPr>
                <w:spacing w:val="-1"/>
                <w:sz w:val="24"/>
              </w:rPr>
              <w:t> </w:t>
            </w:r>
            <w:r>
              <w:rPr>
                <w:spacing w:val="-2"/>
                <w:sz w:val="24"/>
              </w:rPr>
              <w:t>2.40*</w:t>
            </w:r>
          </w:p>
        </w:tc>
        <w:tc>
          <w:tcPr>
            <w:tcW w:w="1887" w:type="dxa"/>
          </w:tcPr>
          <w:p>
            <w:pPr>
              <w:pStyle w:val="TableParagraph"/>
              <w:spacing w:before="133"/>
              <w:ind w:left="117" w:right="37"/>
              <w:jc w:val="center"/>
              <w:rPr>
                <w:sz w:val="24"/>
              </w:rPr>
            </w:pPr>
            <w:r>
              <w:rPr>
                <w:spacing w:val="-2"/>
                <w:sz w:val="24"/>
              </w:rPr>
              <w:t>50.00</w:t>
            </w:r>
          </w:p>
        </w:tc>
        <w:tc>
          <w:tcPr>
            <w:tcW w:w="1281" w:type="dxa"/>
          </w:tcPr>
          <w:p>
            <w:pPr>
              <w:pStyle w:val="TableParagraph"/>
              <w:spacing w:before="133"/>
              <w:ind w:right="47"/>
              <w:jc w:val="right"/>
              <w:rPr>
                <w:sz w:val="24"/>
              </w:rPr>
            </w:pPr>
            <w:r>
              <w:rPr>
                <w:spacing w:val="-2"/>
                <w:sz w:val="24"/>
              </w:rPr>
              <w:t>16.67</w:t>
            </w:r>
          </w:p>
        </w:tc>
      </w:tr>
      <w:tr>
        <w:trPr>
          <w:trHeight w:val="551" w:hRule="atLeast"/>
        </w:trPr>
        <w:tc>
          <w:tcPr>
            <w:tcW w:w="2836" w:type="dxa"/>
          </w:tcPr>
          <w:p>
            <w:pPr>
              <w:pStyle w:val="TableParagraph"/>
              <w:spacing w:before="133"/>
              <w:ind w:left="50"/>
              <w:rPr>
                <w:sz w:val="24"/>
              </w:rPr>
            </w:pPr>
            <w:r>
              <w:rPr>
                <w:sz w:val="24"/>
              </w:rPr>
              <w:t>CYPRO</w:t>
            </w:r>
            <w:r>
              <w:rPr>
                <w:spacing w:val="-3"/>
                <w:sz w:val="24"/>
              </w:rPr>
              <w:t> </w:t>
            </w:r>
            <w:r>
              <w:rPr>
                <w:sz w:val="24"/>
              </w:rPr>
              <w:t>(6)</w:t>
            </w:r>
            <w:r>
              <w:rPr>
                <w:spacing w:val="1"/>
                <w:sz w:val="24"/>
              </w:rPr>
              <w:t> </w:t>
            </w:r>
            <w:r>
              <w:rPr>
                <w:sz w:val="24"/>
              </w:rPr>
              <w:t>+ DCP25</w:t>
            </w:r>
            <w:r>
              <w:rPr>
                <w:spacing w:val="-4"/>
                <w:sz w:val="24"/>
              </w:rPr>
              <w:t> (50)</w:t>
            </w:r>
          </w:p>
        </w:tc>
        <w:tc>
          <w:tcPr>
            <w:tcW w:w="2263" w:type="dxa"/>
          </w:tcPr>
          <w:p>
            <w:pPr>
              <w:pStyle w:val="TableParagraph"/>
              <w:spacing w:before="133"/>
              <w:ind w:left="219"/>
              <w:rPr>
                <w:sz w:val="24"/>
              </w:rPr>
            </w:pPr>
            <w:r>
              <w:rPr>
                <w:sz w:val="24"/>
              </w:rPr>
              <w:t>15.00 ±</w:t>
            </w:r>
            <w:r>
              <w:rPr>
                <w:spacing w:val="-1"/>
                <w:sz w:val="24"/>
              </w:rPr>
              <w:t> </w:t>
            </w:r>
            <w:r>
              <w:rPr>
                <w:spacing w:val="-2"/>
                <w:sz w:val="24"/>
              </w:rPr>
              <w:t>1.00*</w:t>
            </w:r>
          </w:p>
        </w:tc>
        <w:tc>
          <w:tcPr>
            <w:tcW w:w="1887" w:type="dxa"/>
          </w:tcPr>
          <w:p>
            <w:pPr>
              <w:pStyle w:val="TableParagraph"/>
              <w:spacing w:before="133"/>
              <w:ind w:left="122" w:right="37"/>
              <w:jc w:val="center"/>
              <w:rPr>
                <w:sz w:val="24"/>
              </w:rPr>
            </w:pPr>
            <w:r>
              <w:rPr>
                <w:spacing w:val="-2"/>
                <w:sz w:val="24"/>
              </w:rPr>
              <w:t>50.00</w:t>
            </w:r>
          </w:p>
        </w:tc>
        <w:tc>
          <w:tcPr>
            <w:tcW w:w="1281" w:type="dxa"/>
          </w:tcPr>
          <w:p>
            <w:pPr>
              <w:pStyle w:val="TableParagraph"/>
              <w:spacing w:before="133"/>
              <w:ind w:right="47"/>
              <w:jc w:val="right"/>
              <w:rPr>
                <w:sz w:val="24"/>
              </w:rPr>
            </w:pPr>
            <w:r>
              <w:rPr>
                <w:spacing w:val="-2"/>
                <w:sz w:val="24"/>
              </w:rPr>
              <w:t>50.00</w:t>
            </w:r>
          </w:p>
        </w:tc>
      </w:tr>
      <w:tr>
        <w:trPr>
          <w:trHeight w:val="552" w:hRule="atLeast"/>
        </w:trPr>
        <w:tc>
          <w:tcPr>
            <w:tcW w:w="2836" w:type="dxa"/>
          </w:tcPr>
          <w:p>
            <w:pPr>
              <w:pStyle w:val="TableParagraph"/>
              <w:spacing w:before="133"/>
              <w:ind w:left="50"/>
              <w:rPr>
                <w:sz w:val="24"/>
              </w:rPr>
            </w:pPr>
            <w:r>
              <w:rPr>
                <w:sz w:val="24"/>
              </w:rPr>
              <w:t>DCP34</w:t>
            </w:r>
            <w:r>
              <w:rPr>
                <w:spacing w:val="-3"/>
                <w:sz w:val="24"/>
              </w:rPr>
              <w:t> </w:t>
            </w:r>
            <w:r>
              <w:rPr>
                <w:spacing w:val="-4"/>
                <w:sz w:val="24"/>
              </w:rPr>
              <w:t>(50)</w:t>
            </w:r>
          </w:p>
        </w:tc>
        <w:tc>
          <w:tcPr>
            <w:tcW w:w="2263" w:type="dxa"/>
          </w:tcPr>
          <w:p>
            <w:pPr>
              <w:pStyle w:val="TableParagraph"/>
              <w:spacing w:before="133"/>
              <w:ind w:left="219"/>
              <w:rPr>
                <w:sz w:val="24"/>
              </w:rPr>
            </w:pPr>
            <w:r>
              <w:rPr>
                <w:sz w:val="24"/>
              </w:rPr>
              <w:t>13.80 ±</w:t>
            </w:r>
            <w:r>
              <w:rPr>
                <w:spacing w:val="-1"/>
                <w:sz w:val="24"/>
              </w:rPr>
              <w:t> </w:t>
            </w:r>
            <w:r>
              <w:rPr>
                <w:spacing w:val="-2"/>
                <w:sz w:val="24"/>
              </w:rPr>
              <w:t>1.59*</w:t>
            </w:r>
          </w:p>
        </w:tc>
        <w:tc>
          <w:tcPr>
            <w:tcW w:w="1887" w:type="dxa"/>
          </w:tcPr>
          <w:p>
            <w:pPr>
              <w:pStyle w:val="TableParagraph"/>
              <w:spacing w:before="133"/>
              <w:ind w:left="117" w:right="37"/>
              <w:jc w:val="center"/>
              <w:rPr>
                <w:sz w:val="24"/>
              </w:rPr>
            </w:pPr>
            <w:r>
              <w:rPr>
                <w:spacing w:val="-2"/>
                <w:sz w:val="24"/>
              </w:rPr>
              <w:t>16.67</w:t>
            </w:r>
          </w:p>
        </w:tc>
        <w:tc>
          <w:tcPr>
            <w:tcW w:w="1281" w:type="dxa"/>
          </w:tcPr>
          <w:p>
            <w:pPr>
              <w:pStyle w:val="TableParagraph"/>
              <w:spacing w:before="133"/>
              <w:ind w:right="47"/>
              <w:jc w:val="right"/>
              <w:rPr>
                <w:sz w:val="24"/>
              </w:rPr>
            </w:pPr>
            <w:r>
              <w:rPr>
                <w:spacing w:val="-2"/>
                <w:sz w:val="24"/>
              </w:rPr>
              <w:t>66.67</w:t>
            </w:r>
          </w:p>
        </w:tc>
      </w:tr>
      <w:tr>
        <w:trPr>
          <w:trHeight w:val="409" w:hRule="atLeast"/>
        </w:trPr>
        <w:tc>
          <w:tcPr>
            <w:tcW w:w="2836" w:type="dxa"/>
          </w:tcPr>
          <w:p>
            <w:pPr>
              <w:pStyle w:val="TableParagraph"/>
              <w:spacing w:line="256" w:lineRule="exact" w:before="133"/>
              <w:ind w:left="50"/>
              <w:rPr>
                <w:sz w:val="24"/>
              </w:rPr>
            </w:pPr>
            <w:r>
              <w:rPr>
                <w:sz w:val="24"/>
              </w:rPr>
              <w:t>CYPRO</w:t>
            </w:r>
            <w:r>
              <w:rPr>
                <w:spacing w:val="-3"/>
                <w:sz w:val="24"/>
              </w:rPr>
              <w:t> </w:t>
            </w:r>
            <w:r>
              <w:rPr>
                <w:sz w:val="24"/>
              </w:rPr>
              <w:t>(6)</w:t>
            </w:r>
            <w:r>
              <w:rPr>
                <w:spacing w:val="1"/>
                <w:sz w:val="24"/>
              </w:rPr>
              <w:t> </w:t>
            </w:r>
            <w:r>
              <w:rPr>
                <w:sz w:val="24"/>
              </w:rPr>
              <w:t>+ DCP34</w:t>
            </w:r>
            <w:r>
              <w:rPr>
                <w:spacing w:val="-4"/>
                <w:sz w:val="24"/>
              </w:rPr>
              <w:t> (50)</w:t>
            </w:r>
          </w:p>
        </w:tc>
        <w:tc>
          <w:tcPr>
            <w:tcW w:w="2263" w:type="dxa"/>
          </w:tcPr>
          <w:p>
            <w:pPr>
              <w:pStyle w:val="TableParagraph"/>
              <w:spacing w:line="256" w:lineRule="exact" w:before="133"/>
              <w:ind w:left="219"/>
              <w:rPr>
                <w:sz w:val="24"/>
              </w:rPr>
            </w:pPr>
            <w:r>
              <w:rPr>
                <w:sz w:val="24"/>
              </w:rPr>
              <w:t>18.25 ±</w:t>
            </w:r>
            <w:r>
              <w:rPr>
                <w:spacing w:val="-1"/>
                <w:sz w:val="24"/>
              </w:rPr>
              <w:t> </w:t>
            </w:r>
            <w:r>
              <w:rPr>
                <w:spacing w:val="-2"/>
                <w:sz w:val="24"/>
              </w:rPr>
              <w:t>2.55*</w:t>
            </w:r>
          </w:p>
        </w:tc>
        <w:tc>
          <w:tcPr>
            <w:tcW w:w="1887" w:type="dxa"/>
          </w:tcPr>
          <w:p>
            <w:pPr>
              <w:pStyle w:val="TableParagraph"/>
              <w:spacing w:line="256" w:lineRule="exact" w:before="133"/>
              <w:ind w:left="122" w:right="37"/>
              <w:jc w:val="center"/>
              <w:rPr>
                <w:sz w:val="24"/>
              </w:rPr>
            </w:pPr>
            <w:r>
              <w:rPr>
                <w:spacing w:val="-2"/>
                <w:sz w:val="24"/>
              </w:rPr>
              <w:t>33.33</w:t>
            </w:r>
          </w:p>
        </w:tc>
        <w:tc>
          <w:tcPr>
            <w:tcW w:w="1281" w:type="dxa"/>
          </w:tcPr>
          <w:p>
            <w:pPr>
              <w:pStyle w:val="TableParagraph"/>
              <w:spacing w:line="256" w:lineRule="exact" w:before="133"/>
              <w:ind w:right="47"/>
              <w:jc w:val="right"/>
              <w:rPr>
                <w:sz w:val="24"/>
              </w:rPr>
            </w:pPr>
            <w:r>
              <w:rPr>
                <w:spacing w:val="-2"/>
                <w:sz w:val="24"/>
              </w:rPr>
              <w:t>66.67</w:t>
            </w:r>
          </w:p>
        </w:tc>
      </w:tr>
    </w:tbl>
    <w:p>
      <w:pPr>
        <w:pStyle w:val="BodyText"/>
        <w:spacing w:before="6"/>
        <w:rPr>
          <w:b/>
          <w:sz w:val="16"/>
        </w:rPr>
      </w:pPr>
      <w:r>
        <w:rPr/>
        <mc:AlternateContent>
          <mc:Choice Requires="wps">
            <w:drawing>
              <wp:anchor distT="0" distB="0" distL="0" distR="0" allowOverlap="1" layoutInCell="1" locked="0" behindDoc="1" simplePos="0" relativeHeight="487662592">
                <wp:simplePos x="0" y="0"/>
                <wp:positionH relativeFrom="page">
                  <wp:posOffset>1371600</wp:posOffset>
                </wp:positionH>
                <wp:positionV relativeFrom="paragraph">
                  <wp:posOffset>136059</wp:posOffset>
                </wp:positionV>
                <wp:extent cx="5486400" cy="1270"/>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5486400" cy="1270"/>
                        </a:xfrm>
                        <a:custGeom>
                          <a:avLst/>
                          <a:gdLst/>
                          <a:ahLst/>
                          <a:cxnLst/>
                          <a:rect l="l" t="t" r="r" b="b"/>
                          <a:pathLst>
                            <a:path w="5486400" h="0">
                              <a:moveTo>
                                <a:pt x="0" y="0"/>
                              </a:moveTo>
                              <a:lnTo>
                                <a:pt x="5486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0.71336pt;width:432pt;height:.1pt;mso-position-horizontal-relative:page;mso-position-vertical-relative:paragraph;z-index:-15653888;mso-wrap-distance-left:0;mso-wrap-distance-right:0" id="docshape122" coordorigin="2160,214" coordsize="8640,0" path="m2160,214l10800,214e" filled="false" stroked="true" strokeweight=".75pt" strokecolor="#000000">
                <v:path arrowok="t"/>
                <v:stroke dashstyle="solid"/>
                <w10:wrap type="topAndBottom"/>
              </v:shape>
            </w:pict>
          </mc:Fallback>
        </mc:AlternateContent>
      </w:r>
    </w:p>
    <w:p>
      <w:pPr>
        <w:pStyle w:val="BodyText"/>
        <w:spacing w:before="56"/>
        <w:ind w:left="681" w:right="278"/>
        <w:jc w:val="both"/>
      </w:pPr>
      <w:r>
        <w:rPr/>
        <w:t>Values are presented as Mean ± SEM, n = 6 per group; DCP23, DCP25 and DCP34 = 2,3-, 2,5- and 3,4- Dichloro – 3(aminophenyl) propanamides respectively, CYPRO = cyproheptadine, DZ = Diazepam; Vehicle = 30% propylene glycol, 70% distil water; Significant</w:t>
      </w:r>
      <w:r>
        <w:rPr>
          <w:spacing w:val="40"/>
        </w:rPr>
        <w:t> </w:t>
      </w:r>
      <w:r>
        <w:rPr/>
        <w:t>difference</w:t>
      </w:r>
      <w:r>
        <w:rPr>
          <w:spacing w:val="40"/>
        </w:rPr>
        <w:t> </w:t>
      </w:r>
      <w:r>
        <w:rPr/>
        <w:t>in</w:t>
      </w:r>
      <w:r>
        <w:rPr>
          <w:spacing w:val="33"/>
        </w:rPr>
        <w:t> </w:t>
      </w:r>
      <w:r>
        <w:rPr/>
        <w:t>the</w:t>
      </w:r>
      <w:r>
        <w:rPr>
          <w:spacing w:val="40"/>
        </w:rPr>
        <w:t> </w:t>
      </w:r>
      <w:r>
        <w:rPr/>
        <w:t>mean</w:t>
      </w:r>
      <w:r>
        <w:rPr>
          <w:spacing w:val="33"/>
        </w:rPr>
        <w:t> </w:t>
      </w:r>
      <w:r>
        <w:rPr/>
        <w:t>onset</w:t>
      </w:r>
      <w:r>
        <w:rPr>
          <w:spacing w:val="40"/>
        </w:rPr>
        <w:t> </w:t>
      </w:r>
      <w:r>
        <w:rPr/>
        <w:t>of</w:t>
      </w:r>
      <w:r>
        <w:rPr>
          <w:spacing w:val="30"/>
        </w:rPr>
        <w:t> </w:t>
      </w:r>
      <w:r>
        <w:rPr/>
        <w:t>seizures</w:t>
      </w:r>
      <w:r>
        <w:rPr>
          <w:spacing w:val="36"/>
        </w:rPr>
        <w:t> </w:t>
      </w:r>
      <w:r>
        <w:rPr/>
        <w:t>between</w:t>
      </w:r>
      <w:r>
        <w:rPr>
          <w:spacing w:val="33"/>
        </w:rPr>
        <w:t> </w:t>
      </w:r>
      <w:r>
        <w:rPr/>
        <w:t>control</w:t>
      </w:r>
      <w:r>
        <w:rPr>
          <w:spacing w:val="29"/>
        </w:rPr>
        <w:t> </w:t>
      </w:r>
      <w:r>
        <w:rPr/>
        <w:t>(saline)</w:t>
      </w:r>
      <w:r>
        <w:rPr>
          <w:spacing w:val="40"/>
        </w:rPr>
        <w:t> </w:t>
      </w:r>
      <w:r>
        <w:rPr/>
        <w:t>group</w:t>
      </w:r>
      <w:r>
        <w:rPr>
          <w:spacing w:val="38"/>
        </w:rPr>
        <w:t> </w:t>
      </w:r>
      <w:r>
        <w:rPr/>
        <w:t>at</w:t>
      </w:r>
    </w:p>
    <w:p>
      <w:pPr>
        <w:pStyle w:val="BodyText"/>
        <w:spacing w:before="1"/>
        <w:ind w:left="681"/>
        <w:jc w:val="both"/>
      </w:pPr>
      <w:r>
        <w:rPr/>
        <w:t>*p&lt;0.05</w:t>
      </w:r>
      <w:r>
        <w:rPr>
          <w:spacing w:val="-5"/>
        </w:rPr>
        <w:t> </w:t>
      </w:r>
      <w:r>
        <w:rPr/>
        <w:t>using</w:t>
      </w:r>
      <w:r>
        <w:rPr>
          <w:spacing w:val="-2"/>
        </w:rPr>
        <w:t> </w:t>
      </w:r>
      <w:r>
        <w:rPr/>
        <w:t>Post</w:t>
      </w:r>
      <w:r>
        <w:rPr>
          <w:spacing w:val="2"/>
        </w:rPr>
        <w:t> </w:t>
      </w:r>
      <w:r>
        <w:rPr/>
        <w:t>hoc</w:t>
      </w:r>
      <w:r>
        <w:rPr>
          <w:spacing w:val="-8"/>
        </w:rPr>
        <w:t> </w:t>
      </w:r>
      <w:r>
        <w:rPr/>
        <w:t>(Scheffe)</w:t>
      </w:r>
      <w:r>
        <w:rPr>
          <w:spacing w:val="-2"/>
        </w:rPr>
        <w:t> </w:t>
      </w:r>
      <w:r>
        <w:rPr/>
        <w:t>for</w:t>
      </w:r>
      <w:r>
        <w:rPr>
          <w:spacing w:val="-1"/>
        </w:rPr>
        <w:t> </w:t>
      </w:r>
      <w:r>
        <w:rPr/>
        <w:t>multiple</w:t>
      </w:r>
      <w:r>
        <w:rPr>
          <w:spacing w:val="-4"/>
        </w:rPr>
        <w:t> </w:t>
      </w:r>
      <w:r>
        <w:rPr/>
        <w:t>comparism</w:t>
      </w:r>
      <w:r>
        <w:rPr>
          <w:spacing w:val="-7"/>
        </w:rPr>
        <w:t> </w:t>
      </w:r>
      <w:r>
        <w:rPr/>
        <w:t>after</w:t>
      </w:r>
      <w:r>
        <w:rPr>
          <w:spacing w:val="-1"/>
        </w:rPr>
        <w:t> </w:t>
      </w:r>
      <w:r>
        <w:rPr>
          <w:spacing w:val="-2"/>
        </w:rPr>
        <w:t>ANOVA.</w:t>
      </w:r>
    </w:p>
    <w:p>
      <w:pPr>
        <w:spacing w:after="0"/>
        <w:jc w:val="both"/>
        <w:sectPr>
          <w:pgSz w:w="12240" w:h="15840"/>
          <w:pgMar w:header="0" w:footer="1066" w:top="1360" w:bottom="1260" w:left="1480" w:right="1160"/>
        </w:sectPr>
      </w:pPr>
    </w:p>
    <w:p>
      <w:pPr>
        <w:pStyle w:val="Heading2"/>
        <w:numPr>
          <w:ilvl w:val="2"/>
          <w:numId w:val="14"/>
        </w:numPr>
        <w:tabs>
          <w:tab w:pos="1222" w:val="left" w:leader="none"/>
        </w:tabs>
        <w:spacing w:line="240" w:lineRule="auto" w:before="77" w:after="0"/>
        <w:ind w:left="1222" w:right="0" w:hanging="541"/>
        <w:jc w:val="both"/>
      </w:pPr>
      <w:r>
        <w:rPr/>
        <w:t>Effects</w:t>
      </w:r>
      <w:r>
        <w:rPr>
          <w:spacing w:val="-5"/>
        </w:rPr>
        <w:t> </w:t>
      </w:r>
      <w:r>
        <w:rPr/>
        <w:t>of</w:t>
      </w:r>
      <w:r>
        <w:rPr>
          <w:spacing w:val="-4"/>
        </w:rPr>
        <w:t> </w:t>
      </w:r>
      <w:r>
        <w:rPr/>
        <w:t>DCP23</w:t>
      </w:r>
      <w:r>
        <w:rPr>
          <w:spacing w:val="-1"/>
        </w:rPr>
        <w:t> </w:t>
      </w:r>
      <w:r>
        <w:rPr/>
        <w:t>and</w:t>
      </w:r>
      <w:r>
        <w:rPr>
          <w:spacing w:val="-1"/>
        </w:rPr>
        <w:t> </w:t>
      </w:r>
      <w:r>
        <w:rPr/>
        <w:t>DCP25</w:t>
      </w:r>
      <w:r>
        <w:rPr>
          <w:spacing w:val="-1"/>
        </w:rPr>
        <w:t> </w:t>
      </w:r>
      <w:r>
        <w:rPr/>
        <w:t>on</w:t>
      </w:r>
      <w:r>
        <w:rPr>
          <w:spacing w:val="-1"/>
        </w:rPr>
        <w:t> </w:t>
      </w:r>
      <w:r>
        <w:rPr/>
        <w:t>Diazepam-induced Sleep</w:t>
      </w:r>
      <w:r>
        <w:rPr>
          <w:spacing w:val="1"/>
        </w:rPr>
        <w:t> </w:t>
      </w:r>
      <w:r>
        <w:rPr/>
        <w:t>in</w:t>
      </w:r>
      <w:r>
        <w:rPr>
          <w:spacing w:val="-4"/>
        </w:rPr>
        <w:t> Mice</w:t>
      </w:r>
    </w:p>
    <w:p>
      <w:pPr>
        <w:pStyle w:val="BodyText"/>
        <w:spacing w:line="480" w:lineRule="auto" w:before="271"/>
        <w:ind w:left="681" w:right="269"/>
        <w:jc w:val="both"/>
      </w:pPr>
      <w:r>
        <w:rPr/>
        <w:t>DCP23 (50 mg/kg) and DCP25 (50 mg/kg), produced statistical significant decrease in</w:t>
      </w:r>
      <w:r>
        <w:rPr>
          <w:spacing w:val="40"/>
        </w:rPr>
        <w:t> </w:t>
      </w:r>
      <w:r>
        <w:rPr/>
        <w:t>the onset of sleep ((p&lt;0.001) as well as significant increase in the duration of sleep (p&lt;0.05); using ANOVA followed by Post hoc test. Thus, the compounds potentiated sleep induced by diazepam at the highest dose tested. There was no statistically significant difference in either of the two indices at the middle and lowest doses when compared with the control group (Figure 6 and 7).</w:t>
      </w:r>
    </w:p>
    <w:p>
      <w:pPr>
        <w:spacing w:after="0" w:line="480" w:lineRule="auto"/>
        <w:jc w:val="both"/>
        <w:sectPr>
          <w:pgSz w:w="12240" w:h="15840"/>
          <w:pgMar w:header="0" w:footer="1066" w:top="1360" w:bottom="1260" w:left="1480" w:right="1160"/>
        </w:sectPr>
      </w:pPr>
    </w:p>
    <w:p>
      <w:pPr>
        <w:pStyle w:val="BodyText"/>
        <w:ind w:left="689"/>
        <w:rPr>
          <w:sz w:val="20"/>
        </w:rPr>
      </w:pPr>
      <w:r>
        <w:rPr>
          <w:sz w:val="20"/>
        </w:rPr>
        <w:drawing>
          <wp:inline distT="0" distB="0" distL="0" distR="0">
            <wp:extent cx="4780858" cy="4210812"/>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15" cstate="print"/>
                    <a:stretch>
                      <a:fillRect/>
                    </a:stretch>
                  </pic:blipFill>
                  <pic:spPr>
                    <a:xfrm>
                      <a:off x="0" y="0"/>
                      <a:ext cx="4780858" cy="4210812"/>
                    </a:xfrm>
                    <a:prstGeom prst="rect">
                      <a:avLst/>
                    </a:prstGeom>
                  </pic:spPr>
                </pic:pic>
              </a:graphicData>
            </a:graphic>
          </wp:inline>
        </w:drawing>
      </w:r>
      <w:r>
        <w:rPr>
          <w:sz w:val="20"/>
        </w:rPr>
      </w:r>
    </w:p>
    <w:p>
      <w:pPr>
        <w:pStyle w:val="BodyText"/>
      </w:pPr>
    </w:p>
    <w:p>
      <w:pPr>
        <w:pStyle w:val="BodyText"/>
        <w:spacing w:before="29"/>
      </w:pPr>
    </w:p>
    <w:p>
      <w:pPr>
        <w:pStyle w:val="Heading2"/>
      </w:pPr>
      <w:r>
        <w:rPr/>
        <w:t>Figure</w:t>
      </w:r>
      <w:r>
        <w:rPr>
          <w:spacing w:val="-5"/>
        </w:rPr>
        <w:t> </w:t>
      </w:r>
      <w:r>
        <w:rPr/>
        <w:t>6:</w:t>
      </w:r>
      <w:r>
        <w:rPr>
          <w:spacing w:val="1"/>
        </w:rPr>
        <w:t> </w:t>
      </w:r>
      <w:r>
        <w:rPr/>
        <w:t>Effect</w:t>
      </w:r>
      <w:r>
        <w:rPr>
          <w:spacing w:val="-1"/>
        </w:rPr>
        <w:t> </w:t>
      </w:r>
      <w:r>
        <w:rPr/>
        <w:t>of</w:t>
      </w:r>
      <w:r>
        <w:rPr>
          <w:spacing w:val="-4"/>
        </w:rPr>
        <w:t> </w:t>
      </w:r>
      <w:r>
        <w:rPr/>
        <w:t>DCP23</w:t>
      </w:r>
      <w:r>
        <w:rPr>
          <w:spacing w:val="-2"/>
        </w:rPr>
        <w:t> </w:t>
      </w:r>
      <w:r>
        <w:rPr/>
        <w:t>on</w:t>
      </w:r>
      <w:r>
        <w:rPr>
          <w:spacing w:val="-1"/>
        </w:rPr>
        <w:t> </w:t>
      </w:r>
      <w:r>
        <w:rPr/>
        <w:t>Diazepam-induced Sleep in</w:t>
      </w:r>
      <w:r>
        <w:rPr>
          <w:spacing w:val="-5"/>
        </w:rPr>
        <w:t> </w:t>
      </w:r>
      <w:r>
        <w:rPr>
          <w:spacing w:val="-4"/>
        </w:rPr>
        <w:t>Mice</w:t>
      </w:r>
    </w:p>
    <w:p>
      <w:pPr>
        <w:pStyle w:val="BodyText"/>
        <w:spacing w:before="272"/>
        <w:ind w:left="681" w:right="309"/>
        <w:jc w:val="both"/>
      </w:pPr>
      <w:r>
        <w:rPr/>
        <w:t>DCP23 = 2,3-</w:t>
      </w:r>
      <w:r>
        <w:rPr>
          <w:spacing w:val="-2"/>
        </w:rPr>
        <w:t> </w:t>
      </w:r>
      <w:r>
        <w:rPr/>
        <w:t>Dichloro – 3(aminophenyl) propanamide, n= 6 mice per group, significant difference</w:t>
      </w:r>
      <w:r>
        <w:rPr>
          <w:spacing w:val="-1"/>
        </w:rPr>
        <w:t> </w:t>
      </w:r>
      <w:r>
        <w:rPr/>
        <w:t>in</w:t>
      </w:r>
      <w:r>
        <w:rPr>
          <w:spacing w:val="-9"/>
        </w:rPr>
        <w:t> </w:t>
      </w:r>
      <w:r>
        <w:rPr/>
        <w:t>the</w:t>
      </w:r>
      <w:r>
        <w:rPr>
          <w:spacing w:val="-1"/>
        </w:rPr>
        <w:t> </w:t>
      </w:r>
      <w:r>
        <w:rPr/>
        <w:t>mean</w:t>
      </w:r>
      <w:r>
        <w:rPr>
          <w:spacing w:val="-9"/>
        </w:rPr>
        <w:t> </w:t>
      </w:r>
      <w:r>
        <w:rPr/>
        <w:t>onset and</w:t>
      </w:r>
      <w:r>
        <w:rPr>
          <w:spacing w:val="-4"/>
        </w:rPr>
        <w:t> </w:t>
      </w:r>
      <w:r>
        <w:rPr/>
        <w:t>duration</w:t>
      </w:r>
      <w:r>
        <w:rPr>
          <w:spacing w:val="-9"/>
        </w:rPr>
        <w:t> </w:t>
      </w:r>
      <w:r>
        <w:rPr/>
        <w:t>of</w:t>
      </w:r>
      <w:r>
        <w:rPr>
          <w:spacing w:val="-11"/>
        </w:rPr>
        <w:t> </w:t>
      </w:r>
      <w:r>
        <w:rPr/>
        <w:t>sleep</w:t>
      </w:r>
      <w:r>
        <w:rPr>
          <w:spacing w:val="-1"/>
        </w:rPr>
        <w:t> </w:t>
      </w:r>
      <w:r>
        <w:rPr/>
        <w:t>at *p&lt;0.05</w:t>
      </w:r>
      <w:r>
        <w:rPr>
          <w:spacing w:val="-4"/>
        </w:rPr>
        <w:t> </w:t>
      </w:r>
      <w:r>
        <w:rPr/>
        <w:t>using ANOVA</w:t>
      </w:r>
      <w:r>
        <w:rPr>
          <w:spacing w:val="-5"/>
        </w:rPr>
        <w:t> </w:t>
      </w:r>
      <w:r>
        <w:rPr/>
        <w:t>followed</w:t>
      </w:r>
      <w:r>
        <w:rPr>
          <w:spacing w:val="-1"/>
        </w:rPr>
        <w:t> </w:t>
      </w:r>
      <w:r>
        <w:rPr/>
        <w:t>by Post hoc (Scheffe) for multiple comparism.</w:t>
      </w:r>
    </w:p>
    <w:p>
      <w:pPr>
        <w:spacing w:after="0"/>
        <w:jc w:val="both"/>
        <w:sectPr>
          <w:pgSz w:w="12240" w:h="15840"/>
          <w:pgMar w:header="0" w:footer="1066" w:top="1440" w:bottom="1260" w:left="1480" w:right="1160"/>
        </w:sectPr>
      </w:pPr>
    </w:p>
    <w:p>
      <w:pPr>
        <w:pStyle w:val="BodyText"/>
        <w:ind w:left="689"/>
        <w:rPr>
          <w:sz w:val="20"/>
        </w:rPr>
      </w:pPr>
      <w:r>
        <w:rPr>
          <w:sz w:val="20"/>
        </w:rPr>
        <w:drawing>
          <wp:inline distT="0" distB="0" distL="0" distR="0">
            <wp:extent cx="4773509" cy="3867912"/>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6" cstate="print"/>
                    <a:stretch>
                      <a:fillRect/>
                    </a:stretch>
                  </pic:blipFill>
                  <pic:spPr>
                    <a:xfrm>
                      <a:off x="0" y="0"/>
                      <a:ext cx="4773509" cy="3867912"/>
                    </a:xfrm>
                    <a:prstGeom prst="rect">
                      <a:avLst/>
                    </a:prstGeom>
                  </pic:spPr>
                </pic:pic>
              </a:graphicData>
            </a:graphic>
          </wp:inline>
        </w:drawing>
      </w:r>
      <w:r>
        <w:rPr>
          <w:sz w:val="20"/>
        </w:rPr>
      </w:r>
    </w:p>
    <w:p>
      <w:pPr>
        <w:pStyle w:val="BodyText"/>
      </w:pPr>
    </w:p>
    <w:p>
      <w:pPr>
        <w:pStyle w:val="BodyText"/>
        <w:spacing w:before="27"/>
      </w:pPr>
    </w:p>
    <w:p>
      <w:pPr>
        <w:pStyle w:val="Heading2"/>
        <w:jc w:val="left"/>
      </w:pPr>
      <w:r>
        <w:rPr/>
        <w:t>Figure</w:t>
      </w:r>
      <w:r>
        <w:rPr>
          <w:spacing w:val="-5"/>
        </w:rPr>
        <w:t> </w:t>
      </w:r>
      <w:r>
        <w:rPr/>
        <w:t>7: Effect of</w:t>
      </w:r>
      <w:r>
        <w:rPr>
          <w:spacing w:val="-4"/>
        </w:rPr>
        <w:t> </w:t>
      </w:r>
      <w:r>
        <w:rPr/>
        <w:t>DCP25</w:t>
      </w:r>
      <w:r>
        <w:rPr>
          <w:spacing w:val="-2"/>
        </w:rPr>
        <w:t> </w:t>
      </w:r>
      <w:r>
        <w:rPr/>
        <w:t>on</w:t>
      </w:r>
      <w:r>
        <w:rPr>
          <w:spacing w:val="-1"/>
        </w:rPr>
        <w:t> </w:t>
      </w:r>
      <w:r>
        <w:rPr/>
        <w:t>Diazepam-induced</w:t>
      </w:r>
      <w:r>
        <w:rPr>
          <w:spacing w:val="1"/>
        </w:rPr>
        <w:t> </w:t>
      </w:r>
      <w:r>
        <w:rPr/>
        <w:t>Sleep in</w:t>
      </w:r>
      <w:r>
        <w:rPr>
          <w:spacing w:val="-5"/>
        </w:rPr>
        <w:t> </w:t>
      </w:r>
      <w:r>
        <w:rPr>
          <w:spacing w:val="-4"/>
        </w:rPr>
        <w:t>Mice</w:t>
      </w:r>
    </w:p>
    <w:p>
      <w:pPr>
        <w:pStyle w:val="BodyText"/>
        <w:spacing w:line="237" w:lineRule="auto" w:before="273"/>
        <w:ind w:left="681" w:right="415"/>
      </w:pPr>
      <w:r>
        <w:rPr/>
        <w:t>DCP25 and DCP34 = 2,5- Dichloro – 3(aminophenyl) propanamide, n= 6 mice per group,</w:t>
      </w:r>
      <w:r>
        <w:rPr>
          <w:spacing w:val="-3"/>
        </w:rPr>
        <w:t> </w:t>
      </w:r>
      <w:r>
        <w:rPr/>
        <w:t>significant difference</w:t>
      </w:r>
      <w:r>
        <w:rPr>
          <w:spacing w:val="-1"/>
        </w:rPr>
        <w:t> </w:t>
      </w:r>
      <w:r>
        <w:rPr/>
        <w:t>in</w:t>
      </w:r>
      <w:r>
        <w:rPr>
          <w:spacing w:val="-9"/>
        </w:rPr>
        <w:t> </w:t>
      </w:r>
      <w:r>
        <w:rPr/>
        <w:t>the</w:t>
      </w:r>
      <w:r>
        <w:rPr>
          <w:spacing w:val="-1"/>
        </w:rPr>
        <w:t> </w:t>
      </w:r>
      <w:r>
        <w:rPr/>
        <w:t>mean</w:t>
      </w:r>
      <w:r>
        <w:rPr>
          <w:spacing w:val="-9"/>
        </w:rPr>
        <w:t> </w:t>
      </w:r>
      <w:r>
        <w:rPr/>
        <w:t>onset and</w:t>
      </w:r>
      <w:r>
        <w:rPr>
          <w:spacing w:val="-5"/>
        </w:rPr>
        <w:t> </w:t>
      </w:r>
      <w:r>
        <w:rPr/>
        <w:t>duration</w:t>
      </w:r>
      <w:r>
        <w:rPr>
          <w:spacing w:val="-9"/>
        </w:rPr>
        <w:t> </w:t>
      </w:r>
      <w:r>
        <w:rPr/>
        <w:t>of</w:t>
      </w:r>
      <w:r>
        <w:rPr>
          <w:spacing w:val="-12"/>
        </w:rPr>
        <w:t> </w:t>
      </w:r>
      <w:r>
        <w:rPr/>
        <w:t>sleep</w:t>
      </w:r>
      <w:r>
        <w:rPr>
          <w:spacing w:val="-5"/>
        </w:rPr>
        <w:t> </w:t>
      </w:r>
      <w:r>
        <w:rPr/>
        <w:t>at *p&lt;0.05</w:t>
      </w:r>
      <w:r>
        <w:rPr>
          <w:spacing w:val="-5"/>
        </w:rPr>
        <w:t> </w:t>
      </w:r>
      <w:r>
        <w:rPr/>
        <w:t>using ANOVA followed by Post hoc (Scheffe) for multiple comparism.</w:t>
      </w:r>
    </w:p>
    <w:p>
      <w:pPr>
        <w:spacing w:after="0" w:line="237" w:lineRule="auto"/>
        <w:sectPr>
          <w:pgSz w:w="12240" w:h="15840"/>
          <w:pgMar w:header="0" w:footer="1066" w:top="1440" w:bottom="1260" w:left="1480" w:right="1160"/>
        </w:sectPr>
      </w:pPr>
    </w:p>
    <w:p>
      <w:pPr>
        <w:pStyle w:val="Heading2"/>
        <w:numPr>
          <w:ilvl w:val="1"/>
          <w:numId w:val="14"/>
        </w:numPr>
        <w:tabs>
          <w:tab w:pos="1050" w:val="left" w:leader="none"/>
        </w:tabs>
        <w:spacing w:line="480" w:lineRule="auto" w:before="77" w:after="0"/>
        <w:ind w:left="681" w:right="275" w:firstLine="0"/>
        <w:jc w:val="both"/>
      </w:pPr>
      <w:bookmarkStart w:name="_TOC_250008" w:id="76"/>
      <w:r>
        <w:rPr/>
        <w:t>Actions of DCP23, DCP25 and DCP34 on Voltage-Gated Sodium Channels (Na</w:t>
      </w:r>
      <w:r>
        <w:rPr>
          <w:vertAlign w:val="subscript"/>
        </w:rPr>
        <w:t>V</w:t>
      </w:r>
      <w:r>
        <w:rPr>
          <w:vertAlign w:val="baseline"/>
        </w:rPr>
        <w:t> </w:t>
      </w:r>
      <w:bookmarkEnd w:id="76"/>
      <w:r>
        <w:rPr>
          <w:spacing w:val="-4"/>
          <w:vertAlign w:val="baseline"/>
        </w:rPr>
        <w:t>1.6)</w:t>
      </w:r>
    </w:p>
    <w:p>
      <w:pPr>
        <w:pStyle w:val="Heading2"/>
        <w:numPr>
          <w:ilvl w:val="2"/>
          <w:numId w:val="14"/>
        </w:numPr>
        <w:tabs>
          <w:tab w:pos="1222" w:val="left" w:leader="none"/>
        </w:tabs>
        <w:spacing w:line="240" w:lineRule="auto" w:before="1" w:after="0"/>
        <w:ind w:left="1222" w:right="0" w:hanging="541"/>
        <w:jc w:val="both"/>
      </w:pPr>
      <w:bookmarkStart w:name="_TOC_250007" w:id="77"/>
      <w:r>
        <w:rPr/>
        <w:t>States</w:t>
      </w:r>
      <w:r>
        <w:rPr>
          <w:spacing w:val="-4"/>
        </w:rPr>
        <w:t> </w:t>
      </w:r>
      <w:r>
        <w:rPr/>
        <w:t>Dependent </w:t>
      </w:r>
      <w:bookmarkEnd w:id="77"/>
      <w:r>
        <w:rPr>
          <w:spacing w:val="-2"/>
        </w:rPr>
        <w:t>Actions</w:t>
      </w:r>
    </w:p>
    <w:p>
      <w:pPr>
        <w:pStyle w:val="BodyText"/>
        <w:spacing w:line="480" w:lineRule="auto" w:before="271"/>
        <w:ind w:left="681" w:right="271"/>
        <w:jc w:val="both"/>
      </w:pPr>
      <w:r>
        <w:rPr/>
        <w:t>The compounds (DCP23, DCP25 and DCP34) as tested on voltage-gated sodium</w:t>
      </w:r>
      <w:r>
        <w:rPr>
          <w:spacing w:val="40"/>
        </w:rPr>
        <w:t> </w:t>
      </w:r>
      <w:r>
        <w:rPr/>
        <w:t>channels</w:t>
      </w:r>
      <w:r>
        <w:rPr>
          <w:spacing w:val="-2"/>
        </w:rPr>
        <w:t> </w:t>
      </w:r>
      <w:r>
        <w:rPr/>
        <w:t>(Na</w:t>
      </w:r>
      <w:r>
        <w:rPr>
          <w:vertAlign w:val="subscript"/>
        </w:rPr>
        <w:t>V</w:t>
      </w:r>
      <w:r>
        <w:rPr>
          <w:spacing w:val="-4"/>
          <w:vertAlign w:val="baseline"/>
        </w:rPr>
        <w:t> </w:t>
      </w:r>
      <w:r>
        <w:rPr>
          <w:vertAlign w:val="baseline"/>
        </w:rPr>
        <w:t>1.6), showed graded degree</w:t>
      </w:r>
      <w:r>
        <w:rPr>
          <w:spacing w:val="-6"/>
          <w:vertAlign w:val="baseline"/>
        </w:rPr>
        <w:t> </w:t>
      </w:r>
      <w:r>
        <w:rPr>
          <w:vertAlign w:val="baseline"/>
        </w:rPr>
        <w:t>of</w:t>
      </w:r>
      <w:r>
        <w:rPr>
          <w:spacing w:val="-8"/>
          <w:vertAlign w:val="baseline"/>
        </w:rPr>
        <w:t> </w:t>
      </w:r>
      <w:r>
        <w:rPr>
          <w:vertAlign w:val="baseline"/>
        </w:rPr>
        <w:t>channel blockade. They</w:t>
      </w:r>
      <w:r>
        <w:rPr>
          <w:spacing w:val="-3"/>
          <w:vertAlign w:val="baseline"/>
        </w:rPr>
        <w:t> </w:t>
      </w:r>
      <w:r>
        <w:rPr>
          <w:vertAlign w:val="baseline"/>
        </w:rPr>
        <w:t>reduced the</w:t>
      </w:r>
      <w:r>
        <w:rPr>
          <w:spacing w:val="-1"/>
          <w:vertAlign w:val="baseline"/>
        </w:rPr>
        <w:t> </w:t>
      </w:r>
      <w:r>
        <w:rPr>
          <w:vertAlign w:val="baseline"/>
        </w:rPr>
        <w:t>sodium currents which indicated an action at sodium channels. DCP23 was found to have the highest potency when tested at the resting state (-60 mV) of the sodium channels</w:t>
      </w:r>
      <w:r>
        <w:rPr>
          <w:spacing w:val="40"/>
          <w:vertAlign w:val="baseline"/>
        </w:rPr>
        <w:t> </w:t>
      </w:r>
      <w:r>
        <w:rPr>
          <w:vertAlign w:val="baseline"/>
        </w:rPr>
        <w:t>followed by DCP25 and DCP34 (least potent). DCP23 at holding potential of -60 mV, caused</w:t>
      </w:r>
      <w:r>
        <w:rPr>
          <w:spacing w:val="60"/>
          <w:vertAlign w:val="baseline"/>
        </w:rPr>
        <w:t> </w:t>
      </w:r>
      <w:r>
        <w:rPr>
          <w:vertAlign w:val="baseline"/>
        </w:rPr>
        <w:t>concentration-dependent</w:t>
      </w:r>
      <w:r>
        <w:rPr>
          <w:spacing w:val="66"/>
          <w:vertAlign w:val="baseline"/>
        </w:rPr>
        <w:t> </w:t>
      </w:r>
      <w:r>
        <w:rPr>
          <w:vertAlign w:val="baseline"/>
        </w:rPr>
        <w:t>tonic</w:t>
      </w:r>
      <w:r>
        <w:rPr>
          <w:spacing w:val="60"/>
          <w:vertAlign w:val="baseline"/>
        </w:rPr>
        <w:t> </w:t>
      </w:r>
      <w:r>
        <w:rPr>
          <w:vertAlign w:val="baseline"/>
        </w:rPr>
        <w:t>blockade</w:t>
      </w:r>
      <w:r>
        <w:rPr>
          <w:spacing w:val="65"/>
          <w:vertAlign w:val="baseline"/>
        </w:rPr>
        <w:t> </w:t>
      </w:r>
      <w:r>
        <w:rPr>
          <w:vertAlign w:val="baseline"/>
        </w:rPr>
        <w:t>of</w:t>
      </w:r>
      <w:r>
        <w:rPr>
          <w:spacing w:val="53"/>
          <w:vertAlign w:val="baseline"/>
        </w:rPr>
        <w:t> </w:t>
      </w:r>
      <w:r>
        <w:rPr>
          <w:vertAlign w:val="baseline"/>
        </w:rPr>
        <w:t>9.73%,</w:t>
      </w:r>
      <w:r>
        <w:rPr>
          <w:spacing w:val="63"/>
          <w:vertAlign w:val="baseline"/>
        </w:rPr>
        <w:t> </w:t>
      </w:r>
      <w:r>
        <w:rPr>
          <w:vertAlign w:val="baseline"/>
        </w:rPr>
        <w:t>18.04%,</w:t>
      </w:r>
      <w:r>
        <w:rPr>
          <w:spacing w:val="63"/>
          <w:vertAlign w:val="baseline"/>
        </w:rPr>
        <w:t> </w:t>
      </w:r>
      <w:r>
        <w:rPr>
          <w:vertAlign w:val="baseline"/>
        </w:rPr>
        <w:t>46.80%,</w:t>
      </w:r>
      <w:r>
        <w:rPr>
          <w:spacing w:val="63"/>
          <w:vertAlign w:val="baseline"/>
        </w:rPr>
        <w:t> </w:t>
      </w:r>
      <w:r>
        <w:rPr>
          <w:spacing w:val="-2"/>
          <w:vertAlign w:val="baseline"/>
        </w:rPr>
        <w:t>68.46%,</w:t>
      </w:r>
    </w:p>
    <w:p>
      <w:pPr>
        <w:pStyle w:val="BodyText"/>
        <w:spacing w:line="480" w:lineRule="auto" w:before="1"/>
        <w:ind w:left="681" w:right="272"/>
        <w:jc w:val="both"/>
      </w:pPr>
      <w:r>
        <w:rPr/>
        <w:t>95.64 and 98.10%; for 10µM, 30µM, 60µM, 100µM, 300µM and 600µM respectively (Figure</w:t>
      </w:r>
      <w:r>
        <w:rPr>
          <w:spacing w:val="-2"/>
        </w:rPr>
        <w:t> </w:t>
      </w:r>
      <w:r>
        <w:rPr/>
        <w:t>8). Whereas</w:t>
      </w:r>
      <w:r>
        <w:rPr>
          <w:spacing w:val="-3"/>
        </w:rPr>
        <w:t> </w:t>
      </w:r>
      <w:r>
        <w:rPr/>
        <w:t>at the</w:t>
      </w:r>
      <w:r>
        <w:rPr>
          <w:spacing w:val="-2"/>
        </w:rPr>
        <w:t> </w:t>
      </w:r>
      <w:r>
        <w:rPr/>
        <w:t>same holding</w:t>
      </w:r>
      <w:r>
        <w:rPr>
          <w:spacing w:val="-2"/>
        </w:rPr>
        <w:t> </w:t>
      </w:r>
      <w:r>
        <w:rPr/>
        <w:t>potential, DCP25 at 100µM</w:t>
      </w:r>
      <w:r>
        <w:rPr>
          <w:spacing w:val="-3"/>
        </w:rPr>
        <w:t> </w:t>
      </w:r>
      <w:r>
        <w:rPr/>
        <w:t>and</w:t>
      </w:r>
      <w:r>
        <w:rPr>
          <w:spacing w:val="-2"/>
        </w:rPr>
        <w:t> </w:t>
      </w:r>
      <w:r>
        <w:rPr/>
        <w:t>600µM blocked the current by 21.63% and 83.03% respectively (Figure 9); while DCP34 at similar concentrations blocked the current minimally by 3.8% and 16.9% respectively (Figure 10). DCP23 was selected and tested in another state of the sodium channels (holding potential of -100 mV) using same graded concentrations, it blocked the sodium currents by 0%, 10%, 28.93%, 50.12%, 88.51% and 90.10% (Figure 11). The IC</w:t>
      </w:r>
      <w:r>
        <w:rPr>
          <w:vertAlign w:val="subscript"/>
        </w:rPr>
        <w:t>50</w:t>
      </w:r>
      <w:r>
        <w:rPr>
          <w:vertAlign w:val="baseline"/>
        </w:rPr>
        <w:t> values of DCP23 were determined at both resting/closed and inactivated/opened states of the sodium channels (Nav 1.6). Dose response curves (Figure 12) for each state of the channel were automatically plotted (fractional block vs concentration) as provided by Boltzsman</w:t>
      </w:r>
      <w:r>
        <w:rPr>
          <w:spacing w:val="-1"/>
          <w:vertAlign w:val="baseline"/>
        </w:rPr>
        <w:t> </w:t>
      </w:r>
      <w:r>
        <w:rPr>
          <w:vertAlign w:val="baseline"/>
        </w:rPr>
        <w:t>equation. The values for resting and inactivated states were found to be 64.76 µM and 100.37 µM respectively.</w:t>
      </w:r>
    </w:p>
    <w:p>
      <w:pPr>
        <w:spacing w:after="0" w:line="480" w:lineRule="auto"/>
        <w:jc w:val="both"/>
        <w:sectPr>
          <w:pgSz w:w="12240" w:h="15840"/>
          <w:pgMar w:header="0" w:footer="1066" w:top="1360" w:bottom="1260" w:left="1480" w:right="1160"/>
        </w:sectPr>
      </w:pPr>
    </w:p>
    <w:p>
      <w:pPr>
        <w:pStyle w:val="BodyText"/>
        <w:ind w:left="689"/>
        <w:rPr>
          <w:sz w:val="20"/>
        </w:rPr>
      </w:pPr>
      <w:r>
        <w:rPr>
          <w:sz w:val="20"/>
        </w:rPr>
        <w:drawing>
          <wp:inline distT="0" distB="0" distL="0" distR="0">
            <wp:extent cx="4853881" cy="3867912"/>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17" cstate="print"/>
                    <a:stretch>
                      <a:fillRect/>
                    </a:stretch>
                  </pic:blipFill>
                  <pic:spPr>
                    <a:xfrm>
                      <a:off x="0" y="0"/>
                      <a:ext cx="4853881" cy="3867912"/>
                    </a:xfrm>
                    <a:prstGeom prst="rect">
                      <a:avLst/>
                    </a:prstGeom>
                  </pic:spPr>
                </pic:pic>
              </a:graphicData>
            </a:graphic>
          </wp:inline>
        </w:drawing>
      </w:r>
      <w:r>
        <w:rPr>
          <w:sz w:val="20"/>
        </w:rPr>
      </w:r>
    </w:p>
    <w:p>
      <w:pPr>
        <w:pStyle w:val="BodyText"/>
        <w:spacing w:before="25"/>
      </w:pPr>
    </w:p>
    <w:p>
      <w:pPr>
        <w:pStyle w:val="Heading2"/>
        <w:spacing w:line="237" w:lineRule="auto"/>
        <w:jc w:val="left"/>
      </w:pPr>
      <w:r>
        <w:rPr/>
        <w:t>Figure</w:t>
      </w:r>
      <w:r>
        <w:rPr>
          <w:spacing w:val="40"/>
        </w:rPr>
        <w:t> </w:t>
      </w:r>
      <w:r>
        <w:rPr/>
        <w:t>8:</w:t>
      </w:r>
      <w:r>
        <w:rPr>
          <w:spacing w:val="40"/>
        </w:rPr>
        <w:t> </w:t>
      </w:r>
      <w:r>
        <w:rPr/>
        <w:t>Tonic</w:t>
      </w:r>
      <w:r>
        <w:rPr>
          <w:spacing w:val="40"/>
        </w:rPr>
        <w:t> </w:t>
      </w:r>
      <w:r>
        <w:rPr/>
        <w:t>Current</w:t>
      </w:r>
      <w:r>
        <w:rPr>
          <w:spacing w:val="40"/>
        </w:rPr>
        <w:t> </w:t>
      </w:r>
      <w:r>
        <w:rPr/>
        <w:t>Blockade</w:t>
      </w:r>
      <w:r>
        <w:rPr>
          <w:spacing w:val="40"/>
        </w:rPr>
        <w:t> </w:t>
      </w:r>
      <w:r>
        <w:rPr/>
        <w:t>by</w:t>
      </w:r>
      <w:r>
        <w:rPr>
          <w:spacing w:val="40"/>
        </w:rPr>
        <w:t> </w:t>
      </w:r>
      <w:r>
        <w:rPr/>
        <w:t>DCP23</w:t>
      </w:r>
      <w:r>
        <w:rPr>
          <w:spacing w:val="40"/>
        </w:rPr>
        <w:t> </w:t>
      </w:r>
      <w:r>
        <w:rPr/>
        <w:t>on</w:t>
      </w:r>
      <w:r>
        <w:rPr>
          <w:spacing w:val="40"/>
        </w:rPr>
        <w:t> </w:t>
      </w:r>
      <w:r>
        <w:rPr/>
        <w:t>Nav</w:t>
      </w:r>
      <w:r>
        <w:rPr>
          <w:spacing w:val="40"/>
        </w:rPr>
        <w:t> </w:t>
      </w:r>
      <w:r>
        <w:rPr/>
        <w:t>1.6</w:t>
      </w:r>
      <w:r>
        <w:rPr>
          <w:spacing w:val="40"/>
        </w:rPr>
        <w:t> </w:t>
      </w:r>
      <w:r>
        <w:rPr/>
        <w:t>at</w:t>
      </w:r>
      <w:r>
        <w:rPr>
          <w:spacing w:val="40"/>
        </w:rPr>
        <w:t> </w:t>
      </w:r>
      <w:r>
        <w:rPr/>
        <w:t>Resting</w:t>
      </w:r>
      <w:r>
        <w:rPr>
          <w:spacing w:val="40"/>
        </w:rPr>
        <w:t> </w:t>
      </w:r>
      <w:r>
        <w:rPr/>
        <w:t>Membrane Potential (-60 mV)</w:t>
      </w:r>
    </w:p>
    <w:p>
      <w:pPr>
        <w:pStyle w:val="BodyText"/>
        <w:spacing w:line="275" w:lineRule="exact"/>
        <w:ind w:left="681"/>
      </w:pPr>
      <w:r>
        <w:rPr/>
        <w:t>n=</w:t>
      </w:r>
      <w:r>
        <w:rPr>
          <w:spacing w:val="-2"/>
        </w:rPr>
        <w:t> </w:t>
      </w:r>
      <w:r>
        <w:rPr/>
        <w:t>5</w:t>
      </w:r>
      <w:r>
        <w:rPr>
          <w:spacing w:val="-1"/>
        </w:rPr>
        <w:t> </w:t>
      </w:r>
      <w:r>
        <w:rPr/>
        <w:t>cells</w:t>
      </w:r>
      <w:r>
        <w:rPr>
          <w:spacing w:val="-2"/>
        </w:rPr>
        <w:t> </w:t>
      </w:r>
      <w:r>
        <w:rPr/>
        <w:t>per each</w:t>
      </w:r>
      <w:r>
        <w:rPr>
          <w:spacing w:val="-5"/>
        </w:rPr>
        <w:t> </w:t>
      </w:r>
      <w:r>
        <w:rPr>
          <w:spacing w:val="-2"/>
        </w:rPr>
        <w:t>concentration</w:t>
      </w:r>
    </w:p>
    <w:p>
      <w:pPr>
        <w:spacing w:after="0" w:line="275" w:lineRule="exact"/>
        <w:sectPr>
          <w:pgSz w:w="12240" w:h="15840"/>
          <w:pgMar w:header="0" w:footer="1066" w:top="1720" w:bottom="1260" w:left="1480" w:right="1160"/>
        </w:sectPr>
      </w:pPr>
    </w:p>
    <w:p>
      <w:pPr>
        <w:pStyle w:val="BodyText"/>
        <w:ind w:left="1395"/>
        <w:rPr>
          <w:sz w:val="20"/>
        </w:rPr>
      </w:pPr>
      <w:r>
        <w:rPr>
          <w:sz w:val="20"/>
        </w:rPr>
        <w:drawing>
          <wp:inline distT="0" distB="0" distL="0" distR="0">
            <wp:extent cx="4565761" cy="3639312"/>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18" cstate="print"/>
                    <a:stretch>
                      <a:fillRect/>
                    </a:stretch>
                  </pic:blipFill>
                  <pic:spPr>
                    <a:xfrm>
                      <a:off x="0" y="0"/>
                      <a:ext cx="4565761" cy="3639312"/>
                    </a:xfrm>
                    <a:prstGeom prst="rect">
                      <a:avLst/>
                    </a:prstGeom>
                  </pic:spPr>
                </pic:pic>
              </a:graphicData>
            </a:graphic>
          </wp:inline>
        </w:drawing>
      </w:r>
      <w:r>
        <w:rPr>
          <w:sz w:val="20"/>
        </w:rPr>
      </w:r>
    </w:p>
    <w:p>
      <w:pPr>
        <w:pStyle w:val="BodyText"/>
        <w:spacing w:before="24"/>
      </w:pPr>
    </w:p>
    <w:p>
      <w:pPr>
        <w:pStyle w:val="Heading2"/>
        <w:spacing w:line="242" w:lineRule="auto"/>
        <w:jc w:val="left"/>
      </w:pPr>
      <w:r>
        <w:rPr/>
        <w:t>Figure</w:t>
      </w:r>
      <w:r>
        <w:rPr>
          <w:spacing w:val="40"/>
        </w:rPr>
        <w:t> </w:t>
      </w:r>
      <w:r>
        <w:rPr/>
        <w:t>9:</w:t>
      </w:r>
      <w:r>
        <w:rPr>
          <w:spacing w:val="40"/>
        </w:rPr>
        <w:t> </w:t>
      </w:r>
      <w:r>
        <w:rPr/>
        <w:t>Tonic</w:t>
      </w:r>
      <w:r>
        <w:rPr>
          <w:spacing w:val="40"/>
        </w:rPr>
        <w:t> </w:t>
      </w:r>
      <w:r>
        <w:rPr/>
        <w:t>Current</w:t>
      </w:r>
      <w:r>
        <w:rPr>
          <w:spacing w:val="40"/>
        </w:rPr>
        <w:t> </w:t>
      </w:r>
      <w:r>
        <w:rPr/>
        <w:t>Blockade</w:t>
      </w:r>
      <w:r>
        <w:rPr>
          <w:spacing w:val="40"/>
        </w:rPr>
        <w:t> </w:t>
      </w:r>
      <w:r>
        <w:rPr/>
        <w:t>by</w:t>
      </w:r>
      <w:r>
        <w:rPr>
          <w:spacing w:val="40"/>
        </w:rPr>
        <w:t> </w:t>
      </w:r>
      <w:r>
        <w:rPr/>
        <w:t>DCP25</w:t>
      </w:r>
      <w:r>
        <w:rPr>
          <w:spacing w:val="40"/>
        </w:rPr>
        <w:t> </w:t>
      </w:r>
      <w:r>
        <w:rPr/>
        <w:t>on</w:t>
      </w:r>
      <w:r>
        <w:rPr>
          <w:spacing w:val="40"/>
        </w:rPr>
        <w:t> </w:t>
      </w:r>
      <w:r>
        <w:rPr/>
        <w:t>Nav1.6</w:t>
      </w:r>
      <w:r>
        <w:rPr>
          <w:spacing w:val="40"/>
        </w:rPr>
        <w:t> </w:t>
      </w:r>
      <w:r>
        <w:rPr/>
        <w:t>at</w:t>
      </w:r>
      <w:r>
        <w:rPr>
          <w:spacing w:val="40"/>
        </w:rPr>
        <w:t> </w:t>
      </w:r>
      <w:r>
        <w:rPr/>
        <w:t>Resting</w:t>
      </w:r>
      <w:r>
        <w:rPr>
          <w:spacing w:val="40"/>
        </w:rPr>
        <w:t> </w:t>
      </w:r>
      <w:r>
        <w:rPr/>
        <w:t>Membrane Potential (-60 Mv)</w:t>
      </w:r>
    </w:p>
    <w:p>
      <w:pPr>
        <w:pStyle w:val="BodyText"/>
        <w:spacing w:line="266" w:lineRule="exact"/>
        <w:ind w:left="681"/>
      </w:pPr>
      <w:r>
        <w:rPr/>
        <w:t>n=</w:t>
      </w:r>
      <w:r>
        <w:rPr>
          <w:spacing w:val="-2"/>
        </w:rPr>
        <w:t> </w:t>
      </w:r>
      <w:r>
        <w:rPr/>
        <w:t>4</w:t>
      </w:r>
      <w:r>
        <w:rPr>
          <w:spacing w:val="-1"/>
        </w:rPr>
        <w:t> </w:t>
      </w:r>
      <w:r>
        <w:rPr/>
        <w:t>cells</w:t>
      </w:r>
      <w:r>
        <w:rPr>
          <w:spacing w:val="-2"/>
        </w:rPr>
        <w:t> </w:t>
      </w:r>
      <w:r>
        <w:rPr/>
        <w:t>per each</w:t>
      </w:r>
      <w:r>
        <w:rPr>
          <w:spacing w:val="-5"/>
        </w:rPr>
        <w:t> </w:t>
      </w:r>
      <w:r>
        <w:rPr>
          <w:spacing w:val="-2"/>
        </w:rPr>
        <w:t>concentration</w:t>
      </w:r>
    </w:p>
    <w:p>
      <w:pPr>
        <w:spacing w:after="0" w:line="266" w:lineRule="exact"/>
        <w:sectPr>
          <w:pgSz w:w="12240" w:h="15840"/>
          <w:pgMar w:header="0" w:footer="1066" w:top="1440" w:bottom="1260" w:left="1480" w:right="1160"/>
        </w:sectPr>
      </w:pPr>
    </w:p>
    <w:p>
      <w:pPr>
        <w:pStyle w:val="BodyText"/>
        <w:ind w:left="1395"/>
        <w:rPr>
          <w:sz w:val="20"/>
        </w:rPr>
      </w:pPr>
      <w:r>
        <w:rPr>
          <w:sz w:val="20"/>
        </w:rPr>
        <w:drawing>
          <wp:inline distT="0" distB="0" distL="0" distR="0">
            <wp:extent cx="4566097" cy="3867912"/>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19" cstate="print"/>
                    <a:stretch>
                      <a:fillRect/>
                    </a:stretch>
                  </pic:blipFill>
                  <pic:spPr>
                    <a:xfrm>
                      <a:off x="0" y="0"/>
                      <a:ext cx="4566097" cy="3867912"/>
                    </a:xfrm>
                    <a:prstGeom prst="rect">
                      <a:avLst/>
                    </a:prstGeom>
                  </pic:spPr>
                </pic:pic>
              </a:graphicData>
            </a:graphic>
          </wp:inline>
        </w:drawing>
      </w:r>
      <w:r>
        <w:rPr>
          <w:sz w:val="20"/>
        </w:rPr>
      </w:r>
    </w:p>
    <w:p>
      <w:pPr>
        <w:pStyle w:val="BodyText"/>
        <w:spacing w:before="24"/>
      </w:pPr>
    </w:p>
    <w:p>
      <w:pPr>
        <w:pStyle w:val="Heading2"/>
        <w:spacing w:line="242" w:lineRule="auto"/>
        <w:ind w:right="284"/>
        <w:jc w:val="left"/>
      </w:pPr>
      <w:r>
        <w:rPr/>
        <w:t>Figure</w:t>
      </w:r>
      <w:r>
        <w:rPr>
          <w:spacing w:val="40"/>
        </w:rPr>
        <w:t> </w:t>
      </w:r>
      <w:r>
        <w:rPr/>
        <w:t>10:</w:t>
      </w:r>
      <w:r>
        <w:rPr>
          <w:spacing w:val="40"/>
        </w:rPr>
        <w:t> </w:t>
      </w:r>
      <w:r>
        <w:rPr/>
        <w:t>Tonic</w:t>
      </w:r>
      <w:r>
        <w:rPr>
          <w:spacing w:val="40"/>
        </w:rPr>
        <w:t> </w:t>
      </w:r>
      <w:r>
        <w:rPr/>
        <w:t>Current</w:t>
      </w:r>
      <w:r>
        <w:rPr>
          <w:spacing w:val="40"/>
        </w:rPr>
        <w:t> </w:t>
      </w:r>
      <w:r>
        <w:rPr/>
        <w:t>Blockade</w:t>
      </w:r>
      <w:r>
        <w:rPr>
          <w:spacing w:val="40"/>
        </w:rPr>
        <w:t> </w:t>
      </w:r>
      <w:r>
        <w:rPr/>
        <w:t>by</w:t>
      </w:r>
      <w:r>
        <w:rPr>
          <w:spacing w:val="40"/>
        </w:rPr>
        <w:t> </w:t>
      </w:r>
      <w:r>
        <w:rPr/>
        <w:t>DCP34</w:t>
      </w:r>
      <w:r>
        <w:rPr>
          <w:spacing w:val="40"/>
        </w:rPr>
        <w:t> </w:t>
      </w:r>
      <w:r>
        <w:rPr/>
        <w:t>on</w:t>
      </w:r>
      <w:r>
        <w:rPr>
          <w:spacing w:val="40"/>
        </w:rPr>
        <w:t> </w:t>
      </w:r>
      <w:r>
        <w:rPr/>
        <w:t>Na</w:t>
      </w:r>
      <w:r>
        <w:rPr>
          <w:vertAlign w:val="subscript"/>
        </w:rPr>
        <w:t>v</w:t>
      </w:r>
      <w:r>
        <w:rPr>
          <w:vertAlign w:val="baseline"/>
        </w:rPr>
        <w:t>1.6</w:t>
      </w:r>
      <w:r>
        <w:rPr>
          <w:spacing w:val="40"/>
          <w:vertAlign w:val="baseline"/>
        </w:rPr>
        <w:t> </w:t>
      </w:r>
      <w:r>
        <w:rPr>
          <w:vertAlign w:val="baseline"/>
        </w:rPr>
        <w:t>at</w:t>
      </w:r>
      <w:r>
        <w:rPr>
          <w:spacing w:val="40"/>
          <w:vertAlign w:val="baseline"/>
        </w:rPr>
        <w:t> </w:t>
      </w:r>
      <w:r>
        <w:rPr>
          <w:vertAlign w:val="baseline"/>
        </w:rPr>
        <w:t>Resting</w:t>
      </w:r>
      <w:r>
        <w:rPr>
          <w:spacing w:val="40"/>
          <w:vertAlign w:val="baseline"/>
        </w:rPr>
        <w:t> </w:t>
      </w:r>
      <w:r>
        <w:rPr>
          <w:vertAlign w:val="baseline"/>
        </w:rPr>
        <w:t>Membrane Potential (-60 mV)</w:t>
      </w:r>
    </w:p>
    <w:p>
      <w:pPr>
        <w:pStyle w:val="BodyText"/>
        <w:spacing w:line="266" w:lineRule="exact"/>
        <w:ind w:left="681"/>
      </w:pPr>
      <w:r>
        <w:rPr/>
        <w:t>n</w:t>
      </w:r>
      <w:r>
        <w:rPr>
          <w:spacing w:val="-5"/>
        </w:rPr>
        <w:t> </w:t>
      </w:r>
      <w:r>
        <w:rPr/>
        <w:t>= 4</w:t>
      </w:r>
      <w:r>
        <w:rPr>
          <w:spacing w:val="1"/>
        </w:rPr>
        <w:t> </w:t>
      </w:r>
      <w:r>
        <w:rPr/>
        <w:t>cells</w:t>
      </w:r>
      <w:r>
        <w:rPr>
          <w:spacing w:val="-2"/>
        </w:rPr>
        <w:t> </w:t>
      </w:r>
      <w:r>
        <w:rPr/>
        <w:t>per</w:t>
      </w:r>
      <w:r>
        <w:rPr>
          <w:spacing w:val="2"/>
        </w:rPr>
        <w:t> </w:t>
      </w:r>
      <w:r>
        <w:rPr/>
        <w:t>each</w:t>
      </w:r>
      <w:r>
        <w:rPr>
          <w:spacing w:val="-4"/>
        </w:rPr>
        <w:t> </w:t>
      </w:r>
      <w:r>
        <w:rPr>
          <w:spacing w:val="-2"/>
        </w:rPr>
        <w:t>concentration</w:t>
      </w:r>
    </w:p>
    <w:p>
      <w:pPr>
        <w:spacing w:after="0" w:line="266" w:lineRule="exact"/>
        <w:sectPr>
          <w:pgSz w:w="12240" w:h="15840"/>
          <w:pgMar w:header="0" w:footer="1066" w:top="1440" w:bottom="1260" w:left="1480" w:right="1160"/>
        </w:sectPr>
      </w:pPr>
    </w:p>
    <w:p>
      <w:pPr>
        <w:pStyle w:val="BodyText"/>
        <w:ind w:left="1236"/>
        <w:rPr>
          <w:sz w:val="20"/>
        </w:rPr>
      </w:pPr>
      <w:r>
        <w:rPr>
          <w:sz w:val="20"/>
        </w:rPr>
        <w:drawing>
          <wp:inline distT="0" distB="0" distL="0" distR="0">
            <wp:extent cx="4769508" cy="4091940"/>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20" cstate="print"/>
                    <a:stretch>
                      <a:fillRect/>
                    </a:stretch>
                  </pic:blipFill>
                  <pic:spPr>
                    <a:xfrm>
                      <a:off x="0" y="0"/>
                      <a:ext cx="4769508" cy="4091940"/>
                    </a:xfrm>
                    <a:prstGeom prst="rect">
                      <a:avLst/>
                    </a:prstGeom>
                  </pic:spPr>
                </pic:pic>
              </a:graphicData>
            </a:graphic>
          </wp:inline>
        </w:drawing>
      </w:r>
      <w:r>
        <w:rPr>
          <w:sz w:val="20"/>
        </w:rPr>
      </w:r>
    </w:p>
    <w:p>
      <w:pPr>
        <w:pStyle w:val="BodyText"/>
        <w:spacing w:before="39"/>
      </w:pPr>
    </w:p>
    <w:p>
      <w:pPr>
        <w:pStyle w:val="Heading2"/>
        <w:spacing w:line="237" w:lineRule="auto" w:before="1"/>
        <w:jc w:val="left"/>
      </w:pPr>
      <w:r>
        <w:rPr/>
        <w:t>Figure</w:t>
      </w:r>
      <w:r>
        <w:rPr>
          <w:spacing w:val="78"/>
        </w:rPr>
        <w:t> </w:t>
      </w:r>
      <w:r>
        <w:rPr/>
        <w:t>11:</w:t>
      </w:r>
      <w:r>
        <w:rPr>
          <w:spacing w:val="80"/>
        </w:rPr>
        <w:t> </w:t>
      </w:r>
      <w:r>
        <w:rPr/>
        <w:t>Current</w:t>
      </w:r>
      <w:r>
        <w:rPr>
          <w:spacing w:val="80"/>
        </w:rPr>
        <w:t> </w:t>
      </w:r>
      <w:r>
        <w:rPr/>
        <w:t>Blockade</w:t>
      </w:r>
      <w:r>
        <w:rPr>
          <w:spacing w:val="78"/>
        </w:rPr>
        <w:t> </w:t>
      </w:r>
      <w:r>
        <w:rPr/>
        <w:t>by</w:t>
      </w:r>
      <w:r>
        <w:rPr>
          <w:spacing w:val="79"/>
        </w:rPr>
        <w:t> </w:t>
      </w:r>
      <w:r>
        <w:rPr/>
        <w:t>DCP23</w:t>
      </w:r>
      <w:r>
        <w:rPr>
          <w:spacing w:val="80"/>
        </w:rPr>
        <w:t> </w:t>
      </w:r>
      <w:r>
        <w:rPr/>
        <w:t>on</w:t>
      </w:r>
      <w:r>
        <w:rPr>
          <w:spacing w:val="80"/>
        </w:rPr>
        <w:t> </w:t>
      </w:r>
      <w:r>
        <w:rPr/>
        <w:t>Na</w:t>
      </w:r>
      <w:r>
        <w:rPr>
          <w:vertAlign w:val="subscript"/>
        </w:rPr>
        <w:t>v</w:t>
      </w:r>
      <w:r>
        <w:rPr>
          <w:vertAlign w:val="baseline"/>
        </w:rPr>
        <w:t>1.6</w:t>
      </w:r>
      <w:r>
        <w:rPr>
          <w:spacing w:val="79"/>
          <w:vertAlign w:val="baseline"/>
        </w:rPr>
        <w:t> </w:t>
      </w:r>
      <w:r>
        <w:rPr>
          <w:vertAlign w:val="baseline"/>
        </w:rPr>
        <w:t>at</w:t>
      </w:r>
      <w:r>
        <w:rPr>
          <w:spacing w:val="80"/>
          <w:vertAlign w:val="baseline"/>
        </w:rPr>
        <w:t> </w:t>
      </w:r>
      <w:r>
        <w:rPr>
          <w:vertAlign w:val="baseline"/>
        </w:rPr>
        <w:t>Inactivated</w:t>
      </w:r>
      <w:r>
        <w:rPr>
          <w:spacing w:val="75"/>
          <w:vertAlign w:val="baseline"/>
        </w:rPr>
        <w:t> </w:t>
      </w:r>
      <w:r>
        <w:rPr>
          <w:vertAlign w:val="baseline"/>
        </w:rPr>
        <w:t>Membrane Potential (-100 mV)</w:t>
      </w:r>
    </w:p>
    <w:p>
      <w:pPr>
        <w:pStyle w:val="BodyText"/>
        <w:spacing w:line="275" w:lineRule="exact"/>
        <w:ind w:left="681"/>
      </w:pPr>
      <w:r>
        <w:rPr/>
        <w:t>n</w:t>
      </w:r>
      <w:r>
        <w:rPr>
          <w:spacing w:val="-5"/>
        </w:rPr>
        <w:t> </w:t>
      </w:r>
      <w:r>
        <w:rPr/>
        <w:t>= 5</w:t>
      </w:r>
      <w:r>
        <w:rPr>
          <w:spacing w:val="1"/>
        </w:rPr>
        <w:t> </w:t>
      </w:r>
      <w:r>
        <w:rPr/>
        <w:t>cells</w:t>
      </w:r>
      <w:r>
        <w:rPr>
          <w:spacing w:val="-2"/>
        </w:rPr>
        <w:t> </w:t>
      </w:r>
      <w:r>
        <w:rPr/>
        <w:t>per</w:t>
      </w:r>
      <w:r>
        <w:rPr>
          <w:spacing w:val="2"/>
        </w:rPr>
        <w:t> </w:t>
      </w:r>
      <w:r>
        <w:rPr/>
        <w:t>each</w:t>
      </w:r>
      <w:r>
        <w:rPr>
          <w:spacing w:val="-4"/>
        </w:rPr>
        <w:t> </w:t>
      </w:r>
      <w:r>
        <w:rPr>
          <w:spacing w:val="-2"/>
        </w:rPr>
        <w:t>concentration</w:t>
      </w:r>
    </w:p>
    <w:p>
      <w:pPr>
        <w:spacing w:after="0" w:line="275" w:lineRule="exact"/>
        <w:sectPr>
          <w:pgSz w:w="12240" w:h="15840"/>
          <w:pgMar w:header="0" w:footer="1066" w:top="1440" w:bottom="1260" w:left="1480" w:right="1160"/>
        </w:sectPr>
      </w:pPr>
    </w:p>
    <w:p>
      <w:pPr>
        <w:pStyle w:val="BodyText"/>
        <w:rPr>
          <w:sz w:val="20"/>
        </w:rPr>
      </w:pPr>
      <w:r>
        <w:rPr/>
        <mc:AlternateContent>
          <mc:Choice Requires="wps">
            <w:drawing>
              <wp:anchor distT="0" distB="0" distL="0" distR="0" allowOverlap="1" layoutInCell="1" locked="0" behindDoc="0" simplePos="0" relativeHeight="15805440">
                <wp:simplePos x="0" y="0"/>
                <wp:positionH relativeFrom="page">
                  <wp:posOffset>1674704</wp:posOffset>
                </wp:positionH>
                <wp:positionV relativeFrom="page">
                  <wp:posOffset>2323792</wp:posOffset>
                </wp:positionV>
                <wp:extent cx="250825" cy="164274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50825" cy="1642745"/>
                        </a:xfrm>
                        <a:prstGeom prst="rect">
                          <a:avLst/>
                        </a:prstGeom>
                      </wps:spPr>
                      <wps:txbx>
                        <w:txbxContent>
                          <w:p>
                            <w:pPr>
                              <w:spacing w:before="17"/>
                              <w:ind w:left="20" w:right="0" w:firstLine="0"/>
                              <w:jc w:val="left"/>
                              <w:rPr>
                                <w:rFonts w:ascii="Arial"/>
                                <w:b/>
                                <w:sz w:val="31"/>
                              </w:rPr>
                            </w:pPr>
                            <w:r>
                              <w:rPr>
                                <w:rFonts w:ascii="Arial"/>
                                <w:b/>
                                <w:w w:val="105"/>
                                <w:sz w:val="31"/>
                              </w:rPr>
                              <w:t>Fractional</w:t>
                            </w:r>
                            <w:r>
                              <w:rPr>
                                <w:rFonts w:ascii="Arial"/>
                                <w:b/>
                                <w:spacing w:val="1"/>
                                <w:w w:val="105"/>
                                <w:sz w:val="31"/>
                              </w:rPr>
                              <w:t> </w:t>
                            </w:r>
                            <w:r>
                              <w:rPr>
                                <w:rFonts w:ascii="Arial"/>
                                <w:b/>
                                <w:spacing w:val="-2"/>
                                <w:w w:val="105"/>
                                <w:sz w:val="31"/>
                              </w:rPr>
                              <w:t>Block</w:t>
                            </w:r>
                          </w:p>
                        </w:txbxContent>
                      </wps:txbx>
                      <wps:bodyPr wrap="square" lIns="0" tIns="0" rIns="0" bIns="0" rtlCol="0" vert="vert270">
                        <a:noAutofit/>
                      </wps:bodyPr>
                    </wps:wsp>
                  </a:graphicData>
                </a:graphic>
              </wp:anchor>
            </w:drawing>
          </mc:Choice>
          <mc:Fallback>
            <w:pict>
              <v:shape style="position:absolute;margin-left:131.86647pt;margin-top:182.975815pt;width:19.75pt;height:129.35pt;mso-position-horizontal-relative:page;mso-position-vertical-relative:page;z-index:15805440" type="#_x0000_t202" id="docshape123" filled="false" stroked="false">
                <v:textbox inset="0,0,0,0" style="layout-flow:vertical;mso-layout-flow-alt:bottom-to-top">
                  <w:txbxContent>
                    <w:p>
                      <w:pPr>
                        <w:spacing w:before="17"/>
                        <w:ind w:left="20" w:right="0" w:firstLine="0"/>
                        <w:jc w:val="left"/>
                        <w:rPr>
                          <w:rFonts w:ascii="Arial"/>
                          <w:b/>
                          <w:sz w:val="31"/>
                        </w:rPr>
                      </w:pPr>
                      <w:r>
                        <w:rPr>
                          <w:rFonts w:ascii="Arial"/>
                          <w:b/>
                          <w:w w:val="105"/>
                          <w:sz w:val="31"/>
                        </w:rPr>
                        <w:t>Fractional</w:t>
                      </w:r>
                      <w:r>
                        <w:rPr>
                          <w:rFonts w:ascii="Arial"/>
                          <w:b/>
                          <w:spacing w:val="1"/>
                          <w:w w:val="105"/>
                          <w:sz w:val="31"/>
                        </w:rPr>
                        <w:t> </w:t>
                      </w:r>
                      <w:r>
                        <w:rPr>
                          <w:rFonts w:ascii="Arial"/>
                          <w:b/>
                          <w:spacing w:val="-2"/>
                          <w:w w:val="105"/>
                          <w:sz w:val="31"/>
                        </w:rPr>
                        <w:t>Block</w:t>
                      </w:r>
                    </w:p>
                  </w:txbxContent>
                </v:textbox>
                <w10:wrap type="none"/>
              </v:shape>
            </w:pict>
          </mc:Fallback>
        </mc:AlternateContent>
      </w:r>
    </w:p>
    <w:p>
      <w:pPr>
        <w:pStyle w:val="BodyText"/>
        <w:rPr>
          <w:sz w:val="20"/>
        </w:rPr>
      </w:pPr>
    </w:p>
    <w:p>
      <w:pPr>
        <w:pStyle w:val="BodyText"/>
        <w:spacing w:before="138" w:after="1"/>
        <w:rPr>
          <w:sz w:val="20"/>
        </w:rPr>
      </w:pPr>
    </w:p>
    <w:p>
      <w:pPr>
        <w:tabs>
          <w:tab w:pos="6305" w:val="left" w:leader="none"/>
        </w:tabs>
        <w:spacing w:line="240" w:lineRule="auto"/>
        <w:ind w:left="2271" w:right="0" w:firstLine="0"/>
        <w:rPr>
          <w:sz w:val="20"/>
        </w:rPr>
      </w:pPr>
      <w:r>
        <w:rPr>
          <w:sz w:val="20"/>
        </w:rPr>
        <mc:AlternateContent>
          <mc:Choice Requires="wps">
            <w:drawing>
              <wp:inline distT="0" distB="0" distL="0" distR="0">
                <wp:extent cx="2320925" cy="2967355"/>
                <wp:effectExtent l="9525" t="0" r="0" b="13969"/>
                <wp:docPr id="223" name="Group 223"/>
                <wp:cNvGraphicFramePr>
                  <a:graphicFrameLocks/>
                </wp:cNvGraphicFramePr>
                <a:graphic>
                  <a:graphicData uri="http://schemas.microsoft.com/office/word/2010/wordprocessingGroup">
                    <wpg:wgp>
                      <wpg:cNvPr id="223" name="Group 223"/>
                      <wpg:cNvGrpSpPr/>
                      <wpg:grpSpPr>
                        <a:xfrm>
                          <a:off x="0" y="0"/>
                          <a:ext cx="2320925" cy="2967355"/>
                          <a:chExt cx="2320925" cy="2967355"/>
                        </a:xfrm>
                      </wpg:grpSpPr>
                      <wps:wsp>
                        <wps:cNvPr id="224" name="Graphic 224"/>
                        <wps:cNvSpPr/>
                        <wps:spPr>
                          <a:xfrm>
                            <a:off x="0" y="7968"/>
                            <a:ext cx="62230" cy="2894965"/>
                          </a:xfrm>
                          <a:custGeom>
                            <a:avLst/>
                            <a:gdLst/>
                            <a:ahLst/>
                            <a:cxnLst/>
                            <a:rect l="l" t="t" r="r" b="b"/>
                            <a:pathLst>
                              <a:path w="62230" h="2894965">
                                <a:moveTo>
                                  <a:pt x="61923" y="0"/>
                                </a:moveTo>
                                <a:lnTo>
                                  <a:pt x="61923" y="2878661"/>
                                </a:lnTo>
                              </a:path>
                              <a:path w="62230" h="2894965">
                                <a:moveTo>
                                  <a:pt x="0" y="2894598"/>
                                </a:moveTo>
                                <a:lnTo>
                                  <a:pt x="46442" y="2894598"/>
                                </a:lnTo>
                              </a:path>
                              <a:path w="62230" h="2894965">
                                <a:moveTo>
                                  <a:pt x="0" y="2414909"/>
                                </a:moveTo>
                                <a:lnTo>
                                  <a:pt x="46442" y="2414909"/>
                                </a:lnTo>
                              </a:path>
                              <a:path w="62230" h="2894965">
                                <a:moveTo>
                                  <a:pt x="0" y="1935221"/>
                                </a:moveTo>
                                <a:lnTo>
                                  <a:pt x="46442" y="1935221"/>
                                </a:lnTo>
                              </a:path>
                              <a:path w="62230" h="2894965">
                                <a:moveTo>
                                  <a:pt x="0" y="1439171"/>
                                </a:moveTo>
                                <a:lnTo>
                                  <a:pt x="46442" y="1439171"/>
                                </a:lnTo>
                              </a:path>
                              <a:path w="62230" h="2894965">
                                <a:moveTo>
                                  <a:pt x="0" y="959376"/>
                                </a:moveTo>
                                <a:lnTo>
                                  <a:pt x="46442" y="959376"/>
                                </a:lnTo>
                              </a:path>
                              <a:path w="62230" h="2894965">
                                <a:moveTo>
                                  <a:pt x="0" y="479582"/>
                                </a:moveTo>
                                <a:lnTo>
                                  <a:pt x="46442" y="479582"/>
                                </a:lnTo>
                              </a:path>
                              <a:path w="62230" h="2894965">
                                <a:moveTo>
                                  <a:pt x="0" y="0"/>
                                </a:moveTo>
                                <a:lnTo>
                                  <a:pt x="46442" y="0"/>
                                </a:lnTo>
                              </a:path>
                            </a:pathLst>
                          </a:custGeom>
                          <a:ln w="15708">
                            <a:solidFill>
                              <a:srgbClr val="000000"/>
                            </a:solidFill>
                            <a:prstDash val="solid"/>
                          </a:ln>
                        </wps:spPr>
                        <wps:bodyPr wrap="square" lIns="0" tIns="0" rIns="0" bIns="0" rtlCol="0">
                          <a:prstTxWarp prst="textNoShape">
                            <a:avLst/>
                          </a:prstTxWarp>
                          <a:noAutofit/>
                        </wps:bodyPr>
                      </wps:wsp>
                      <wps:wsp>
                        <wps:cNvPr id="225" name="Graphic 225"/>
                        <wps:cNvSpPr/>
                        <wps:spPr>
                          <a:xfrm>
                            <a:off x="61923" y="2902566"/>
                            <a:ext cx="2235835" cy="1270"/>
                          </a:xfrm>
                          <a:custGeom>
                            <a:avLst/>
                            <a:gdLst/>
                            <a:ahLst/>
                            <a:cxnLst/>
                            <a:rect l="l" t="t" r="r" b="b"/>
                            <a:pathLst>
                              <a:path w="2235835" h="0">
                                <a:moveTo>
                                  <a:pt x="0" y="0"/>
                                </a:moveTo>
                                <a:lnTo>
                                  <a:pt x="132102" y="0"/>
                                </a:lnTo>
                              </a:path>
                              <a:path w="2235835" h="0">
                                <a:moveTo>
                                  <a:pt x="209506" y="0"/>
                                </a:moveTo>
                                <a:lnTo>
                                  <a:pt x="2235532" y="0"/>
                                </a:lnTo>
                              </a:path>
                            </a:pathLst>
                          </a:custGeom>
                          <a:ln w="15936">
                            <a:solidFill>
                              <a:srgbClr val="000000"/>
                            </a:solidFill>
                            <a:prstDash val="solid"/>
                          </a:ln>
                        </wps:spPr>
                        <wps:bodyPr wrap="square" lIns="0" tIns="0" rIns="0" bIns="0" rtlCol="0">
                          <a:prstTxWarp prst="textNoShape">
                            <a:avLst/>
                          </a:prstTxWarp>
                          <a:noAutofit/>
                        </wps:bodyPr>
                      </wps:wsp>
                      <wps:wsp>
                        <wps:cNvPr id="226" name="Graphic 226"/>
                        <wps:cNvSpPr/>
                        <wps:spPr>
                          <a:xfrm>
                            <a:off x="61923" y="2918502"/>
                            <a:ext cx="2251075" cy="48895"/>
                          </a:xfrm>
                          <a:custGeom>
                            <a:avLst/>
                            <a:gdLst/>
                            <a:ahLst/>
                            <a:cxnLst/>
                            <a:rect l="l" t="t" r="r" b="b"/>
                            <a:pathLst>
                              <a:path w="2251075" h="48895">
                                <a:moveTo>
                                  <a:pt x="0" y="48340"/>
                                </a:moveTo>
                                <a:lnTo>
                                  <a:pt x="0" y="0"/>
                                </a:lnTo>
                              </a:path>
                              <a:path w="2251075" h="48895">
                                <a:moveTo>
                                  <a:pt x="372571" y="48340"/>
                                </a:moveTo>
                                <a:lnTo>
                                  <a:pt x="372571" y="0"/>
                                </a:lnTo>
                              </a:path>
                              <a:path w="2251075" h="48895">
                                <a:moveTo>
                                  <a:pt x="745143" y="48340"/>
                                </a:moveTo>
                                <a:lnTo>
                                  <a:pt x="745143" y="0"/>
                                </a:lnTo>
                              </a:path>
                              <a:path w="2251075" h="48895">
                                <a:moveTo>
                                  <a:pt x="1133298" y="48340"/>
                                </a:moveTo>
                                <a:lnTo>
                                  <a:pt x="1133298" y="0"/>
                                </a:lnTo>
                              </a:path>
                              <a:path w="2251075" h="48895">
                                <a:moveTo>
                                  <a:pt x="1505663" y="48340"/>
                                </a:moveTo>
                                <a:lnTo>
                                  <a:pt x="1505663" y="0"/>
                                </a:lnTo>
                              </a:path>
                              <a:path w="2251075" h="48895">
                                <a:moveTo>
                                  <a:pt x="1878441" y="48340"/>
                                </a:moveTo>
                                <a:lnTo>
                                  <a:pt x="1878441" y="0"/>
                                </a:lnTo>
                              </a:path>
                              <a:path w="2251075" h="48895">
                                <a:moveTo>
                                  <a:pt x="2251013" y="48340"/>
                                </a:moveTo>
                                <a:lnTo>
                                  <a:pt x="2251013" y="0"/>
                                </a:lnTo>
                              </a:path>
                            </a:pathLst>
                          </a:custGeom>
                          <a:ln w="15708">
                            <a:solidFill>
                              <a:srgbClr val="000000"/>
                            </a:solidFill>
                            <a:prstDash val="solid"/>
                          </a:ln>
                        </wps:spPr>
                        <wps:bodyPr wrap="square" lIns="0" tIns="0" rIns="0" bIns="0" rtlCol="0">
                          <a:prstTxWarp prst="textNoShape">
                            <a:avLst/>
                          </a:prstTxWarp>
                          <a:noAutofit/>
                        </wps:bodyPr>
                      </wps:wsp>
                      <wps:wsp>
                        <wps:cNvPr id="227" name="Graphic 227"/>
                        <wps:cNvSpPr/>
                        <wps:spPr>
                          <a:xfrm>
                            <a:off x="248209" y="535359"/>
                            <a:ext cx="1863089" cy="2127250"/>
                          </a:xfrm>
                          <a:custGeom>
                            <a:avLst/>
                            <a:gdLst/>
                            <a:ahLst/>
                            <a:cxnLst/>
                            <a:rect l="l" t="t" r="r" b="b"/>
                            <a:pathLst>
                              <a:path w="1863089" h="2127250">
                                <a:moveTo>
                                  <a:pt x="0" y="2127096"/>
                                </a:moveTo>
                                <a:lnTo>
                                  <a:pt x="357090" y="1935327"/>
                                </a:lnTo>
                              </a:path>
                              <a:path w="1863089" h="2127250">
                                <a:moveTo>
                                  <a:pt x="372571" y="1935327"/>
                                </a:moveTo>
                                <a:lnTo>
                                  <a:pt x="745143" y="1247933"/>
                                </a:lnTo>
                              </a:path>
                              <a:path w="1863089" h="2127250">
                                <a:moveTo>
                                  <a:pt x="745143" y="1231997"/>
                                </a:moveTo>
                                <a:lnTo>
                                  <a:pt x="1117714" y="735840"/>
                                </a:lnTo>
                              </a:path>
                              <a:path w="1863089" h="2127250">
                                <a:moveTo>
                                  <a:pt x="1133195" y="719904"/>
                                </a:moveTo>
                                <a:lnTo>
                                  <a:pt x="1505766" y="80319"/>
                                </a:lnTo>
                              </a:path>
                              <a:path w="1863089" h="2127250">
                                <a:moveTo>
                                  <a:pt x="1505766" y="64383"/>
                                </a:moveTo>
                                <a:lnTo>
                                  <a:pt x="1862857" y="0"/>
                                </a:lnTo>
                              </a:path>
                            </a:pathLst>
                          </a:custGeom>
                          <a:ln w="15708">
                            <a:solidFill>
                              <a:srgbClr val="000080"/>
                            </a:solidFill>
                            <a:prstDash val="solid"/>
                          </a:ln>
                        </wps:spPr>
                        <wps:bodyPr wrap="square" lIns="0" tIns="0" rIns="0" bIns="0" rtlCol="0">
                          <a:prstTxWarp prst="textNoShape">
                            <a:avLst/>
                          </a:prstTxWarp>
                          <a:noAutofit/>
                        </wps:bodyPr>
                      </wps:wsp>
                      <wps:wsp>
                        <wps:cNvPr id="228" name="Graphic 228"/>
                        <wps:cNvSpPr/>
                        <wps:spPr>
                          <a:xfrm>
                            <a:off x="248209" y="679425"/>
                            <a:ext cx="1863089" cy="2223135"/>
                          </a:xfrm>
                          <a:custGeom>
                            <a:avLst/>
                            <a:gdLst/>
                            <a:ahLst/>
                            <a:cxnLst/>
                            <a:rect l="l" t="t" r="r" b="b"/>
                            <a:pathLst>
                              <a:path w="1863089" h="2223135">
                                <a:moveTo>
                                  <a:pt x="0" y="2223140"/>
                                </a:moveTo>
                                <a:lnTo>
                                  <a:pt x="357090" y="1983030"/>
                                </a:lnTo>
                              </a:path>
                              <a:path w="1863089" h="2223135">
                                <a:moveTo>
                                  <a:pt x="372571" y="1983030"/>
                                </a:moveTo>
                                <a:lnTo>
                                  <a:pt x="729662" y="1535215"/>
                                </a:lnTo>
                              </a:path>
                              <a:path w="1863089" h="2223135">
                                <a:moveTo>
                                  <a:pt x="745143" y="1519278"/>
                                </a:moveTo>
                                <a:lnTo>
                                  <a:pt x="1117714" y="1023760"/>
                                </a:lnTo>
                              </a:path>
                              <a:path w="1863089" h="2223135">
                                <a:moveTo>
                                  <a:pt x="1133195" y="1007823"/>
                                </a:moveTo>
                                <a:lnTo>
                                  <a:pt x="1505766" y="111980"/>
                                </a:lnTo>
                              </a:path>
                              <a:path w="1863089" h="2223135">
                                <a:moveTo>
                                  <a:pt x="1505766" y="96043"/>
                                </a:moveTo>
                                <a:lnTo>
                                  <a:pt x="1862857" y="0"/>
                                </a:lnTo>
                              </a:path>
                            </a:pathLst>
                          </a:custGeom>
                          <a:ln w="15708">
                            <a:solidFill>
                              <a:srgbClr val="FF00FF"/>
                            </a:solidFill>
                            <a:prstDash val="solid"/>
                          </a:ln>
                        </wps:spPr>
                        <wps:bodyPr wrap="square" lIns="0" tIns="0" rIns="0" bIns="0" rtlCol="0">
                          <a:prstTxWarp prst="textNoShape">
                            <a:avLst/>
                          </a:prstTxWarp>
                          <a:noAutofit/>
                        </wps:bodyPr>
                      </wps:wsp>
                      <pic:pic>
                        <pic:nvPicPr>
                          <pic:cNvPr id="229" name="Image 229"/>
                          <pic:cNvPicPr/>
                        </pic:nvPicPr>
                        <pic:blipFill>
                          <a:blip r:embed="rId21" cstate="print"/>
                          <a:stretch>
                            <a:fillRect/>
                          </a:stretch>
                        </pic:blipFill>
                        <pic:spPr>
                          <a:xfrm>
                            <a:off x="193912" y="2606793"/>
                            <a:ext cx="108592" cy="111857"/>
                          </a:xfrm>
                          <a:prstGeom prst="rect">
                            <a:avLst/>
                          </a:prstGeom>
                        </pic:spPr>
                      </pic:pic>
                      <pic:pic>
                        <pic:nvPicPr>
                          <pic:cNvPr id="230" name="Image 230"/>
                          <pic:cNvPicPr/>
                        </pic:nvPicPr>
                        <pic:blipFill>
                          <a:blip r:embed="rId22" cstate="print"/>
                          <a:stretch>
                            <a:fillRect/>
                          </a:stretch>
                        </pic:blipFill>
                        <pic:spPr>
                          <a:xfrm>
                            <a:off x="566484" y="2415024"/>
                            <a:ext cx="108592" cy="111857"/>
                          </a:xfrm>
                          <a:prstGeom prst="rect">
                            <a:avLst/>
                          </a:prstGeom>
                        </pic:spPr>
                      </pic:pic>
                      <pic:pic>
                        <pic:nvPicPr>
                          <pic:cNvPr id="231" name="Image 231"/>
                          <pic:cNvPicPr/>
                        </pic:nvPicPr>
                        <pic:blipFill>
                          <a:blip r:embed="rId23" cstate="print"/>
                          <a:stretch>
                            <a:fillRect/>
                          </a:stretch>
                        </pic:blipFill>
                        <pic:spPr>
                          <a:xfrm>
                            <a:off x="939055" y="1711268"/>
                            <a:ext cx="108592" cy="111751"/>
                          </a:xfrm>
                          <a:prstGeom prst="rect">
                            <a:avLst/>
                          </a:prstGeom>
                        </pic:spPr>
                      </pic:pic>
                      <pic:pic>
                        <pic:nvPicPr>
                          <pic:cNvPr id="232" name="Image 232"/>
                          <pic:cNvPicPr/>
                        </pic:nvPicPr>
                        <pic:blipFill>
                          <a:blip r:embed="rId24" cstate="print"/>
                          <a:stretch>
                            <a:fillRect/>
                          </a:stretch>
                        </pic:blipFill>
                        <pic:spPr>
                          <a:xfrm>
                            <a:off x="1327107" y="1199600"/>
                            <a:ext cx="108593" cy="111327"/>
                          </a:xfrm>
                          <a:prstGeom prst="rect">
                            <a:avLst/>
                          </a:prstGeom>
                        </pic:spPr>
                      </pic:pic>
                      <pic:pic>
                        <pic:nvPicPr>
                          <pic:cNvPr id="233" name="Image 233"/>
                          <pic:cNvPicPr/>
                        </pic:nvPicPr>
                        <pic:blipFill>
                          <a:blip r:embed="rId25" cstate="print"/>
                          <a:stretch>
                            <a:fillRect/>
                          </a:stretch>
                        </pic:blipFill>
                        <pic:spPr>
                          <a:xfrm>
                            <a:off x="1699679" y="543442"/>
                            <a:ext cx="108592" cy="111963"/>
                          </a:xfrm>
                          <a:prstGeom prst="rect">
                            <a:avLst/>
                          </a:prstGeom>
                        </pic:spPr>
                      </pic:pic>
                      <pic:pic>
                        <pic:nvPicPr>
                          <pic:cNvPr id="234" name="Image 234"/>
                          <pic:cNvPicPr/>
                        </pic:nvPicPr>
                        <pic:blipFill>
                          <a:blip r:embed="rId26" cstate="print"/>
                          <a:stretch>
                            <a:fillRect/>
                          </a:stretch>
                        </pic:blipFill>
                        <pic:spPr>
                          <a:xfrm>
                            <a:off x="2072251" y="479696"/>
                            <a:ext cx="108592" cy="111963"/>
                          </a:xfrm>
                          <a:prstGeom prst="rect">
                            <a:avLst/>
                          </a:prstGeom>
                        </pic:spPr>
                      </pic:pic>
                      <wps:wsp>
                        <wps:cNvPr id="235" name="Graphic 235"/>
                        <wps:cNvSpPr/>
                        <wps:spPr>
                          <a:xfrm>
                            <a:off x="194020" y="623548"/>
                            <a:ext cx="1956435" cy="2303145"/>
                          </a:xfrm>
                          <a:custGeom>
                            <a:avLst/>
                            <a:gdLst/>
                            <a:ahLst/>
                            <a:cxnLst/>
                            <a:rect l="l" t="t" r="r" b="b"/>
                            <a:pathLst>
                              <a:path w="1956435" h="2303145">
                                <a:moveTo>
                                  <a:pt x="77406" y="2223249"/>
                                </a:moveTo>
                                <a:lnTo>
                                  <a:pt x="0" y="2223249"/>
                                </a:lnTo>
                                <a:lnTo>
                                  <a:pt x="0" y="2302929"/>
                                </a:lnTo>
                                <a:lnTo>
                                  <a:pt x="77406" y="2302929"/>
                                </a:lnTo>
                                <a:lnTo>
                                  <a:pt x="77406" y="2223249"/>
                                </a:lnTo>
                                <a:close/>
                              </a:path>
                              <a:path w="1956435" h="2303145">
                                <a:moveTo>
                                  <a:pt x="449973" y="1983130"/>
                                </a:moveTo>
                                <a:lnTo>
                                  <a:pt x="372567" y="1983130"/>
                                </a:lnTo>
                                <a:lnTo>
                                  <a:pt x="372567" y="2063343"/>
                                </a:lnTo>
                                <a:lnTo>
                                  <a:pt x="449973" y="2063343"/>
                                </a:lnTo>
                                <a:lnTo>
                                  <a:pt x="449973" y="1983130"/>
                                </a:lnTo>
                                <a:close/>
                              </a:path>
                              <a:path w="1956435" h="2303145">
                                <a:moveTo>
                                  <a:pt x="822540" y="1519389"/>
                                </a:moveTo>
                                <a:lnTo>
                                  <a:pt x="745147" y="1519389"/>
                                </a:lnTo>
                                <a:lnTo>
                                  <a:pt x="745147" y="1599603"/>
                                </a:lnTo>
                                <a:lnTo>
                                  <a:pt x="822540" y="1599603"/>
                                </a:lnTo>
                                <a:lnTo>
                                  <a:pt x="822540" y="1519389"/>
                                </a:lnTo>
                                <a:close/>
                              </a:path>
                              <a:path w="1956435" h="2303145">
                                <a:moveTo>
                                  <a:pt x="1210703" y="1007821"/>
                                </a:moveTo>
                                <a:lnTo>
                                  <a:pt x="1133297" y="1007821"/>
                                </a:lnTo>
                                <a:lnTo>
                                  <a:pt x="1133297" y="1087501"/>
                                </a:lnTo>
                                <a:lnTo>
                                  <a:pt x="1210703" y="1087501"/>
                                </a:lnTo>
                                <a:lnTo>
                                  <a:pt x="1210703" y="1007821"/>
                                </a:lnTo>
                                <a:close/>
                              </a:path>
                              <a:path w="1956435" h="2303145">
                                <a:moveTo>
                                  <a:pt x="1583270" y="96253"/>
                                </a:moveTo>
                                <a:lnTo>
                                  <a:pt x="1505864" y="96253"/>
                                </a:lnTo>
                                <a:lnTo>
                                  <a:pt x="1505864" y="175933"/>
                                </a:lnTo>
                                <a:lnTo>
                                  <a:pt x="1583270" y="175933"/>
                                </a:lnTo>
                                <a:lnTo>
                                  <a:pt x="1583270" y="96253"/>
                                </a:lnTo>
                                <a:close/>
                              </a:path>
                              <a:path w="1956435" h="2303145">
                                <a:moveTo>
                                  <a:pt x="1955850" y="0"/>
                                </a:moveTo>
                                <a:lnTo>
                                  <a:pt x="1878444" y="0"/>
                                </a:lnTo>
                                <a:lnTo>
                                  <a:pt x="1878444" y="79679"/>
                                </a:lnTo>
                                <a:lnTo>
                                  <a:pt x="1955850" y="79679"/>
                                </a:lnTo>
                                <a:lnTo>
                                  <a:pt x="1955850" y="0"/>
                                </a:lnTo>
                                <a:close/>
                              </a:path>
                            </a:pathLst>
                          </a:custGeom>
                          <a:solidFill>
                            <a:srgbClr val="FF00FF"/>
                          </a:solidFill>
                        </wps:spPr>
                        <wps:bodyPr wrap="square" lIns="0" tIns="0" rIns="0" bIns="0" rtlCol="0">
                          <a:prstTxWarp prst="textNoShape">
                            <a:avLst/>
                          </a:prstTxWarp>
                          <a:noAutofit/>
                        </wps:bodyPr>
                      </wps:wsp>
                    </wpg:wgp>
                  </a:graphicData>
                </a:graphic>
              </wp:inline>
            </w:drawing>
          </mc:Choice>
          <mc:Fallback>
            <w:pict>
              <v:group style="width:182.75pt;height:233.65pt;mso-position-horizontal-relative:char;mso-position-vertical-relative:line" id="docshapegroup124" coordorigin="0,0" coordsize="3655,4673">
                <v:shape style="position:absolute;left:0;top:12;width:98;height:4559" id="docshape125" coordorigin="0,13" coordsize="98,4559" path="m98,13l98,4546m0,4571l73,4571m0,3816l73,3816m0,3060l73,3060m0,2279l73,2279m0,1523l73,1523m0,768l73,768m0,13l73,13e" filled="false" stroked="true" strokeweight="1.236902pt" strokecolor="#000000">
                  <v:path arrowok="t"/>
                  <v:stroke dashstyle="solid"/>
                </v:shape>
                <v:shape style="position:absolute;left:97;top:4570;width:3521;height:2" id="docshape126" coordorigin="98,4571" coordsize="3521,0" path="m98,4571l306,4571m427,4571l3618,4571e" filled="false" stroked="true" strokeweight="1.254842pt" strokecolor="#000000">
                  <v:path arrowok="t"/>
                  <v:stroke dashstyle="solid"/>
                </v:shape>
                <v:shape style="position:absolute;left:97;top:4596;width:3545;height:77" id="docshape127" coordorigin="98,4596" coordsize="3545,77" path="m98,4672l98,4596m684,4672l684,4596m1271,4672l1271,4596m1882,4672l1882,4596m2469,4672l2469,4596m3056,4672l3056,4596m3642,4672l3642,4596e" filled="false" stroked="true" strokeweight="1.236902pt" strokecolor="#000000">
                  <v:path arrowok="t"/>
                  <v:stroke dashstyle="solid"/>
                </v:shape>
                <v:shape style="position:absolute;left:390;top:843;width:2934;height:3350" id="docshape128" coordorigin="391,843" coordsize="2934,3350" path="m391,4193l953,3891m978,3891l1564,2808m1564,2783l2151,2002m2175,1977l2762,970m2762,944l3325,843e" filled="false" stroked="true" strokeweight="1.236902pt" strokecolor="#000080">
                  <v:path arrowok="t"/>
                  <v:stroke dashstyle="solid"/>
                </v:shape>
                <v:shape style="position:absolute;left:390;top:1069;width:2934;height:3501" id="docshape129" coordorigin="391,1070" coordsize="2934,3501" path="m391,4571l953,4193m978,4193l1540,3488m1564,3463l2151,2682m2175,2657l2762,1246m2762,1221l3325,1070e" filled="false" stroked="true" strokeweight="1.236902pt" strokecolor="#ff00ff">
                  <v:path arrowok="t"/>
                  <v:stroke dashstyle="solid"/>
                </v:shape>
                <v:shape style="position:absolute;left:305;top:4105;width:172;height:177" type="#_x0000_t75" id="docshape130" stroked="false">
                  <v:imagedata r:id="rId21" o:title=""/>
                </v:shape>
                <v:shape style="position:absolute;left:892;top:3803;width:172;height:177" type="#_x0000_t75" id="docshape131" stroked="false">
                  <v:imagedata r:id="rId22" o:title=""/>
                </v:shape>
                <v:shape style="position:absolute;left:1478;top:2694;width:172;height:176" type="#_x0000_t75" id="docshape132" stroked="false">
                  <v:imagedata r:id="rId23" o:title=""/>
                </v:shape>
                <v:shape style="position:absolute;left:2089;top:1889;width:172;height:176" type="#_x0000_t75" id="docshape133" stroked="false">
                  <v:imagedata r:id="rId24" o:title=""/>
                </v:shape>
                <v:shape style="position:absolute;left:2676;top:855;width:172;height:177" type="#_x0000_t75" id="docshape134" stroked="false">
                  <v:imagedata r:id="rId25" o:title=""/>
                </v:shape>
                <v:shape style="position:absolute;left:3263;top:755;width:172;height:177" type="#_x0000_t75" id="docshape135" stroked="false">
                  <v:imagedata r:id="rId26" o:title=""/>
                </v:shape>
                <v:shape style="position:absolute;left:305;top:981;width:3081;height:3627" id="docshape136" coordorigin="306,982" coordsize="3081,3627" path="m427,4483l306,4483,306,4609,427,4609,427,4483xm1014,4105l892,4105,892,4231,1014,4231,1014,4105xm1601,3375l1479,3375,1479,3501,1601,3501,1601,3375xm2212,2569l2090,2569,2090,2695,2212,2695,2212,2569xm2799,1134l2677,1134,2677,1259,2799,1259,2799,1134xm3386,982l3264,982,3264,1107,3386,1107,3386,982xe" filled="true" fillcolor="#ff00ff" stroked="false">
                  <v:path arrowok="t"/>
                  <v:fill type="solid"/>
                </v:shape>
              </v:group>
            </w:pict>
          </mc:Fallback>
        </mc:AlternateContent>
      </w:r>
      <w:r>
        <w:rPr>
          <w:sz w:val="20"/>
        </w:rPr>
      </w:r>
      <w:r>
        <w:rPr>
          <w:sz w:val="20"/>
        </w:rPr>
        <w:tab/>
      </w:r>
      <w:r>
        <w:rPr>
          <w:position w:val="295"/>
          <w:sz w:val="20"/>
        </w:rPr>
        <mc:AlternateContent>
          <mc:Choice Requires="wps">
            <w:drawing>
              <wp:inline distT="0" distB="0" distL="0" distR="0">
                <wp:extent cx="403860" cy="111760"/>
                <wp:effectExtent l="9525" t="0" r="5714" b="2539"/>
                <wp:docPr id="236" name="Group 236"/>
                <wp:cNvGraphicFramePr>
                  <a:graphicFrameLocks/>
                </wp:cNvGraphicFramePr>
                <a:graphic>
                  <a:graphicData uri="http://schemas.microsoft.com/office/word/2010/wordprocessingGroup">
                    <wpg:wgp>
                      <wpg:cNvPr id="236" name="Group 236"/>
                      <wpg:cNvGrpSpPr/>
                      <wpg:grpSpPr>
                        <a:xfrm>
                          <a:off x="0" y="0"/>
                          <a:ext cx="403860" cy="111760"/>
                          <a:chExt cx="403860" cy="111760"/>
                        </a:xfrm>
                      </wpg:grpSpPr>
                      <wps:wsp>
                        <wps:cNvPr id="237" name="Graphic 237"/>
                        <wps:cNvSpPr/>
                        <wps:spPr>
                          <a:xfrm>
                            <a:off x="0" y="56088"/>
                            <a:ext cx="403860" cy="1270"/>
                          </a:xfrm>
                          <a:custGeom>
                            <a:avLst/>
                            <a:gdLst/>
                            <a:ahLst/>
                            <a:cxnLst/>
                            <a:rect l="l" t="t" r="r" b="b"/>
                            <a:pathLst>
                              <a:path w="403860" h="0">
                                <a:moveTo>
                                  <a:pt x="0" y="0"/>
                                </a:moveTo>
                                <a:lnTo>
                                  <a:pt x="403533" y="0"/>
                                </a:lnTo>
                              </a:path>
                            </a:pathLst>
                          </a:custGeom>
                          <a:ln w="15936">
                            <a:solidFill>
                              <a:srgbClr val="000080"/>
                            </a:solidFill>
                            <a:prstDash val="solid"/>
                          </a:ln>
                        </wps:spPr>
                        <wps:bodyPr wrap="square" lIns="0" tIns="0" rIns="0" bIns="0" rtlCol="0">
                          <a:prstTxWarp prst="textNoShape">
                            <a:avLst/>
                          </a:prstTxWarp>
                          <a:noAutofit/>
                        </wps:bodyPr>
                      </wps:wsp>
                      <pic:pic>
                        <pic:nvPicPr>
                          <pic:cNvPr id="238" name="Image 238"/>
                          <pic:cNvPicPr/>
                        </pic:nvPicPr>
                        <pic:blipFill>
                          <a:blip r:embed="rId27" cstate="print"/>
                          <a:stretch>
                            <a:fillRect/>
                          </a:stretch>
                        </pic:blipFill>
                        <pic:spPr>
                          <a:xfrm>
                            <a:off x="146953" y="0"/>
                            <a:ext cx="109006" cy="111752"/>
                          </a:xfrm>
                          <a:prstGeom prst="rect">
                            <a:avLst/>
                          </a:prstGeom>
                        </pic:spPr>
                      </pic:pic>
                    </wpg:wgp>
                  </a:graphicData>
                </a:graphic>
              </wp:inline>
            </w:drawing>
          </mc:Choice>
          <mc:Fallback>
            <w:pict>
              <v:group style="width:31.8pt;height:8.8pt;mso-position-horizontal-relative:char;mso-position-vertical-relative:line" id="docshapegroup137" coordorigin="0,0" coordsize="636,176">
                <v:line style="position:absolute" from="0,88" to="635,88" stroked="true" strokeweight="1.254842pt" strokecolor="#000080">
                  <v:stroke dashstyle="solid"/>
                </v:line>
                <v:shape style="position:absolute;left:231;top:0;width:172;height:176" type="#_x0000_t75" id="docshape138" stroked="false">
                  <v:imagedata r:id="rId27" o:title=""/>
                </v:shape>
              </v:group>
            </w:pict>
          </mc:Fallback>
        </mc:AlternateContent>
      </w:r>
      <w:r>
        <w:rPr>
          <w:position w:val="295"/>
          <w:sz w:val="20"/>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Heading2"/>
        <w:spacing w:line="480" w:lineRule="auto"/>
        <w:jc w:val="left"/>
      </w:pPr>
      <w:r>
        <w:rPr/>
        <mc:AlternateContent>
          <mc:Choice Requires="wps">
            <w:drawing>
              <wp:anchor distT="0" distB="0" distL="0" distR="0" allowOverlap="1" layoutInCell="1" locked="0" behindDoc="1" simplePos="0" relativeHeight="483986944">
                <wp:simplePos x="0" y="0"/>
                <wp:positionH relativeFrom="page">
                  <wp:posOffset>1442647</wp:posOffset>
                </wp:positionH>
                <wp:positionV relativeFrom="paragraph">
                  <wp:posOffset>-4561523</wp:posOffset>
                </wp:positionV>
                <wp:extent cx="5309870" cy="431800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5309870" cy="4318000"/>
                          <a:chExt cx="5309870" cy="4318000"/>
                        </a:xfrm>
                      </wpg:grpSpPr>
                      <wps:wsp>
                        <wps:cNvPr id="240" name="Graphic 240"/>
                        <wps:cNvSpPr/>
                        <wps:spPr>
                          <a:xfrm>
                            <a:off x="3509227" y="1983049"/>
                            <a:ext cx="403860" cy="1270"/>
                          </a:xfrm>
                          <a:custGeom>
                            <a:avLst/>
                            <a:gdLst/>
                            <a:ahLst/>
                            <a:cxnLst/>
                            <a:rect l="l" t="t" r="r" b="b"/>
                            <a:pathLst>
                              <a:path w="403860" h="0">
                                <a:moveTo>
                                  <a:pt x="0" y="0"/>
                                </a:moveTo>
                                <a:lnTo>
                                  <a:pt x="403533" y="0"/>
                                </a:lnTo>
                              </a:path>
                            </a:pathLst>
                          </a:custGeom>
                          <a:ln w="15936">
                            <a:solidFill>
                              <a:srgbClr val="FF00FF"/>
                            </a:solidFill>
                            <a:prstDash val="solid"/>
                          </a:ln>
                        </wps:spPr>
                        <wps:bodyPr wrap="square" lIns="0" tIns="0" rIns="0" bIns="0" rtlCol="0">
                          <a:prstTxWarp prst="textNoShape">
                            <a:avLst/>
                          </a:prstTxWarp>
                          <a:noAutofit/>
                        </wps:bodyPr>
                      </wps:wsp>
                      <wps:wsp>
                        <wps:cNvPr id="241" name="Graphic 241"/>
                        <wps:cNvSpPr/>
                        <wps:spPr>
                          <a:xfrm>
                            <a:off x="3656191" y="1926634"/>
                            <a:ext cx="78105" cy="80645"/>
                          </a:xfrm>
                          <a:custGeom>
                            <a:avLst/>
                            <a:gdLst/>
                            <a:ahLst/>
                            <a:cxnLst/>
                            <a:rect l="l" t="t" r="r" b="b"/>
                            <a:pathLst>
                              <a:path w="78105" h="80645">
                                <a:moveTo>
                                  <a:pt x="77920" y="0"/>
                                </a:moveTo>
                                <a:lnTo>
                                  <a:pt x="0" y="0"/>
                                </a:lnTo>
                                <a:lnTo>
                                  <a:pt x="0" y="80213"/>
                                </a:lnTo>
                                <a:lnTo>
                                  <a:pt x="77920" y="80213"/>
                                </a:lnTo>
                                <a:lnTo>
                                  <a:pt x="77920" y="0"/>
                                </a:lnTo>
                                <a:close/>
                              </a:path>
                            </a:pathLst>
                          </a:custGeom>
                          <a:solidFill>
                            <a:srgbClr val="FF00FF"/>
                          </a:solidFill>
                        </wps:spPr>
                        <wps:bodyPr wrap="square" lIns="0" tIns="0" rIns="0" bIns="0" rtlCol="0">
                          <a:prstTxWarp prst="textNoShape">
                            <a:avLst/>
                          </a:prstTxWarp>
                          <a:noAutofit/>
                        </wps:bodyPr>
                      </wps:wsp>
                      <wps:wsp>
                        <wps:cNvPr id="242" name="Textbox 242"/>
                        <wps:cNvSpPr txBox="1"/>
                        <wps:spPr>
                          <a:xfrm>
                            <a:off x="7880" y="7880"/>
                            <a:ext cx="5294630" cy="4302125"/>
                          </a:xfrm>
                          <a:prstGeom prst="rect">
                            <a:avLst/>
                          </a:prstGeom>
                          <a:ln w="15761">
                            <a:solidFill>
                              <a:srgbClr val="000000"/>
                            </a:solidFill>
                            <a:prstDash val="solid"/>
                          </a:ln>
                        </wps:spPr>
                        <wps:txbx>
                          <w:txbxContent>
                            <w:p>
                              <w:pPr>
                                <w:spacing w:before="341"/>
                                <w:ind w:left="0" w:right="6997" w:firstLine="0"/>
                                <w:jc w:val="right"/>
                                <w:rPr>
                                  <w:rFonts w:ascii="Arial MT"/>
                                  <w:sz w:val="32"/>
                                </w:rPr>
                              </w:pPr>
                              <w:r>
                                <w:rPr>
                                  <w:rFonts w:ascii="Arial MT"/>
                                  <w:spacing w:val="-5"/>
                                  <w:sz w:val="32"/>
                                </w:rPr>
                                <w:t>1.2</w:t>
                              </w:r>
                            </w:p>
                            <w:p>
                              <w:pPr>
                                <w:spacing w:line="240" w:lineRule="auto" w:before="20"/>
                                <w:rPr>
                                  <w:rFonts w:ascii="Arial MT"/>
                                  <w:sz w:val="32"/>
                                </w:rPr>
                              </w:pPr>
                            </w:p>
                            <w:p>
                              <w:pPr>
                                <w:spacing w:before="0"/>
                                <w:ind w:left="0" w:right="6996" w:firstLine="0"/>
                                <w:jc w:val="right"/>
                                <w:rPr>
                                  <w:rFonts w:ascii="Arial MT"/>
                                  <w:sz w:val="32"/>
                                </w:rPr>
                              </w:pPr>
                              <w:r>
                                <w:rPr>
                                  <w:rFonts w:ascii="Arial MT"/>
                                  <w:spacing w:val="-10"/>
                                  <w:sz w:val="32"/>
                                </w:rPr>
                                <w:t>1</w:t>
                              </w:r>
                            </w:p>
                            <w:p>
                              <w:pPr>
                                <w:spacing w:line="240" w:lineRule="auto" w:before="20"/>
                                <w:rPr>
                                  <w:rFonts w:ascii="Arial MT"/>
                                  <w:sz w:val="32"/>
                                </w:rPr>
                              </w:pPr>
                            </w:p>
                            <w:p>
                              <w:pPr>
                                <w:spacing w:before="0"/>
                                <w:ind w:left="0" w:right="6997" w:firstLine="0"/>
                                <w:jc w:val="right"/>
                                <w:rPr>
                                  <w:rFonts w:ascii="Arial MT"/>
                                  <w:sz w:val="32"/>
                                </w:rPr>
                              </w:pPr>
                              <w:r>
                                <w:rPr>
                                  <w:rFonts w:ascii="Arial MT"/>
                                  <w:spacing w:val="-5"/>
                                  <w:sz w:val="32"/>
                                </w:rPr>
                                <w:t>0.8</w:t>
                              </w:r>
                            </w:p>
                            <w:p>
                              <w:pPr>
                                <w:spacing w:line="240" w:lineRule="auto" w:before="19"/>
                                <w:rPr>
                                  <w:rFonts w:ascii="Arial MT"/>
                                  <w:sz w:val="32"/>
                                </w:rPr>
                              </w:pPr>
                            </w:p>
                            <w:p>
                              <w:pPr>
                                <w:spacing w:before="0"/>
                                <w:ind w:left="0" w:right="6997" w:firstLine="0"/>
                                <w:jc w:val="right"/>
                                <w:rPr>
                                  <w:rFonts w:ascii="Arial MT"/>
                                  <w:sz w:val="32"/>
                                </w:rPr>
                              </w:pPr>
                              <w:r>
                                <w:rPr>
                                  <w:rFonts w:ascii="Arial MT"/>
                                  <w:spacing w:val="-5"/>
                                  <w:sz w:val="32"/>
                                </w:rPr>
                                <w:t>0.6</w:t>
                              </w:r>
                            </w:p>
                            <w:p>
                              <w:pPr>
                                <w:spacing w:line="240" w:lineRule="auto" w:before="45"/>
                                <w:rPr>
                                  <w:rFonts w:ascii="Arial MT"/>
                                  <w:sz w:val="32"/>
                                </w:rPr>
                              </w:pPr>
                            </w:p>
                            <w:p>
                              <w:pPr>
                                <w:spacing w:before="0"/>
                                <w:ind w:left="0" w:right="6997" w:firstLine="0"/>
                                <w:jc w:val="right"/>
                                <w:rPr>
                                  <w:rFonts w:ascii="Arial MT"/>
                                  <w:sz w:val="32"/>
                                </w:rPr>
                              </w:pPr>
                              <w:r>
                                <w:rPr>
                                  <w:rFonts w:ascii="Arial MT"/>
                                  <w:spacing w:val="-5"/>
                                  <w:sz w:val="32"/>
                                </w:rPr>
                                <w:t>0.4</w:t>
                              </w:r>
                            </w:p>
                            <w:p>
                              <w:pPr>
                                <w:spacing w:line="240" w:lineRule="auto" w:before="19"/>
                                <w:rPr>
                                  <w:rFonts w:ascii="Arial MT"/>
                                  <w:sz w:val="32"/>
                                </w:rPr>
                              </w:pPr>
                            </w:p>
                            <w:p>
                              <w:pPr>
                                <w:spacing w:before="1"/>
                                <w:ind w:left="0" w:right="6997" w:firstLine="0"/>
                                <w:jc w:val="right"/>
                                <w:rPr>
                                  <w:rFonts w:ascii="Arial MT"/>
                                  <w:sz w:val="32"/>
                                </w:rPr>
                              </w:pPr>
                              <w:r>
                                <w:rPr>
                                  <w:rFonts w:ascii="Arial MT"/>
                                  <w:spacing w:val="-5"/>
                                  <w:sz w:val="32"/>
                                </w:rPr>
                                <w:t>0.2</w:t>
                              </w:r>
                            </w:p>
                            <w:p>
                              <w:pPr>
                                <w:spacing w:line="240" w:lineRule="auto" w:before="20"/>
                                <w:rPr>
                                  <w:rFonts w:ascii="Arial MT"/>
                                  <w:sz w:val="32"/>
                                </w:rPr>
                              </w:pPr>
                            </w:p>
                            <w:p>
                              <w:pPr>
                                <w:spacing w:before="0"/>
                                <w:ind w:left="0" w:right="6996" w:firstLine="0"/>
                                <w:jc w:val="right"/>
                                <w:rPr>
                                  <w:rFonts w:ascii="Arial MT"/>
                                  <w:sz w:val="32"/>
                                </w:rPr>
                              </w:pPr>
                              <w:r>
                                <w:rPr>
                                  <w:rFonts w:ascii="Arial MT"/>
                                  <w:spacing w:val="-10"/>
                                  <w:sz w:val="32"/>
                                </w:rPr>
                                <w:t>0</w:t>
                              </w:r>
                            </w:p>
                            <w:p>
                              <w:pPr>
                                <w:spacing w:line="240" w:lineRule="auto" w:before="0"/>
                                <w:rPr>
                                  <w:rFonts w:ascii="Arial MT"/>
                                  <w:sz w:val="32"/>
                                </w:rPr>
                              </w:pPr>
                            </w:p>
                            <w:p>
                              <w:pPr>
                                <w:spacing w:line="240" w:lineRule="auto" w:before="3"/>
                                <w:rPr>
                                  <w:rFonts w:ascii="Arial MT"/>
                                  <w:sz w:val="32"/>
                                </w:rPr>
                              </w:pPr>
                            </w:p>
                            <w:p>
                              <w:pPr>
                                <w:spacing w:before="1"/>
                                <w:ind w:left="1577" w:right="0" w:firstLine="0"/>
                                <w:jc w:val="left"/>
                                <w:rPr>
                                  <w:rFonts w:ascii="Arial"/>
                                  <w:b/>
                                  <w:sz w:val="32"/>
                                </w:rPr>
                              </w:pPr>
                              <w:r>
                                <w:rPr>
                                  <w:rFonts w:ascii="Arial"/>
                                  <w:b/>
                                  <w:spacing w:val="-8"/>
                                  <w:sz w:val="32"/>
                                </w:rPr>
                                <w:t>CONCENTRATION</w:t>
                              </w:r>
                              <w:r>
                                <w:rPr>
                                  <w:rFonts w:ascii="Arial"/>
                                  <w:b/>
                                  <w:spacing w:val="1"/>
                                  <w:sz w:val="32"/>
                                </w:rPr>
                                <w:t> </w:t>
                              </w:r>
                              <w:r>
                                <w:rPr>
                                  <w:rFonts w:ascii="Arial"/>
                                  <w:b/>
                                  <w:spacing w:val="-4"/>
                                  <w:sz w:val="32"/>
                                </w:rPr>
                                <w:t>(uM)</w:t>
                              </w:r>
                            </w:p>
                          </w:txbxContent>
                        </wps:txbx>
                        <wps:bodyPr wrap="square" lIns="0" tIns="0" rIns="0" bIns="0" rtlCol="0">
                          <a:noAutofit/>
                        </wps:bodyPr>
                      </wps:wsp>
                      <wps:wsp>
                        <wps:cNvPr id="243" name="Textbox 243"/>
                        <wps:cNvSpPr txBox="1"/>
                        <wps:spPr>
                          <a:xfrm>
                            <a:off x="3423566" y="1190899"/>
                            <a:ext cx="1816735" cy="1183640"/>
                          </a:xfrm>
                          <a:prstGeom prst="rect">
                            <a:avLst/>
                          </a:prstGeom>
                          <a:ln w="15806">
                            <a:solidFill>
                              <a:srgbClr val="000000"/>
                            </a:solidFill>
                            <a:prstDash val="solid"/>
                          </a:ln>
                        </wps:spPr>
                        <wps:txbx>
                          <w:txbxContent>
                            <w:p>
                              <w:pPr>
                                <w:spacing w:before="90"/>
                                <w:ind w:left="843" w:right="0" w:firstLine="0"/>
                                <w:jc w:val="left"/>
                                <w:rPr>
                                  <w:rFonts w:ascii="Arial MT"/>
                                  <w:sz w:val="32"/>
                                </w:rPr>
                              </w:pPr>
                              <w:r>
                                <w:rPr>
                                  <w:rFonts w:ascii="Arial MT"/>
                                  <w:sz w:val="32"/>
                                </w:rPr>
                                <w:t>Resting</w:t>
                              </w:r>
                              <w:r>
                                <w:rPr>
                                  <w:rFonts w:ascii="Arial MT"/>
                                  <w:spacing w:val="-8"/>
                                  <w:sz w:val="32"/>
                                </w:rPr>
                                <w:t> </w:t>
                              </w:r>
                              <w:r>
                                <w:rPr>
                                  <w:rFonts w:ascii="Arial MT"/>
                                  <w:spacing w:val="-4"/>
                                  <w:sz w:val="32"/>
                                </w:rPr>
                                <w:t>State</w:t>
                              </w:r>
                            </w:p>
                            <w:p>
                              <w:pPr>
                                <w:spacing w:line="240" w:lineRule="auto" w:before="196"/>
                                <w:rPr>
                                  <w:rFonts w:ascii="Arial MT"/>
                                  <w:sz w:val="32"/>
                                </w:rPr>
                              </w:pPr>
                            </w:p>
                            <w:p>
                              <w:pPr>
                                <w:spacing w:line="264" w:lineRule="auto" w:before="0"/>
                                <w:ind w:left="843" w:right="491" w:firstLine="0"/>
                                <w:jc w:val="left"/>
                                <w:rPr>
                                  <w:rFonts w:ascii="Arial MT"/>
                                  <w:sz w:val="32"/>
                                </w:rPr>
                              </w:pPr>
                              <w:r>
                                <w:rPr>
                                  <w:rFonts w:ascii="Arial MT"/>
                                  <w:spacing w:val="-6"/>
                                  <w:sz w:val="32"/>
                                </w:rPr>
                                <w:t>Inactivated </w:t>
                              </w:r>
                              <w:r>
                                <w:rPr>
                                  <w:rFonts w:ascii="Arial MT"/>
                                  <w:spacing w:val="-2"/>
                                  <w:sz w:val="32"/>
                                </w:rPr>
                                <w:t>State</w:t>
                              </w:r>
                            </w:p>
                          </w:txbxContent>
                        </wps:txbx>
                        <wps:bodyPr wrap="square" lIns="0" tIns="0" rIns="0" bIns="0" rtlCol="0">
                          <a:noAutofit/>
                        </wps:bodyPr>
                      </wps:wsp>
                    </wpg:wgp>
                  </a:graphicData>
                </a:graphic>
              </wp:anchor>
            </w:drawing>
          </mc:Choice>
          <mc:Fallback>
            <w:pict>
              <v:group style="position:absolute;margin-left:113.594276pt;margin-top:-359.175079pt;width:418.1pt;height:340pt;mso-position-horizontal-relative:page;mso-position-vertical-relative:paragraph;z-index:-19329536" id="docshapegroup139" coordorigin="2272,-7184" coordsize="8362,6800">
                <v:line style="position:absolute" from="7798,-4061" to="8434,-4061" stroked="true" strokeweight="1.254842pt" strokecolor="#ff00ff">
                  <v:stroke dashstyle="solid"/>
                </v:line>
                <v:rect style="position:absolute;left:8029;top:-4150;width:123;height:127" id="docshape140" filled="true" fillcolor="#ff00ff" stroked="false">
                  <v:fill type="solid"/>
                </v:rect>
                <v:shape style="position:absolute;left:2284;top:-7172;width:8338;height:6775" type="#_x0000_t202" id="docshape141" filled="false" stroked="true" strokeweight="1.241068pt" strokecolor="#000000">
                  <v:textbox inset="0,0,0,0">
                    <w:txbxContent>
                      <w:p>
                        <w:pPr>
                          <w:spacing w:before="341"/>
                          <w:ind w:left="0" w:right="6997" w:firstLine="0"/>
                          <w:jc w:val="right"/>
                          <w:rPr>
                            <w:rFonts w:ascii="Arial MT"/>
                            <w:sz w:val="32"/>
                          </w:rPr>
                        </w:pPr>
                        <w:r>
                          <w:rPr>
                            <w:rFonts w:ascii="Arial MT"/>
                            <w:spacing w:val="-5"/>
                            <w:sz w:val="32"/>
                          </w:rPr>
                          <w:t>1.2</w:t>
                        </w:r>
                      </w:p>
                      <w:p>
                        <w:pPr>
                          <w:spacing w:line="240" w:lineRule="auto" w:before="20"/>
                          <w:rPr>
                            <w:rFonts w:ascii="Arial MT"/>
                            <w:sz w:val="32"/>
                          </w:rPr>
                        </w:pPr>
                      </w:p>
                      <w:p>
                        <w:pPr>
                          <w:spacing w:before="0"/>
                          <w:ind w:left="0" w:right="6996" w:firstLine="0"/>
                          <w:jc w:val="right"/>
                          <w:rPr>
                            <w:rFonts w:ascii="Arial MT"/>
                            <w:sz w:val="32"/>
                          </w:rPr>
                        </w:pPr>
                        <w:r>
                          <w:rPr>
                            <w:rFonts w:ascii="Arial MT"/>
                            <w:spacing w:val="-10"/>
                            <w:sz w:val="32"/>
                          </w:rPr>
                          <w:t>1</w:t>
                        </w:r>
                      </w:p>
                      <w:p>
                        <w:pPr>
                          <w:spacing w:line="240" w:lineRule="auto" w:before="20"/>
                          <w:rPr>
                            <w:rFonts w:ascii="Arial MT"/>
                            <w:sz w:val="32"/>
                          </w:rPr>
                        </w:pPr>
                      </w:p>
                      <w:p>
                        <w:pPr>
                          <w:spacing w:before="0"/>
                          <w:ind w:left="0" w:right="6997" w:firstLine="0"/>
                          <w:jc w:val="right"/>
                          <w:rPr>
                            <w:rFonts w:ascii="Arial MT"/>
                            <w:sz w:val="32"/>
                          </w:rPr>
                        </w:pPr>
                        <w:r>
                          <w:rPr>
                            <w:rFonts w:ascii="Arial MT"/>
                            <w:spacing w:val="-5"/>
                            <w:sz w:val="32"/>
                          </w:rPr>
                          <w:t>0.8</w:t>
                        </w:r>
                      </w:p>
                      <w:p>
                        <w:pPr>
                          <w:spacing w:line="240" w:lineRule="auto" w:before="19"/>
                          <w:rPr>
                            <w:rFonts w:ascii="Arial MT"/>
                            <w:sz w:val="32"/>
                          </w:rPr>
                        </w:pPr>
                      </w:p>
                      <w:p>
                        <w:pPr>
                          <w:spacing w:before="0"/>
                          <w:ind w:left="0" w:right="6997" w:firstLine="0"/>
                          <w:jc w:val="right"/>
                          <w:rPr>
                            <w:rFonts w:ascii="Arial MT"/>
                            <w:sz w:val="32"/>
                          </w:rPr>
                        </w:pPr>
                        <w:r>
                          <w:rPr>
                            <w:rFonts w:ascii="Arial MT"/>
                            <w:spacing w:val="-5"/>
                            <w:sz w:val="32"/>
                          </w:rPr>
                          <w:t>0.6</w:t>
                        </w:r>
                      </w:p>
                      <w:p>
                        <w:pPr>
                          <w:spacing w:line="240" w:lineRule="auto" w:before="45"/>
                          <w:rPr>
                            <w:rFonts w:ascii="Arial MT"/>
                            <w:sz w:val="32"/>
                          </w:rPr>
                        </w:pPr>
                      </w:p>
                      <w:p>
                        <w:pPr>
                          <w:spacing w:before="0"/>
                          <w:ind w:left="0" w:right="6997" w:firstLine="0"/>
                          <w:jc w:val="right"/>
                          <w:rPr>
                            <w:rFonts w:ascii="Arial MT"/>
                            <w:sz w:val="32"/>
                          </w:rPr>
                        </w:pPr>
                        <w:r>
                          <w:rPr>
                            <w:rFonts w:ascii="Arial MT"/>
                            <w:spacing w:val="-5"/>
                            <w:sz w:val="32"/>
                          </w:rPr>
                          <w:t>0.4</w:t>
                        </w:r>
                      </w:p>
                      <w:p>
                        <w:pPr>
                          <w:spacing w:line="240" w:lineRule="auto" w:before="19"/>
                          <w:rPr>
                            <w:rFonts w:ascii="Arial MT"/>
                            <w:sz w:val="32"/>
                          </w:rPr>
                        </w:pPr>
                      </w:p>
                      <w:p>
                        <w:pPr>
                          <w:spacing w:before="1"/>
                          <w:ind w:left="0" w:right="6997" w:firstLine="0"/>
                          <w:jc w:val="right"/>
                          <w:rPr>
                            <w:rFonts w:ascii="Arial MT"/>
                            <w:sz w:val="32"/>
                          </w:rPr>
                        </w:pPr>
                        <w:r>
                          <w:rPr>
                            <w:rFonts w:ascii="Arial MT"/>
                            <w:spacing w:val="-5"/>
                            <w:sz w:val="32"/>
                          </w:rPr>
                          <w:t>0.2</w:t>
                        </w:r>
                      </w:p>
                      <w:p>
                        <w:pPr>
                          <w:spacing w:line="240" w:lineRule="auto" w:before="20"/>
                          <w:rPr>
                            <w:rFonts w:ascii="Arial MT"/>
                            <w:sz w:val="32"/>
                          </w:rPr>
                        </w:pPr>
                      </w:p>
                      <w:p>
                        <w:pPr>
                          <w:spacing w:before="0"/>
                          <w:ind w:left="0" w:right="6996" w:firstLine="0"/>
                          <w:jc w:val="right"/>
                          <w:rPr>
                            <w:rFonts w:ascii="Arial MT"/>
                            <w:sz w:val="32"/>
                          </w:rPr>
                        </w:pPr>
                        <w:r>
                          <w:rPr>
                            <w:rFonts w:ascii="Arial MT"/>
                            <w:spacing w:val="-10"/>
                            <w:sz w:val="32"/>
                          </w:rPr>
                          <w:t>0</w:t>
                        </w:r>
                      </w:p>
                      <w:p>
                        <w:pPr>
                          <w:spacing w:line="240" w:lineRule="auto" w:before="0"/>
                          <w:rPr>
                            <w:rFonts w:ascii="Arial MT"/>
                            <w:sz w:val="32"/>
                          </w:rPr>
                        </w:pPr>
                      </w:p>
                      <w:p>
                        <w:pPr>
                          <w:spacing w:line="240" w:lineRule="auto" w:before="3"/>
                          <w:rPr>
                            <w:rFonts w:ascii="Arial MT"/>
                            <w:sz w:val="32"/>
                          </w:rPr>
                        </w:pPr>
                      </w:p>
                      <w:p>
                        <w:pPr>
                          <w:spacing w:before="1"/>
                          <w:ind w:left="1577" w:right="0" w:firstLine="0"/>
                          <w:jc w:val="left"/>
                          <w:rPr>
                            <w:rFonts w:ascii="Arial"/>
                            <w:b/>
                            <w:sz w:val="32"/>
                          </w:rPr>
                        </w:pPr>
                        <w:r>
                          <w:rPr>
                            <w:rFonts w:ascii="Arial"/>
                            <w:b/>
                            <w:spacing w:val="-8"/>
                            <w:sz w:val="32"/>
                          </w:rPr>
                          <w:t>CONCENTRATION</w:t>
                        </w:r>
                        <w:r>
                          <w:rPr>
                            <w:rFonts w:ascii="Arial"/>
                            <w:b/>
                            <w:spacing w:val="1"/>
                            <w:sz w:val="32"/>
                          </w:rPr>
                          <w:t> </w:t>
                        </w:r>
                        <w:r>
                          <w:rPr>
                            <w:rFonts w:ascii="Arial"/>
                            <w:b/>
                            <w:spacing w:val="-4"/>
                            <w:sz w:val="32"/>
                          </w:rPr>
                          <w:t>(uM)</w:t>
                        </w:r>
                      </w:p>
                    </w:txbxContent>
                  </v:textbox>
                  <v:stroke dashstyle="solid"/>
                  <w10:wrap type="none"/>
                </v:shape>
                <v:shape style="position:absolute;left:7663;top:-5309;width:2861;height:1864" type="#_x0000_t202" id="docshape142" filled="false" stroked="true" strokeweight="1.244579pt" strokecolor="#000000">
                  <v:textbox inset="0,0,0,0">
                    <w:txbxContent>
                      <w:p>
                        <w:pPr>
                          <w:spacing w:before="90"/>
                          <w:ind w:left="843" w:right="0" w:firstLine="0"/>
                          <w:jc w:val="left"/>
                          <w:rPr>
                            <w:rFonts w:ascii="Arial MT"/>
                            <w:sz w:val="32"/>
                          </w:rPr>
                        </w:pPr>
                        <w:r>
                          <w:rPr>
                            <w:rFonts w:ascii="Arial MT"/>
                            <w:sz w:val="32"/>
                          </w:rPr>
                          <w:t>Resting</w:t>
                        </w:r>
                        <w:r>
                          <w:rPr>
                            <w:rFonts w:ascii="Arial MT"/>
                            <w:spacing w:val="-8"/>
                            <w:sz w:val="32"/>
                          </w:rPr>
                          <w:t> </w:t>
                        </w:r>
                        <w:r>
                          <w:rPr>
                            <w:rFonts w:ascii="Arial MT"/>
                            <w:spacing w:val="-4"/>
                            <w:sz w:val="32"/>
                          </w:rPr>
                          <w:t>State</w:t>
                        </w:r>
                      </w:p>
                      <w:p>
                        <w:pPr>
                          <w:spacing w:line="240" w:lineRule="auto" w:before="196"/>
                          <w:rPr>
                            <w:rFonts w:ascii="Arial MT"/>
                            <w:sz w:val="32"/>
                          </w:rPr>
                        </w:pPr>
                      </w:p>
                      <w:p>
                        <w:pPr>
                          <w:spacing w:line="264" w:lineRule="auto" w:before="0"/>
                          <w:ind w:left="843" w:right="491" w:firstLine="0"/>
                          <w:jc w:val="left"/>
                          <w:rPr>
                            <w:rFonts w:ascii="Arial MT"/>
                            <w:sz w:val="32"/>
                          </w:rPr>
                        </w:pPr>
                        <w:r>
                          <w:rPr>
                            <w:rFonts w:ascii="Arial MT"/>
                            <w:spacing w:val="-6"/>
                            <w:sz w:val="32"/>
                          </w:rPr>
                          <w:t>Inactivated </w:t>
                        </w:r>
                        <w:r>
                          <w:rPr>
                            <w:rFonts w:ascii="Arial MT"/>
                            <w:spacing w:val="-2"/>
                            <w:sz w:val="32"/>
                          </w:rPr>
                          <w:t>State</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05952">
                <wp:simplePos x="0" y="0"/>
                <wp:positionH relativeFrom="page">
                  <wp:posOffset>2512732</wp:posOffset>
                </wp:positionH>
                <wp:positionV relativeFrom="paragraph">
                  <wp:posOffset>-1176644</wp:posOffset>
                </wp:positionV>
                <wp:extent cx="2129790" cy="36195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129790" cy="361950"/>
                        </a:xfrm>
                        <a:prstGeom prst="rect">
                          <a:avLst/>
                        </a:prstGeom>
                      </wps:spPr>
                      <wps:txbx>
                        <w:txbxContent>
                          <w:p>
                            <w:pPr>
                              <w:spacing w:before="17"/>
                              <w:ind w:left="195" w:right="0" w:firstLine="0"/>
                              <w:jc w:val="left"/>
                              <w:rPr>
                                <w:rFonts w:ascii="Arial MT"/>
                                <w:sz w:val="31"/>
                              </w:rPr>
                            </w:pPr>
                            <w:r>
                              <w:rPr>
                                <w:rFonts w:ascii="Arial MT"/>
                                <w:spacing w:val="-5"/>
                                <w:w w:val="105"/>
                                <w:sz w:val="31"/>
                              </w:rPr>
                              <w:t>10</w:t>
                            </w:r>
                          </w:p>
                          <w:p>
                            <w:pPr>
                              <w:spacing w:before="230"/>
                              <w:ind w:left="195" w:right="0" w:firstLine="0"/>
                              <w:jc w:val="left"/>
                              <w:rPr>
                                <w:rFonts w:ascii="Arial MT"/>
                                <w:sz w:val="31"/>
                              </w:rPr>
                            </w:pPr>
                            <w:r>
                              <w:rPr>
                                <w:rFonts w:ascii="Arial MT"/>
                                <w:spacing w:val="-5"/>
                                <w:w w:val="105"/>
                                <w:sz w:val="31"/>
                              </w:rPr>
                              <w:t>30</w:t>
                            </w:r>
                          </w:p>
                          <w:p>
                            <w:pPr>
                              <w:spacing w:before="230"/>
                              <w:ind w:left="195" w:right="0" w:firstLine="0"/>
                              <w:jc w:val="left"/>
                              <w:rPr>
                                <w:rFonts w:ascii="Arial MT"/>
                                <w:sz w:val="31"/>
                              </w:rPr>
                            </w:pPr>
                            <w:r>
                              <w:rPr>
                                <w:rFonts w:ascii="Arial MT"/>
                                <w:spacing w:val="-5"/>
                                <w:w w:val="105"/>
                                <w:sz w:val="31"/>
                              </w:rPr>
                              <w:t>60</w:t>
                            </w:r>
                          </w:p>
                          <w:p>
                            <w:pPr>
                              <w:spacing w:before="256"/>
                              <w:ind w:left="20" w:right="0" w:firstLine="0"/>
                              <w:jc w:val="left"/>
                              <w:rPr>
                                <w:rFonts w:ascii="Arial MT"/>
                                <w:sz w:val="31"/>
                              </w:rPr>
                            </w:pPr>
                            <w:r>
                              <w:rPr>
                                <w:rFonts w:ascii="Arial MT"/>
                                <w:spacing w:val="-5"/>
                                <w:w w:val="105"/>
                                <w:sz w:val="31"/>
                              </w:rPr>
                              <w:t>100</w:t>
                            </w:r>
                          </w:p>
                          <w:p>
                            <w:pPr>
                              <w:spacing w:before="230"/>
                              <w:ind w:left="20" w:right="0" w:firstLine="0"/>
                              <w:jc w:val="left"/>
                              <w:rPr>
                                <w:rFonts w:ascii="Arial MT"/>
                                <w:sz w:val="31"/>
                              </w:rPr>
                            </w:pPr>
                            <w:r>
                              <w:rPr>
                                <w:rFonts w:ascii="Arial MT"/>
                                <w:spacing w:val="-5"/>
                                <w:w w:val="105"/>
                                <w:sz w:val="31"/>
                              </w:rPr>
                              <w:t>300</w:t>
                            </w:r>
                          </w:p>
                          <w:p>
                            <w:pPr>
                              <w:spacing w:before="230"/>
                              <w:ind w:left="20" w:right="0" w:firstLine="0"/>
                              <w:jc w:val="left"/>
                              <w:rPr>
                                <w:rFonts w:ascii="Arial MT"/>
                                <w:sz w:val="31"/>
                              </w:rPr>
                            </w:pPr>
                            <w:r>
                              <w:rPr>
                                <w:rFonts w:ascii="Arial MT"/>
                                <w:spacing w:val="-5"/>
                                <w:w w:val="105"/>
                                <w:sz w:val="31"/>
                              </w:rPr>
                              <w:t>600</w:t>
                            </w:r>
                          </w:p>
                        </w:txbxContent>
                      </wps:txbx>
                      <wps:bodyPr wrap="square" lIns="0" tIns="0" rIns="0" bIns="0" rtlCol="0" vert="vert270">
                        <a:noAutofit/>
                      </wps:bodyPr>
                    </wps:wsp>
                  </a:graphicData>
                </a:graphic>
              </wp:anchor>
            </w:drawing>
          </mc:Choice>
          <mc:Fallback>
            <w:pict>
              <v:shape style="position:absolute;margin-left:197.852921pt;margin-top:-92.649185pt;width:167.7pt;height:28.5pt;mso-position-horizontal-relative:page;mso-position-vertical-relative:paragraph;z-index:15805952" type="#_x0000_t202" id="docshape143" filled="false" stroked="false">
                <v:textbox inset="0,0,0,0" style="layout-flow:vertical;mso-layout-flow-alt:bottom-to-top">
                  <w:txbxContent>
                    <w:p>
                      <w:pPr>
                        <w:spacing w:before="17"/>
                        <w:ind w:left="195" w:right="0" w:firstLine="0"/>
                        <w:jc w:val="left"/>
                        <w:rPr>
                          <w:rFonts w:ascii="Arial MT"/>
                          <w:sz w:val="31"/>
                        </w:rPr>
                      </w:pPr>
                      <w:r>
                        <w:rPr>
                          <w:rFonts w:ascii="Arial MT"/>
                          <w:spacing w:val="-5"/>
                          <w:w w:val="105"/>
                          <w:sz w:val="31"/>
                        </w:rPr>
                        <w:t>10</w:t>
                      </w:r>
                    </w:p>
                    <w:p>
                      <w:pPr>
                        <w:spacing w:before="230"/>
                        <w:ind w:left="195" w:right="0" w:firstLine="0"/>
                        <w:jc w:val="left"/>
                        <w:rPr>
                          <w:rFonts w:ascii="Arial MT"/>
                          <w:sz w:val="31"/>
                        </w:rPr>
                      </w:pPr>
                      <w:r>
                        <w:rPr>
                          <w:rFonts w:ascii="Arial MT"/>
                          <w:spacing w:val="-5"/>
                          <w:w w:val="105"/>
                          <w:sz w:val="31"/>
                        </w:rPr>
                        <w:t>30</w:t>
                      </w:r>
                    </w:p>
                    <w:p>
                      <w:pPr>
                        <w:spacing w:before="230"/>
                        <w:ind w:left="195" w:right="0" w:firstLine="0"/>
                        <w:jc w:val="left"/>
                        <w:rPr>
                          <w:rFonts w:ascii="Arial MT"/>
                          <w:sz w:val="31"/>
                        </w:rPr>
                      </w:pPr>
                      <w:r>
                        <w:rPr>
                          <w:rFonts w:ascii="Arial MT"/>
                          <w:spacing w:val="-5"/>
                          <w:w w:val="105"/>
                          <w:sz w:val="31"/>
                        </w:rPr>
                        <w:t>60</w:t>
                      </w:r>
                    </w:p>
                    <w:p>
                      <w:pPr>
                        <w:spacing w:before="256"/>
                        <w:ind w:left="20" w:right="0" w:firstLine="0"/>
                        <w:jc w:val="left"/>
                        <w:rPr>
                          <w:rFonts w:ascii="Arial MT"/>
                          <w:sz w:val="31"/>
                        </w:rPr>
                      </w:pPr>
                      <w:r>
                        <w:rPr>
                          <w:rFonts w:ascii="Arial MT"/>
                          <w:spacing w:val="-5"/>
                          <w:w w:val="105"/>
                          <w:sz w:val="31"/>
                        </w:rPr>
                        <w:t>100</w:t>
                      </w:r>
                    </w:p>
                    <w:p>
                      <w:pPr>
                        <w:spacing w:before="230"/>
                        <w:ind w:left="20" w:right="0" w:firstLine="0"/>
                        <w:jc w:val="left"/>
                        <w:rPr>
                          <w:rFonts w:ascii="Arial MT"/>
                          <w:sz w:val="31"/>
                        </w:rPr>
                      </w:pPr>
                      <w:r>
                        <w:rPr>
                          <w:rFonts w:ascii="Arial MT"/>
                          <w:spacing w:val="-5"/>
                          <w:w w:val="105"/>
                          <w:sz w:val="31"/>
                        </w:rPr>
                        <w:t>300</w:t>
                      </w:r>
                    </w:p>
                    <w:p>
                      <w:pPr>
                        <w:spacing w:before="230"/>
                        <w:ind w:left="20" w:right="0" w:firstLine="0"/>
                        <w:jc w:val="left"/>
                        <w:rPr>
                          <w:rFonts w:ascii="Arial MT"/>
                          <w:sz w:val="31"/>
                        </w:rPr>
                      </w:pPr>
                      <w:r>
                        <w:rPr>
                          <w:rFonts w:ascii="Arial MT"/>
                          <w:spacing w:val="-5"/>
                          <w:w w:val="105"/>
                          <w:sz w:val="31"/>
                        </w:rPr>
                        <w:t>600</w:t>
                      </w:r>
                    </w:p>
                  </w:txbxContent>
                </v:textbox>
                <w10:wrap type="none"/>
              </v:shape>
            </w:pict>
          </mc:Fallback>
        </mc:AlternateContent>
      </w:r>
      <w:r>
        <w:rPr/>
        <w:t>Figure 12: Concentration – Response Curves for DCP23 at Resting and Inactivated States of Na</w:t>
      </w:r>
      <w:r>
        <w:rPr>
          <w:vertAlign w:val="subscript"/>
        </w:rPr>
        <w:t>v</w:t>
      </w:r>
      <w:r>
        <w:rPr>
          <w:vertAlign w:val="baseline"/>
        </w:rPr>
        <w:t>1.6</w:t>
      </w:r>
    </w:p>
    <w:p>
      <w:pPr>
        <w:pStyle w:val="BodyText"/>
        <w:spacing w:line="480" w:lineRule="auto"/>
        <w:ind w:left="681" w:right="3394"/>
      </w:pPr>
      <w:r>
        <w:rPr/>
        <w:t>Resting State (-60mV): IC</w:t>
      </w:r>
      <w:r>
        <w:rPr>
          <w:vertAlign w:val="subscript"/>
        </w:rPr>
        <w:t>50</w:t>
      </w:r>
      <w:r>
        <w:rPr>
          <w:vertAlign w:val="baseline"/>
        </w:rPr>
        <w:t> (µM) = 64.76 µM Inactivated</w:t>
      </w:r>
      <w:r>
        <w:rPr>
          <w:spacing w:val="-5"/>
          <w:vertAlign w:val="baseline"/>
        </w:rPr>
        <w:t> </w:t>
      </w:r>
      <w:r>
        <w:rPr>
          <w:vertAlign w:val="baseline"/>
        </w:rPr>
        <w:t>State</w:t>
      </w:r>
      <w:r>
        <w:rPr>
          <w:spacing w:val="-6"/>
          <w:vertAlign w:val="baseline"/>
        </w:rPr>
        <w:t> </w:t>
      </w:r>
      <w:r>
        <w:rPr>
          <w:vertAlign w:val="baseline"/>
        </w:rPr>
        <w:t>(-100</w:t>
      </w:r>
      <w:r>
        <w:rPr>
          <w:spacing w:val="-5"/>
          <w:vertAlign w:val="baseline"/>
        </w:rPr>
        <w:t> </w:t>
      </w:r>
      <w:r>
        <w:rPr>
          <w:vertAlign w:val="baseline"/>
        </w:rPr>
        <w:t>mV):</w:t>
      </w:r>
      <w:r>
        <w:rPr>
          <w:spacing w:val="-3"/>
          <w:vertAlign w:val="baseline"/>
        </w:rPr>
        <w:t> </w:t>
      </w:r>
      <w:r>
        <w:rPr>
          <w:vertAlign w:val="baseline"/>
        </w:rPr>
        <w:t>IC</w:t>
      </w:r>
      <w:r>
        <w:rPr>
          <w:vertAlign w:val="subscript"/>
        </w:rPr>
        <w:t>50</w:t>
      </w:r>
      <w:r>
        <w:rPr>
          <w:spacing w:val="-7"/>
          <w:vertAlign w:val="baseline"/>
        </w:rPr>
        <w:t> </w:t>
      </w:r>
      <w:r>
        <w:rPr>
          <w:vertAlign w:val="baseline"/>
        </w:rPr>
        <w:t>(µM)</w:t>
      </w:r>
      <w:r>
        <w:rPr>
          <w:spacing w:val="-3"/>
          <w:vertAlign w:val="baseline"/>
        </w:rPr>
        <w:t> </w:t>
      </w:r>
      <w:r>
        <w:rPr>
          <w:vertAlign w:val="baseline"/>
        </w:rPr>
        <w:t>=</w:t>
      </w:r>
      <w:r>
        <w:rPr>
          <w:spacing w:val="-10"/>
          <w:vertAlign w:val="baseline"/>
        </w:rPr>
        <w:t> </w:t>
      </w:r>
      <w:r>
        <w:rPr>
          <w:vertAlign w:val="baseline"/>
        </w:rPr>
        <w:t>100.37</w:t>
      </w:r>
      <w:r>
        <w:rPr>
          <w:spacing w:val="-8"/>
          <w:vertAlign w:val="baseline"/>
        </w:rPr>
        <w:t> </w:t>
      </w:r>
      <w:r>
        <w:rPr>
          <w:vertAlign w:val="baseline"/>
        </w:rPr>
        <w:t>µM</w:t>
      </w:r>
    </w:p>
    <w:p>
      <w:pPr>
        <w:spacing w:after="0" w:line="480" w:lineRule="auto"/>
        <w:sectPr>
          <w:pgSz w:w="12240" w:h="15840"/>
          <w:pgMar w:header="0" w:footer="1066" w:top="1820" w:bottom="1260" w:left="1480" w:right="1160"/>
        </w:sectPr>
      </w:pPr>
    </w:p>
    <w:p>
      <w:pPr>
        <w:pStyle w:val="BodyText"/>
        <w:ind w:left="689"/>
        <w:rPr>
          <w:sz w:val="20"/>
        </w:rPr>
      </w:pPr>
      <w:r>
        <w:rPr>
          <w:sz w:val="20"/>
        </w:rPr>
        <w:drawing>
          <wp:inline distT="0" distB="0" distL="0" distR="0">
            <wp:extent cx="5212984" cy="4169664"/>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28" cstate="print"/>
                    <a:stretch>
                      <a:fillRect/>
                    </a:stretch>
                  </pic:blipFill>
                  <pic:spPr>
                    <a:xfrm>
                      <a:off x="0" y="0"/>
                      <a:ext cx="5212984" cy="4169664"/>
                    </a:xfrm>
                    <a:prstGeom prst="rect">
                      <a:avLst/>
                    </a:prstGeom>
                  </pic:spPr>
                </pic:pic>
              </a:graphicData>
            </a:graphic>
          </wp:inline>
        </w:drawing>
      </w:r>
      <w:r>
        <w:rPr>
          <w:sz w:val="20"/>
        </w:rPr>
      </w:r>
    </w:p>
    <w:p>
      <w:pPr>
        <w:pStyle w:val="BodyText"/>
        <w:spacing w:before="29"/>
      </w:pPr>
    </w:p>
    <w:p>
      <w:pPr>
        <w:pStyle w:val="Heading2"/>
        <w:jc w:val="left"/>
      </w:pPr>
      <w:r>
        <w:rPr/>
        <w:t>Figure</w:t>
      </w:r>
      <w:r>
        <w:rPr>
          <w:spacing w:val="-4"/>
        </w:rPr>
        <w:t> </w:t>
      </w:r>
      <w:r>
        <w:rPr/>
        <w:t>13: Current</w:t>
      </w:r>
      <w:r>
        <w:rPr>
          <w:spacing w:val="1"/>
        </w:rPr>
        <w:t> </w:t>
      </w:r>
      <w:r>
        <w:rPr/>
        <w:t>Blockade</w:t>
      </w:r>
      <w:r>
        <w:rPr>
          <w:spacing w:val="-2"/>
        </w:rPr>
        <w:t> </w:t>
      </w:r>
      <w:r>
        <w:rPr/>
        <w:t>by DCP25</w:t>
      </w:r>
      <w:r>
        <w:rPr>
          <w:spacing w:val="-1"/>
        </w:rPr>
        <w:t> </w:t>
      </w:r>
      <w:r>
        <w:rPr/>
        <w:t>at</w:t>
      </w:r>
      <w:r>
        <w:rPr>
          <w:spacing w:val="2"/>
        </w:rPr>
        <w:t> </w:t>
      </w:r>
      <w:r>
        <w:rPr/>
        <w:t>Resting</w:t>
      </w:r>
      <w:r>
        <w:rPr>
          <w:spacing w:val="-1"/>
        </w:rPr>
        <w:t> </w:t>
      </w:r>
      <w:r>
        <w:rPr/>
        <w:t>and</w:t>
      </w:r>
      <w:r>
        <w:rPr>
          <w:spacing w:val="-4"/>
        </w:rPr>
        <w:t> </w:t>
      </w:r>
      <w:r>
        <w:rPr/>
        <w:t>Inactivated</w:t>
      </w:r>
      <w:r>
        <w:rPr>
          <w:spacing w:val="-4"/>
        </w:rPr>
        <w:t> </w:t>
      </w:r>
      <w:r>
        <w:rPr/>
        <w:t>States</w:t>
      </w:r>
      <w:r>
        <w:rPr>
          <w:spacing w:val="-3"/>
        </w:rPr>
        <w:t> </w:t>
      </w:r>
      <w:r>
        <w:rPr/>
        <w:t>of</w:t>
      </w:r>
      <w:r>
        <w:rPr>
          <w:spacing w:val="1"/>
        </w:rPr>
        <w:t> </w:t>
      </w:r>
      <w:r>
        <w:rPr>
          <w:spacing w:val="-5"/>
        </w:rPr>
        <w:t>Nav</w:t>
      </w:r>
    </w:p>
    <w:p>
      <w:pPr>
        <w:pStyle w:val="BodyText"/>
        <w:spacing w:before="272"/>
        <w:ind w:left="681"/>
      </w:pPr>
      <w:r>
        <w:rPr/>
        <w:t>n</w:t>
      </w:r>
      <w:r>
        <w:rPr>
          <w:spacing w:val="-5"/>
        </w:rPr>
        <w:t> </w:t>
      </w:r>
      <w:r>
        <w:rPr/>
        <w:t>=</w:t>
      </w:r>
      <w:r>
        <w:rPr>
          <w:spacing w:val="-1"/>
        </w:rPr>
        <w:t> </w:t>
      </w:r>
      <w:r>
        <w:rPr/>
        <w:t>4 cells</w:t>
      </w:r>
      <w:r>
        <w:rPr>
          <w:spacing w:val="-2"/>
        </w:rPr>
        <w:t> </w:t>
      </w:r>
      <w:r>
        <w:rPr/>
        <w:t>per</w:t>
      </w:r>
      <w:r>
        <w:rPr>
          <w:spacing w:val="2"/>
        </w:rPr>
        <w:t> </w:t>
      </w:r>
      <w:r>
        <w:rPr>
          <w:spacing w:val="-2"/>
        </w:rPr>
        <w:t>concentration</w:t>
      </w:r>
    </w:p>
    <w:p>
      <w:pPr>
        <w:spacing w:after="0"/>
        <w:sectPr>
          <w:pgSz w:w="12240" w:h="15840"/>
          <w:pgMar w:header="0" w:footer="1066" w:top="1440" w:bottom="1260" w:left="1480" w:right="1160"/>
        </w:sectPr>
      </w:pPr>
    </w:p>
    <w:p>
      <w:pPr>
        <w:pStyle w:val="Heading2"/>
        <w:numPr>
          <w:ilvl w:val="2"/>
          <w:numId w:val="14"/>
        </w:numPr>
        <w:tabs>
          <w:tab w:pos="1222" w:val="left" w:leader="none"/>
        </w:tabs>
        <w:spacing w:line="240" w:lineRule="auto" w:before="77" w:after="0"/>
        <w:ind w:left="1222" w:right="0" w:hanging="541"/>
        <w:jc w:val="left"/>
      </w:pPr>
      <w:bookmarkStart w:name="_TOC_250006" w:id="78"/>
      <w:r>
        <w:rPr/>
        <w:t>Use</w:t>
      </w:r>
      <w:r>
        <w:rPr>
          <w:spacing w:val="-3"/>
        </w:rPr>
        <w:t> </w:t>
      </w:r>
      <w:r>
        <w:rPr/>
        <w:t>Dependent </w:t>
      </w:r>
      <w:bookmarkEnd w:id="78"/>
      <w:r>
        <w:rPr>
          <w:spacing w:val="-2"/>
        </w:rPr>
        <w:t>Action</w:t>
      </w:r>
    </w:p>
    <w:p>
      <w:pPr>
        <w:pStyle w:val="BodyText"/>
        <w:spacing w:before="235"/>
        <w:rPr>
          <w:b/>
        </w:rPr>
      </w:pPr>
    </w:p>
    <w:p>
      <w:pPr>
        <w:pStyle w:val="BodyText"/>
        <w:spacing w:line="480" w:lineRule="auto"/>
        <w:ind w:left="681" w:right="275"/>
        <w:jc w:val="both"/>
      </w:pPr>
      <w:r>
        <w:rPr/>
        <w:t>The relation between current and voltage was established in both control solution and in the presence of 100 µM 2,3- dichloro- 3 (aminophenyl) propanamides (DCP23). The curve of the control solution indicated how sodium channels were activated by passing depolarized voltages in a step wise manner to when the channels were steadily inactivated. There was corresponding increase in the elicited current as the voltage changed from hyperpolarized potential to depolarized potential; up to when plateau was reached where there was highest elicited sodium current at about +10 mV. At this point, the conductance of sodium ions through the channels became saturated and further depolarization resulted to a reduction in sodium</w:t>
      </w:r>
      <w:r>
        <w:rPr>
          <w:spacing w:val="-1"/>
        </w:rPr>
        <w:t> </w:t>
      </w:r>
      <w:r>
        <w:rPr/>
        <w:t>current, and thus, passed the channels to inactivated states</w:t>
      </w:r>
      <w:r>
        <w:rPr>
          <w:spacing w:val="-2"/>
        </w:rPr>
        <w:t> </w:t>
      </w:r>
      <w:r>
        <w:rPr/>
        <w:t>where virtually</w:t>
      </w:r>
      <w:r>
        <w:rPr>
          <w:spacing w:val="-5"/>
        </w:rPr>
        <w:t> </w:t>
      </w:r>
      <w:r>
        <w:rPr/>
        <w:t>the</w:t>
      </w:r>
      <w:r>
        <w:rPr>
          <w:spacing w:val="-1"/>
        </w:rPr>
        <w:t> </w:t>
      </w:r>
      <w:r>
        <w:rPr/>
        <w:t>conductance of</w:t>
      </w:r>
      <w:r>
        <w:rPr>
          <w:spacing w:val="-8"/>
        </w:rPr>
        <w:t> </w:t>
      </w:r>
      <w:r>
        <w:rPr/>
        <w:t>sodium ions had completely stopped at about +60 mV but zero current. The activation/inactivation pattern in the presence of DCP23 (100 µM) indicated that, there was significant reduction in the elicited current even at depolarized potential where the sodium conductance was found to be highest. Similarly, as the channels went into inactivation state indicated by the corresponding reduction</w:t>
      </w:r>
      <w:r>
        <w:rPr>
          <w:spacing w:val="-1"/>
        </w:rPr>
        <w:t> </w:t>
      </w:r>
      <w:r>
        <w:rPr/>
        <w:t>in</w:t>
      </w:r>
      <w:r>
        <w:rPr>
          <w:spacing w:val="-6"/>
        </w:rPr>
        <w:t> </w:t>
      </w:r>
      <w:r>
        <w:rPr/>
        <w:t>elicited</w:t>
      </w:r>
      <w:r>
        <w:rPr>
          <w:spacing w:val="-1"/>
        </w:rPr>
        <w:t> </w:t>
      </w:r>
      <w:r>
        <w:rPr/>
        <w:t>current recorded</w:t>
      </w:r>
      <w:r>
        <w:rPr>
          <w:spacing w:val="-1"/>
        </w:rPr>
        <w:t> </w:t>
      </w:r>
      <w:r>
        <w:rPr/>
        <w:t>for</w:t>
      </w:r>
      <w:r>
        <w:rPr>
          <w:spacing w:val="-4"/>
        </w:rPr>
        <w:t> </w:t>
      </w:r>
      <w:r>
        <w:rPr/>
        <w:t>the</w:t>
      </w:r>
      <w:r>
        <w:rPr>
          <w:spacing w:val="-2"/>
        </w:rPr>
        <w:t> </w:t>
      </w:r>
      <w:r>
        <w:rPr/>
        <w:t>control</w:t>
      </w:r>
      <w:r>
        <w:rPr>
          <w:spacing w:val="-9"/>
        </w:rPr>
        <w:t> </w:t>
      </w:r>
      <w:r>
        <w:rPr/>
        <w:t>solution</w:t>
      </w:r>
      <w:r>
        <w:rPr>
          <w:spacing w:val="-6"/>
        </w:rPr>
        <w:t> </w:t>
      </w:r>
      <w:r>
        <w:rPr/>
        <w:t>that was</w:t>
      </w:r>
      <w:r>
        <w:rPr>
          <w:spacing w:val="-3"/>
        </w:rPr>
        <w:t> </w:t>
      </w:r>
      <w:r>
        <w:rPr/>
        <w:t>also reflected</w:t>
      </w:r>
      <w:r>
        <w:rPr>
          <w:spacing w:val="-1"/>
        </w:rPr>
        <w:t> </w:t>
      </w:r>
      <w:r>
        <w:rPr/>
        <w:t>in</w:t>
      </w:r>
      <w:r>
        <w:rPr>
          <w:spacing w:val="-6"/>
        </w:rPr>
        <w:t> </w:t>
      </w:r>
      <w:r>
        <w:rPr/>
        <w:t>the presence of 100 µM of DCP23. The action of DCP23 at 100 µM concentration even at depolarized voltage where sodium conductance was at its peak, suggested its use- dependent action (Figure 14).</w:t>
      </w:r>
    </w:p>
    <w:p>
      <w:pPr>
        <w:spacing w:after="0" w:line="480" w:lineRule="auto"/>
        <w:jc w:val="both"/>
        <w:sectPr>
          <w:pgSz w:w="12240" w:h="15840"/>
          <w:pgMar w:header="0" w:footer="1066" w:top="1360" w:bottom="1260" w:left="1480" w:right="1160"/>
        </w:sectPr>
      </w:pPr>
    </w:p>
    <w:p>
      <w:pPr>
        <w:pStyle w:val="BodyText"/>
      </w:pPr>
      <w:r>
        <w:rPr/>
        <mc:AlternateContent>
          <mc:Choice Requires="wps">
            <w:drawing>
              <wp:anchor distT="0" distB="0" distL="0" distR="0" allowOverlap="1" layoutInCell="1" locked="0" behindDoc="0" simplePos="0" relativeHeight="15806976">
                <wp:simplePos x="0" y="0"/>
                <wp:positionH relativeFrom="page">
                  <wp:posOffset>1913832</wp:posOffset>
                </wp:positionH>
                <wp:positionV relativeFrom="page">
                  <wp:posOffset>2650837</wp:posOffset>
                </wp:positionV>
                <wp:extent cx="208279" cy="259080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08279" cy="2590800"/>
                        </a:xfrm>
                        <a:prstGeom prst="rect">
                          <a:avLst/>
                        </a:prstGeom>
                      </wps:spPr>
                      <wps:txbx>
                        <w:txbxContent>
                          <w:p>
                            <w:pPr>
                              <w:spacing w:before="8"/>
                              <w:ind w:left="20" w:right="0" w:firstLine="0"/>
                              <w:jc w:val="left"/>
                              <w:rPr>
                                <w:sz w:val="26"/>
                              </w:rPr>
                            </w:pPr>
                            <w:r>
                              <w:rPr>
                                <w:w w:val="110"/>
                                <w:sz w:val="26"/>
                              </w:rPr>
                              <w:t>Peak</w:t>
                            </w:r>
                            <w:r>
                              <w:rPr>
                                <w:spacing w:val="-11"/>
                                <w:w w:val="110"/>
                                <w:sz w:val="26"/>
                              </w:rPr>
                              <w:t> </w:t>
                            </w:r>
                            <w:r>
                              <w:rPr>
                                <w:w w:val="110"/>
                                <w:sz w:val="26"/>
                              </w:rPr>
                              <w:t>Current</w:t>
                            </w:r>
                            <w:r>
                              <w:rPr>
                                <w:spacing w:val="-17"/>
                                <w:w w:val="110"/>
                                <w:sz w:val="26"/>
                              </w:rPr>
                              <w:t> </w:t>
                            </w:r>
                            <w:r>
                              <w:rPr>
                                <w:w w:val="110"/>
                                <w:sz w:val="26"/>
                              </w:rPr>
                              <w:t>during</w:t>
                            </w:r>
                            <w:r>
                              <w:rPr>
                                <w:spacing w:val="-11"/>
                                <w:w w:val="110"/>
                                <w:sz w:val="26"/>
                              </w:rPr>
                              <w:t> </w:t>
                            </w:r>
                            <w:r>
                              <w:rPr>
                                <w:w w:val="110"/>
                                <w:sz w:val="26"/>
                              </w:rPr>
                              <w:t>Test</w:t>
                            </w:r>
                            <w:r>
                              <w:rPr>
                                <w:spacing w:val="-17"/>
                                <w:w w:val="110"/>
                                <w:sz w:val="26"/>
                              </w:rPr>
                              <w:t> </w:t>
                            </w:r>
                            <w:r>
                              <w:rPr>
                                <w:w w:val="110"/>
                                <w:sz w:val="26"/>
                              </w:rPr>
                              <w:t>Pulse</w:t>
                            </w:r>
                            <w:r>
                              <w:rPr>
                                <w:spacing w:val="-12"/>
                                <w:w w:val="110"/>
                                <w:sz w:val="26"/>
                              </w:rPr>
                              <w:t> </w:t>
                            </w:r>
                            <w:r>
                              <w:rPr>
                                <w:spacing w:val="-5"/>
                                <w:w w:val="110"/>
                                <w:sz w:val="26"/>
                              </w:rPr>
                              <w:t>(pA</w:t>
                            </w:r>
                          </w:p>
                        </w:txbxContent>
                      </wps:txbx>
                      <wps:bodyPr wrap="square" lIns="0" tIns="0" rIns="0" bIns="0" rtlCol="0" vert="vert270">
                        <a:noAutofit/>
                      </wps:bodyPr>
                    </wps:wsp>
                  </a:graphicData>
                </a:graphic>
              </wp:anchor>
            </w:drawing>
          </mc:Choice>
          <mc:Fallback>
            <w:pict>
              <v:shape style="position:absolute;margin-left:150.695496pt;margin-top:208.727325pt;width:16.4pt;height:204pt;mso-position-horizontal-relative:page;mso-position-vertical-relative:page;z-index:15806976" type="#_x0000_t202" id="docshape144" filled="false" stroked="false">
                <v:textbox inset="0,0,0,0" style="layout-flow:vertical;mso-layout-flow-alt:bottom-to-top">
                  <w:txbxContent>
                    <w:p>
                      <w:pPr>
                        <w:spacing w:before="8"/>
                        <w:ind w:left="20" w:right="0" w:firstLine="0"/>
                        <w:jc w:val="left"/>
                        <w:rPr>
                          <w:sz w:val="26"/>
                        </w:rPr>
                      </w:pPr>
                      <w:r>
                        <w:rPr>
                          <w:w w:val="110"/>
                          <w:sz w:val="26"/>
                        </w:rPr>
                        <w:t>Peak</w:t>
                      </w:r>
                      <w:r>
                        <w:rPr>
                          <w:spacing w:val="-11"/>
                          <w:w w:val="110"/>
                          <w:sz w:val="26"/>
                        </w:rPr>
                        <w:t> </w:t>
                      </w:r>
                      <w:r>
                        <w:rPr>
                          <w:w w:val="110"/>
                          <w:sz w:val="26"/>
                        </w:rPr>
                        <w:t>Current</w:t>
                      </w:r>
                      <w:r>
                        <w:rPr>
                          <w:spacing w:val="-17"/>
                          <w:w w:val="110"/>
                          <w:sz w:val="26"/>
                        </w:rPr>
                        <w:t> </w:t>
                      </w:r>
                      <w:r>
                        <w:rPr>
                          <w:w w:val="110"/>
                          <w:sz w:val="26"/>
                        </w:rPr>
                        <w:t>during</w:t>
                      </w:r>
                      <w:r>
                        <w:rPr>
                          <w:spacing w:val="-11"/>
                          <w:w w:val="110"/>
                          <w:sz w:val="26"/>
                        </w:rPr>
                        <w:t> </w:t>
                      </w:r>
                      <w:r>
                        <w:rPr>
                          <w:w w:val="110"/>
                          <w:sz w:val="26"/>
                        </w:rPr>
                        <w:t>Test</w:t>
                      </w:r>
                      <w:r>
                        <w:rPr>
                          <w:spacing w:val="-17"/>
                          <w:w w:val="110"/>
                          <w:sz w:val="26"/>
                        </w:rPr>
                        <w:t> </w:t>
                      </w:r>
                      <w:r>
                        <w:rPr>
                          <w:w w:val="110"/>
                          <w:sz w:val="26"/>
                        </w:rPr>
                        <w:t>Pulse</w:t>
                      </w:r>
                      <w:r>
                        <w:rPr>
                          <w:spacing w:val="-12"/>
                          <w:w w:val="110"/>
                          <w:sz w:val="26"/>
                        </w:rPr>
                        <w:t> </w:t>
                      </w:r>
                      <w:r>
                        <w:rPr>
                          <w:spacing w:val="-5"/>
                          <w:w w:val="110"/>
                          <w:sz w:val="26"/>
                        </w:rPr>
                        <w:t>(pA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0"/>
      </w:pPr>
    </w:p>
    <w:p>
      <w:pPr>
        <w:spacing w:line="480" w:lineRule="auto" w:before="0"/>
        <w:ind w:left="681" w:right="0" w:firstLine="0"/>
        <w:jc w:val="left"/>
        <w:rPr>
          <w:b/>
          <w:sz w:val="24"/>
        </w:rPr>
      </w:pPr>
      <w:r>
        <w:rPr/>
        <mc:AlternateContent>
          <mc:Choice Requires="wps">
            <w:drawing>
              <wp:anchor distT="0" distB="0" distL="0" distR="0" allowOverlap="1" layoutInCell="1" locked="0" behindDoc="0" simplePos="0" relativeHeight="15806464">
                <wp:simplePos x="0" y="0"/>
                <wp:positionH relativeFrom="page">
                  <wp:posOffset>1419068</wp:posOffset>
                </wp:positionH>
                <wp:positionV relativeFrom="paragraph">
                  <wp:posOffset>-5598102</wp:posOffset>
                </wp:positionV>
                <wp:extent cx="5118735" cy="502412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5118735" cy="5024120"/>
                          <a:chExt cx="5118735" cy="5024120"/>
                        </a:xfrm>
                      </wpg:grpSpPr>
                      <wps:wsp>
                        <wps:cNvPr id="248" name="Graphic 248"/>
                        <wps:cNvSpPr/>
                        <wps:spPr>
                          <a:xfrm>
                            <a:off x="5443" y="5443"/>
                            <a:ext cx="5107940" cy="5013325"/>
                          </a:xfrm>
                          <a:custGeom>
                            <a:avLst/>
                            <a:gdLst/>
                            <a:ahLst/>
                            <a:cxnLst/>
                            <a:rect l="l" t="t" r="r" b="b"/>
                            <a:pathLst>
                              <a:path w="5107940" h="5013325">
                                <a:moveTo>
                                  <a:pt x="0" y="5012959"/>
                                </a:moveTo>
                                <a:lnTo>
                                  <a:pt x="5107721" y="5012959"/>
                                </a:lnTo>
                                <a:lnTo>
                                  <a:pt x="5107721" y="0"/>
                                </a:lnTo>
                                <a:lnTo>
                                  <a:pt x="0" y="0"/>
                                </a:lnTo>
                                <a:lnTo>
                                  <a:pt x="0" y="5012959"/>
                                </a:lnTo>
                                <a:close/>
                              </a:path>
                            </a:pathLst>
                          </a:custGeom>
                          <a:ln w="10833">
                            <a:solidFill>
                              <a:srgbClr val="000000"/>
                            </a:solidFill>
                            <a:prstDash val="solid"/>
                          </a:ln>
                        </wps:spPr>
                        <wps:bodyPr wrap="square" lIns="0" tIns="0" rIns="0" bIns="0" rtlCol="0">
                          <a:prstTxWarp prst="textNoShape">
                            <a:avLst/>
                          </a:prstTxWarp>
                          <a:noAutofit/>
                        </wps:bodyPr>
                      </wps:wsp>
                      <wps:wsp>
                        <wps:cNvPr id="249" name="Graphic 249"/>
                        <wps:cNvSpPr/>
                        <wps:spPr>
                          <a:xfrm>
                            <a:off x="2183621" y="284716"/>
                            <a:ext cx="1270" cy="4033520"/>
                          </a:xfrm>
                          <a:custGeom>
                            <a:avLst/>
                            <a:gdLst/>
                            <a:ahLst/>
                            <a:cxnLst/>
                            <a:rect l="l" t="t" r="r" b="b"/>
                            <a:pathLst>
                              <a:path w="0" h="4033520">
                                <a:moveTo>
                                  <a:pt x="0" y="2421068"/>
                                </a:moveTo>
                                <a:lnTo>
                                  <a:pt x="0" y="4033042"/>
                                </a:lnTo>
                              </a:path>
                              <a:path w="0" h="4033520">
                                <a:moveTo>
                                  <a:pt x="0" y="0"/>
                                </a:moveTo>
                                <a:lnTo>
                                  <a:pt x="0" y="2364228"/>
                                </a:lnTo>
                              </a:path>
                            </a:pathLst>
                          </a:custGeom>
                          <a:ln w="10277">
                            <a:solidFill>
                              <a:srgbClr val="000000"/>
                            </a:solidFill>
                            <a:prstDash val="solid"/>
                          </a:ln>
                        </wps:spPr>
                        <wps:bodyPr wrap="square" lIns="0" tIns="0" rIns="0" bIns="0" rtlCol="0">
                          <a:prstTxWarp prst="textNoShape">
                            <a:avLst/>
                          </a:prstTxWarp>
                          <a:noAutofit/>
                        </wps:bodyPr>
                      </wps:wsp>
                      <wps:wsp>
                        <wps:cNvPr id="250" name="Graphic 250"/>
                        <wps:cNvSpPr/>
                        <wps:spPr>
                          <a:xfrm>
                            <a:off x="937627" y="284716"/>
                            <a:ext cx="2492375" cy="4044950"/>
                          </a:xfrm>
                          <a:custGeom>
                            <a:avLst/>
                            <a:gdLst/>
                            <a:ahLst/>
                            <a:cxnLst/>
                            <a:rect l="l" t="t" r="r" b="b"/>
                            <a:pathLst>
                              <a:path w="2492375" h="4044950">
                                <a:moveTo>
                                  <a:pt x="1194332" y="4044410"/>
                                </a:moveTo>
                                <a:lnTo>
                                  <a:pt x="1235716" y="4044410"/>
                                </a:lnTo>
                              </a:path>
                              <a:path w="2492375" h="4044950">
                                <a:moveTo>
                                  <a:pt x="1194332" y="3543084"/>
                                </a:moveTo>
                                <a:lnTo>
                                  <a:pt x="1235716" y="3543084"/>
                                </a:lnTo>
                              </a:path>
                              <a:path w="2492375" h="4044950">
                                <a:moveTo>
                                  <a:pt x="1194332" y="3030390"/>
                                </a:moveTo>
                                <a:lnTo>
                                  <a:pt x="1235716" y="3030390"/>
                                </a:lnTo>
                              </a:path>
                              <a:path w="2492375" h="4044950">
                                <a:moveTo>
                                  <a:pt x="1194332" y="2529139"/>
                                </a:moveTo>
                                <a:lnTo>
                                  <a:pt x="1235716" y="2529139"/>
                                </a:lnTo>
                              </a:path>
                              <a:path w="2492375" h="4044950">
                                <a:moveTo>
                                  <a:pt x="1194332" y="2028192"/>
                                </a:moveTo>
                                <a:lnTo>
                                  <a:pt x="1235716" y="2028192"/>
                                </a:lnTo>
                              </a:path>
                              <a:path w="2492375" h="4044950">
                                <a:moveTo>
                                  <a:pt x="1194332" y="1515422"/>
                                </a:moveTo>
                                <a:lnTo>
                                  <a:pt x="1235716" y="1515422"/>
                                </a:lnTo>
                              </a:path>
                              <a:path w="2492375" h="4044950">
                                <a:moveTo>
                                  <a:pt x="1194332" y="1014172"/>
                                </a:moveTo>
                                <a:lnTo>
                                  <a:pt x="1235716" y="1014172"/>
                                </a:lnTo>
                              </a:path>
                              <a:path w="2492375" h="4044950">
                                <a:moveTo>
                                  <a:pt x="1194332" y="501402"/>
                                </a:moveTo>
                                <a:lnTo>
                                  <a:pt x="1235716" y="501402"/>
                                </a:lnTo>
                              </a:path>
                              <a:path w="2492375" h="4044950">
                                <a:moveTo>
                                  <a:pt x="1194332" y="0"/>
                                </a:moveTo>
                                <a:lnTo>
                                  <a:pt x="1235716" y="0"/>
                                </a:lnTo>
                              </a:path>
                              <a:path w="2492375" h="4044950">
                                <a:moveTo>
                                  <a:pt x="0" y="1014172"/>
                                </a:moveTo>
                                <a:lnTo>
                                  <a:pt x="2481780" y="1014172"/>
                                </a:lnTo>
                              </a:path>
                              <a:path w="2492375" h="4044950">
                                <a:moveTo>
                                  <a:pt x="0" y="1071011"/>
                                </a:moveTo>
                                <a:lnTo>
                                  <a:pt x="0" y="1025539"/>
                                </a:lnTo>
                              </a:path>
                              <a:path w="2492375" h="4044950">
                                <a:moveTo>
                                  <a:pt x="627964" y="1071011"/>
                                </a:moveTo>
                                <a:lnTo>
                                  <a:pt x="627964" y="1025539"/>
                                </a:lnTo>
                              </a:path>
                              <a:path w="2492375" h="4044950">
                                <a:moveTo>
                                  <a:pt x="1245994" y="1071011"/>
                                </a:moveTo>
                                <a:lnTo>
                                  <a:pt x="1245994" y="1025539"/>
                                </a:lnTo>
                              </a:path>
                              <a:path w="2492375" h="4044950">
                                <a:moveTo>
                                  <a:pt x="1874027" y="1071011"/>
                                </a:moveTo>
                                <a:lnTo>
                                  <a:pt x="1874027" y="1025539"/>
                                </a:lnTo>
                              </a:path>
                              <a:path w="2492375" h="4044950">
                                <a:moveTo>
                                  <a:pt x="2492057" y="1071011"/>
                                </a:moveTo>
                                <a:lnTo>
                                  <a:pt x="2492057" y="1025539"/>
                                </a:lnTo>
                              </a:path>
                            </a:pathLst>
                          </a:custGeom>
                          <a:ln w="10822">
                            <a:solidFill>
                              <a:srgbClr val="000000"/>
                            </a:solidFill>
                            <a:prstDash val="solid"/>
                          </a:ln>
                        </wps:spPr>
                        <wps:bodyPr wrap="square" lIns="0" tIns="0" rIns="0" bIns="0" rtlCol="0">
                          <a:prstTxWarp prst="textNoShape">
                            <a:avLst/>
                          </a:prstTxWarp>
                          <a:noAutofit/>
                        </wps:bodyPr>
                      </wps:wsp>
                      <wps:wsp>
                        <wps:cNvPr id="251" name="Graphic 251"/>
                        <wps:cNvSpPr/>
                        <wps:spPr>
                          <a:xfrm>
                            <a:off x="1184633" y="1252961"/>
                            <a:ext cx="1750695" cy="2563495"/>
                          </a:xfrm>
                          <a:custGeom>
                            <a:avLst/>
                            <a:gdLst/>
                            <a:ahLst/>
                            <a:cxnLst/>
                            <a:rect l="l" t="t" r="r" b="b"/>
                            <a:pathLst>
                              <a:path w="1750695" h="2563495">
                                <a:moveTo>
                                  <a:pt x="0" y="0"/>
                                </a:moveTo>
                                <a:lnTo>
                                  <a:pt x="51388" y="11822"/>
                                </a:lnTo>
                              </a:path>
                              <a:path w="1750695" h="2563495">
                                <a:moveTo>
                                  <a:pt x="61665" y="11822"/>
                                </a:moveTo>
                                <a:lnTo>
                                  <a:pt x="113396" y="23190"/>
                                </a:lnTo>
                              </a:path>
                              <a:path w="1750695" h="2563495">
                                <a:moveTo>
                                  <a:pt x="123674" y="23190"/>
                                </a:moveTo>
                                <a:lnTo>
                                  <a:pt x="175131" y="23190"/>
                                </a:lnTo>
                              </a:path>
                              <a:path w="1750695" h="2563495">
                                <a:moveTo>
                                  <a:pt x="185408" y="23190"/>
                                </a:moveTo>
                                <a:lnTo>
                                  <a:pt x="236797" y="11822"/>
                                </a:lnTo>
                              </a:path>
                              <a:path w="1750695" h="2563495">
                                <a:moveTo>
                                  <a:pt x="247074" y="11822"/>
                                </a:moveTo>
                                <a:lnTo>
                                  <a:pt x="298737" y="23190"/>
                                </a:lnTo>
                              </a:path>
                              <a:path w="1750695" h="2563495">
                                <a:moveTo>
                                  <a:pt x="309014" y="23190"/>
                                </a:moveTo>
                                <a:lnTo>
                                  <a:pt x="370680" y="11822"/>
                                </a:lnTo>
                              </a:path>
                              <a:path w="1750695" h="2563495">
                                <a:moveTo>
                                  <a:pt x="380958" y="11822"/>
                                </a:moveTo>
                                <a:lnTo>
                                  <a:pt x="432346" y="0"/>
                                </a:lnTo>
                              </a:path>
                              <a:path w="1750695" h="2563495">
                                <a:moveTo>
                                  <a:pt x="442898" y="0"/>
                                </a:moveTo>
                                <a:lnTo>
                                  <a:pt x="494286" y="34558"/>
                                </a:lnTo>
                              </a:path>
                              <a:path w="1750695" h="2563495">
                                <a:moveTo>
                                  <a:pt x="504564" y="34558"/>
                                </a:moveTo>
                                <a:lnTo>
                                  <a:pt x="556089" y="23190"/>
                                </a:lnTo>
                              </a:path>
                              <a:path w="1750695" h="2563495">
                                <a:moveTo>
                                  <a:pt x="566367" y="23190"/>
                                </a:moveTo>
                                <a:lnTo>
                                  <a:pt x="618029" y="57294"/>
                                </a:lnTo>
                              </a:path>
                              <a:path w="1750695" h="2563495">
                                <a:moveTo>
                                  <a:pt x="628307" y="57294"/>
                                </a:moveTo>
                                <a:lnTo>
                                  <a:pt x="689973" y="170973"/>
                                </a:lnTo>
                              </a:path>
                              <a:path w="1750695" h="2563495">
                                <a:moveTo>
                                  <a:pt x="689973" y="182644"/>
                                </a:moveTo>
                                <a:lnTo>
                                  <a:pt x="751639" y="410306"/>
                                </a:lnTo>
                              </a:path>
                              <a:path w="1750695" h="2563495">
                                <a:moveTo>
                                  <a:pt x="751639" y="421674"/>
                                </a:moveTo>
                                <a:lnTo>
                                  <a:pt x="813716" y="820310"/>
                                </a:lnTo>
                              </a:path>
                              <a:path w="1750695" h="2563495">
                                <a:moveTo>
                                  <a:pt x="813716" y="831678"/>
                                </a:moveTo>
                                <a:lnTo>
                                  <a:pt x="875382" y="1389920"/>
                                </a:lnTo>
                              </a:path>
                              <a:path w="1750695" h="2563495">
                                <a:moveTo>
                                  <a:pt x="875382" y="1401743"/>
                                </a:moveTo>
                                <a:lnTo>
                                  <a:pt x="937048" y="1937097"/>
                                </a:lnTo>
                              </a:path>
                              <a:path w="1750695" h="2563495">
                                <a:moveTo>
                                  <a:pt x="937048" y="1948465"/>
                                </a:moveTo>
                                <a:lnTo>
                                  <a:pt x="998988" y="2290261"/>
                                </a:lnTo>
                              </a:path>
                              <a:path w="1750695" h="2563495">
                                <a:moveTo>
                                  <a:pt x="998988" y="2301629"/>
                                </a:moveTo>
                                <a:lnTo>
                                  <a:pt x="1060654" y="2517999"/>
                                </a:lnTo>
                              </a:path>
                              <a:path w="1750695" h="2563495">
                                <a:moveTo>
                                  <a:pt x="1060654" y="2529367"/>
                                </a:moveTo>
                                <a:lnTo>
                                  <a:pt x="1112042" y="2563471"/>
                                </a:lnTo>
                              </a:path>
                              <a:path w="1750695" h="2563495">
                                <a:moveTo>
                                  <a:pt x="1122320" y="2563471"/>
                                </a:moveTo>
                                <a:lnTo>
                                  <a:pt x="1174119" y="2506631"/>
                                </a:lnTo>
                              </a:path>
                              <a:path w="1750695" h="2563495">
                                <a:moveTo>
                                  <a:pt x="1184397" y="2495263"/>
                                </a:moveTo>
                                <a:lnTo>
                                  <a:pt x="1246063" y="2369837"/>
                                </a:lnTo>
                              </a:path>
                              <a:path w="1750695" h="2563495">
                                <a:moveTo>
                                  <a:pt x="1246063" y="2358469"/>
                                </a:moveTo>
                                <a:lnTo>
                                  <a:pt x="1307729" y="2176278"/>
                                </a:lnTo>
                              </a:path>
                              <a:path w="1750695" h="2563495">
                                <a:moveTo>
                                  <a:pt x="1307729" y="2164910"/>
                                </a:moveTo>
                                <a:lnTo>
                                  <a:pt x="1369669" y="1982569"/>
                                </a:lnTo>
                              </a:path>
                              <a:path w="1750695" h="2563495">
                                <a:moveTo>
                                  <a:pt x="1369669" y="1971201"/>
                                </a:moveTo>
                                <a:lnTo>
                                  <a:pt x="1431334" y="1766123"/>
                                </a:lnTo>
                              </a:path>
                              <a:path w="1750695" h="2563495">
                                <a:moveTo>
                                  <a:pt x="1431334" y="1754755"/>
                                </a:moveTo>
                                <a:lnTo>
                                  <a:pt x="1493000" y="1504054"/>
                                </a:lnTo>
                              </a:path>
                              <a:path w="1750695" h="2563495">
                                <a:moveTo>
                                  <a:pt x="1493000" y="1492686"/>
                                </a:moveTo>
                                <a:lnTo>
                                  <a:pt x="1555077" y="1298976"/>
                                </a:lnTo>
                              </a:path>
                              <a:path w="1750695" h="2563495">
                                <a:moveTo>
                                  <a:pt x="1555077" y="1287608"/>
                                </a:moveTo>
                                <a:lnTo>
                                  <a:pt x="1627021" y="1094050"/>
                                </a:lnTo>
                              </a:path>
                              <a:path w="1750695" h="2563495">
                                <a:moveTo>
                                  <a:pt x="1627021" y="1082682"/>
                                </a:moveTo>
                                <a:lnTo>
                                  <a:pt x="1688961" y="877605"/>
                                </a:lnTo>
                              </a:path>
                              <a:path w="1750695" h="2563495">
                                <a:moveTo>
                                  <a:pt x="1688961" y="865782"/>
                                </a:moveTo>
                                <a:lnTo>
                                  <a:pt x="1750627" y="706631"/>
                                </a:lnTo>
                              </a:path>
                            </a:pathLst>
                          </a:custGeom>
                          <a:ln w="10822">
                            <a:solidFill>
                              <a:srgbClr val="000080"/>
                            </a:solidFill>
                            <a:prstDash val="solid"/>
                          </a:ln>
                        </wps:spPr>
                        <wps:bodyPr wrap="square" lIns="0" tIns="0" rIns="0" bIns="0" rtlCol="0">
                          <a:prstTxWarp prst="textNoShape">
                            <a:avLst/>
                          </a:prstTxWarp>
                          <a:noAutofit/>
                        </wps:bodyPr>
                      </wps:wsp>
                      <wps:wsp>
                        <wps:cNvPr id="252" name="Graphic 252"/>
                        <wps:cNvSpPr/>
                        <wps:spPr>
                          <a:xfrm>
                            <a:off x="1184633" y="877061"/>
                            <a:ext cx="1740535" cy="1925955"/>
                          </a:xfrm>
                          <a:custGeom>
                            <a:avLst/>
                            <a:gdLst/>
                            <a:ahLst/>
                            <a:cxnLst/>
                            <a:rect l="l" t="t" r="r" b="b"/>
                            <a:pathLst>
                              <a:path w="1740535" h="1925955">
                                <a:moveTo>
                                  <a:pt x="0" y="239484"/>
                                </a:moveTo>
                                <a:lnTo>
                                  <a:pt x="61665" y="79878"/>
                                </a:lnTo>
                              </a:path>
                              <a:path w="1740535" h="1925955">
                                <a:moveTo>
                                  <a:pt x="61665" y="68510"/>
                                </a:moveTo>
                                <a:lnTo>
                                  <a:pt x="113396" y="68510"/>
                                </a:lnTo>
                              </a:path>
                              <a:path w="1740535" h="1925955">
                                <a:moveTo>
                                  <a:pt x="123674" y="68510"/>
                                </a:moveTo>
                                <a:lnTo>
                                  <a:pt x="175131" y="57142"/>
                                </a:lnTo>
                              </a:path>
                              <a:path w="1740535" h="1925955">
                                <a:moveTo>
                                  <a:pt x="185408" y="57142"/>
                                </a:moveTo>
                                <a:lnTo>
                                  <a:pt x="236797" y="45774"/>
                                </a:lnTo>
                              </a:path>
                              <a:path w="1740535" h="1925955">
                                <a:moveTo>
                                  <a:pt x="247074" y="45774"/>
                                </a:moveTo>
                                <a:lnTo>
                                  <a:pt x="298737" y="22735"/>
                                </a:lnTo>
                              </a:path>
                              <a:path w="1740535" h="1925955">
                                <a:moveTo>
                                  <a:pt x="309014" y="22735"/>
                                </a:moveTo>
                                <a:lnTo>
                                  <a:pt x="370680" y="22735"/>
                                </a:lnTo>
                              </a:path>
                              <a:path w="1740535" h="1925955">
                                <a:moveTo>
                                  <a:pt x="380958" y="22735"/>
                                </a:moveTo>
                                <a:lnTo>
                                  <a:pt x="432346" y="0"/>
                                </a:lnTo>
                              </a:path>
                              <a:path w="1740535" h="1925955">
                                <a:moveTo>
                                  <a:pt x="442898" y="0"/>
                                </a:moveTo>
                                <a:lnTo>
                                  <a:pt x="494286" y="22735"/>
                                </a:lnTo>
                              </a:path>
                              <a:path w="1740535" h="1925955">
                                <a:moveTo>
                                  <a:pt x="504564" y="22735"/>
                                </a:moveTo>
                                <a:lnTo>
                                  <a:pt x="556089" y="22735"/>
                                </a:lnTo>
                              </a:path>
                              <a:path w="1740535" h="1925955">
                                <a:moveTo>
                                  <a:pt x="566367" y="22735"/>
                                </a:moveTo>
                                <a:lnTo>
                                  <a:pt x="618029" y="57142"/>
                                </a:lnTo>
                              </a:path>
                              <a:path w="1740535" h="1925955">
                                <a:moveTo>
                                  <a:pt x="628307" y="68510"/>
                                </a:moveTo>
                                <a:lnTo>
                                  <a:pt x="689973" y="159454"/>
                                </a:lnTo>
                              </a:path>
                              <a:path w="1740535" h="1925955">
                                <a:moveTo>
                                  <a:pt x="689973" y="170822"/>
                                </a:moveTo>
                                <a:lnTo>
                                  <a:pt x="751639" y="375899"/>
                                </a:lnTo>
                              </a:path>
                              <a:path w="1740535" h="1925955">
                                <a:moveTo>
                                  <a:pt x="751639" y="387722"/>
                                </a:moveTo>
                                <a:lnTo>
                                  <a:pt x="813716" y="752103"/>
                                </a:lnTo>
                              </a:path>
                              <a:path w="1740535" h="1925955">
                                <a:moveTo>
                                  <a:pt x="813716" y="763471"/>
                                </a:moveTo>
                                <a:lnTo>
                                  <a:pt x="875382" y="1173474"/>
                                </a:lnTo>
                              </a:path>
                              <a:path w="1740535" h="1925955">
                                <a:moveTo>
                                  <a:pt x="875382" y="1184842"/>
                                </a:moveTo>
                                <a:lnTo>
                                  <a:pt x="937048" y="1538158"/>
                                </a:lnTo>
                              </a:path>
                              <a:path w="1740535" h="1925955">
                                <a:moveTo>
                                  <a:pt x="937048" y="1549526"/>
                                </a:moveTo>
                                <a:lnTo>
                                  <a:pt x="998988" y="1800378"/>
                                </a:lnTo>
                              </a:path>
                              <a:path w="1740535" h="1925955">
                                <a:moveTo>
                                  <a:pt x="998988" y="1811746"/>
                                </a:moveTo>
                                <a:lnTo>
                                  <a:pt x="1060654" y="1902690"/>
                                </a:lnTo>
                              </a:path>
                              <a:path w="1740535" h="1925955">
                                <a:moveTo>
                                  <a:pt x="1060654" y="1914058"/>
                                </a:moveTo>
                                <a:lnTo>
                                  <a:pt x="1112042" y="1925426"/>
                                </a:lnTo>
                              </a:path>
                              <a:path w="1740535" h="1925955">
                                <a:moveTo>
                                  <a:pt x="1122320" y="1925426"/>
                                </a:moveTo>
                                <a:lnTo>
                                  <a:pt x="1174119" y="1891322"/>
                                </a:lnTo>
                              </a:path>
                              <a:path w="1740535" h="1925955">
                                <a:moveTo>
                                  <a:pt x="1184397" y="1891322"/>
                                </a:moveTo>
                                <a:lnTo>
                                  <a:pt x="1246063" y="1777643"/>
                                </a:lnTo>
                              </a:path>
                              <a:path w="1740535" h="1925955">
                                <a:moveTo>
                                  <a:pt x="1246063" y="1765820"/>
                                </a:moveTo>
                                <a:lnTo>
                                  <a:pt x="1307729" y="1663508"/>
                                </a:lnTo>
                              </a:path>
                              <a:path w="1740535" h="1925955">
                                <a:moveTo>
                                  <a:pt x="1307729" y="1652140"/>
                                </a:moveTo>
                                <a:lnTo>
                                  <a:pt x="1369669" y="1526790"/>
                                </a:lnTo>
                              </a:path>
                              <a:path w="1740535" h="1925955">
                                <a:moveTo>
                                  <a:pt x="1369669" y="1515422"/>
                                </a:moveTo>
                                <a:lnTo>
                                  <a:pt x="1431334" y="1355816"/>
                                </a:lnTo>
                              </a:path>
                              <a:path w="1740535" h="1925955">
                                <a:moveTo>
                                  <a:pt x="1431334" y="1344448"/>
                                </a:moveTo>
                                <a:lnTo>
                                  <a:pt x="1493000" y="1196210"/>
                                </a:lnTo>
                              </a:path>
                              <a:path w="1740535" h="1925955">
                                <a:moveTo>
                                  <a:pt x="1493000" y="1184842"/>
                                </a:moveTo>
                                <a:lnTo>
                                  <a:pt x="1555077" y="1025388"/>
                                </a:lnTo>
                              </a:path>
                              <a:path w="1740535" h="1925955">
                                <a:moveTo>
                                  <a:pt x="1555077" y="1014020"/>
                                </a:moveTo>
                                <a:lnTo>
                                  <a:pt x="1616743" y="923076"/>
                                </a:lnTo>
                              </a:path>
                              <a:path w="1740535" h="1925955">
                                <a:moveTo>
                                  <a:pt x="1627021" y="911708"/>
                                </a:moveTo>
                                <a:lnTo>
                                  <a:pt x="1688961" y="752103"/>
                                </a:lnTo>
                              </a:path>
                              <a:path w="1740535" h="1925955">
                                <a:moveTo>
                                  <a:pt x="1688961" y="740735"/>
                                </a:moveTo>
                                <a:lnTo>
                                  <a:pt x="1740349" y="672224"/>
                                </a:lnTo>
                              </a:path>
                            </a:pathLst>
                          </a:custGeom>
                          <a:ln w="10822">
                            <a:solidFill>
                              <a:srgbClr val="FF00FF"/>
                            </a:solidFill>
                            <a:prstDash val="solid"/>
                          </a:ln>
                        </wps:spPr>
                        <wps:bodyPr wrap="square" lIns="0" tIns="0" rIns="0" bIns="0" rtlCol="0">
                          <a:prstTxWarp prst="textNoShape">
                            <a:avLst/>
                          </a:prstTxWarp>
                          <a:noAutofit/>
                        </wps:bodyPr>
                      </wps:wsp>
                      <wps:wsp>
                        <wps:cNvPr id="253" name="Graphic 253"/>
                        <wps:cNvSpPr/>
                        <wps:spPr>
                          <a:xfrm>
                            <a:off x="1153800" y="1218858"/>
                            <a:ext cx="62230" cy="69215"/>
                          </a:xfrm>
                          <a:custGeom>
                            <a:avLst/>
                            <a:gdLst/>
                            <a:ahLst/>
                            <a:cxnLst/>
                            <a:rect l="l" t="t" r="r" b="b"/>
                            <a:pathLst>
                              <a:path w="62230" h="69215">
                                <a:moveTo>
                                  <a:pt x="30832" y="0"/>
                                </a:moveTo>
                                <a:lnTo>
                                  <a:pt x="0" y="34103"/>
                                </a:lnTo>
                                <a:lnTo>
                                  <a:pt x="30832" y="68662"/>
                                </a:lnTo>
                                <a:lnTo>
                                  <a:pt x="61665" y="34103"/>
                                </a:lnTo>
                                <a:lnTo>
                                  <a:pt x="30832" y="0"/>
                                </a:lnTo>
                                <a:close/>
                              </a:path>
                            </a:pathLst>
                          </a:custGeom>
                          <a:solidFill>
                            <a:srgbClr val="000080"/>
                          </a:solidFill>
                        </wps:spPr>
                        <wps:bodyPr wrap="square" lIns="0" tIns="0" rIns="0" bIns="0" rtlCol="0">
                          <a:prstTxWarp prst="textNoShape">
                            <a:avLst/>
                          </a:prstTxWarp>
                          <a:noAutofit/>
                        </wps:bodyPr>
                      </wps:wsp>
                      <wps:wsp>
                        <wps:cNvPr id="254" name="Graphic 254"/>
                        <wps:cNvSpPr/>
                        <wps:spPr>
                          <a:xfrm>
                            <a:off x="1153800" y="1218858"/>
                            <a:ext cx="62230" cy="69215"/>
                          </a:xfrm>
                          <a:custGeom>
                            <a:avLst/>
                            <a:gdLst/>
                            <a:ahLst/>
                            <a:cxnLst/>
                            <a:rect l="l" t="t" r="r" b="b"/>
                            <a:pathLst>
                              <a:path w="62230" h="69215">
                                <a:moveTo>
                                  <a:pt x="30832" y="0"/>
                                </a:moveTo>
                                <a:lnTo>
                                  <a:pt x="61665" y="34103"/>
                                </a:lnTo>
                                <a:lnTo>
                                  <a:pt x="30832" y="68662"/>
                                </a:lnTo>
                                <a:lnTo>
                                  <a:pt x="0" y="34103"/>
                                </a:lnTo>
                                <a:lnTo>
                                  <a:pt x="30832" y="0"/>
                                </a:lnTo>
                                <a:close/>
                              </a:path>
                            </a:pathLst>
                          </a:custGeom>
                          <a:ln w="10764">
                            <a:solidFill>
                              <a:srgbClr val="000080"/>
                            </a:solidFill>
                            <a:prstDash val="solid"/>
                          </a:ln>
                        </wps:spPr>
                        <wps:bodyPr wrap="square" lIns="0" tIns="0" rIns="0" bIns="0" rtlCol="0">
                          <a:prstTxWarp prst="textNoShape">
                            <a:avLst/>
                          </a:prstTxWarp>
                          <a:noAutofit/>
                        </wps:bodyPr>
                      </wps:wsp>
                      <wps:wsp>
                        <wps:cNvPr id="255" name="Graphic 255"/>
                        <wps:cNvSpPr/>
                        <wps:spPr>
                          <a:xfrm>
                            <a:off x="1215466" y="1230225"/>
                            <a:ext cx="62230" cy="69215"/>
                          </a:xfrm>
                          <a:custGeom>
                            <a:avLst/>
                            <a:gdLst/>
                            <a:ahLst/>
                            <a:cxnLst/>
                            <a:rect l="l" t="t" r="r" b="b"/>
                            <a:pathLst>
                              <a:path w="62230" h="69215">
                                <a:moveTo>
                                  <a:pt x="30832" y="0"/>
                                </a:moveTo>
                                <a:lnTo>
                                  <a:pt x="0" y="34558"/>
                                </a:lnTo>
                                <a:lnTo>
                                  <a:pt x="30832" y="68662"/>
                                </a:lnTo>
                                <a:lnTo>
                                  <a:pt x="62008" y="34558"/>
                                </a:lnTo>
                                <a:lnTo>
                                  <a:pt x="30832" y="0"/>
                                </a:lnTo>
                                <a:close/>
                              </a:path>
                            </a:pathLst>
                          </a:custGeom>
                          <a:solidFill>
                            <a:srgbClr val="000080"/>
                          </a:solidFill>
                        </wps:spPr>
                        <wps:bodyPr wrap="square" lIns="0" tIns="0" rIns="0" bIns="0" rtlCol="0">
                          <a:prstTxWarp prst="textNoShape">
                            <a:avLst/>
                          </a:prstTxWarp>
                          <a:noAutofit/>
                        </wps:bodyPr>
                      </wps:wsp>
                      <wps:wsp>
                        <wps:cNvPr id="256" name="Graphic 256"/>
                        <wps:cNvSpPr/>
                        <wps:spPr>
                          <a:xfrm>
                            <a:off x="1215466" y="1230225"/>
                            <a:ext cx="62230" cy="69215"/>
                          </a:xfrm>
                          <a:custGeom>
                            <a:avLst/>
                            <a:gdLst/>
                            <a:ahLst/>
                            <a:cxnLst/>
                            <a:rect l="l" t="t" r="r" b="b"/>
                            <a:pathLst>
                              <a:path w="62230" h="69215">
                                <a:moveTo>
                                  <a:pt x="30832" y="0"/>
                                </a:moveTo>
                                <a:lnTo>
                                  <a:pt x="62008" y="34558"/>
                                </a:lnTo>
                                <a:lnTo>
                                  <a:pt x="30832" y="68662"/>
                                </a:lnTo>
                                <a:lnTo>
                                  <a:pt x="0" y="34558"/>
                                </a:lnTo>
                                <a:lnTo>
                                  <a:pt x="30832" y="0"/>
                                </a:lnTo>
                                <a:close/>
                              </a:path>
                            </a:pathLst>
                          </a:custGeom>
                          <a:ln w="10767">
                            <a:solidFill>
                              <a:srgbClr val="000080"/>
                            </a:solidFill>
                            <a:prstDash val="solid"/>
                          </a:ln>
                        </wps:spPr>
                        <wps:bodyPr wrap="square" lIns="0" tIns="0" rIns="0" bIns="0" rtlCol="0">
                          <a:prstTxWarp prst="textNoShape">
                            <a:avLst/>
                          </a:prstTxWarp>
                          <a:noAutofit/>
                        </wps:bodyPr>
                      </wps:wsp>
                      <wps:wsp>
                        <wps:cNvPr id="257" name="Graphic 257"/>
                        <wps:cNvSpPr/>
                        <wps:spPr>
                          <a:xfrm>
                            <a:off x="1277475" y="1241593"/>
                            <a:ext cx="62230" cy="69215"/>
                          </a:xfrm>
                          <a:custGeom>
                            <a:avLst/>
                            <a:gdLst/>
                            <a:ahLst/>
                            <a:cxnLst/>
                            <a:rect l="l" t="t" r="r" b="b"/>
                            <a:pathLst>
                              <a:path w="62230" h="69215">
                                <a:moveTo>
                                  <a:pt x="30832" y="0"/>
                                </a:moveTo>
                                <a:lnTo>
                                  <a:pt x="0" y="34558"/>
                                </a:lnTo>
                                <a:lnTo>
                                  <a:pt x="30832" y="68662"/>
                                </a:lnTo>
                                <a:lnTo>
                                  <a:pt x="61734" y="34558"/>
                                </a:lnTo>
                                <a:lnTo>
                                  <a:pt x="30832" y="0"/>
                                </a:lnTo>
                                <a:close/>
                              </a:path>
                            </a:pathLst>
                          </a:custGeom>
                          <a:solidFill>
                            <a:srgbClr val="000080"/>
                          </a:solidFill>
                        </wps:spPr>
                        <wps:bodyPr wrap="square" lIns="0" tIns="0" rIns="0" bIns="0" rtlCol="0">
                          <a:prstTxWarp prst="textNoShape">
                            <a:avLst/>
                          </a:prstTxWarp>
                          <a:noAutofit/>
                        </wps:bodyPr>
                      </wps:wsp>
                      <wps:wsp>
                        <wps:cNvPr id="258" name="Graphic 258"/>
                        <wps:cNvSpPr/>
                        <wps:spPr>
                          <a:xfrm>
                            <a:off x="1277475" y="1241593"/>
                            <a:ext cx="62230" cy="69215"/>
                          </a:xfrm>
                          <a:custGeom>
                            <a:avLst/>
                            <a:gdLst/>
                            <a:ahLst/>
                            <a:cxnLst/>
                            <a:rect l="l" t="t" r="r" b="b"/>
                            <a:pathLst>
                              <a:path w="62230" h="69215">
                                <a:moveTo>
                                  <a:pt x="30832" y="0"/>
                                </a:moveTo>
                                <a:lnTo>
                                  <a:pt x="61734" y="34558"/>
                                </a:lnTo>
                                <a:lnTo>
                                  <a:pt x="30832" y="68662"/>
                                </a:lnTo>
                                <a:lnTo>
                                  <a:pt x="0" y="34558"/>
                                </a:lnTo>
                                <a:lnTo>
                                  <a:pt x="30832" y="0"/>
                                </a:lnTo>
                                <a:close/>
                              </a:path>
                            </a:pathLst>
                          </a:custGeom>
                          <a:ln w="10765">
                            <a:solidFill>
                              <a:srgbClr val="000080"/>
                            </a:solidFill>
                            <a:prstDash val="solid"/>
                          </a:ln>
                        </wps:spPr>
                        <wps:bodyPr wrap="square" lIns="0" tIns="0" rIns="0" bIns="0" rtlCol="0">
                          <a:prstTxWarp prst="textNoShape">
                            <a:avLst/>
                          </a:prstTxWarp>
                          <a:noAutofit/>
                        </wps:bodyPr>
                      </wps:wsp>
                      <wps:wsp>
                        <wps:cNvPr id="259" name="Graphic 259"/>
                        <wps:cNvSpPr/>
                        <wps:spPr>
                          <a:xfrm>
                            <a:off x="1339209" y="1241593"/>
                            <a:ext cx="62230" cy="69215"/>
                          </a:xfrm>
                          <a:custGeom>
                            <a:avLst/>
                            <a:gdLst/>
                            <a:ahLst/>
                            <a:cxnLst/>
                            <a:rect l="l" t="t" r="r" b="b"/>
                            <a:pathLst>
                              <a:path w="62230" h="69215">
                                <a:moveTo>
                                  <a:pt x="30832" y="0"/>
                                </a:moveTo>
                                <a:lnTo>
                                  <a:pt x="0" y="34558"/>
                                </a:lnTo>
                                <a:lnTo>
                                  <a:pt x="30832" y="68662"/>
                                </a:lnTo>
                                <a:lnTo>
                                  <a:pt x="61665" y="34558"/>
                                </a:lnTo>
                                <a:lnTo>
                                  <a:pt x="30832" y="0"/>
                                </a:lnTo>
                                <a:close/>
                              </a:path>
                            </a:pathLst>
                          </a:custGeom>
                          <a:solidFill>
                            <a:srgbClr val="000080"/>
                          </a:solidFill>
                        </wps:spPr>
                        <wps:bodyPr wrap="square" lIns="0" tIns="0" rIns="0" bIns="0" rtlCol="0">
                          <a:prstTxWarp prst="textNoShape">
                            <a:avLst/>
                          </a:prstTxWarp>
                          <a:noAutofit/>
                        </wps:bodyPr>
                      </wps:wsp>
                      <wps:wsp>
                        <wps:cNvPr id="260" name="Graphic 260"/>
                        <wps:cNvSpPr/>
                        <wps:spPr>
                          <a:xfrm>
                            <a:off x="1339209" y="1241593"/>
                            <a:ext cx="62230" cy="69215"/>
                          </a:xfrm>
                          <a:custGeom>
                            <a:avLst/>
                            <a:gdLst/>
                            <a:ahLst/>
                            <a:cxnLst/>
                            <a:rect l="l" t="t" r="r" b="b"/>
                            <a:pathLst>
                              <a:path w="62230" h="69215">
                                <a:moveTo>
                                  <a:pt x="30832" y="0"/>
                                </a:moveTo>
                                <a:lnTo>
                                  <a:pt x="61665" y="34558"/>
                                </a:lnTo>
                                <a:lnTo>
                                  <a:pt x="30832" y="68662"/>
                                </a:lnTo>
                                <a:lnTo>
                                  <a:pt x="0" y="34558"/>
                                </a:lnTo>
                                <a:lnTo>
                                  <a:pt x="30832" y="0"/>
                                </a:lnTo>
                                <a:close/>
                              </a:path>
                            </a:pathLst>
                          </a:custGeom>
                          <a:ln w="10764">
                            <a:solidFill>
                              <a:srgbClr val="000080"/>
                            </a:solidFill>
                            <a:prstDash val="solid"/>
                          </a:ln>
                        </wps:spPr>
                        <wps:bodyPr wrap="square" lIns="0" tIns="0" rIns="0" bIns="0" rtlCol="0">
                          <a:prstTxWarp prst="textNoShape">
                            <a:avLst/>
                          </a:prstTxWarp>
                          <a:noAutofit/>
                        </wps:bodyPr>
                      </wps:wsp>
                      <wps:wsp>
                        <wps:cNvPr id="261" name="Graphic 261"/>
                        <wps:cNvSpPr/>
                        <wps:spPr>
                          <a:xfrm>
                            <a:off x="1400875" y="1230225"/>
                            <a:ext cx="62230" cy="69215"/>
                          </a:xfrm>
                          <a:custGeom>
                            <a:avLst/>
                            <a:gdLst/>
                            <a:ahLst/>
                            <a:cxnLst/>
                            <a:rect l="l" t="t" r="r" b="b"/>
                            <a:pathLst>
                              <a:path w="62230" h="69215">
                                <a:moveTo>
                                  <a:pt x="30832" y="0"/>
                                </a:moveTo>
                                <a:lnTo>
                                  <a:pt x="0" y="34558"/>
                                </a:lnTo>
                                <a:lnTo>
                                  <a:pt x="30832" y="68662"/>
                                </a:lnTo>
                                <a:lnTo>
                                  <a:pt x="61940" y="34558"/>
                                </a:lnTo>
                                <a:lnTo>
                                  <a:pt x="30832" y="0"/>
                                </a:lnTo>
                                <a:close/>
                              </a:path>
                            </a:pathLst>
                          </a:custGeom>
                          <a:solidFill>
                            <a:srgbClr val="000080"/>
                          </a:solidFill>
                        </wps:spPr>
                        <wps:bodyPr wrap="square" lIns="0" tIns="0" rIns="0" bIns="0" rtlCol="0">
                          <a:prstTxWarp prst="textNoShape">
                            <a:avLst/>
                          </a:prstTxWarp>
                          <a:noAutofit/>
                        </wps:bodyPr>
                      </wps:wsp>
                      <wps:wsp>
                        <wps:cNvPr id="262" name="Graphic 262"/>
                        <wps:cNvSpPr/>
                        <wps:spPr>
                          <a:xfrm>
                            <a:off x="1400875" y="1230225"/>
                            <a:ext cx="62230" cy="69215"/>
                          </a:xfrm>
                          <a:custGeom>
                            <a:avLst/>
                            <a:gdLst/>
                            <a:ahLst/>
                            <a:cxnLst/>
                            <a:rect l="l" t="t" r="r" b="b"/>
                            <a:pathLst>
                              <a:path w="62230" h="69215">
                                <a:moveTo>
                                  <a:pt x="30832" y="0"/>
                                </a:moveTo>
                                <a:lnTo>
                                  <a:pt x="61940" y="34558"/>
                                </a:lnTo>
                                <a:lnTo>
                                  <a:pt x="30832" y="68662"/>
                                </a:lnTo>
                                <a:lnTo>
                                  <a:pt x="0" y="34558"/>
                                </a:lnTo>
                                <a:lnTo>
                                  <a:pt x="30832" y="0"/>
                                </a:lnTo>
                                <a:close/>
                              </a:path>
                            </a:pathLst>
                          </a:custGeom>
                          <a:ln w="10766">
                            <a:solidFill>
                              <a:srgbClr val="000080"/>
                            </a:solidFill>
                            <a:prstDash val="solid"/>
                          </a:ln>
                        </wps:spPr>
                        <wps:bodyPr wrap="square" lIns="0" tIns="0" rIns="0" bIns="0" rtlCol="0">
                          <a:prstTxWarp prst="textNoShape">
                            <a:avLst/>
                          </a:prstTxWarp>
                          <a:noAutofit/>
                        </wps:bodyPr>
                      </wps:wsp>
                      <wps:wsp>
                        <wps:cNvPr id="263" name="Graphic 263"/>
                        <wps:cNvSpPr/>
                        <wps:spPr>
                          <a:xfrm>
                            <a:off x="1462815" y="1241593"/>
                            <a:ext cx="62230" cy="69215"/>
                          </a:xfrm>
                          <a:custGeom>
                            <a:avLst/>
                            <a:gdLst/>
                            <a:ahLst/>
                            <a:cxnLst/>
                            <a:rect l="l" t="t" r="r" b="b"/>
                            <a:pathLst>
                              <a:path w="62230" h="69215">
                                <a:moveTo>
                                  <a:pt x="30832" y="0"/>
                                </a:moveTo>
                                <a:lnTo>
                                  <a:pt x="0" y="34558"/>
                                </a:lnTo>
                                <a:lnTo>
                                  <a:pt x="30832" y="68662"/>
                                </a:lnTo>
                                <a:lnTo>
                                  <a:pt x="61665" y="34558"/>
                                </a:lnTo>
                                <a:lnTo>
                                  <a:pt x="30832" y="0"/>
                                </a:lnTo>
                                <a:close/>
                              </a:path>
                            </a:pathLst>
                          </a:custGeom>
                          <a:solidFill>
                            <a:srgbClr val="000080"/>
                          </a:solidFill>
                        </wps:spPr>
                        <wps:bodyPr wrap="square" lIns="0" tIns="0" rIns="0" bIns="0" rtlCol="0">
                          <a:prstTxWarp prst="textNoShape">
                            <a:avLst/>
                          </a:prstTxWarp>
                          <a:noAutofit/>
                        </wps:bodyPr>
                      </wps:wsp>
                      <wps:wsp>
                        <wps:cNvPr id="264" name="Graphic 264"/>
                        <wps:cNvSpPr/>
                        <wps:spPr>
                          <a:xfrm>
                            <a:off x="1462815" y="1241593"/>
                            <a:ext cx="62230" cy="69215"/>
                          </a:xfrm>
                          <a:custGeom>
                            <a:avLst/>
                            <a:gdLst/>
                            <a:ahLst/>
                            <a:cxnLst/>
                            <a:rect l="l" t="t" r="r" b="b"/>
                            <a:pathLst>
                              <a:path w="62230" h="69215">
                                <a:moveTo>
                                  <a:pt x="30832" y="0"/>
                                </a:moveTo>
                                <a:lnTo>
                                  <a:pt x="61665" y="34558"/>
                                </a:lnTo>
                                <a:lnTo>
                                  <a:pt x="30832" y="68662"/>
                                </a:lnTo>
                                <a:lnTo>
                                  <a:pt x="0" y="34558"/>
                                </a:lnTo>
                                <a:lnTo>
                                  <a:pt x="30832" y="0"/>
                                </a:lnTo>
                                <a:close/>
                              </a:path>
                            </a:pathLst>
                          </a:custGeom>
                          <a:ln w="10764">
                            <a:solidFill>
                              <a:srgbClr val="000080"/>
                            </a:solidFill>
                            <a:prstDash val="solid"/>
                          </a:ln>
                        </wps:spPr>
                        <wps:bodyPr wrap="square" lIns="0" tIns="0" rIns="0" bIns="0" rtlCol="0">
                          <a:prstTxWarp prst="textNoShape">
                            <a:avLst/>
                          </a:prstTxWarp>
                          <a:noAutofit/>
                        </wps:bodyPr>
                      </wps:wsp>
                      <wps:wsp>
                        <wps:cNvPr id="265" name="Graphic 265"/>
                        <wps:cNvSpPr/>
                        <wps:spPr>
                          <a:xfrm>
                            <a:off x="1534759" y="1230225"/>
                            <a:ext cx="62230" cy="69215"/>
                          </a:xfrm>
                          <a:custGeom>
                            <a:avLst/>
                            <a:gdLst/>
                            <a:ahLst/>
                            <a:cxnLst/>
                            <a:rect l="l" t="t" r="r" b="b"/>
                            <a:pathLst>
                              <a:path w="62230" h="69215">
                                <a:moveTo>
                                  <a:pt x="30832" y="0"/>
                                </a:moveTo>
                                <a:lnTo>
                                  <a:pt x="0" y="34558"/>
                                </a:lnTo>
                                <a:lnTo>
                                  <a:pt x="30832" y="68662"/>
                                </a:lnTo>
                                <a:lnTo>
                                  <a:pt x="61665" y="34558"/>
                                </a:lnTo>
                                <a:lnTo>
                                  <a:pt x="30832" y="0"/>
                                </a:lnTo>
                                <a:close/>
                              </a:path>
                            </a:pathLst>
                          </a:custGeom>
                          <a:solidFill>
                            <a:srgbClr val="000080"/>
                          </a:solidFill>
                        </wps:spPr>
                        <wps:bodyPr wrap="square" lIns="0" tIns="0" rIns="0" bIns="0" rtlCol="0">
                          <a:prstTxWarp prst="textNoShape">
                            <a:avLst/>
                          </a:prstTxWarp>
                          <a:noAutofit/>
                        </wps:bodyPr>
                      </wps:wsp>
                      <wps:wsp>
                        <wps:cNvPr id="266" name="Graphic 266"/>
                        <wps:cNvSpPr/>
                        <wps:spPr>
                          <a:xfrm>
                            <a:off x="1534759" y="1230225"/>
                            <a:ext cx="62230" cy="69215"/>
                          </a:xfrm>
                          <a:custGeom>
                            <a:avLst/>
                            <a:gdLst/>
                            <a:ahLst/>
                            <a:cxnLst/>
                            <a:rect l="l" t="t" r="r" b="b"/>
                            <a:pathLst>
                              <a:path w="62230" h="69215">
                                <a:moveTo>
                                  <a:pt x="30832" y="0"/>
                                </a:moveTo>
                                <a:lnTo>
                                  <a:pt x="61665" y="34558"/>
                                </a:lnTo>
                                <a:lnTo>
                                  <a:pt x="30832" y="68662"/>
                                </a:lnTo>
                                <a:lnTo>
                                  <a:pt x="0" y="34558"/>
                                </a:lnTo>
                                <a:lnTo>
                                  <a:pt x="30832" y="0"/>
                                </a:lnTo>
                                <a:close/>
                              </a:path>
                            </a:pathLst>
                          </a:custGeom>
                          <a:ln w="10764">
                            <a:solidFill>
                              <a:srgbClr val="000080"/>
                            </a:solidFill>
                            <a:prstDash val="solid"/>
                          </a:ln>
                        </wps:spPr>
                        <wps:bodyPr wrap="square" lIns="0" tIns="0" rIns="0" bIns="0" rtlCol="0">
                          <a:prstTxWarp prst="textNoShape">
                            <a:avLst/>
                          </a:prstTxWarp>
                          <a:noAutofit/>
                        </wps:bodyPr>
                      </wps:wsp>
                      <wps:wsp>
                        <wps:cNvPr id="267" name="Graphic 267"/>
                        <wps:cNvSpPr/>
                        <wps:spPr>
                          <a:xfrm>
                            <a:off x="1596425" y="1218858"/>
                            <a:ext cx="62230" cy="69215"/>
                          </a:xfrm>
                          <a:custGeom>
                            <a:avLst/>
                            <a:gdLst/>
                            <a:ahLst/>
                            <a:cxnLst/>
                            <a:rect l="l" t="t" r="r" b="b"/>
                            <a:pathLst>
                              <a:path w="62230" h="69215">
                                <a:moveTo>
                                  <a:pt x="31107" y="0"/>
                                </a:moveTo>
                                <a:lnTo>
                                  <a:pt x="0" y="34103"/>
                                </a:lnTo>
                                <a:lnTo>
                                  <a:pt x="31107" y="68662"/>
                                </a:lnTo>
                                <a:lnTo>
                                  <a:pt x="61940" y="34103"/>
                                </a:lnTo>
                                <a:lnTo>
                                  <a:pt x="31107" y="0"/>
                                </a:lnTo>
                                <a:close/>
                              </a:path>
                            </a:pathLst>
                          </a:custGeom>
                          <a:solidFill>
                            <a:srgbClr val="000080"/>
                          </a:solidFill>
                        </wps:spPr>
                        <wps:bodyPr wrap="square" lIns="0" tIns="0" rIns="0" bIns="0" rtlCol="0">
                          <a:prstTxWarp prst="textNoShape">
                            <a:avLst/>
                          </a:prstTxWarp>
                          <a:noAutofit/>
                        </wps:bodyPr>
                      </wps:wsp>
                      <wps:wsp>
                        <wps:cNvPr id="268" name="Graphic 268"/>
                        <wps:cNvSpPr/>
                        <wps:spPr>
                          <a:xfrm>
                            <a:off x="1596425" y="1218858"/>
                            <a:ext cx="62230" cy="69215"/>
                          </a:xfrm>
                          <a:custGeom>
                            <a:avLst/>
                            <a:gdLst/>
                            <a:ahLst/>
                            <a:cxnLst/>
                            <a:rect l="l" t="t" r="r" b="b"/>
                            <a:pathLst>
                              <a:path w="62230" h="69215">
                                <a:moveTo>
                                  <a:pt x="31107" y="0"/>
                                </a:moveTo>
                                <a:lnTo>
                                  <a:pt x="61940" y="34103"/>
                                </a:lnTo>
                                <a:lnTo>
                                  <a:pt x="31107" y="68662"/>
                                </a:lnTo>
                                <a:lnTo>
                                  <a:pt x="0" y="34103"/>
                                </a:lnTo>
                                <a:lnTo>
                                  <a:pt x="31107" y="0"/>
                                </a:lnTo>
                                <a:close/>
                              </a:path>
                            </a:pathLst>
                          </a:custGeom>
                          <a:ln w="10766">
                            <a:solidFill>
                              <a:srgbClr val="000080"/>
                            </a:solidFill>
                            <a:prstDash val="solid"/>
                          </a:ln>
                        </wps:spPr>
                        <wps:bodyPr wrap="square" lIns="0" tIns="0" rIns="0" bIns="0" rtlCol="0">
                          <a:prstTxWarp prst="textNoShape">
                            <a:avLst/>
                          </a:prstTxWarp>
                          <a:noAutofit/>
                        </wps:bodyPr>
                      </wps:wsp>
                      <wps:wsp>
                        <wps:cNvPr id="269" name="Graphic 269"/>
                        <wps:cNvSpPr/>
                        <wps:spPr>
                          <a:xfrm>
                            <a:off x="1658365" y="1252961"/>
                            <a:ext cx="62230" cy="69215"/>
                          </a:xfrm>
                          <a:custGeom>
                            <a:avLst/>
                            <a:gdLst/>
                            <a:ahLst/>
                            <a:cxnLst/>
                            <a:rect l="l" t="t" r="r" b="b"/>
                            <a:pathLst>
                              <a:path w="62230" h="69215">
                                <a:moveTo>
                                  <a:pt x="30832" y="0"/>
                                </a:moveTo>
                                <a:lnTo>
                                  <a:pt x="0" y="34558"/>
                                </a:lnTo>
                                <a:lnTo>
                                  <a:pt x="30832" y="68662"/>
                                </a:lnTo>
                                <a:lnTo>
                                  <a:pt x="61802" y="34558"/>
                                </a:lnTo>
                                <a:lnTo>
                                  <a:pt x="30832" y="0"/>
                                </a:lnTo>
                                <a:close/>
                              </a:path>
                            </a:pathLst>
                          </a:custGeom>
                          <a:solidFill>
                            <a:srgbClr val="000080"/>
                          </a:solidFill>
                        </wps:spPr>
                        <wps:bodyPr wrap="square" lIns="0" tIns="0" rIns="0" bIns="0" rtlCol="0">
                          <a:prstTxWarp prst="textNoShape">
                            <a:avLst/>
                          </a:prstTxWarp>
                          <a:noAutofit/>
                        </wps:bodyPr>
                      </wps:wsp>
                      <wps:wsp>
                        <wps:cNvPr id="270" name="Graphic 270"/>
                        <wps:cNvSpPr/>
                        <wps:spPr>
                          <a:xfrm>
                            <a:off x="1658365" y="1252961"/>
                            <a:ext cx="62230" cy="69215"/>
                          </a:xfrm>
                          <a:custGeom>
                            <a:avLst/>
                            <a:gdLst/>
                            <a:ahLst/>
                            <a:cxnLst/>
                            <a:rect l="l" t="t" r="r" b="b"/>
                            <a:pathLst>
                              <a:path w="62230" h="69215">
                                <a:moveTo>
                                  <a:pt x="30832" y="0"/>
                                </a:moveTo>
                                <a:lnTo>
                                  <a:pt x="61802" y="34558"/>
                                </a:lnTo>
                                <a:lnTo>
                                  <a:pt x="30832" y="68662"/>
                                </a:lnTo>
                                <a:lnTo>
                                  <a:pt x="0" y="34558"/>
                                </a:lnTo>
                                <a:lnTo>
                                  <a:pt x="30832" y="0"/>
                                </a:lnTo>
                                <a:close/>
                              </a:path>
                            </a:pathLst>
                          </a:custGeom>
                          <a:ln w="10765">
                            <a:solidFill>
                              <a:srgbClr val="000080"/>
                            </a:solidFill>
                            <a:prstDash val="solid"/>
                          </a:ln>
                        </wps:spPr>
                        <wps:bodyPr wrap="square" lIns="0" tIns="0" rIns="0" bIns="0" rtlCol="0">
                          <a:prstTxWarp prst="textNoShape">
                            <a:avLst/>
                          </a:prstTxWarp>
                          <a:noAutofit/>
                        </wps:bodyPr>
                      </wps:wsp>
                      <wps:wsp>
                        <wps:cNvPr id="271" name="Graphic 271"/>
                        <wps:cNvSpPr/>
                        <wps:spPr>
                          <a:xfrm>
                            <a:off x="1720168" y="1241593"/>
                            <a:ext cx="62230" cy="69215"/>
                          </a:xfrm>
                          <a:custGeom>
                            <a:avLst/>
                            <a:gdLst/>
                            <a:ahLst/>
                            <a:cxnLst/>
                            <a:rect l="l" t="t" r="r" b="b"/>
                            <a:pathLst>
                              <a:path w="62230" h="69215">
                                <a:moveTo>
                                  <a:pt x="30832" y="0"/>
                                </a:moveTo>
                                <a:lnTo>
                                  <a:pt x="0" y="34558"/>
                                </a:lnTo>
                                <a:lnTo>
                                  <a:pt x="30832" y="68662"/>
                                </a:lnTo>
                                <a:lnTo>
                                  <a:pt x="61665" y="34558"/>
                                </a:lnTo>
                                <a:lnTo>
                                  <a:pt x="30832" y="0"/>
                                </a:lnTo>
                                <a:close/>
                              </a:path>
                            </a:pathLst>
                          </a:custGeom>
                          <a:solidFill>
                            <a:srgbClr val="000080"/>
                          </a:solidFill>
                        </wps:spPr>
                        <wps:bodyPr wrap="square" lIns="0" tIns="0" rIns="0" bIns="0" rtlCol="0">
                          <a:prstTxWarp prst="textNoShape">
                            <a:avLst/>
                          </a:prstTxWarp>
                          <a:noAutofit/>
                        </wps:bodyPr>
                      </wps:wsp>
                      <wps:wsp>
                        <wps:cNvPr id="272" name="Graphic 272"/>
                        <wps:cNvSpPr/>
                        <wps:spPr>
                          <a:xfrm>
                            <a:off x="1720168" y="1241593"/>
                            <a:ext cx="62230" cy="69215"/>
                          </a:xfrm>
                          <a:custGeom>
                            <a:avLst/>
                            <a:gdLst/>
                            <a:ahLst/>
                            <a:cxnLst/>
                            <a:rect l="l" t="t" r="r" b="b"/>
                            <a:pathLst>
                              <a:path w="62230" h="69215">
                                <a:moveTo>
                                  <a:pt x="30832" y="0"/>
                                </a:moveTo>
                                <a:lnTo>
                                  <a:pt x="61665" y="34558"/>
                                </a:lnTo>
                                <a:lnTo>
                                  <a:pt x="30832" y="68662"/>
                                </a:lnTo>
                                <a:lnTo>
                                  <a:pt x="0" y="34558"/>
                                </a:lnTo>
                                <a:lnTo>
                                  <a:pt x="30832" y="0"/>
                                </a:lnTo>
                                <a:close/>
                              </a:path>
                            </a:pathLst>
                          </a:custGeom>
                          <a:ln w="10764">
                            <a:solidFill>
                              <a:srgbClr val="000080"/>
                            </a:solidFill>
                            <a:prstDash val="solid"/>
                          </a:ln>
                        </wps:spPr>
                        <wps:bodyPr wrap="square" lIns="0" tIns="0" rIns="0" bIns="0" rtlCol="0">
                          <a:prstTxWarp prst="textNoShape">
                            <a:avLst/>
                          </a:prstTxWarp>
                          <a:noAutofit/>
                        </wps:bodyPr>
                      </wps:wsp>
                      <wps:wsp>
                        <wps:cNvPr id="273" name="Graphic 273"/>
                        <wps:cNvSpPr/>
                        <wps:spPr>
                          <a:xfrm>
                            <a:off x="1781834" y="1276152"/>
                            <a:ext cx="62230" cy="68580"/>
                          </a:xfrm>
                          <a:custGeom>
                            <a:avLst/>
                            <a:gdLst/>
                            <a:ahLst/>
                            <a:cxnLst/>
                            <a:rect l="l" t="t" r="r" b="b"/>
                            <a:pathLst>
                              <a:path w="62230" h="68580">
                                <a:moveTo>
                                  <a:pt x="31107" y="0"/>
                                </a:moveTo>
                                <a:lnTo>
                                  <a:pt x="0" y="34103"/>
                                </a:lnTo>
                                <a:lnTo>
                                  <a:pt x="31107" y="68207"/>
                                </a:lnTo>
                                <a:lnTo>
                                  <a:pt x="61940" y="34103"/>
                                </a:lnTo>
                                <a:lnTo>
                                  <a:pt x="31107" y="0"/>
                                </a:lnTo>
                                <a:close/>
                              </a:path>
                            </a:pathLst>
                          </a:custGeom>
                          <a:solidFill>
                            <a:srgbClr val="000080"/>
                          </a:solidFill>
                        </wps:spPr>
                        <wps:bodyPr wrap="square" lIns="0" tIns="0" rIns="0" bIns="0" rtlCol="0">
                          <a:prstTxWarp prst="textNoShape">
                            <a:avLst/>
                          </a:prstTxWarp>
                          <a:noAutofit/>
                        </wps:bodyPr>
                      </wps:wsp>
                      <wps:wsp>
                        <wps:cNvPr id="274" name="Graphic 274"/>
                        <wps:cNvSpPr/>
                        <wps:spPr>
                          <a:xfrm>
                            <a:off x="1781834" y="1276152"/>
                            <a:ext cx="62230" cy="68580"/>
                          </a:xfrm>
                          <a:custGeom>
                            <a:avLst/>
                            <a:gdLst/>
                            <a:ahLst/>
                            <a:cxnLst/>
                            <a:rect l="l" t="t" r="r" b="b"/>
                            <a:pathLst>
                              <a:path w="62230" h="68580">
                                <a:moveTo>
                                  <a:pt x="31107" y="0"/>
                                </a:moveTo>
                                <a:lnTo>
                                  <a:pt x="61940" y="34103"/>
                                </a:lnTo>
                                <a:lnTo>
                                  <a:pt x="31107" y="68207"/>
                                </a:lnTo>
                                <a:lnTo>
                                  <a:pt x="0" y="34103"/>
                                </a:lnTo>
                                <a:lnTo>
                                  <a:pt x="31107" y="0"/>
                                </a:lnTo>
                                <a:close/>
                              </a:path>
                            </a:pathLst>
                          </a:custGeom>
                          <a:ln w="10770">
                            <a:solidFill>
                              <a:srgbClr val="000080"/>
                            </a:solidFill>
                            <a:prstDash val="solid"/>
                          </a:ln>
                        </wps:spPr>
                        <wps:bodyPr wrap="square" lIns="0" tIns="0" rIns="0" bIns="0" rtlCol="0">
                          <a:prstTxWarp prst="textNoShape">
                            <a:avLst/>
                          </a:prstTxWarp>
                          <a:noAutofit/>
                        </wps:bodyPr>
                      </wps:wsp>
                      <pic:pic>
                        <pic:nvPicPr>
                          <pic:cNvPr id="275" name="Image 275"/>
                          <pic:cNvPicPr/>
                        </pic:nvPicPr>
                        <pic:blipFill>
                          <a:blip r:embed="rId29" cstate="print"/>
                          <a:stretch>
                            <a:fillRect/>
                          </a:stretch>
                        </pic:blipFill>
                        <pic:spPr>
                          <a:xfrm>
                            <a:off x="1838363" y="1395789"/>
                            <a:ext cx="72486" cy="79331"/>
                          </a:xfrm>
                          <a:prstGeom prst="rect">
                            <a:avLst/>
                          </a:prstGeom>
                        </pic:spPr>
                      </pic:pic>
                      <wps:wsp>
                        <wps:cNvPr id="276" name="Graphic 276"/>
                        <wps:cNvSpPr/>
                        <wps:spPr>
                          <a:xfrm>
                            <a:off x="1905439" y="1640532"/>
                            <a:ext cx="62230" cy="68580"/>
                          </a:xfrm>
                          <a:custGeom>
                            <a:avLst/>
                            <a:gdLst/>
                            <a:ahLst/>
                            <a:cxnLst/>
                            <a:rect l="l" t="t" r="r" b="b"/>
                            <a:pathLst>
                              <a:path w="62230" h="68580">
                                <a:moveTo>
                                  <a:pt x="30832" y="0"/>
                                </a:moveTo>
                                <a:lnTo>
                                  <a:pt x="0" y="34103"/>
                                </a:lnTo>
                                <a:lnTo>
                                  <a:pt x="30832" y="68207"/>
                                </a:lnTo>
                                <a:lnTo>
                                  <a:pt x="61665" y="34103"/>
                                </a:lnTo>
                                <a:lnTo>
                                  <a:pt x="30832" y="0"/>
                                </a:lnTo>
                                <a:close/>
                              </a:path>
                            </a:pathLst>
                          </a:custGeom>
                          <a:solidFill>
                            <a:srgbClr val="000080"/>
                          </a:solidFill>
                        </wps:spPr>
                        <wps:bodyPr wrap="square" lIns="0" tIns="0" rIns="0" bIns="0" rtlCol="0">
                          <a:prstTxWarp prst="textNoShape">
                            <a:avLst/>
                          </a:prstTxWarp>
                          <a:noAutofit/>
                        </wps:bodyPr>
                      </wps:wsp>
                      <wps:wsp>
                        <wps:cNvPr id="277" name="Graphic 277"/>
                        <wps:cNvSpPr/>
                        <wps:spPr>
                          <a:xfrm>
                            <a:off x="1905439" y="1640532"/>
                            <a:ext cx="62230" cy="68580"/>
                          </a:xfrm>
                          <a:custGeom>
                            <a:avLst/>
                            <a:gdLst/>
                            <a:ahLst/>
                            <a:cxnLst/>
                            <a:rect l="l" t="t" r="r" b="b"/>
                            <a:pathLst>
                              <a:path w="62230" h="68580">
                                <a:moveTo>
                                  <a:pt x="30832" y="0"/>
                                </a:moveTo>
                                <a:lnTo>
                                  <a:pt x="61665" y="34103"/>
                                </a:lnTo>
                                <a:lnTo>
                                  <a:pt x="30832" y="68207"/>
                                </a:lnTo>
                                <a:lnTo>
                                  <a:pt x="0" y="34103"/>
                                </a:lnTo>
                                <a:lnTo>
                                  <a:pt x="30832" y="0"/>
                                </a:lnTo>
                                <a:close/>
                              </a:path>
                            </a:pathLst>
                          </a:custGeom>
                          <a:ln w="10768">
                            <a:solidFill>
                              <a:srgbClr val="000080"/>
                            </a:solidFill>
                            <a:prstDash val="solid"/>
                          </a:ln>
                        </wps:spPr>
                        <wps:bodyPr wrap="square" lIns="0" tIns="0" rIns="0" bIns="0" rtlCol="0">
                          <a:prstTxWarp prst="textNoShape">
                            <a:avLst/>
                          </a:prstTxWarp>
                          <a:noAutofit/>
                        </wps:bodyPr>
                      </wps:wsp>
                      <wps:wsp>
                        <wps:cNvPr id="278" name="Graphic 278"/>
                        <wps:cNvSpPr/>
                        <wps:spPr>
                          <a:xfrm>
                            <a:off x="1967105" y="2050536"/>
                            <a:ext cx="62230" cy="68580"/>
                          </a:xfrm>
                          <a:custGeom>
                            <a:avLst/>
                            <a:gdLst/>
                            <a:ahLst/>
                            <a:cxnLst/>
                            <a:rect l="l" t="t" r="r" b="b"/>
                            <a:pathLst>
                              <a:path w="62230" h="68580">
                                <a:moveTo>
                                  <a:pt x="31244" y="0"/>
                                </a:moveTo>
                                <a:lnTo>
                                  <a:pt x="0" y="34103"/>
                                </a:lnTo>
                                <a:lnTo>
                                  <a:pt x="31244" y="68207"/>
                                </a:lnTo>
                                <a:lnTo>
                                  <a:pt x="62077" y="34103"/>
                                </a:lnTo>
                                <a:lnTo>
                                  <a:pt x="31244" y="0"/>
                                </a:lnTo>
                                <a:close/>
                              </a:path>
                            </a:pathLst>
                          </a:custGeom>
                          <a:solidFill>
                            <a:srgbClr val="000080"/>
                          </a:solidFill>
                        </wps:spPr>
                        <wps:bodyPr wrap="square" lIns="0" tIns="0" rIns="0" bIns="0" rtlCol="0">
                          <a:prstTxWarp prst="textNoShape">
                            <a:avLst/>
                          </a:prstTxWarp>
                          <a:noAutofit/>
                        </wps:bodyPr>
                      </wps:wsp>
                      <wps:wsp>
                        <wps:cNvPr id="279" name="Graphic 279"/>
                        <wps:cNvSpPr/>
                        <wps:spPr>
                          <a:xfrm>
                            <a:off x="1967105" y="2050536"/>
                            <a:ext cx="62230" cy="68580"/>
                          </a:xfrm>
                          <a:custGeom>
                            <a:avLst/>
                            <a:gdLst/>
                            <a:ahLst/>
                            <a:cxnLst/>
                            <a:rect l="l" t="t" r="r" b="b"/>
                            <a:pathLst>
                              <a:path w="62230" h="68580">
                                <a:moveTo>
                                  <a:pt x="31244" y="0"/>
                                </a:moveTo>
                                <a:lnTo>
                                  <a:pt x="62077" y="34103"/>
                                </a:lnTo>
                                <a:lnTo>
                                  <a:pt x="31244" y="68207"/>
                                </a:lnTo>
                                <a:lnTo>
                                  <a:pt x="0" y="34103"/>
                                </a:lnTo>
                                <a:lnTo>
                                  <a:pt x="31244" y="0"/>
                                </a:lnTo>
                                <a:close/>
                              </a:path>
                            </a:pathLst>
                          </a:custGeom>
                          <a:ln w="10771">
                            <a:solidFill>
                              <a:srgbClr val="000080"/>
                            </a:solidFill>
                            <a:prstDash val="solid"/>
                          </a:ln>
                        </wps:spPr>
                        <wps:bodyPr wrap="square" lIns="0" tIns="0" rIns="0" bIns="0" rtlCol="0">
                          <a:prstTxWarp prst="textNoShape">
                            <a:avLst/>
                          </a:prstTxWarp>
                          <a:noAutofit/>
                        </wps:bodyPr>
                      </wps:wsp>
                      <pic:pic>
                        <pic:nvPicPr>
                          <pic:cNvPr id="280" name="Image 280"/>
                          <pic:cNvPicPr/>
                        </pic:nvPicPr>
                        <pic:blipFill>
                          <a:blip r:embed="rId30" cstate="print"/>
                          <a:stretch>
                            <a:fillRect/>
                          </a:stretch>
                        </pic:blipFill>
                        <pic:spPr>
                          <a:xfrm>
                            <a:off x="2023773" y="2614736"/>
                            <a:ext cx="72485" cy="79481"/>
                          </a:xfrm>
                          <a:prstGeom prst="rect">
                            <a:avLst/>
                          </a:prstGeom>
                        </pic:spPr>
                      </pic:pic>
                      <pic:pic>
                        <pic:nvPicPr>
                          <pic:cNvPr id="281" name="Image 281"/>
                          <pic:cNvPicPr/>
                        </pic:nvPicPr>
                        <pic:blipFill>
                          <a:blip r:embed="rId31" cstate="print"/>
                          <a:stretch>
                            <a:fillRect/>
                          </a:stretch>
                        </pic:blipFill>
                        <pic:spPr>
                          <a:xfrm>
                            <a:off x="2085438" y="3161457"/>
                            <a:ext cx="72761" cy="79483"/>
                          </a:xfrm>
                          <a:prstGeom prst="rect">
                            <a:avLst/>
                          </a:prstGeom>
                        </pic:spPr>
                      </pic:pic>
                      <pic:pic>
                        <pic:nvPicPr>
                          <pic:cNvPr id="282" name="Image 282"/>
                          <pic:cNvPicPr/>
                        </pic:nvPicPr>
                        <pic:blipFill>
                          <a:blip r:embed="rId32" cstate="print"/>
                          <a:stretch>
                            <a:fillRect/>
                          </a:stretch>
                        </pic:blipFill>
                        <pic:spPr>
                          <a:xfrm>
                            <a:off x="2147377" y="3515076"/>
                            <a:ext cx="72488" cy="79030"/>
                          </a:xfrm>
                          <a:prstGeom prst="rect">
                            <a:avLst/>
                          </a:prstGeom>
                        </pic:spPr>
                      </pic:pic>
                      <pic:pic>
                        <pic:nvPicPr>
                          <pic:cNvPr id="283" name="Image 283"/>
                          <pic:cNvPicPr/>
                        </pic:nvPicPr>
                        <pic:blipFill>
                          <a:blip r:embed="rId33" cstate="print"/>
                          <a:stretch>
                            <a:fillRect/>
                          </a:stretch>
                        </pic:blipFill>
                        <pic:spPr>
                          <a:xfrm>
                            <a:off x="2209043" y="3708710"/>
                            <a:ext cx="196231" cy="147239"/>
                          </a:xfrm>
                          <a:prstGeom prst="rect">
                            <a:avLst/>
                          </a:prstGeom>
                        </pic:spPr>
                      </pic:pic>
                      <pic:pic>
                        <pic:nvPicPr>
                          <pic:cNvPr id="284" name="Image 284"/>
                          <pic:cNvPicPr/>
                        </pic:nvPicPr>
                        <pic:blipFill>
                          <a:blip r:embed="rId32" cstate="print"/>
                          <a:stretch>
                            <a:fillRect/>
                          </a:stretch>
                        </pic:blipFill>
                        <pic:spPr>
                          <a:xfrm>
                            <a:off x="2394452" y="3571915"/>
                            <a:ext cx="72488" cy="79030"/>
                          </a:xfrm>
                          <a:prstGeom prst="rect">
                            <a:avLst/>
                          </a:prstGeom>
                        </pic:spPr>
                      </pic:pic>
                      <pic:pic>
                        <pic:nvPicPr>
                          <pic:cNvPr id="285" name="Image 285"/>
                          <pic:cNvPicPr/>
                        </pic:nvPicPr>
                        <pic:blipFill>
                          <a:blip r:embed="rId34" cstate="print"/>
                          <a:stretch>
                            <a:fillRect/>
                          </a:stretch>
                        </pic:blipFill>
                        <pic:spPr>
                          <a:xfrm>
                            <a:off x="2456117" y="3378356"/>
                            <a:ext cx="72765" cy="79032"/>
                          </a:xfrm>
                          <a:prstGeom prst="rect">
                            <a:avLst/>
                          </a:prstGeom>
                        </pic:spPr>
                      </pic:pic>
                      <pic:pic>
                        <pic:nvPicPr>
                          <pic:cNvPr id="286" name="Image 286"/>
                          <pic:cNvPicPr/>
                        </pic:nvPicPr>
                        <pic:blipFill>
                          <a:blip r:embed="rId32" cstate="print"/>
                          <a:stretch>
                            <a:fillRect/>
                          </a:stretch>
                        </pic:blipFill>
                        <pic:spPr>
                          <a:xfrm>
                            <a:off x="2518058" y="3184647"/>
                            <a:ext cx="72488" cy="79030"/>
                          </a:xfrm>
                          <a:prstGeom prst="rect">
                            <a:avLst/>
                          </a:prstGeom>
                        </pic:spPr>
                      </pic:pic>
                      <pic:pic>
                        <pic:nvPicPr>
                          <pic:cNvPr id="287" name="Image 287"/>
                          <pic:cNvPicPr/>
                        </pic:nvPicPr>
                        <pic:blipFill>
                          <a:blip r:embed="rId29" cstate="print"/>
                          <a:stretch>
                            <a:fillRect/>
                          </a:stretch>
                        </pic:blipFill>
                        <pic:spPr>
                          <a:xfrm>
                            <a:off x="2579725" y="2967900"/>
                            <a:ext cx="72486" cy="79331"/>
                          </a:xfrm>
                          <a:prstGeom prst="rect">
                            <a:avLst/>
                          </a:prstGeom>
                        </pic:spPr>
                      </pic:pic>
                      <wps:wsp>
                        <wps:cNvPr id="288" name="Graphic 288"/>
                        <wps:cNvSpPr/>
                        <wps:spPr>
                          <a:xfrm>
                            <a:off x="2646801" y="2711544"/>
                            <a:ext cx="62230" cy="68580"/>
                          </a:xfrm>
                          <a:custGeom>
                            <a:avLst/>
                            <a:gdLst/>
                            <a:ahLst/>
                            <a:cxnLst/>
                            <a:rect l="l" t="t" r="r" b="b"/>
                            <a:pathLst>
                              <a:path w="62230" h="68580">
                                <a:moveTo>
                                  <a:pt x="30832" y="0"/>
                                </a:moveTo>
                                <a:lnTo>
                                  <a:pt x="0" y="34103"/>
                                </a:lnTo>
                                <a:lnTo>
                                  <a:pt x="30832" y="68207"/>
                                </a:lnTo>
                                <a:lnTo>
                                  <a:pt x="62077" y="34103"/>
                                </a:lnTo>
                                <a:lnTo>
                                  <a:pt x="30832" y="0"/>
                                </a:lnTo>
                                <a:close/>
                              </a:path>
                            </a:pathLst>
                          </a:custGeom>
                          <a:solidFill>
                            <a:srgbClr val="000080"/>
                          </a:solidFill>
                        </wps:spPr>
                        <wps:bodyPr wrap="square" lIns="0" tIns="0" rIns="0" bIns="0" rtlCol="0">
                          <a:prstTxWarp prst="textNoShape">
                            <a:avLst/>
                          </a:prstTxWarp>
                          <a:noAutofit/>
                        </wps:bodyPr>
                      </wps:wsp>
                      <wps:wsp>
                        <wps:cNvPr id="289" name="Graphic 289"/>
                        <wps:cNvSpPr/>
                        <wps:spPr>
                          <a:xfrm>
                            <a:off x="2646801" y="2711544"/>
                            <a:ext cx="62230" cy="68580"/>
                          </a:xfrm>
                          <a:custGeom>
                            <a:avLst/>
                            <a:gdLst/>
                            <a:ahLst/>
                            <a:cxnLst/>
                            <a:rect l="l" t="t" r="r" b="b"/>
                            <a:pathLst>
                              <a:path w="62230" h="68580">
                                <a:moveTo>
                                  <a:pt x="30832" y="0"/>
                                </a:moveTo>
                                <a:lnTo>
                                  <a:pt x="62077" y="34103"/>
                                </a:lnTo>
                                <a:lnTo>
                                  <a:pt x="30832" y="68207"/>
                                </a:lnTo>
                                <a:lnTo>
                                  <a:pt x="0" y="34103"/>
                                </a:lnTo>
                                <a:lnTo>
                                  <a:pt x="30832" y="0"/>
                                </a:lnTo>
                                <a:close/>
                              </a:path>
                            </a:pathLst>
                          </a:custGeom>
                          <a:ln w="10771">
                            <a:solidFill>
                              <a:srgbClr val="000080"/>
                            </a:solidFill>
                            <a:prstDash val="solid"/>
                          </a:ln>
                        </wps:spPr>
                        <wps:bodyPr wrap="square" lIns="0" tIns="0" rIns="0" bIns="0" rtlCol="0">
                          <a:prstTxWarp prst="textNoShape">
                            <a:avLst/>
                          </a:prstTxWarp>
                          <a:noAutofit/>
                        </wps:bodyPr>
                      </wps:wsp>
                      <wps:wsp>
                        <wps:cNvPr id="290" name="Graphic 290"/>
                        <wps:cNvSpPr/>
                        <wps:spPr>
                          <a:xfrm>
                            <a:off x="2708878" y="2506466"/>
                            <a:ext cx="62230" cy="68580"/>
                          </a:xfrm>
                          <a:custGeom>
                            <a:avLst/>
                            <a:gdLst/>
                            <a:ahLst/>
                            <a:cxnLst/>
                            <a:rect l="l" t="t" r="r" b="b"/>
                            <a:pathLst>
                              <a:path w="62230" h="68580">
                                <a:moveTo>
                                  <a:pt x="30832" y="0"/>
                                </a:moveTo>
                                <a:lnTo>
                                  <a:pt x="0" y="34103"/>
                                </a:lnTo>
                                <a:lnTo>
                                  <a:pt x="30832" y="68207"/>
                                </a:lnTo>
                                <a:lnTo>
                                  <a:pt x="61665" y="34103"/>
                                </a:lnTo>
                                <a:lnTo>
                                  <a:pt x="30832" y="0"/>
                                </a:lnTo>
                                <a:close/>
                              </a:path>
                            </a:pathLst>
                          </a:custGeom>
                          <a:solidFill>
                            <a:srgbClr val="000080"/>
                          </a:solidFill>
                        </wps:spPr>
                        <wps:bodyPr wrap="square" lIns="0" tIns="0" rIns="0" bIns="0" rtlCol="0">
                          <a:prstTxWarp prst="textNoShape">
                            <a:avLst/>
                          </a:prstTxWarp>
                          <a:noAutofit/>
                        </wps:bodyPr>
                      </wps:wsp>
                      <wps:wsp>
                        <wps:cNvPr id="291" name="Graphic 291"/>
                        <wps:cNvSpPr/>
                        <wps:spPr>
                          <a:xfrm>
                            <a:off x="2708878" y="2506466"/>
                            <a:ext cx="62230" cy="68580"/>
                          </a:xfrm>
                          <a:custGeom>
                            <a:avLst/>
                            <a:gdLst/>
                            <a:ahLst/>
                            <a:cxnLst/>
                            <a:rect l="l" t="t" r="r" b="b"/>
                            <a:pathLst>
                              <a:path w="62230" h="68580">
                                <a:moveTo>
                                  <a:pt x="30832" y="0"/>
                                </a:moveTo>
                                <a:lnTo>
                                  <a:pt x="61665" y="34103"/>
                                </a:lnTo>
                                <a:lnTo>
                                  <a:pt x="30832" y="68207"/>
                                </a:lnTo>
                                <a:lnTo>
                                  <a:pt x="0" y="34103"/>
                                </a:lnTo>
                                <a:lnTo>
                                  <a:pt x="30832" y="0"/>
                                </a:lnTo>
                                <a:close/>
                              </a:path>
                            </a:pathLst>
                          </a:custGeom>
                          <a:ln w="10768">
                            <a:solidFill>
                              <a:srgbClr val="000080"/>
                            </a:solidFill>
                            <a:prstDash val="solid"/>
                          </a:ln>
                        </wps:spPr>
                        <wps:bodyPr wrap="square" lIns="0" tIns="0" rIns="0" bIns="0" rtlCol="0">
                          <a:prstTxWarp prst="textNoShape">
                            <a:avLst/>
                          </a:prstTxWarp>
                          <a:noAutofit/>
                        </wps:bodyPr>
                      </wps:wsp>
                      <wps:wsp>
                        <wps:cNvPr id="292" name="Graphic 292"/>
                        <wps:cNvSpPr/>
                        <wps:spPr>
                          <a:xfrm>
                            <a:off x="2780822" y="2301540"/>
                            <a:ext cx="62230" cy="68580"/>
                          </a:xfrm>
                          <a:custGeom>
                            <a:avLst/>
                            <a:gdLst/>
                            <a:ahLst/>
                            <a:cxnLst/>
                            <a:rect l="l" t="t" r="r" b="b"/>
                            <a:pathLst>
                              <a:path w="62230" h="68580">
                                <a:moveTo>
                                  <a:pt x="30832" y="0"/>
                                </a:moveTo>
                                <a:lnTo>
                                  <a:pt x="0" y="34103"/>
                                </a:lnTo>
                                <a:lnTo>
                                  <a:pt x="30832" y="68207"/>
                                </a:lnTo>
                                <a:lnTo>
                                  <a:pt x="61665" y="34103"/>
                                </a:lnTo>
                                <a:lnTo>
                                  <a:pt x="30832" y="0"/>
                                </a:lnTo>
                                <a:close/>
                              </a:path>
                            </a:pathLst>
                          </a:custGeom>
                          <a:solidFill>
                            <a:srgbClr val="000080"/>
                          </a:solidFill>
                        </wps:spPr>
                        <wps:bodyPr wrap="square" lIns="0" tIns="0" rIns="0" bIns="0" rtlCol="0">
                          <a:prstTxWarp prst="textNoShape">
                            <a:avLst/>
                          </a:prstTxWarp>
                          <a:noAutofit/>
                        </wps:bodyPr>
                      </wps:wsp>
                      <wps:wsp>
                        <wps:cNvPr id="293" name="Graphic 293"/>
                        <wps:cNvSpPr/>
                        <wps:spPr>
                          <a:xfrm>
                            <a:off x="2780822" y="2301540"/>
                            <a:ext cx="62230" cy="68580"/>
                          </a:xfrm>
                          <a:custGeom>
                            <a:avLst/>
                            <a:gdLst/>
                            <a:ahLst/>
                            <a:cxnLst/>
                            <a:rect l="l" t="t" r="r" b="b"/>
                            <a:pathLst>
                              <a:path w="62230" h="68580">
                                <a:moveTo>
                                  <a:pt x="30832" y="0"/>
                                </a:moveTo>
                                <a:lnTo>
                                  <a:pt x="61665" y="34103"/>
                                </a:lnTo>
                                <a:lnTo>
                                  <a:pt x="30832" y="68207"/>
                                </a:lnTo>
                                <a:lnTo>
                                  <a:pt x="0" y="34103"/>
                                </a:lnTo>
                                <a:lnTo>
                                  <a:pt x="30832" y="0"/>
                                </a:lnTo>
                                <a:close/>
                              </a:path>
                            </a:pathLst>
                          </a:custGeom>
                          <a:ln w="10768">
                            <a:solidFill>
                              <a:srgbClr val="000080"/>
                            </a:solidFill>
                            <a:prstDash val="solid"/>
                          </a:ln>
                        </wps:spPr>
                        <wps:bodyPr wrap="square" lIns="0" tIns="0" rIns="0" bIns="0" rtlCol="0">
                          <a:prstTxWarp prst="textNoShape">
                            <a:avLst/>
                          </a:prstTxWarp>
                          <a:noAutofit/>
                        </wps:bodyPr>
                      </wps:wsp>
                      <wps:wsp>
                        <wps:cNvPr id="294" name="Graphic 294"/>
                        <wps:cNvSpPr/>
                        <wps:spPr>
                          <a:xfrm>
                            <a:off x="2842488" y="2084640"/>
                            <a:ext cx="62230" cy="69215"/>
                          </a:xfrm>
                          <a:custGeom>
                            <a:avLst/>
                            <a:gdLst/>
                            <a:ahLst/>
                            <a:cxnLst/>
                            <a:rect l="l" t="t" r="r" b="b"/>
                            <a:pathLst>
                              <a:path w="62230" h="69215">
                                <a:moveTo>
                                  <a:pt x="31107" y="0"/>
                                </a:moveTo>
                                <a:lnTo>
                                  <a:pt x="0" y="34103"/>
                                </a:lnTo>
                                <a:lnTo>
                                  <a:pt x="31107" y="68662"/>
                                </a:lnTo>
                                <a:lnTo>
                                  <a:pt x="61940" y="34103"/>
                                </a:lnTo>
                                <a:lnTo>
                                  <a:pt x="31107" y="0"/>
                                </a:lnTo>
                                <a:close/>
                              </a:path>
                            </a:pathLst>
                          </a:custGeom>
                          <a:solidFill>
                            <a:srgbClr val="000080"/>
                          </a:solidFill>
                        </wps:spPr>
                        <wps:bodyPr wrap="square" lIns="0" tIns="0" rIns="0" bIns="0" rtlCol="0">
                          <a:prstTxWarp prst="textNoShape">
                            <a:avLst/>
                          </a:prstTxWarp>
                          <a:noAutofit/>
                        </wps:bodyPr>
                      </wps:wsp>
                      <wps:wsp>
                        <wps:cNvPr id="295" name="Graphic 295"/>
                        <wps:cNvSpPr/>
                        <wps:spPr>
                          <a:xfrm>
                            <a:off x="2842488" y="2084640"/>
                            <a:ext cx="62230" cy="69215"/>
                          </a:xfrm>
                          <a:custGeom>
                            <a:avLst/>
                            <a:gdLst/>
                            <a:ahLst/>
                            <a:cxnLst/>
                            <a:rect l="l" t="t" r="r" b="b"/>
                            <a:pathLst>
                              <a:path w="62230" h="69215">
                                <a:moveTo>
                                  <a:pt x="31107" y="0"/>
                                </a:moveTo>
                                <a:lnTo>
                                  <a:pt x="61940" y="34103"/>
                                </a:lnTo>
                                <a:lnTo>
                                  <a:pt x="31107" y="68662"/>
                                </a:lnTo>
                                <a:lnTo>
                                  <a:pt x="0" y="34103"/>
                                </a:lnTo>
                                <a:lnTo>
                                  <a:pt x="31107" y="0"/>
                                </a:lnTo>
                                <a:close/>
                              </a:path>
                            </a:pathLst>
                          </a:custGeom>
                          <a:ln w="10766">
                            <a:solidFill>
                              <a:srgbClr val="000080"/>
                            </a:solidFill>
                            <a:prstDash val="solid"/>
                          </a:ln>
                        </wps:spPr>
                        <wps:bodyPr wrap="square" lIns="0" tIns="0" rIns="0" bIns="0" rtlCol="0">
                          <a:prstTxWarp prst="textNoShape">
                            <a:avLst/>
                          </a:prstTxWarp>
                          <a:noAutofit/>
                        </wps:bodyPr>
                      </wps:wsp>
                      <wps:wsp>
                        <wps:cNvPr id="296" name="Graphic 296"/>
                        <wps:cNvSpPr/>
                        <wps:spPr>
                          <a:xfrm>
                            <a:off x="2904428" y="1913818"/>
                            <a:ext cx="62230" cy="68580"/>
                          </a:xfrm>
                          <a:custGeom>
                            <a:avLst/>
                            <a:gdLst/>
                            <a:ahLst/>
                            <a:cxnLst/>
                            <a:rect l="l" t="t" r="r" b="b"/>
                            <a:pathLst>
                              <a:path w="62230" h="68580">
                                <a:moveTo>
                                  <a:pt x="30832" y="0"/>
                                </a:moveTo>
                                <a:lnTo>
                                  <a:pt x="0" y="34103"/>
                                </a:lnTo>
                                <a:lnTo>
                                  <a:pt x="30832" y="68510"/>
                                </a:lnTo>
                                <a:lnTo>
                                  <a:pt x="61665" y="34103"/>
                                </a:lnTo>
                                <a:lnTo>
                                  <a:pt x="30832" y="0"/>
                                </a:lnTo>
                                <a:close/>
                              </a:path>
                            </a:pathLst>
                          </a:custGeom>
                          <a:solidFill>
                            <a:srgbClr val="000080"/>
                          </a:solidFill>
                        </wps:spPr>
                        <wps:bodyPr wrap="square" lIns="0" tIns="0" rIns="0" bIns="0" rtlCol="0">
                          <a:prstTxWarp prst="textNoShape">
                            <a:avLst/>
                          </a:prstTxWarp>
                          <a:noAutofit/>
                        </wps:bodyPr>
                      </wps:wsp>
                      <wps:wsp>
                        <wps:cNvPr id="297" name="Graphic 297"/>
                        <wps:cNvSpPr/>
                        <wps:spPr>
                          <a:xfrm>
                            <a:off x="2904428" y="1913818"/>
                            <a:ext cx="62230" cy="68580"/>
                          </a:xfrm>
                          <a:custGeom>
                            <a:avLst/>
                            <a:gdLst/>
                            <a:ahLst/>
                            <a:cxnLst/>
                            <a:rect l="l" t="t" r="r" b="b"/>
                            <a:pathLst>
                              <a:path w="62230" h="68580">
                                <a:moveTo>
                                  <a:pt x="30832" y="0"/>
                                </a:moveTo>
                                <a:lnTo>
                                  <a:pt x="61665" y="34103"/>
                                </a:lnTo>
                                <a:lnTo>
                                  <a:pt x="30832" y="68510"/>
                                </a:lnTo>
                                <a:lnTo>
                                  <a:pt x="0" y="34103"/>
                                </a:lnTo>
                                <a:lnTo>
                                  <a:pt x="30832" y="0"/>
                                </a:lnTo>
                                <a:close/>
                              </a:path>
                            </a:pathLst>
                          </a:custGeom>
                          <a:ln w="10765">
                            <a:solidFill>
                              <a:srgbClr val="000080"/>
                            </a:solidFill>
                            <a:prstDash val="solid"/>
                          </a:ln>
                        </wps:spPr>
                        <wps:bodyPr wrap="square" lIns="0" tIns="0" rIns="0" bIns="0" rtlCol="0">
                          <a:prstTxWarp prst="textNoShape">
                            <a:avLst/>
                          </a:prstTxWarp>
                          <a:noAutofit/>
                        </wps:bodyPr>
                      </wps:wsp>
                      <wps:wsp>
                        <wps:cNvPr id="298" name="Graphic 298"/>
                        <wps:cNvSpPr/>
                        <wps:spPr>
                          <a:xfrm>
                            <a:off x="1148655" y="837199"/>
                            <a:ext cx="1802130" cy="1983105"/>
                          </a:xfrm>
                          <a:custGeom>
                            <a:avLst/>
                            <a:gdLst/>
                            <a:ahLst/>
                            <a:cxnLst/>
                            <a:rect l="l" t="t" r="r" b="b"/>
                            <a:pathLst>
                              <a:path w="1802130" h="1983105">
                                <a:moveTo>
                                  <a:pt x="51384" y="239115"/>
                                </a:moveTo>
                                <a:lnTo>
                                  <a:pt x="0" y="239115"/>
                                </a:lnTo>
                                <a:lnTo>
                                  <a:pt x="0" y="296329"/>
                                </a:lnTo>
                                <a:lnTo>
                                  <a:pt x="51384" y="296329"/>
                                </a:lnTo>
                                <a:lnTo>
                                  <a:pt x="51384" y="239115"/>
                                </a:lnTo>
                                <a:close/>
                              </a:path>
                              <a:path w="1802130" h="1983105">
                                <a:moveTo>
                                  <a:pt x="113055" y="68668"/>
                                </a:moveTo>
                                <a:lnTo>
                                  <a:pt x="61671" y="68668"/>
                                </a:lnTo>
                                <a:lnTo>
                                  <a:pt x="61671" y="125501"/>
                                </a:lnTo>
                                <a:lnTo>
                                  <a:pt x="113055" y="125501"/>
                                </a:lnTo>
                                <a:lnTo>
                                  <a:pt x="113055" y="68668"/>
                                </a:lnTo>
                                <a:close/>
                              </a:path>
                              <a:path w="1802130" h="1983105">
                                <a:moveTo>
                                  <a:pt x="175056" y="68668"/>
                                </a:moveTo>
                                <a:lnTo>
                                  <a:pt x="123672" y="68668"/>
                                </a:lnTo>
                                <a:lnTo>
                                  <a:pt x="123672" y="125501"/>
                                </a:lnTo>
                                <a:lnTo>
                                  <a:pt x="175056" y="125501"/>
                                </a:lnTo>
                                <a:lnTo>
                                  <a:pt x="175056" y="68668"/>
                                </a:lnTo>
                                <a:close/>
                              </a:path>
                              <a:path w="1802130" h="1983105">
                                <a:moveTo>
                                  <a:pt x="236728" y="56921"/>
                                </a:moveTo>
                                <a:lnTo>
                                  <a:pt x="185343" y="56921"/>
                                </a:lnTo>
                                <a:lnTo>
                                  <a:pt x="185343" y="114134"/>
                                </a:lnTo>
                                <a:lnTo>
                                  <a:pt x="236728" y="114134"/>
                                </a:lnTo>
                                <a:lnTo>
                                  <a:pt x="236728" y="56921"/>
                                </a:lnTo>
                                <a:close/>
                              </a:path>
                              <a:path w="1802130" h="1983105">
                                <a:moveTo>
                                  <a:pt x="298742" y="45554"/>
                                </a:moveTo>
                                <a:lnTo>
                                  <a:pt x="247002" y="45554"/>
                                </a:lnTo>
                                <a:lnTo>
                                  <a:pt x="247002" y="102768"/>
                                </a:lnTo>
                                <a:lnTo>
                                  <a:pt x="298742" y="102768"/>
                                </a:lnTo>
                                <a:lnTo>
                                  <a:pt x="298742" y="45554"/>
                                </a:lnTo>
                                <a:close/>
                              </a:path>
                              <a:path w="1802130" h="1983105">
                                <a:moveTo>
                                  <a:pt x="360337" y="22821"/>
                                </a:moveTo>
                                <a:lnTo>
                                  <a:pt x="308940" y="22821"/>
                                </a:lnTo>
                                <a:lnTo>
                                  <a:pt x="308940" y="80035"/>
                                </a:lnTo>
                                <a:lnTo>
                                  <a:pt x="360337" y="80035"/>
                                </a:lnTo>
                                <a:lnTo>
                                  <a:pt x="360337" y="22821"/>
                                </a:lnTo>
                                <a:close/>
                              </a:path>
                              <a:path w="1802130" h="1983105">
                                <a:moveTo>
                                  <a:pt x="432282" y="22821"/>
                                </a:moveTo>
                                <a:lnTo>
                                  <a:pt x="380885" y="22821"/>
                                </a:lnTo>
                                <a:lnTo>
                                  <a:pt x="380885" y="80035"/>
                                </a:lnTo>
                                <a:lnTo>
                                  <a:pt x="432282" y="80035"/>
                                </a:lnTo>
                                <a:lnTo>
                                  <a:pt x="432282" y="22821"/>
                                </a:lnTo>
                                <a:close/>
                              </a:path>
                              <a:path w="1802130" h="1983105">
                                <a:moveTo>
                                  <a:pt x="494284" y="0"/>
                                </a:moveTo>
                                <a:lnTo>
                                  <a:pt x="442556" y="0"/>
                                </a:lnTo>
                                <a:lnTo>
                                  <a:pt x="442556" y="56845"/>
                                </a:lnTo>
                                <a:lnTo>
                                  <a:pt x="494284" y="56845"/>
                                </a:lnTo>
                                <a:lnTo>
                                  <a:pt x="494284" y="0"/>
                                </a:lnTo>
                                <a:close/>
                              </a:path>
                              <a:path w="1802130" h="1983105">
                                <a:moveTo>
                                  <a:pt x="556018" y="22821"/>
                                </a:moveTo>
                                <a:lnTo>
                                  <a:pt x="504634" y="22821"/>
                                </a:lnTo>
                                <a:lnTo>
                                  <a:pt x="504634" y="80035"/>
                                </a:lnTo>
                                <a:lnTo>
                                  <a:pt x="556018" y="80035"/>
                                </a:lnTo>
                                <a:lnTo>
                                  <a:pt x="556018" y="22821"/>
                                </a:lnTo>
                                <a:close/>
                              </a:path>
                              <a:path w="1802130" h="1983105">
                                <a:moveTo>
                                  <a:pt x="617689" y="22821"/>
                                </a:moveTo>
                                <a:lnTo>
                                  <a:pt x="566293" y="22821"/>
                                </a:lnTo>
                                <a:lnTo>
                                  <a:pt x="566293" y="80035"/>
                                </a:lnTo>
                                <a:lnTo>
                                  <a:pt x="617689" y="80035"/>
                                </a:lnTo>
                                <a:lnTo>
                                  <a:pt x="617689" y="22821"/>
                                </a:lnTo>
                                <a:close/>
                              </a:path>
                              <a:path w="1802130" h="1983105">
                                <a:moveTo>
                                  <a:pt x="679691" y="68668"/>
                                </a:moveTo>
                                <a:lnTo>
                                  <a:pt x="627964" y="68668"/>
                                </a:lnTo>
                                <a:lnTo>
                                  <a:pt x="627964" y="125501"/>
                                </a:lnTo>
                                <a:lnTo>
                                  <a:pt x="679691" y="125501"/>
                                </a:lnTo>
                                <a:lnTo>
                                  <a:pt x="679691" y="68668"/>
                                </a:lnTo>
                                <a:close/>
                              </a:path>
                              <a:path w="1802130" h="1983105">
                                <a:moveTo>
                                  <a:pt x="741426" y="170980"/>
                                </a:moveTo>
                                <a:lnTo>
                                  <a:pt x="690041" y="170980"/>
                                </a:lnTo>
                                <a:lnTo>
                                  <a:pt x="690041" y="227812"/>
                                </a:lnTo>
                                <a:lnTo>
                                  <a:pt x="741426" y="227812"/>
                                </a:lnTo>
                                <a:lnTo>
                                  <a:pt x="741426" y="170980"/>
                                </a:lnTo>
                                <a:close/>
                              </a:path>
                              <a:path w="1802130" h="1983105">
                                <a:moveTo>
                                  <a:pt x="803097" y="387350"/>
                                </a:moveTo>
                                <a:lnTo>
                                  <a:pt x="751713" y="387350"/>
                                </a:lnTo>
                                <a:lnTo>
                                  <a:pt x="751713" y="444563"/>
                                </a:lnTo>
                                <a:lnTo>
                                  <a:pt x="803097" y="444563"/>
                                </a:lnTo>
                                <a:lnTo>
                                  <a:pt x="803097" y="387350"/>
                                </a:lnTo>
                                <a:close/>
                              </a:path>
                              <a:path w="1802130" h="1983105">
                                <a:moveTo>
                                  <a:pt x="865098" y="763625"/>
                                </a:moveTo>
                                <a:lnTo>
                                  <a:pt x="813371" y="763625"/>
                                </a:lnTo>
                                <a:lnTo>
                                  <a:pt x="813371" y="820470"/>
                                </a:lnTo>
                                <a:lnTo>
                                  <a:pt x="865098" y="820470"/>
                                </a:lnTo>
                                <a:lnTo>
                                  <a:pt x="865098" y="763625"/>
                                </a:lnTo>
                                <a:close/>
                              </a:path>
                              <a:path w="1802130" h="1983105">
                                <a:moveTo>
                                  <a:pt x="926706" y="1184998"/>
                                </a:moveTo>
                                <a:lnTo>
                                  <a:pt x="875309" y="1184998"/>
                                </a:lnTo>
                                <a:lnTo>
                                  <a:pt x="875309" y="1241844"/>
                                </a:lnTo>
                                <a:lnTo>
                                  <a:pt x="926706" y="1241844"/>
                                </a:lnTo>
                                <a:lnTo>
                                  <a:pt x="926706" y="1184998"/>
                                </a:lnTo>
                                <a:close/>
                              </a:path>
                              <a:path w="1802130" h="1983105">
                                <a:moveTo>
                                  <a:pt x="988364" y="1549527"/>
                                </a:moveTo>
                                <a:lnTo>
                                  <a:pt x="936980" y="1549527"/>
                                </a:lnTo>
                                <a:lnTo>
                                  <a:pt x="936980" y="1606372"/>
                                </a:lnTo>
                                <a:lnTo>
                                  <a:pt x="988364" y="1606372"/>
                                </a:lnTo>
                                <a:lnTo>
                                  <a:pt x="988364" y="1549527"/>
                                </a:lnTo>
                                <a:close/>
                              </a:path>
                              <a:path w="1802130" h="1983105">
                                <a:moveTo>
                                  <a:pt x="1050442" y="1811756"/>
                                </a:moveTo>
                                <a:lnTo>
                                  <a:pt x="999058" y="1811756"/>
                                </a:lnTo>
                                <a:lnTo>
                                  <a:pt x="999058" y="1868589"/>
                                </a:lnTo>
                                <a:lnTo>
                                  <a:pt x="1050442" y="1868589"/>
                                </a:lnTo>
                                <a:lnTo>
                                  <a:pt x="1050442" y="1811756"/>
                                </a:lnTo>
                                <a:close/>
                              </a:path>
                              <a:path w="1802130" h="1983105">
                                <a:moveTo>
                                  <a:pt x="1112113" y="1914067"/>
                                </a:moveTo>
                                <a:lnTo>
                                  <a:pt x="1060716" y="1914067"/>
                                </a:lnTo>
                                <a:lnTo>
                                  <a:pt x="1060716" y="1970900"/>
                                </a:lnTo>
                                <a:lnTo>
                                  <a:pt x="1112113" y="1970900"/>
                                </a:lnTo>
                                <a:lnTo>
                                  <a:pt x="1112113" y="1914067"/>
                                </a:lnTo>
                                <a:close/>
                              </a:path>
                              <a:path w="1802130" h="1983105">
                                <a:moveTo>
                                  <a:pt x="1174115" y="1925358"/>
                                </a:moveTo>
                                <a:lnTo>
                                  <a:pt x="1122387" y="1925358"/>
                                </a:lnTo>
                                <a:lnTo>
                                  <a:pt x="1122387" y="1982571"/>
                                </a:lnTo>
                                <a:lnTo>
                                  <a:pt x="1174115" y="1982571"/>
                                </a:lnTo>
                                <a:lnTo>
                                  <a:pt x="1174115" y="1925358"/>
                                </a:lnTo>
                                <a:close/>
                              </a:path>
                              <a:path w="1802130" h="1983105">
                                <a:moveTo>
                                  <a:pt x="1235722" y="1891322"/>
                                </a:moveTo>
                                <a:lnTo>
                                  <a:pt x="1184325" y="1891322"/>
                                </a:lnTo>
                                <a:lnTo>
                                  <a:pt x="1184325" y="1948167"/>
                                </a:lnTo>
                                <a:lnTo>
                                  <a:pt x="1235722" y="1948167"/>
                                </a:lnTo>
                                <a:lnTo>
                                  <a:pt x="1235722" y="1891322"/>
                                </a:lnTo>
                                <a:close/>
                              </a:path>
                              <a:path w="1802130" h="1983105">
                                <a:moveTo>
                                  <a:pt x="1297381" y="1765896"/>
                                </a:moveTo>
                                <a:lnTo>
                                  <a:pt x="1245997" y="1765896"/>
                                </a:lnTo>
                                <a:lnTo>
                                  <a:pt x="1245997" y="1823123"/>
                                </a:lnTo>
                                <a:lnTo>
                                  <a:pt x="1297381" y="1823123"/>
                                </a:lnTo>
                                <a:lnTo>
                                  <a:pt x="1297381" y="1765896"/>
                                </a:lnTo>
                                <a:close/>
                              </a:path>
                              <a:path w="1802130" h="1983105">
                                <a:moveTo>
                                  <a:pt x="1359395" y="1652143"/>
                                </a:moveTo>
                                <a:lnTo>
                                  <a:pt x="1307655" y="1652143"/>
                                </a:lnTo>
                                <a:lnTo>
                                  <a:pt x="1307655" y="1708988"/>
                                </a:lnTo>
                                <a:lnTo>
                                  <a:pt x="1359395" y="1708988"/>
                                </a:lnTo>
                                <a:lnTo>
                                  <a:pt x="1359395" y="1652143"/>
                                </a:lnTo>
                                <a:close/>
                              </a:path>
                              <a:path w="1802130" h="1983105">
                                <a:moveTo>
                                  <a:pt x="1421130" y="1515427"/>
                                </a:moveTo>
                                <a:lnTo>
                                  <a:pt x="1369733" y="1515427"/>
                                </a:lnTo>
                                <a:lnTo>
                                  <a:pt x="1369733" y="1572272"/>
                                </a:lnTo>
                                <a:lnTo>
                                  <a:pt x="1421130" y="1572272"/>
                                </a:lnTo>
                                <a:lnTo>
                                  <a:pt x="1421130" y="1515427"/>
                                </a:lnTo>
                                <a:close/>
                              </a:path>
                              <a:path w="1802130" h="1983105">
                                <a:moveTo>
                                  <a:pt x="1482788" y="1344447"/>
                                </a:moveTo>
                                <a:lnTo>
                                  <a:pt x="1431404" y="1344447"/>
                                </a:lnTo>
                                <a:lnTo>
                                  <a:pt x="1431404" y="1401292"/>
                                </a:lnTo>
                                <a:lnTo>
                                  <a:pt x="1482788" y="1401292"/>
                                </a:lnTo>
                                <a:lnTo>
                                  <a:pt x="1482788" y="1344447"/>
                                </a:lnTo>
                                <a:close/>
                              </a:path>
                              <a:path w="1802130" h="1983105">
                                <a:moveTo>
                                  <a:pt x="1544802" y="1184998"/>
                                </a:moveTo>
                                <a:lnTo>
                                  <a:pt x="1493075" y="1184998"/>
                                </a:lnTo>
                                <a:lnTo>
                                  <a:pt x="1493075" y="1241844"/>
                                </a:lnTo>
                                <a:lnTo>
                                  <a:pt x="1544802" y="1241844"/>
                                </a:lnTo>
                                <a:lnTo>
                                  <a:pt x="1544802" y="1184998"/>
                                </a:lnTo>
                                <a:close/>
                              </a:path>
                              <a:path w="1802130" h="1983105">
                                <a:moveTo>
                                  <a:pt x="1606397" y="1014018"/>
                                </a:moveTo>
                                <a:lnTo>
                                  <a:pt x="1555013" y="1014018"/>
                                </a:lnTo>
                                <a:lnTo>
                                  <a:pt x="1555013" y="1070864"/>
                                </a:lnTo>
                                <a:lnTo>
                                  <a:pt x="1606397" y="1070864"/>
                                </a:lnTo>
                                <a:lnTo>
                                  <a:pt x="1606397" y="1014018"/>
                                </a:lnTo>
                                <a:close/>
                              </a:path>
                              <a:path w="1802130" h="1983105">
                                <a:moveTo>
                                  <a:pt x="1678343" y="911339"/>
                                </a:moveTo>
                                <a:lnTo>
                                  <a:pt x="1626958" y="911339"/>
                                </a:lnTo>
                                <a:lnTo>
                                  <a:pt x="1626958" y="968552"/>
                                </a:lnTo>
                                <a:lnTo>
                                  <a:pt x="1678343" y="968552"/>
                                </a:lnTo>
                                <a:lnTo>
                                  <a:pt x="1678343" y="911339"/>
                                </a:lnTo>
                                <a:close/>
                              </a:path>
                              <a:path w="1802130" h="1983105">
                                <a:moveTo>
                                  <a:pt x="1740344" y="740511"/>
                                </a:moveTo>
                                <a:lnTo>
                                  <a:pt x="1688617" y="740511"/>
                                </a:lnTo>
                                <a:lnTo>
                                  <a:pt x="1688617" y="797725"/>
                                </a:lnTo>
                                <a:lnTo>
                                  <a:pt x="1740344" y="797725"/>
                                </a:lnTo>
                                <a:lnTo>
                                  <a:pt x="1740344" y="740511"/>
                                </a:lnTo>
                                <a:close/>
                              </a:path>
                              <a:path w="1802130" h="1983105">
                                <a:moveTo>
                                  <a:pt x="1802079" y="661009"/>
                                </a:moveTo>
                                <a:lnTo>
                                  <a:pt x="1750695" y="661009"/>
                                </a:lnTo>
                                <a:lnTo>
                                  <a:pt x="1750695" y="717854"/>
                                </a:lnTo>
                                <a:lnTo>
                                  <a:pt x="1802079" y="717854"/>
                                </a:lnTo>
                                <a:lnTo>
                                  <a:pt x="1802079" y="661009"/>
                                </a:lnTo>
                                <a:close/>
                              </a:path>
                            </a:pathLst>
                          </a:custGeom>
                          <a:solidFill>
                            <a:srgbClr val="FF00FF"/>
                          </a:solidFill>
                        </wps:spPr>
                        <wps:bodyPr wrap="square" lIns="0" tIns="0" rIns="0" bIns="0" rtlCol="0">
                          <a:prstTxWarp prst="textNoShape">
                            <a:avLst/>
                          </a:prstTxWarp>
                          <a:noAutofit/>
                        </wps:bodyPr>
                      </wps:wsp>
                      <wps:wsp>
                        <wps:cNvPr id="299" name="Graphic 299"/>
                        <wps:cNvSpPr/>
                        <wps:spPr>
                          <a:xfrm>
                            <a:off x="3872309" y="1925186"/>
                            <a:ext cx="267970" cy="1270"/>
                          </a:xfrm>
                          <a:custGeom>
                            <a:avLst/>
                            <a:gdLst/>
                            <a:ahLst/>
                            <a:cxnLst/>
                            <a:rect l="l" t="t" r="r" b="b"/>
                            <a:pathLst>
                              <a:path w="267970" h="0">
                                <a:moveTo>
                                  <a:pt x="0" y="0"/>
                                </a:moveTo>
                                <a:lnTo>
                                  <a:pt x="267904" y="0"/>
                                </a:lnTo>
                              </a:path>
                            </a:pathLst>
                          </a:custGeom>
                          <a:ln w="11367">
                            <a:solidFill>
                              <a:srgbClr val="000080"/>
                            </a:solidFill>
                            <a:prstDash val="solid"/>
                          </a:ln>
                        </wps:spPr>
                        <wps:bodyPr wrap="square" lIns="0" tIns="0" rIns="0" bIns="0" rtlCol="0">
                          <a:prstTxWarp prst="textNoShape">
                            <a:avLst/>
                          </a:prstTxWarp>
                          <a:noAutofit/>
                        </wps:bodyPr>
                      </wps:wsp>
                      <pic:pic>
                        <pic:nvPicPr>
                          <pic:cNvPr id="300" name="Image 300"/>
                          <pic:cNvPicPr/>
                        </pic:nvPicPr>
                        <pic:blipFill>
                          <a:blip r:embed="rId35" cstate="print"/>
                          <a:stretch>
                            <a:fillRect/>
                          </a:stretch>
                        </pic:blipFill>
                        <pic:spPr>
                          <a:xfrm>
                            <a:off x="3969949" y="1885672"/>
                            <a:ext cx="72486" cy="79331"/>
                          </a:xfrm>
                          <a:prstGeom prst="rect">
                            <a:avLst/>
                          </a:prstGeom>
                        </pic:spPr>
                      </pic:pic>
                      <wps:wsp>
                        <wps:cNvPr id="301" name="Graphic 301"/>
                        <wps:cNvSpPr/>
                        <wps:spPr>
                          <a:xfrm>
                            <a:off x="3872309" y="2483731"/>
                            <a:ext cx="267970" cy="1270"/>
                          </a:xfrm>
                          <a:custGeom>
                            <a:avLst/>
                            <a:gdLst/>
                            <a:ahLst/>
                            <a:cxnLst/>
                            <a:rect l="l" t="t" r="r" b="b"/>
                            <a:pathLst>
                              <a:path w="267970" h="0">
                                <a:moveTo>
                                  <a:pt x="0" y="0"/>
                                </a:moveTo>
                                <a:lnTo>
                                  <a:pt x="267904" y="0"/>
                                </a:lnTo>
                              </a:path>
                            </a:pathLst>
                          </a:custGeom>
                          <a:ln w="11367">
                            <a:solidFill>
                              <a:srgbClr val="FF00FF"/>
                            </a:solidFill>
                            <a:prstDash val="solid"/>
                          </a:ln>
                        </wps:spPr>
                        <wps:bodyPr wrap="square" lIns="0" tIns="0" rIns="0" bIns="0" rtlCol="0">
                          <a:prstTxWarp prst="textNoShape">
                            <a:avLst/>
                          </a:prstTxWarp>
                          <a:noAutofit/>
                        </wps:bodyPr>
                      </wps:wsp>
                      <wps:wsp>
                        <wps:cNvPr id="302" name="Graphic 302"/>
                        <wps:cNvSpPr/>
                        <wps:spPr>
                          <a:xfrm>
                            <a:off x="3970289" y="2443488"/>
                            <a:ext cx="51435" cy="57785"/>
                          </a:xfrm>
                          <a:custGeom>
                            <a:avLst/>
                            <a:gdLst/>
                            <a:ahLst/>
                            <a:cxnLst/>
                            <a:rect l="l" t="t" r="r" b="b"/>
                            <a:pathLst>
                              <a:path w="51435" h="57785">
                                <a:moveTo>
                                  <a:pt x="51388" y="0"/>
                                </a:moveTo>
                                <a:lnTo>
                                  <a:pt x="0" y="0"/>
                                </a:lnTo>
                                <a:lnTo>
                                  <a:pt x="0" y="57218"/>
                                </a:lnTo>
                                <a:lnTo>
                                  <a:pt x="51388" y="57218"/>
                                </a:lnTo>
                                <a:lnTo>
                                  <a:pt x="51388" y="0"/>
                                </a:lnTo>
                                <a:close/>
                              </a:path>
                            </a:pathLst>
                          </a:custGeom>
                          <a:solidFill>
                            <a:srgbClr val="FF00FF"/>
                          </a:solidFill>
                        </wps:spPr>
                        <wps:bodyPr wrap="square" lIns="0" tIns="0" rIns="0" bIns="0" rtlCol="0">
                          <a:prstTxWarp prst="textNoShape">
                            <a:avLst/>
                          </a:prstTxWarp>
                          <a:noAutofit/>
                        </wps:bodyPr>
                      </wps:wsp>
                      <wps:wsp>
                        <wps:cNvPr id="303" name="Graphic 303"/>
                        <wps:cNvSpPr/>
                        <wps:spPr>
                          <a:xfrm>
                            <a:off x="5443" y="5443"/>
                            <a:ext cx="5107940" cy="5013325"/>
                          </a:xfrm>
                          <a:custGeom>
                            <a:avLst/>
                            <a:gdLst/>
                            <a:ahLst/>
                            <a:cxnLst/>
                            <a:rect l="l" t="t" r="r" b="b"/>
                            <a:pathLst>
                              <a:path w="5107940" h="5013325">
                                <a:moveTo>
                                  <a:pt x="0" y="5012959"/>
                                </a:moveTo>
                                <a:lnTo>
                                  <a:pt x="5107721" y="5012959"/>
                                </a:lnTo>
                                <a:lnTo>
                                  <a:pt x="5107721" y="0"/>
                                </a:lnTo>
                                <a:lnTo>
                                  <a:pt x="0" y="0"/>
                                </a:lnTo>
                                <a:lnTo>
                                  <a:pt x="0" y="5012959"/>
                                </a:lnTo>
                                <a:close/>
                              </a:path>
                            </a:pathLst>
                          </a:custGeom>
                          <a:ln w="10833">
                            <a:solidFill>
                              <a:srgbClr val="000000"/>
                            </a:solidFill>
                            <a:prstDash val="solid"/>
                          </a:ln>
                        </wps:spPr>
                        <wps:bodyPr wrap="square" lIns="0" tIns="0" rIns="0" bIns="0" rtlCol="0">
                          <a:prstTxWarp prst="textNoShape">
                            <a:avLst/>
                          </a:prstTxWarp>
                          <a:noAutofit/>
                        </wps:bodyPr>
                      </wps:wsp>
                      <wps:wsp>
                        <wps:cNvPr id="304" name="Textbox 304"/>
                        <wps:cNvSpPr txBox="1"/>
                        <wps:spPr>
                          <a:xfrm>
                            <a:off x="1385390" y="4229610"/>
                            <a:ext cx="1600200" cy="520700"/>
                          </a:xfrm>
                          <a:prstGeom prst="rect">
                            <a:avLst/>
                          </a:prstGeom>
                        </wps:spPr>
                        <wps:txbx>
                          <w:txbxContent>
                            <w:p>
                              <w:pPr>
                                <w:spacing w:line="316" w:lineRule="exact" w:before="0"/>
                                <w:ind w:left="632" w:right="0" w:firstLine="0"/>
                                <w:jc w:val="left"/>
                                <w:rPr>
                                  <w:sz w:val="28"/>
                                </w:rPr>
                              </w:pPr>
                              <w:r>
                                <w:rPr>
                                  <w:spacing w:val="10"/>
                                  <w:w w:val="90"/>
                                  <w:sz w:val="28"/>
                                </w:rPr>
                                <w:t>-</w:t>
                              </w:r>
                              <w:r>
                                <w:rPr>
                                  <w:spacing w:val="-5"/>
                                  <w:sz w:val="28"/>
                                </w:rPr>
                                <w:t>1.2</w:t>
                              </w:r>
                            </w:p>
                            <w:p>
                              <w:pPr>
                                <w:spacing w:before="180"/>
                                <w:ind w:left="0" w:right="0" w:firstLine="0"/>
                                <w:jc w:val="left"/>
                                <w:rPr>
                                  <w:sz w:val="28"/>
                                </w:rPr>
                              </w:pPr>
                              <w:r>
                                <w:rPr>
                                  <w:spacing w:val="-6"/>
                                  <w:w w:val="90"/>
                                  <w:sz w:val="28"/>
                                </w:rPr>
                                <w:t>Test</w:t>
                              </w:r>
                              <w:r>
                                <w:rPr>
                                  <w:spacing w:val="-4"/>
                                  <w:sz w:val="28"/>
                                </w:rPr>
                                <w:t> </w:t>
                              </w:r>
                              <w:r>
                                <w:rPr>
                                  <w:spacing w:val="-6"/>
                                  <w:w w:val="90"/>
                                  <w:sz w:val="28"/>
                                </w:rPr>
                                <w:t>Pulse</w:t>
                              </w:r>
                              <w:r>
                                <w:rPr>
                                  <w:spacing w:val="3"/>
                                  <w:sz w:val="28"/>
                                </w:rPr>
                                <w:t> </w:t>
                              </w:r>
                              <w:r>
                                <w:rPr>
                                  <w:spacing w:val="-6"/>
                                  <w:w w:val="90"/>
                                  <w:sz w:val="28"/>
                                </w:rPr>
                                <w:t>Potential</w:t>
                              </w:r>
                              <w:r>
                                <w:rPr>
                                  <w:spacing w:val="-15"/>
                                  <w:w w:val="90"/>
                                  <w:sz w:val="28"/>
                                </w:rPr>
                                <w:t> </w:t>
                              </w:r>
                              <w:r>
                                <w:rPr>
                                  <w:spacing w:val="-6"/>
                                  <w:w w:val="90"/>
                                  <w:sz w:val="28"/>
                                </w:rPr>
                                <w:t>(mV)</w:t>
                              </w:r>
                            </w:p>
                          </w:txbxContent>
                        </wps:txbx>
                        <wps:bodyPr wrap="square" lIns="0" tIns="0" rIns="0" bIns="0" rtlCol="0">
                          <a:noAutofit/>
                        </wps:bodyPr>
                      </wps:wsp>
                      <wps:wsp>
                        <wps:cNvPr id="305" name="Textbox 305"/>
                        <wps:cNvSpPr txBox="1"/>
                        <wps:spPr>
                          <a:xfrm>
                            <a:off x="1910510" y="3728283"/>
                            <a:ext cx="163830" cy="201930"/>
                          </a:xfrm>
                          <a:prstGeom prst="rect">
                            <a:avLst/>
                          </a:prstGeom>
                        </wps:spPr>
                        <wps:txbx>
                          <w:txbxContent>
                            <w:p>
                              <w:pPr>
                                <w:spacing w:line="316" w:lineRule="exact" w:before="0"/>
                                <w:ind w:left="0" w:right="0" w:firstLine="0"/>
                                <w:jc w:val="left"/>
                                <w:rPr>
                                  <w:sz w:val="28"/>
                                </w:rPr>
                              </w:pPr>
                              <w:r>
                                <w:rPr>
                                  <w:spacing w:val="10"/>
                                  <w:w w:val="90"/>
                                  <w:sz w:val="28"/>
                                </w:rPr>
                                <w:t>-</w:t>
                              </w:r>
                              <w:r>
                                <w:rPr>
                                  <w:sz w:val="28"/>
                                </w:rPr>
                                <w:t>1</w:t>
                              </w:r>
                            </w:p>
                          </w:txbxContent>
                        </wps:txbx>
                        <wps:bodyPr wrap="square" lIns="0" tIns="0" rIns="0" bIns="0" rtlCol="0">
                          <a:noAutofit/>
                        </wps:bodyPr>
                      </wps:wsp>
                      <wps:wsp>
                        <wps:cNvPr id="306" name="Textbox 306"/>
                        <wps:cNvSpPr txBox="1"/>
                        <wps:spPr>
                          <a:xfrm>
                            <a:off x="1786904" y="3215589"/>
                            <a:ext cx="280670" cy="201930"/>
                          </a:xfrm>
                          <a:prstGeom prst="rect">
                            <a:avLst/>
                          </a:prstGeom>
                        </wps:spPr>
                        <wps:txbx>
                          <w:txbxContent>
                            <w:p>
                              <w:pPr>
                                <w:spacing w:line="316" w:lineRule="exact" w:before="0"/>
                                <w:ind w:left="0" w:right="0" w:firstLine="0"/>
                                <w:jc w:val="left"/>
                                <w:rPr>
                                  <w:sz w:val="28"/>
                                </w:rPr>
                              </w:pPr>
                              <w:r>
                                <w:rPr>
                                  <w:spacing w:val="10"/>
                                  <w:w w:val="90"/>
                                  <w:sz w:val="28"/>
                                </w:rPr>
                                <w:t>-</w:t>
                              </w:r>
                              <w:r>
                                <w:rPr>
                                  <w:spacing w:val="-5"/>
                                  <w:w w:val="95"/>
                                  <w:sz w:val="28"/>
                                </w:rPr>
                                <w:t>0.8</w:t>
                              </w:r>
                            </w:p>
                          </w:txbxContent>
                        </wps:txbx>
                        <wps:bodyPr wrap="square" lIns="0" tIns="0" rIns="0" bIns="0" rtlCol="0">
                          <a:noAutofit/>
                        </wps:bodyPr>
                      </wps:wsp>
                      <wps:wsp>
                        <wps:cNvPr id="307" name="Textbox 307"/>
                        <wps:cNvSpPr txBox="1"/>
                        <wps:spPr>
                          <a:xfrm>
                            <a:off x="1786904" y="2714187"/>
                            <a:ext cx="280670" cy="201930"/>
                          </a:xfrm>
                          <a:prstGeom prst="rect">
                            <a:avLst/>
                          </a:prstGeom>
                        </wps:spPr>
                        <wps:txbx>
                          <w:txbxContent>
                            <w:p>
                              <w:pPr>
                                <w:spacing w:line="316" w:lineRule="exact" w:before="0"/>
                                <w:ind w:left="0" w:right="0" w:firstLine="0"/>
                                <w:jc w:val="left"/>
                                <w:rPr>
                                  <w:sz w:val="28"/>
                                </w:rPr>
                              </w:pPr>
                              <w:r>
                                <w:rPr>
                                  <w:spacing w:val="10"/>
                                  <w:w w:val="90"/>
                                  <w:sz w:val="28"/>
                                </w:rPr>
                                <w:t>-</w:t>
                              </w:r>
                              <w:r>
                                <w:rPr>
                                  <w:spacing w:val="-5"/>
                                  <w:w w:val="95"/>
                                  <w:sz w:val="28"/>
                                </w:rPr>
                                <w:t>0.6</w:t>
                              </w:r>
                            </w:p>
                          </w:txbxContent>
                        </wps:txbx>
                        <wps:bodyPr wrap="square" lIns="0" tIns="0" rIns="0" bIns="0" rtlCol="0">
                          <a:noAutofit/>
                        </wps:bodyPr>
                      </wps:wsp>
                      <wps:wsp>
                        <wps:cNvPr id="308" name="Textbox 308"/>
                        <wps:cNvSpPr txBox="1"/>
                        <wps:spPr>
                          <a:xfrm>
                            <a:off x="1786904" y="2212937"/>
                            <a:ext cx="280670" cy="201930"/>
                          </a:xfrm>
                          <a:prstGeom prst="rect">
                            <a:avLst/>
                          </a:prstGeom>
                        </wps:spPr>
                        <wps:txbx>
                          <w:txbxContent>
                            <w:p>
                              <w:pPr>
                                <w:spacing w:line="316" w:lineRule="exact" w:before="0"/>
                                <w:ind w:left="0" w:right="0" w:firstLine="0"/>
                                <w:jc w:val="left"/>
                                <w:rPr>
                                  <w:sz w:val="28"/>
                                </w:rPr>
                              </w:pPr>
                              <w:r>
                                <w:rPr>
                                  <w:spacing w:val="10"/>
                                  <w:w w:val="90"/>
                                  <w:sz w:val="28"/>
                                </w:rPr>
                                <w:t>-</w:t>
                              </w:r>
                              <w:r>
                                <w:rPr>
                                  <w:spacing w:val="-5"/>
                                  <w:w w:val="95"/>
                                  <w:sz w:val="28"/>
                                </w:rPr>
                                <w:t>0.4</w:t>
                              </w:r>
                            </w:p>
                          </w:txbxContent>
                        </wps:txbx>
                        <wps:bodyPr wrap="square" lIns="0" tIns="0" rIns="0" bIns="0" rtlCol="0">
                          <a:noAutofit/>
                        </wps:bodyPr>
                      </wps:wsp>
                      <wps:wsp>
                        <wps:cNvPr id="309" name="Textbox 309"/>
                        <wps:cNvSpPr txBox="1"/>
                        <wps:spPr>
                          <a:xfrm>
                            <a:off x="1786904" y="1700167"/>
                            <a:ext cx="280670" cy="201930"/>
                          </a:xfrm>
                          <a:prstGeom prst="rect">
                            <a:avLst/>
                          </a:prstGeom>
                        </wps:spPr>
                        <wps:txbx>
                          <w:txbxContent>
                            <w:p>
                              <w:pPr>
                                <w:spacing w:line="316" w:lineRule="exact" w:before="0"/>
                                <w:ind w:left="0" w:right="0" w:firstLine="0"/>
                                <w:jc w:val="left"/>
                                <w:rPr>
                                  <w:sz w:val="28"/>
                                </w:rPr>
                              </w:pPr>
                              <w:r>
                                <w:rPr>
                                  <w:spacing w:val="10"/>
                                  <w:w w:val="90"/>
                                  <w:sz w:val="28"/>
                                </w:rPr>
                                <w:t>-</w:t>
                              </w:r>
                              <w:r>
                                <w:rPr>
                                  <w:spacing w:val="-5"/>
                                  <w:w w:val="95"/>
                                  <w:sz w:val="28"/>
                                </w:rPr>
                                <w:t>0.2</w:t>
                              </w:r>
                            </w:p>
                          </w:txbxContent>
                        </wps:txbx>
                        <wps:bodyPr wrap="square" lIns="0" tIns="0" rIns="0" bIns="0" rtlCol="0">
                          <a:noAutofit/>
                        </wps:bodyPr>
                      </wps:wsp>
                      <wps:wsp>
                        <wps:cNvPr id="310" name="Textbox 310"/>
                        <wps:cNvSpPr txBox="1"/>
                        <wps:spPr>
                          <a:xfrm>
                            <a:off x="3300871" y="1472505"/>
                            <a:ext cx="259715" cy="201930"/>
                          </a:xfrm>
                          <a:prstGeom prst="rect">
                            <a:avLst/>
                          </a:prstGeom>
                        </wps:spPr>
                        <wps:txbx>
                          <w:txbxContent>
                            <w:p>
                              <w:pPr>
                                <w:spacing w:line="316" w:lineRule="exact" w:before="0"/>
                                <w:ind w:left="0" w:right="0" w:firstLine="0"/>
                                <w:jc w:val="left"/>
                                <w:rPr>
                                  <w:sz w:val="28"/>
                                </w:rPr>
                              </w:pPr>
                              <w:r>
                                <w:rPr>
                                  <w:spacing w:val="-9"/>
                                  <w:sz w:val="28"/>
                                </w:rPr>
                                <w:t>100</w:t>
                              </w:r>
                            </w:p>
                          </w:txbxContent>
                        </wps:txbx>
                        <wps:bodyPr wrap="square" lIns="0" tIns="0" rIns="0" bIns="0" rtlCol="0">
                          <a:noAutofit/>
                        </wps:bodyPr>
                      </wps:wsp>
                      <wps:wsp>
                        <wps:cNvPr id="311" name="Textbox 311"/>
                        <wps:cNvSpPr txBox="1"/>
                        <wps:spPr>
                          <a:xfrm>
                            <a:off x="2724226" y="1472505"/>
                            <a:ext cx="177165" cy="201930"/>
                          </a:xfrm>
                          <a:prstGeom prst="rect">
                            <a:avLst/>
                          </a:prstGeom>
                        </wps:spPr>
                        <wps:txbx>
                          <w:txbxContent>
                            <w:p>
                              <w:pPr>
                                <w:spacing w:line="316" w:lineRule="exact" w:before="0"/>
                                <w:ind w:left="0" w:right="0" w:firstLine="0"/>
                                <w:jc w:val="left"/>
                                <w:rPr>
                                  <w:sz w:val="28"/>
                                </w:rPr>
                              </w:pPr>
                              <w:r>
                                <w:rPr>
                                  <w:spacing w:val="-7"/>
                                  <w:sz w:val="28"/>
                                </w:rPr>
                                <w:t>50</w:t>
                              </w:r>
                            </w:p>
                          </w:txbxContent>
                        </wps:txbx>
                        <wps:bodyPr wrap="square" lIns="0" tIns="0" rIns="0" bIns="0" rtlCol="0">
                          <a:noAutofit/>
                        </wps:bodyPr>
                      </wps:wsp>
                      <wps:wsp>
                        <wps:cNvPr id="312" name="Textbox 312"/>
                        <wps:cNvSpPr txBox="1"/>
                        <wps:spPr>
                          <a:xfrm>
                            <a:off x="2137029" y="1472505"/>
                            <a:ext cx="95250" cy="201930"/>
                          </a:xfrm>
                          <a:prstGeom prst="rect">
                            <a:avLst/>
                          </a:prstGeom>
                        </wps:spPr>
                        <wps:txbx>
                          <w:txbxContent>
                            <w:p>
                              <w:pPr>
                                <w:spacing w:line="316" w:lineRule="exact" w:before="0"/>
                                <w:ind w:left="0" w:right="0" w:firstLine="0"/>
                                <w:jc w:val="left"/>
                                <w:rPr>
                                  <w:sz w:val="28"/>
                                </w:rPr>
                              </w:pPr>
                              <w:r>
                                <w:rPr>
                                  <w:spacing w:val="-10"/>
                                  <w:sz w:val="28"/>
                                </w:rPr>
                                <w:t>0</w:t>
                              </w:r>
                            </w:p>
                          </w:txbxContent>
                        </wps:txbx>
                        <wps:bodyPr wrap="square" lIns="0" tIns="0" rIns="0" bIns="0" rtlCol="0">
                          <a:noAutofit/>
                        </wps:bodyPr>
                      </wps:wsp>
                      <wps:wsp>
                        <wps:cNvPr id="313" name="Textbox 313"/>
                        <wps:cNvSpPr txBox="1"/>
                        <wps:spPr>
                          <a:xfrm>
                            <a:off x="1447330" y="1472505"/>
                            <a:ext cx="239395" cy="201930"/>
                          </a:xfrm>
                          <a:prstGeom prst="rect">
                            <a:avLst/>
                          </a:prstGeom>
                        </wps:spPr>
                        <wps:txbx>
                          <w:txbxContent>
                            <w:p>
                              <w:pPr>
                                <w:spacing w:line="316" w:lineRule="exact" w:before="0"/>
                                <w:ind w:left="0" w:right="0" w:firstLine="0"/>
                                <w:jc w:val="left"/>
                                <w:rPr>
                                  <w:sz w:val="28"/>
                                </w:rPr>
                              </w:pPr>
                              <w:r>
                                <w:rPr>
                                  <w:spacing w:val="10"/>
                                  <w:w w:val="90"/>
                                  <w:sz w:val="28"/>
                                </w:rPr>
                                <w:t>-</w:t>
                              </w:r>
                              <w:r>
                                <w:rPr>
                                  <w:spacing w:val="-5"/>
                                  <w:sz w:val="28"/>
                                </w:rPr>
                                <w:t>50</w:t>
                              </w:r>
                            </w:p>
                          </w:txbxContent>
                        </wps:txbx>
                        <wps:bodyPr wrap="square" lIns="0" tIns="0" rIns="0" bIns="0" rtlCol="0">
                          <a:noAutofit/>
                        </wps:bodyPr>
                      </wps:wsp>
                      <wps:wsp>
                        <wps:cNvPr id="314" name="Textbox 314"/>
                        <wps:cNvSpPr txBox="1"/>
                        <wps:spPr>
                          <a:xfrm>
                            <a:off x="777981" y="1472505"/>
                            <a:ext cx="321945" cy="201930"/>
                          </a:xfrm>
                          <a:prstGeom prst="rect">
                            <a:avLst/>
                          </a:prstGeom>
                        </wps:spPr>
                        <wps:txbx>
                          <w:txbxContent>
                            <w:p>
                              <w:pPr>
                                <w:spacing w:line="316" w:lineRule="exact" w:before="0"/>
                                <w:ind w:left="0" w:right="0" w:firstLine="0"/>
                                <w:jc w:val="left"/>
                                <w:rPr>
                                  <w:sz w:val="28"/>
                                </w:rPr>
                              </w:pPr>
                              <w:r>
                                <w:rPr>
                                  <w:spacing w:val="10"/>
                                  <w:w w:val="90"/>
                                  <w:sz w:val="28"/>
                                </w:rPr>
                                <w:t>-</w:t>
                              </w:r>
                              <w:r>
                                <w:rPr>
                                  <w:spacing w:val="-5"/>
                                  <w:w w:val="95"/>
                                  <w:sz w:val="28"/>
                                </w:rPr>
                                <w:t>100</w:t>
                              </w:r>
                            </w:p>
                          </w:txbxContent>
                        </wps:txbx>
                        <wps:bodyPr wrap="square" lIns="0" tIns="0" rIns="0" bIns="0" rtlCol="0">
                          <a:noAutofit/>
                        </wps:bodyPr>
                      </wps:wsp>
                      <wps:wsp>
                        <wps:cNvPr id="315" name="Textbox 315"/>
                        <wps:cNvSpPr txBox="1"/>
                        <wps:spPr>
                          <a:xfrm>
                            <a:off x="1972587" y="1198916"/>
                            <a:ext cx="95250" cy="201930"/>
                          </a:xfrm>
                          <a:prstGeom prst="rect">
                            <a:avLst/>
                          </a:prstGeom>
                        </wps:spPr>
                        <wps:txbx>
                          <w:txbxContent>
                            <w:p>
                              <w:pPr>
                                <w:spacing w:line="316" w:lineRule="exact" w:before="0"/>
                                <w:ind w:left="0" w:right="0" w:firstLine="0"/>
                                <w:jc w:val="left"/>
                                <w:rPr>
                                  <w:sz w:val="28"/>
                                </w:rPr>
                              </w:pPr>
                              <w:r>
                                <w:rPr>
                                  <w:spacing w:val="-10"/>
                                  <w:sz w:val="28"/>
                                </w:rPr>
                                <w:t>0</w:t>
                              </w:r>
                            </w:p>
                          </w:txbxContent>
                        </wps:txbx>
                        <wps:bodyPr wrap="square" lIns="0" tIns="0" rIns="0" bIns="0" rtlCol="0">
                          <a:noAutofit/>
                        </wps:bodyPr>
                      </wps:wsp>
                      <wps:wsp>
                        <wps:cNvPr id="316" name="Textbox 316"/>
                        <wps:cNvSpPr txBox="1"/>
                        <wps:spPr>
                          <a:xfrm>
                            <a:off x="1848844" y="686146"/>
                            <a:ext cx="218440" cy="201930"/>
                          </a:xfrm>
                          <a:prstGeom prst="rect">
                            <a:avLst/>
                          </a:prstGeom>
                        </wps:spPr>
                        <wps:txbx>
                          <w:txbxContent>
                            <w:p>
                              <w:pPr>
                                <w:spacing w:line="316" w:lineRule="exact" w:before="0"/>
                                <w:ind w:left="0" w:right="0" w:firstLine="0"/>
                                <w:jc w:val="left"/>
                                <w:rPr>
                                  <w:sz w:val="28"/>
                                </w:rPr>
                              </w:pPr>
                              <w:r>
                                <w:rPr>
                                  <w:spacing w:val="-7"/>
                                  <w:sz w:val="28"/>
                                </w:rPr>
                                <w:t>0.2</w:t>
                              </w:r>
                            </w:p>
                          </w:txbxContent>
                        </wps:txbx>
                        <wps:bodyPr wrap="square" lIns="0" tIns="0" rIns="0" bIns="0" rtlCol="0">
                          <a:noAutofit/>
                        </wps:bodyPr>
                      </wps:wsp>
                      <wps:wsp>
                        <wps:cNvPr id="317" name="Textbox 317"/>
                        <wps:cNvSpPr txBox="1"/>
                        <wps:spPr>
                          <a:xfrm>
                            <a:off x="1848844" y="184896"/>
                            <a:ext cx="218440" cy="201930"/>
                          </a:xfrm>
                          <a:prstGeom prst="rect">
                            <a:avLst/>
                          </a:prstGeom>
                        </wps:spPr>
                        <wps:txbx>
                          <w:txbxContent>
                            <w:p>
                              <w:pPr>
                                <w:spacing w:line="316" w:lineRule="exact" w:before="0"/>
                                <w:ind w:left="0" w:right="0" w:firstLine="0"/>
                                <w:jc w:val="left"/>
                                <w:rPr>
                                  <w:sz w:val="28"/>
                                </w:rPr>
                              </w:pPr>
                              <w:r>
                                <w:rPr>
                                  <w:spacing w:val="-7"/>
                                  <w:sz w:val="28"/>
                                </w:rPr>
                                <w:t>0.4</w:t>
                              </w:r>
                            </w:p>
                          </w:txbxContent>
                        </wps:txbx>
                        <wps:bodyPr wrap="square" lIns="0" tIns="0" rIns="0" bIns="0" rtlCol="0">
                          <a:noAutofit/>
                        </wps:bodyPr>
                      </wps:wsp>
                      <wps:wsp>
                        <wps:cNvPr id="318" name="Textbox 318"/>
                        <wps:cNvSpPr txBox="1"/>
                        <wps:spPr>
                          <a:xfrm>
                            <a:off x="3784880" y="1737160"/>
                            <a:ext cx="1256665" cy="1128395"/>
                          </a:xfrm>
                          <a:prstGeom prst="rect">
                            <a:avLst/>
                          </a:prstGeom>
                          <a:ln w="10934">
                            <a:solidFill>
                              <a:srgbClr val="000000"/>
                            </a:solidFill>
                            <a:prstDash val="solid"/>
                          </a:ln>
                        </wps:spPr>
                        <wps:txbx>
                          <w:txbxContent>
                            <w:p>
                              <w:pPr>
                                <w:spacing w:before="107"/>
                                <w:ind w:left="623" w:right="0" w:firstLine="0"/>
                                <w:jc w:val="left"/>
                                <w:rPr>
                                  <w:sz w:val="28"/>
                                </w:rPr>
                              </w:pPr>
                              <w:r>
                                <w:rPr>
                                  <w:spacing w:val="-2"/>
                                  <w:sz w:val="28"/>
                                </w:rPr>
                                <w:t>CONTROL</w:t>
                              </w:r>
                            </w:p>
                            <w:p>
                              <w:pPr>
                                <w:spacing w:line="240" w:lineRule="auto" w:before="235"/>
                                <w:rPr>
                                  <w:sz w:val="28"/>
                                </w:rPr>
                              </w:pPr>
                            </w:p>
                            <w:p>
                              <w:pPr>
                                <w:spacing w:before="0"/>
                                <w:ind w:left="623" w:right="0" w:firstLine="0"/>
                                <w:jc w:val="left"/>
                                <w:rPr>
                                  <w:sz w:val="28"/>
                                </w:rPr>
                              </w:pPr>
                              <w:r>
                                <w:rPr>
                                  <w:w w:val="90"/>
                                  <w:sz w:val="28"/>
                                </w:rPr>
                                <w:t>DCP23</w:t>
                              </w:r>
                              <w:r>
                                <w:rPr>
                                  <w:spacing w:val="7"/>
                                  <w:sz w:val="28"/>
                                </w:rPr>
                                <w:t> </w:t>
                              </w:r>
                              <w:r>
                                <w:rPr>
                                  <w:spacing w:val="-4"/>
                                  <w:sz w:val="28"/>
                                </w:rPr>
                                <w:t>(100</w:t>
                              </w:r>
                            </w:p>
                            <w:p>
                              <w:pPr>
                                <w:spacing w:before="19"/>
                                <w:ind w:left="623" w:right="0" w:firstLine="0"/>
                                <w:jc w:val="left"/>
                                <w:rPr>
                                  <w:sz w:val="28"/>
                                </w:rPr>
                              </w:pPr>
                              <w:r>
                                <w:rPr>
                                  <w:spacing w:val="-5"/>
                                  <w:sz w:val="28"/>
                                </w:rPr>
                                <w:t>µM)</w:t>
                              </w:r>
                            </w:p>
                          </w:txbxContent>
                        </wps:txbx>
                        <wps:bodyPr wrap="square" lIns="0" tIns="0" rIns="0" bIns="0" rtlCol="0">
                          <a:noAutofit/>
                        </wps:bodyPr>
                      </wps:wsp>
                    </wpg:wgp>
                  </a:graphicData>
                </a:graphic>
              </wp:anchor>
            </w:drawing>
          </mc:Choice>
          <mc:Fallback>
            <w:pict>
              <v:group style="position:absolute;margin-left:111.737671pt;margin-top:-440.795441pt;width:403.05pt;height:395.6pt;mso-position-horizontal-relative:page;mso-position-vertical-relative:paragraph;z-index:15806464" id="docshapegroup145" coordorigin="2235,-8816" coordsize="8061,7912">
                <v:rect style="position:absolute;left:2243;top:-8808;width:8044;height:7895" id="docshape146" filled="false" stroked="true" strokeweight=".852993pt" strokecolor="#000000">
                  <v:stroke dashstyle="solid"/>
                </v:rect>
                <v:shape style="position:absolute;left:5673;top:-8368;width:2;height:6352" id="docshape147" coordorigin="5674,-8368" coordsize="0,6352" path="m5674,-4555l5674,-2016m5674,-8368l5674,-4644e" filled="false" stroked="true" strokeweight=".809264pt" strokecolor="#000000">
                  <v:path arrowok="t"/>
                  <v:stroke dashstyle="solid"/>
                </v:shape>
                <v:shape style="position:absolute;left:3711;top:-8368;width:3925;height:6370" id="docshape148" coordorigin="3711,-8368" coordsize="3925,6370" path="m5592,-1998l5657,-1998m5592,-2788l5657,-2788m5592,-3595l5657,-3595m5592,-4385l5657,-4385m5592,-5174l5657,-5174m5592,-5981l5657,-5981m5592,-6770l5657,-6770m5592,-7578l5657,-7578m5592,-8368l5657,-8368m3711,-6770l7620,-6770m3711,-6681l3711,-6753m4700,-6681l4700,-6753m5674,-6681l5674,-6753m6663,-6681l6663,-6753m7636,-6681l7636,-6753e" filled="false" stroked="true" strokeweight=".852189pt" strokecolor="#000000">
                  <v:path arrowok="t"/>
                  <v:stroke dashstyle="solid"/>
                </v:shape>
                <v:shape style="position:absolute;left:4100;top:-6843;width:2757;height:4037" id="docshape149" coordorigin="4100,-6843" coordsize="2757,4037" path="m4100,-6843l4181,-6824m4197,-6824l4279,-6806m4295,-6806l4376,-6806m4392,-6806l4473,-6824m4489,-6824l4571,-6806m4587,-6806l4684,-6824m4700,-6824l4781,-6843m4798,-6843l4879,-6788m4895,-6788l4976,-6806m4992,-6806l5074,-6753m5090,-6753l5187,-6573m5187,-6555l5284,-6197m5284,-6179l5382,-5551m5382,-5533l5479,-4654m5479,-4635l5576,-3792m5576,-3774l5674,-3236m5674,-3218l5771,-2877m5771,-2859l5852,-2806m5868,-2806l5949,-2895m5966,-2913l6063,-3111m6063,-3129l6160,-3416m6160,-3433l6257,-3721m6257,-3738l6354,-4061m6354,-4079l6452,-4474m6452,-4492l6549,-4797m6549,-4815l6663,-5120m6663,-5138l6760,-5461m6760,-5479l6857,-5730e" filled="false" stroked="true" strokeweight=".852189pt" strokecolor="#000080">
                  <v:path arrowok="t"/>
                  <v:stroke dashstyle="solid"/>
                </v:shape>
                <v:shape style="position:absolute;left:4100;top:-7435;width:2741;height:3033" id="docshape150" coordorigin="4100,-7435" coordsize="2741,3033" path="m4100,-7058l4197,-7309m4197,-7327l4279,-7327m4295,-7327l4376,-7345m4392,-7345l4473,-7363m4489,-7363l4571,-7399m4587,-7399l4684,-7399m4700,-7399l4781,-7435m4798,-7435l4879,-7399m4895,-7399l4976,-7399m4992,-7399l5074,-7345m5090,-7327l5187,-7184m5187,-7166l5284,-6843m5284,-6824l5382,-6250m5382,-6232l5479,-5587m5479,-5569l5576,-5012m5576,-4995l5674,-4599m5674,-4582l5771,-4438m5771,-4420l5852,-4403m5868,-4403l5949,-4456m5966,-4456l6063,-4635m6063,-4654l6160,-4815m6160,-4833l6257,-5030m6257,-5048l6354,-5300m6354,-5317l6452,-5551m6452,-5569l6549,-5820m6549,-5838l6646,-5981m6663,-5999l6760,-6250m6760,-6268l6841,-6376e" filled="false" stroked="true" strokeweight=".852189pt" strokecolor="#ff00ff">
                  <v:path arrowok="t"/>
                  <v:stroke dashstyle="solid"/>
                </v:shape>
                <v:shape style="position:absolute;left:4051;top:-6897;width:98;height:109" id="docshape151" coordorigin="4052,-6896" coordsize="98,109" path="m4100,-6896l4052,-6843,4100,-6788,4149,-6843,4100,-6896xe" filled="true" fillcolor="#000080" stroked="false">
                  <v:path arrowok="t"/>
                  <v:fill type="solid"/>
                </v:shape>
                <v:shape style="position:absolute;left:4051;top:-6897;width:98;height:109" id="docshape152" coordorigin="4052,-6896" coordsize="98,109" path="m4100,-6896l4149,-6843,4100,-6788,4052,-6843,4100,-6896xe" filled="false" stroked="true" strokeweight=".847594pt" strokecolor="#000080">
                  <v:path arrowok="t"/>
                  <v:stroke dashstyle="solid"/>
                </v:shape>
                <v:shape style="position:absolute;left:4148;top:-6879;width:98;height:109" id="docshape153" coordorigin="4149,-6879" coordsize="98,109" path="m4197,-6879l4149,-6824,4197,-6770,4247,-6824,4197,-6879xe" filled="true" fillcolor="#000080" stroked="false">
                  <v:path arrowok="t"/>
                  <v:fill type="solid"/>
                </v:shape>
                <v:shape style="position:absolute;left:4148;top:-6879;width:98;height:109" id="docshape154" coordorigin="4149,-6879" coordsize="98,109" path="m4197,-6879l4247,-6824,4197,-6770,4149,-6824,4197,-6879xe" filled="false" stroked="true" strokeweight=".847829pt" strokecolor="#000080">
                  <v:path arrowok="t"/>
                  <v:stroke dashstyle="solid"/>
                </v:shape>
                <v:shape style="position:absolute;left:4246;top:-6861;width:98;height:109" id="docshape155" coordorigin="4247,-6861" coordsize="98,109" path="m4295,-6861l4247,-6806,4295,-6753,4344,-6806,4295,-6861xe" filled="true" fillcolor="#000080" stroked="false">
                  <v:path arrowok="t"/>
                  <v:fill type="solid"/>
                </v:shape>
                <v:shape style="position:absolute;left:4246;top:-6861;width:98;height:109" id="docshape156" coordorigin="4247,-6861" coordsize="98,109" path="m4295,-6861l4344,-6806,4295,-6753,4247,-6806,4295,-6861xe" filled="false" stroked="true" strokeweight=".847641pt" strokecolor="#000080">
                  <v:path arrowok="t"/>
                  <v:stroke dashstyle="solid"/>
                </v:shape>
                <v:shape style="position:absolute;left:4343;top:-6861;width:98;height:109" id="docshape157" coordorigin="4344,-6861" coordsize="98,109" path="m4392,-6861l4344,-6806,4392,-6753,4441,-6806,4392,-6861xe" filled="true" fillcolor="#000080" stroked="false">
                  <v:path arrowok="t"/>
                  <v:fill type="solid"/>
                </v:shape>
                <v:shape style="position:absolute;left:4343;top:-6861;width:98;height:109" id="docshape158" coordorigin="4344,-6861" coordsize="98,109" path="m4392,-6861l4441,-6806,4392,-6753,4344,-6806,4392,-6861xe" filled="false" stroked="true" strokeweight=".847594pt" strokecolor="#000080">
                  <v:path arrowok="t"/>
                  <v:stroke dashstyle="solid"/>
                </v:shape>
                <v:shape style="position:absolute;left:4440;top:-6879;width:98;height:109" id="docshape159" coordorigin="4441,-6879" coordsize="98,109" path="m4489,-6879l4441,-6824,4489,-6770,4538,-6824,4489,-6879xe" filled="true" fillcolor="#000080" stroked="false">
                  <v:path arrowok="t"/>
                  <v:fill type="solid"/>
                </v:shape>
                <v:shape style="position:absolute;left:4440;top:-6879;width:98;height:109" id="docshape160" coordorigin="4441,-6879" coordsize="98,109" path="m4489,-6879l4538,-6824,4489,-6770,4441,-6824,4489,-6879xe" filled="false" stroked="true" strokeweight=".847782pt" strokecolor="#000080">
                  <v:path arrowok="t"/>
                  <v:stroke dashstyle="solid"/>
                </v:shape>
                <v:shape style="position:absolute;left:4538;top:-6861;width:98;height:109" id="docshape161" coordorigin="4538,-6861" coordsize="98,109" path="m4587,-6861l4538,-6806,4587,-6753,4636,-6806,4587,-6861xe" filled="true" fillcolor="#000080" stroked="false">
                  <v:path arrowok="t"/>
                  <v:fill type="solid"/>
                </v:shape>
                <v:shape style="position:absolute;left:4538;top:-6861;width:98;height:109" id="docshape162" coordorigin="4538,-6861" coordsize="98,109" path="m4587,-6861l4636,-6806,4587,-6753,4538,-6806,4587,-6861xe" filled="false" stroked="true" strokeweight=".847594pt" strokecolor="#000080">
                  <v:path arrowok="t"/>
                  <v:stroke dashstyle="solid"/>
                </v:shape>
                <v:shape style="position:absolute;left:4651;top:-6879;width:98;height:109" id="docshape163" coordorigin="4652,-6879" coordsize="98,109" path="m4700,-6879l4652,-6824,4700,-6770,4749,-6824,4700,-6879xe" filled="true" fillcolor="#000080" stroked="false">
                  <v:path arrowok="t"/>
                  <v:fill type="solid"/>
                </v:shape>
                <v:shape style="position:absolute;left:4651;top:-6879;width:98;height:109" id="docshape164" coordorigin="4652,-6879" coordsize="98,109" path="m4700,-6879l4749,-6824,4700,-6770,4652,-6824,4700,-6879xe" filled="false" stroked="true" strokeweight=".847594pt" strokecolor="#000080">
                  <v:path arrowok="t"/>
                  <v:stroke dashstyle="solid"/>
                </v:shape>
                <v:shape style="position:absolute;left:4748;top:-6897;width:98;height:109" id="docshape165" coordorigin="4749,-6896" coordsize="98,109" path="m4798,-6896l4749,-6843,4798,-6788,4846,-6843,4798,-6896xe" filled="true" fillcolor="#000080" stroked="false">
                  <v:path arrowok="t"/>
                  <v:fill type="solid"/>
                </v:shape>
                <v:shape style="position:absolute;left:4748;top:-6897;width:98;height:109" id="docshape166" coordorigin="4749,-6896" coordsize="98,109" path="m4798,-6896l4846,-6843,4798,-6788,4749,-6843,4798,-6896xe" filled="false" stroked="true" strokeweight=".847782pt" strokecolor="#000080">
                  <v:path arrowok="t"/>
                  <v:stroke dashstyle="solid"/>
                </v:shape>
                <v:shape style="position:absolute;left:4846;top:-6843;width:98;height:109" id="docshape167" coordorigin="4846,-6843" coordsize="98,109" path="m4895,-6843l4846,-6788,4895,-6735,4944,-6788,4895,-6843xe" filled="true" fillcolor="#000080" stroked="false">
                  <v:path arrowok="t"/>
                  <v:fill type="solid"/>
                </v:shape>
                <v:shape style="position:absolute;left:4846;top:-6843;width:98;height:109" id="docshape168" coordorigin="4846,-6843" coordsize="98,109" path="m4895,-6843l4944,-6788,4895,-6735,4846,-6788,4895,-6843xe" filled="false" stroked="true" strokeweight=".847688pt" strokecolor="#000080">
                  <v:path arrowok="t"/>
                  <v:stroke dashstyle="solid"/>
                </v:shape>
                <v:shape style="position:absolute;left:4943;top:-6861;width:98;height:109" id="docshape169" coordorigin="4944,-6861" coordsize="98,109" path="m4992,-6861l4944,-6806,4992,-6753,5041,-6806,4992,-6861xe" filled="true" fillcolor="#000080" stroked="false">
                  <v:path arrowok="t"/>
                  <v:fill type="solid"/>
                </v:shape>
                <v:shape style="position:absolute;left:4943;top:-6861;width:98;height:109" id="docshape170" coordorigin="4944,-6861" coordsize="98,109" path="m4992,-6861l5041,-6806,4992,-6753,4944,-6806,4992,-6861xe" filled="false" stroked="true" strokeweight=".847594pt" strokecolor="#000080">
                  <v:path arrowok="t"/>
                  <v:stroke dashstyle="solid"/>
                </v:shape>
                <v:shape style="position:absolute;left:5040;top:-6807;width:98;height:108" id="docshape171" coordorigin="5041,-6806" coordsize="98,108" path="m5090,-6806l5041,-6753,5090,-6699,5138,-6753,5090,-6806xe" filled="true" fillcolor="#000080" stroked="false">
                  <v:path arrowok="t"/>
                  <v:fill type="solid"/>
                </v:shape>
                <v:shape style="position:absolute;left:5040;top:-6807;width:98;height:108" id="docshape172" coordorigin="5041,-6806" coordsize="98,108" path="m5090,-6806l5138,-6753,5090,-6699,5041,-6753,5090,-6806xe" filled="false" stroked="true" strokeweight=".848064pt" strokecolor="#000080">
                  <v:path arrowok="t"/>
                  <v:stroke dashstyle="solid"/>
                </v:shape>
                <v:shape style="position:absolute;left:5129;top:-6618;width:115;height:125" type="#_x0000_t75" id="docshape173" stroked="false">
                  <v:imagedata r:id="rId29" o:title=""/>
                </v:shape>
                <v:shape style="position:absolute;left:5235;top:-6233;width:98;height:108" id="docshape174" coordorigin="5235,-6232" coordsize="98,108" path="m5284,-6232l5235,-6179,5284,-6125,5333,-6179,5284,-6232xe" filled="true" fillcolor="#000080" stroked="false">
                  <v:path arrowok="t"/>
                  <v:fill type="solid"/>
                </v:shape>
                <v:shape style="position:absolute;left:5235;top:-6233;width:98;height:108" id="docshape175" coordorigin="5235,-6232" coordsize="98,108" path="m5284,-6232l5333,-6179,5284,-6125,5235,-6179,5284,-6232xe" filled="false" stroked="true" strokeweight=".847876pt" strokecolor="#000080">
                  <v:path arrowok="t"/>
                  <v:stroke dashstyle="solid"/>
                </v:shape>
                <v:shape style="position:absolute;left:5332;top:-5587;width:98;height:108" id="docshape176" coordorigin="5333,-5587" coordsize="98,108" path="m5382,-5587l5333,-5533,5382,-5479,5430,-5533,5382,-5587xe" filled="true" fillcolor="#000080" stroked="false">
                  <v:path arrowok="t"/>
                  <v:fill type="solid"/>
                </v:shape>
                <v:shape style="position:absolute;left:5332;top:-5587;width:98;height:108" id="docshape177" coordorigin="5333,-5587" coordsize="98,108" path="m5382,-5587l5430,-5533,5382,-5479,5333,-5533,5382,-5587xe" filled="false" stroked="true" strokeweight=".848158pt" strokecolor="#000080">
                  <v:path arrowok="t"/>
                  <v:stroke dashstyle="solid"/>
                </v:shape>
                <v:shape style="position:absolute;left:5421;top:-4699;width:115;height:126" type="#_x0000_t75" id="docshape178" stroked="false">
                  <v:imagedata r:id="rId30" o:title=""/>
                </v:shape>
                <v:shape style="position:absolute;left:5518;top:-3838;width:115;height:126" type="#_x0000_t75" id="docshape179" stroked="false">
                  <v:imagedata r:id="rId31" o:title=""/>
                </v:shape>
                <v:shape style="position:absolute;left:5616;top:-3281;width:115;height:125" type="#_x0000_t75" id="docshape180" stroked="false">
                  <v:imagedata r:id="rId32" o:title=""/>
                </v:shape>
                <v:shape style="position:absolute;left:5713;top:-2976;width:310;height:232" type="#_x0000_t75" id="docshape181" stroked="false">
                  <v:imagedata r:id="rId33" o:title=""/>
                </v:shape>
                <v:shape style="position:absolute;left:6005;top:-3191;width:115;height:125" type="#_x0000_t75" id="docshape182" stroked="false">
                  <v:imagedata r:id="rId32" o:title=""/>
                </v:shape>
                <v:shape style="position:absolute;left:6102;top:-3496;width:115;height:125" type="#_x0000_t75" id="docshape183" stroked="false">
                  <v:imagedata r:id="rId34" o:title=""/>
                </v:shape>
                <v:shape style="position:absolute;left:6200;top:-3801;width:115;height:125" type="#_x0000_t75" id="docshape184" stroked="false">
                  <v:imagedata r:id="rId32" o:title=""/>
                </v:shape>
                <v:shape style="position:absolute;left:6297;top:-4143;width:115;height:125" type="#_x0000_t75" id="docshape185" stroked="false">
                  <v:imagedata r:id="rId29" o:title=""/>
                </v:shape>
                <v:shape style="position:absolute;left:6402;top:-4546;width:98;height:108" id="docshape186" coordorigin="6403,-4546" coordsize="98,108" path="m6452,-4546l6403,-4492,6452,-4438,6501,-4492,6452,-4546xe" filled="true" fillcolor="#000080" stroked="false">
                  <v:path arrowok="t"/>
                  <v:fill type="solid"/>
                </v:shape>
                <v:shape style="position:absolute;left:6402;top:-4546;width:98;height:108" id="docshape187" coordorigin="6403,-4546" coordsize="98,108" path="m6452,-4546l6501,-4492,6452,-4438,6403,-4492,6452,-4546xe" filled="false" stroked="true" strokeweight=".848158pt" strokecolor="#000080">
                  <v:path arrowok="t"/>
                  <v:stroke dashstyle="solid"/>
                </v:shape>
                <v:shape style="position:absolute;left:6500;top:-4869;width:98;height:108" id="docshape188" coordorigin="6501,-4869" coordsize="98,108" path="m6549,-4869l6501,-4815,6549,-4761,6598,-4815,6549,-4869xe" filled="true" fillcolor="#000080" stroked="false">
                  <v:path arrowok="t"/>
                  <v:fill type="solid"/>
                </v:shape>
                <v:shape style="position:absolute;left:6500;top:-4869;width:98;height:108" id="docshape189" coordorigin="6501,-4869" coordsize="98,108" path="m6549,-4869l6598,-4815,6549,-4761,6501,-4815,6549,-4869xe" filled="false" stroked="true" strokeweight=".847876pt" strokecolor="#000080">
                  <v:path arrowok="t"/>
                  <v:stroke dashstyle="solid"/>
                </v:shape>
                <v:shape style="position:absolute;left:6614;top:-5192;width:98;height:108" id="docshape190" coordorigin="6614,-5191" coordsize="98,108" path="m6663,-5191l6614,-5138,6663,-5084,6711,-5138,6663,-5191xe" filled="true" fillcolor="#000080" stroked="false">
                  <v:path arrowok="t"/>
                  <v:fill type="solid"/>
                </v:shape>
                <v:shape style="position:absolute;left:6614;top:-5192;width:98;height:108" id="docshape191" coordorigin="6614,-5191" coordsize="98,108" path="m6663,-5191l6711,-5138,6663,-5084,6614,-5138,6663,-5191xe" filled="false" stroked="true" strokeweight=".847876pt" strokecolor="#000080">
                  <v:path arrowok="t"/>
                  <v:stroke dashstyle="solid"/>
                </v:shape>
                <v:shape style="position:absolute;left:6711;top:-5534;width:98;height:109" id="docshape192" coordorigin="6711,-5533" coordsize="98,109" path="m6760,-5533l6711,-5479,6760,-5425,6809,-5479,6760,-5533xe" filled="true" fillcolor="#000080" stroked="false">
                  <v:path arrowok="t"/>
                  <v:fill type="solid"/>
                </v:shape>
                <v:shape style="position:absolute;left:6711;top:-5534;width:98;height:109" id="docshape193" coordorigin="6711,-5533" coordsize="98,109" path="m6760,-5533l6809,-5479,6760,-5425,6711,-5479,6760,-5533xe" filled="false" stroked="true" strokeweight=".847782pt" strokecolor="#000080">
                  <v:path arrowok="t"/>
                  <v:stroke dashstyle="solid"/>
                </v:shape>
                <v:shape style="position:absolute;left:6808;top:-5803;width:98;height:108" id="docshape194" coordorigin="6809,-5802" coordsize="98,108" path="m6857,-5802l6809,-5748,6857,-5694,6906,-5748,6857,-5802xe" filled="true" fillcolor="#000080" stroked="false">
                  <v:path arrowok="t"/>
                  <v:fill type="solid"/>
                </v:shape>
                <v:shape style="position:absolute;left:6808;top:-5803;width:98;height:108" id="docshape195" coordorigin="6809,-5802" coordsize="98,108" path="m6857,-5802l6906,-5748,6857,-5694,6809,-5748,6857,-5802xe" filled="false" stroked="true" strokeweight=".847687pt" strokecolor="#000080">
                  <v:path arrowok="t"/>
                  <v:stroke dashstyle="solid"/>
                </v:shape>
                <v:shape style="position:absolute;left:4043;top:-7498;width:2838;height:3123" id="docshape196" coordorigin="4044,-7497" coordsize="2838,3123" path="m4125,-7121l4044,-7121,4044,-7031,4125,-7031,4125,-7121xm4222,-7389l4141,-7389,4141,-7300,4222,-7300,4222,-7389xm4319,-7389l4238,-7389,4238,-7300,4319,-7300,4319,-7389xm4416,-7408l4336,-7408,4336,-7318,4416,-7318,4416,-7408xm4514,-7426l4433,-7426,4433,-7336,4514,-7336,4514,-7426xm4611,-7462l4530,-7462,4530,-7371,4611,-7371,4611,-7462xm4724,-7462l4643,-7462,4643,-7371,4724,-7371,4724,-7462xm4822,-7497l4741,-7497,4741,-7408,4822,-7408,4822,-7497xm4919,-7462l4838,-7462,4838,-7371,4919,-7371,4919,-7462xm5016,-7462l4935,-7462,4935,-7371,5016,-7371,5016,-7462xm5114,-7389l5033,-7389,5033,-7300,5114,-7300,5114,-7389xm5211,-7228l5130,-7228,5130,-7139,5211,-7139,5211,-7228xm5308,-6887l5227,-6887,5227,-6797,5308,-6797,5308,-6887xm5406,-6295l5325,-6295,5325,-6205,5406,-6205,5406,-6295xm5503,-5631l5422,-5631,5422,-5542,5503,-5542,5503,-5631xm5600,-5057l5519,-5057,5519,-4968,5600,-4968,5600,-5057xm5698,-4644l5617,-4644,5617,-4555,5698,-4555,5698,-4644xm5795,-4483l5714,-4483,5714,-4394,5795,-4394,5795,-4483xm5893,-4465l5811,-4465,5811,-4375,5893,-4375,5893,-4465xm5990,-4519l5909,-4519,5909,-4430,5990,-4430,5990,-4519xm6087,-4717l6006,-4717,6006,-4626,6087,-4626,6087,-4717xm6184,-4896l6103,-4896,6103,-4806,6184,-4806,6184,-4896xm6282,-5111l6201,-5111,6201,-5021,6282,-5021,6282,-5111xm6379,-5380l6298,-5380,6298,-5291,6379,-5291,6379,-5380xm6476,-5631l6395,-5631,6395,-5542,6476,-5542,6476,-5631xm6573,-5901l6493,-5901,6493,-5811,6573,-5811,6573,-5901xm6687,-6062l6606,-6062,6606,-5972,6687,-5972,6687,-6062xm6784,-6331l6703,-6331,6703,-6241,6784,-6241,6784,-6331xm6882,-6457l6801,-6457,6801,-6367,6882,-6367,6882,-6457xe" filled="true" fillcolor="#ff00ff" stroked="false">
                  <v:path arrowok="t"/>
                  <v:fill type="solid"/>
                </v:shape>
                <v:line style="position:absolute" from="8333,-5784" to="8755,-5784" stroked="true" strokeweight=".895114pt" strokecolor="#000080">
                  <v:stroke dashstyle="solid"/>
                </v:line>
                <v:shape style="position:absolute;left:8486;top:-5847;width:115;height:125" type="#_x0000_t75" id="docshape197" stroked="false">
                  <v:imagedata r:id="rId35" o:title=""/>
                </v:shape>
                <v:line style="position:absolute" from="8333,-4905" to="8755,-4905" stroked="true" strokeweight=".895114pt" strokecolor="#ff00ff">
                  <v:stroke dashstyle="solid"/>
                </v:line>
                <v:rect style="position:absolute;left:8487;top:-4968;width:81;height:91" id="docshape198" filled="true" fillcolor="#ff00ff" stroked="false">
                  <v:fill type="solid"/>
                </v:rect>
                <v:rect style="position:absolute;left:2243;top:-8808;width:8044;height:7895" id="docshape199" filled="false" stroked="true" strokeweight=".852993pt" strokecolor="#000000">
                  <v:stroke dashstyle="solid"/>
                </v:rect>
                <v:shape style="position:absolute;left:4416;top:-2156;width:2520;height:820" type="#_x0000_t202" id="docshape200" filled="false" stroked="false">
                  <v:textbox inset="0,0,0,0">
                    <w:txbxContent>
                      <w:p>
                        <w:pPr>
                          <w:spacing w:line="316" w:lineRule="exact" w:before="0"/>
                          <w:ind w:left="632" w:right="0" w:firstLine="0"/>
                          <w:jc w:val="left"/>
                          <w:rPr>
                            <w:sz w:val="28"/>
                          </w:rPr>
                        </w:pPr>
                        <w:r>
                          <w:rPr>
                            <w:spacing w:val="10"/>
                            <w:w w:val="90"/>
                            <w:sz w:val="28"/>
                          </w:rPr>
                          <w:t>-</w:t>
                        </w:r>
                        <w:r>
                          <w:rPr>
                            <w:spacing w:val="-5"/>
                            <w:sz w:val="28"/>
                          </w:rPr>
                          <w:t>1.2</w:t>
                        </w:r>
                      </w:p>
                      <w:p>
                        <w:pPr>
                          <w:spacing w:before="180"/>
                          <w:ind w:left="0" w:right="0" w:firstLine="0"/>
                          <w:jc w:val="left"/>
                          <w:rPr>
                            <w:sz w:val="28"/>
                          </w:rPr>
                        </w:pPr>
                        <w:r>
                          <w:rPr>
                            <w:spacing w:val="-6"/>
                            <w:w w:val="90"/>
                            <w:sz w:val="28"/>
                          </w:rPr>
                          <w:t>Test</w:t>
                        </w:r>
                        <w:r>
                          <w:rPr>
                            <w:spacing w:val="-4"/>
                            <w:sz w:val="28"/>
                          </w:rPr>
                          <w:t> </w:t>
                        </w:r>
                        <w:r>
                          <w:rPr>
                            <w:spacing w:val="-6"/>
                            <w:w w:val="90"/>
                            <w:sz w:val="28"/>
                          </w:rPr>
                          <w:t>Pulse</w:t>
                        </w:r>
                        <w:r>
                          <w:rPr>
                            <w:spacing w:val="3"/>
                            <w:sz w:val="28"/>
                          </w:rPr>
                          <w:t> </w:t>
                        </w:r>
                        <w:r>
                          <w:rPr>
                            <w:spacing w:val="-6"/>
                            <w:w w:val="90"/>
                            <w:sz w:val="28"/>
                          </w:rPr>
                          <w:t>Potential</w:t>
                        </w:r>
                        <w:r>
                          <w:rPr>
                            <w:spacing w:val="-15"/>
                            <w:w w:val="90"/>
                            <w:sz w:val="28"/>
                          </w:rPr>
                          <w:t> </w:t>
                        </w:r>
                        <w:r>
                          <w:rPr>
                            <w:spacing w:val="-6"/>
                            <w:w w:val="90"/>
                            <w:sz w:val="28"/>
                          </w:rPr>
                          <w:t>(mV)</w:t>
                        </w:r>
                      </w:p>
                    </w:txbxContent>
                  </v:textbox>
                  <w10:wrap type="none"/>
                </v:shape>
                <v:shape style="position:absolute;left:5243;top:-2945;width:258;height:318" type="#_x0000_t202" id="docshape201" filled="false" stroked="false">
                  <v:textbox inset="0,0,0,0">
                    <w:txbxContent>
                      <w:p>
                        <w:pPr>
                          <w:spacing w:line="316" w:lineRule="exact" w:before="0"/>
                          <w:ind w:left="0" w:right="0" w:firstLine="0"/>
                          <w:jc w:val="left"/>
                          <w:rPr>
                            <w:sz w:val="28"/>
                          </w:rPr>
                        </w:pPr>
                        <w:r>
                          <w:rPr>
                            <w:spacing w:val="10"/>
                            <w:w w:val="90"/>
                            <w:sz w:val="28"/>
                          </w:rPr>
                          <w:t>-</w:t>
                        </w:r>
                        <w:r>
                          <w:rPr>
                            <w:sz w:val="28"/>
                          </w:rPr>
                          <w:t>1</w:t>
                        </w:r>
                      </w:p>
                    </w:txbxContent>
                  </v:textbox>
                  <w10:wrap type="none"/>
                </v:shape>
                <v:shape style="position:absolute;left:5048;top:-3752;width:442;height:318" type="#_x0000_t202" id="docshape202" filled="false" stroked="false">
                  <v:textbox inset="0,0,0,0">
                    <w:txbxContent>
                      <w:p>
                        <w:pPr>
                          <w:spacing w:line="316" w:lineRule="exact" w:before="0"/>
                          <w:ind w:left="0" w:right="0" w:firstLine="0"/>
                          <w:jc w:val="left"/>
                          <w:rPr>
                            <w:sz w:val="28"/>
                          </w:rPr>
                        </w:pPr>
                        <w:r>
                          <w:rPr>
                            <w:spacing w:val="10"/>
                            <w:w w:val="90"/>
                            <w:sz w:val="28"/>
                          </w:rPr>
                          <w:t>-</w:t>
                        </w:r>
                        <w:r>
                          <w:rPr>
                            <w:spacing w:val="-5"/>
                            <w:w w:val="95"/>
                            <w:sz w:val="28"/>
                          </w:rPr>
                          <w:t>0.8</w:t>
                        </w:r>
                      </w:p>
                    </w:txbxContent>
                  </v:textbox>
                  <w10:wrap type="none"/>
                </v:shape>
                <v:shape style="position:absolute;left:5048;top:-4542;width:442;height:318" type="#_x0000_t202" id="docshape203" filled="false" stroked="false">
                  <v:textbox inset="0,0,0,0">
                    <w:txbxContent>
                      <w:p>
                        <w:pPr>
                          <w:spacing w:line="316" w:lineRule="exact" w:before="0"/>
                          <w:ind w:left="0" w:right="0" w:firstLine="0"/>
                          <w:jc w:val="left"/>
                          <w:rPr>
                            <w:sz w:val="28"/>
                          </w:rPr>
                        </w:pPr>
                        <w:r>
                          <w:rPr>
                            <w:spacing w:val="10"/>
                            <w:w w:val="90"/>
                            <w:sz w:val="28"/>
                          </w:rPr>
                          <w:t>-</w:t>
                        </w:r>
                        <w:r>
                          <w:rPr>
                            <w:spacing w:val="-5"/>
                            <w:w w:val="95"/>
                            <w:sz w:val="28"/>
                          </w:rPr>
                          <w:t>0.6</w:t>
                        </w:r>
                      </w:p>
                    </w:txbxContent>
                  </v:textbox>
                  <w10:wrap type="none"/>
                </v:shape>
                <v:shape style="position:absolute;left:5048;top:-5331;width:442;height:318" type="#_x0000_t202" id="docshape204" filled="false" stroked="false">
                  <v:textbox inset="0,0,0,0">
                    <w:txbxContent>
                      <w:p>
                        <w:pPr>
                          <w:spacing w:line="316" w:lineRule="exact" w:before="0"/>
                          <w:ind w:left="0" w:right="0" w:firstLine="0"/>
                          <w:jc w:val="left"/>
                          <w:rPr>
                            <w:sz w:val="28"/>
                          </w:rPr>
                        </w:pPr>
                        <w:r>
                          <w:rPr>
                            <w:spacing w:val="10"/>
                            <w:w w:val="90"/>
                            <w:sz w:val="28"/>
                          </w:rPr>
                          <w:t>-</w:t>
                        </w:r>
                        <w:r>
                          <w:rPr>
                            <w:spacing w:val="-5"/>
                            <w:w w:val="95"/>
                            <w:sz w:val="28"/>
                          </w:rPr>
                          <w:t>0.4</w:t>
                        </w:r>
                      </w:p>
                    </w:txbxContent>
                  </v:textbox>
                  <w10:wrap type="none"/>
                </v:shape>
                <v:shape style="position:absolute;left:5048;top:-6139;width:442;height:318" type="#_x0000_t202" id="docshape205" filled="false" stroked="false">
                  <v:textbox inset="0,0,0,0">
                    <w:txbxContent>
                      <w:p>
                        <w:pPr>
                          <w:spacing w:line="316" w:lineRule="exact" w:before="0"/>
                          <w:ind w:left="0" w:right="0" w:firstLine="0"/>
                          <w:jc w:val="left"/>
                          <w:rPr>
                            <w:sz w:val="28"/>
                          </w:rPr>
                        </w:pPr>
                        <w:r>
                          <w:rPr>
                            <w:spacing w:val="10"/>
                            <w:w w:val="90"/>
                            <w:sz w:val="28"/>
                          </w:rPr>
                          <w:t>-</w:t>
                        </w:r>
                        <w:r>
                          <w:rPr>
                            <w:spacing w:val="-5"/>
                            <w:w w:val="95"/>
                            <w:sz w:val="28"/>
                          </w:rPr>
                          <w:t>0.2</w:t>
                        </w:r>
                      </w:p>
                    </w:txbxContent>
                  </v:textbox>
                  <w10:wrap type="none"/>
                </v:shape>
                <v:shape style="position:absolute;left:7432;top:-6497;width:409;height:318" type="#_x0000_t202" id="docshape206" filled="false" stroked="false">
                  <v:textbox inset="0,0,0,0">
                    <w:txbxContent>
                      <w:p>
                        <w:pPr>
                          <w:spacing w:line="316" w:lineRule="exact" w:before="0"/>
                          <w:ind w:left="0" w:right="0" w:firstLine="0"/>
                          <w:jc w:val="left"/>
                          <w:rPr>
                            <w:sz w:val="28"/>
                          </w:rPr>
                        </w:pPr>
                        <w:r>
                          <w:rPr>
                            <w:spacing w:val="-9"/>
                            <w:sz w:val="28"/>
                          </w:rPr>
                          <w:t>100</w:t>
                        </w:r>
                      </w:p>
                    </w:txbxContent>
                  </v:textbox>
                  <w10:wrap type="none"/>
                </v:shape>
                <v:shape style="position:absolute;left:6524;top:-6497;width:279;height:318" type="#_x0000_t202" id="docshape207" filled="false" stroked="false">
                  <v:textbox inset="0,0,0,0">
                    <w:txbxContent>
                      <w:p>
                        <w:pPr>
                          <w:spacing w:line="316" w:lineRule="exact" w:before="0"/>
                          <w:ind w:left="0" w:right="0" w:firstLine="0"/>
                          <w:jc w:val="left"/>
                          <w:rPr>
                            <w:sz w:val="28"/>
                          </w:rPr>
                        </w:pPr>
                        <w:r>
                          <w:rPr>
                            <w:spacing w:val="-7"/>
                            <w:sz w:val="28"/>
                          </w:rPr>
                          <w:t>50</w:t>
                        </w:r>
                      </w:p>
                    </w:txbxContent>
                  </v:textbox>
                  <w10:wrap type="none"/>
                </v:shape>
                <v:shape style="position:absolute;left:5600;top:-6497;width:150;height:318" type="#_x0000_t202" id="docshape208" filled="false" stroked="false">
                  <v:textbox inset="0,0,0,0">
                    <w:txbxContent>
                      <w:p>
                        <w:pPr>
                          <w:spacing w:line="316" w:lineRule="exact" w:before="0"/>
                          <w:ind w:left="0" w:right="0" w:firstLine="0"/>
                          <w:jc w:val="left"/>
                          <w:rPr>
                            <w:sz w:val="28"/>
                          </w:rPr>
                        </w:pPr>
                        <w:r>
                          <w:rPr>
                            <w:spacing w:val="-10"/>
                            <w:sz w:val="28"/>
                          </w:rPr>
                          <w:t>0</w:t>
                        </w:r>
                      </w:p>
                    </w:txbxContent>
                  </v:textbox>
                  <w10:wrap type="none"/>
                </v:shape>
                <v:shape style="position:absolute;left:4514;top:-6497;width:377;height:318" type="#_x0000_t202" id="docshape209" filled="false" stroked="false">
                  <v:textbox inset="0,0,0,0">
                    <w:txbxContent>
                      <w:p>
                        <w:pPr>
                          <w:spacing w:line="316" w:lineRule="exact" w:before="0"/>
                          <w:ind w:left="0" w:right="0" w:firstLine="0"/>
                          <w:jc w:val="left"/>
                          <w:rPr>
                            <w:sz w:val="28"/>
                          </w:rPr>
                        </w:pPr>
                        <w:r>
                          <w:rPr>
                            <w:spacing w:val="10"/>
                            <w:w w:val="90"/>
                            <w:sz w:val="28"/>
                          </w:rPr>
                          <w:t>-</w:t>
                        </w:r>
                        <w:r>
                          <w:rPr>
                            <w:spacing w:val="-5"/>
                            <w:sz w:val="28"/>
                          </w:rPr>
                          <w:t>50</w:t>
                        </w:r>
                      </w:p>
                    </w:txbxContent>
                  </v:textbox>
                  <w10:wrap type="none"/>
                </v:shape>
                <v:shape style="position:absolute;left:3459;top:-6497;width:507;height:318" type="#_x0000_t202" id="docshape210" filled="false" stroked="false">
                  <v:textbox inset="0,0,0,0">
                    <w:txbxContent>
                      <w:p>
                        <w:pPr>
                          <w:spacing w:line="316" w:lineRule="exact" w:before="0"/>
                          <w:ind w:left="0" w:right="0" w:firstLine="0"/>
                          <w:jc w:val="left"/>
                          <w:rPr>
                            <w:sz w:val="28"/>
                          </w:rPr>
                        </w:pPr>
                        <w:r>
                          <w:rPr>
                            <w:spacing w:val="10"/>
                            <w:w w:val="90"/>
                            <w:sz w:val="28"/>
                          </w:rPr>
                          <w:t>-</w:t>
                        </w:r>
                        <w:r>
                          <w:rPr>
                            <w:spacing w:val="-5"/>
                            <w:w w:val="95"/>
                            <w:sz w:val="28"/>
                          </w:rPr>
                          <w:t>100</w:t>
                        </w:r>
                      </w:p>
                    </w:txbxContent>
                  </v:textbox>
                  <w10:wrap type="none"/>
                </v:shape>
                <v:shape style="position:absolute;left:5341;top:-6928;width:150;height:318" type="#_x0000_t202" id="docshape211" filled="false" stroked="false">
                  <v:textbox inset="0,0,0,0">
                    <w:txbxContent>
                      <w:p>
                        <w:pPr>
                          <w:spacing w:line="316" w:lineRule="exact" w:before="0"/>
                          <w:ind w:left="0" w:right="0" w:firstLine="0"/>
                          <w:jc w:val="left"/>
                          <w:rPr>
                            <w:sz w:val="28"/>
                          </w:rPr>
                        </w:pPr>
                        <w:r>
                          <w:rPr>
                            <w:spacing w:val="-10"/>
                            <w:sz w:val="28"/>
                          </w:rPr>
                          <w:t>0</w:t>
                        </w:r>
                      </w:p>
                    </w:txbxContent>
                  </v:textbox>
                  <w10:wrap type="none"/>
                </v:shape>
                <v:shape style="position:absolute;left:5146;top:-7736;width:344;height:318" type="#_x0000_t202" id="docshape212" filled="false" stroked="false">
                  <v:textbox inset="0,0,0,0">
                    <w:txbxContent>
                      <w:p>
                        <w:pPr>
                          <w:spacing w:line="316" w:lineRule="exact" w:before="0"/>
                          <w:ind w:left="0" w:right="0" w:firstLine="0"/>
                          <w:jc w:val="left"/>
                          <w:rPr>
                            <w:sz w:val="28"/>
                          </w:rPr>
                        </w:pPr>
                        <w:r>
                          <w:rPr>
                            <w:spacing w:val="-7"/>
                            <w:sz w:val="28"/>
                          </w:rPr>
                          <w:t>0.2</w:t>
                        </w:r>
                      </w:p>
                    </w:txbxContent>
                  </v:textbox>
                  <w10:wrap type="none"/>
                </v:shape>
                <v:shape style="position:absolute;left:5146;top:-8525;width:344;height:318" type="#_x0000_t202" id="docshape213" filled="false" stroked="false">
                  <v:textbox inset="0,0,0,0">
                    <w:txbxContent>
                      <w:p>
                        <w:pPr>
                          <w:spacing w:line="316" w:lineRule="exact" w:before="0"/>
                          <w:ind w:left="0" w:right="0" w:firstLine="0"/>
                          <w:jc w:val="left"/>
                          <w:rPr>
                            <w:sz w:val="28"/>
                          </w:rPr>
                        </w:pPr>
                        <w:r>
                          <w:rPr>
                            <w:spacing w:val="-7"/>
                            <w:sz w:val="28"/>
                          </w:rPr>
                          <w:t>0.4</w:t>
                        </w:r>
                      </w:p>
                    </w:txbxContent>
                  </v:textbox>
                  <w10:wrap type="none"/>
                </v:shape>
                <v:shape style="position:absolute;left:8195;top:-6081;width:1979;height:1777" type="#_x0000_t202" id="docshape214" filled="false" stroked="true" strokeweight=".86101pt" strokecolor="#000000">
                  <v:textbox inset="0,0,0,0">
                    <w:txbxContent>
                      <w:p>
                        <w:pPr>
                          <w:spacing w:before="107"/>
                          <w:ind w:left="623" w:right="0" w:firstLine="0"/>
                          <w:jc w:val="left"/>
                          <w:rPr>
                            <w:sz w:val="28"/>
                          </w:rPr>
                        </w:pPr>
                        <w:r>
                          <w:rPr>
                            <w:spacing w:val="-2"/>
                            <w:sz w:val="28"/>
                          </w:rPr>
                          <w:t>CONTROL</w:t>
                        </w:r>
                      </w:p>
                      <w:p>
                        <w:pPr>
                          <w:spacing w:line="240" w:lineRule="auto" w:before="235"/>
                          <w:rPr>
                            <w:sz w:val="28"/>
                          </w:rPr>
                        </w:pPr>
                      </w:p>
                      <w:p>
                        <w:pPr>
                          <w:spacing w:before="0"/>
                          <w:ind w:left="623" w:right="0" w:firstLine="0"/>
                          <w:jc w:val="left"/>
                          <w:rPr>
                            <w:sz w:val="28"/>
                          </w:rPr>
                        </w:pPr>
                        <w:r>
                          <w:rPr>
                            <w:w w:val="90"/>
                            <w:sz w:val="28"/>
                          </w:rPr>
                          <w:t>DCP23</w:t>
                        </w:r>
                        <w:r>
                          <w:rPr>
                            <w:spacing w:val="7"/>
                            <w:sz w:val="28"/>
                          </w:rPr>
                          <w:t> </w:t>
                        </w:r>
                        <w:r>
                          <w:rPr>
                            <w:spacing w:val="-4"/>
                            <w:sz w:val="28"/>
                          </w:rPr>
                          <w:t>(100</w:t>
                        </w:r>
                      </w:p>
                      <w:p>
                        <w:pPr>
                          <w:spacing w:before="19"/>
                          <w:ind w:left="623" w:right="0" w:firstLine="0"/>
                          <w:jc w:val="left"/>
                          <w:rPr>
                            <w:sz w:val="28"/>
                          </w:rPr>
                        </w:pPr>
                        <w:r>
                          <w:rPr>
                            <w:spacing w:val="-5"/>
                            <w:sz w:val="28"/>
                          </w:rPr>
                          <w:t>µM)</w:t>
                        </w:r>
                      </w:p>
                    </w:txbxContent>
                  </v:textbox>
                  <v:stroke dashstyle="solid"/>
                  <w10:wrap type="none"/>
                </v:shape>
                <w10:wrap type="none"/>
              </v:group>
            </w:pict>
          </mc:Fallback>
        </mc:AlternateContent>
      </w:r>
      <w:r>
        <w:rPr>
          <w:b/>
          <w:sz w:val="24"/>
        </w:rPr>
        <w:t>Figure</w:t>
      </w:r>
      <w:r>
        <w:rPr>
          <w:b/>
          <w:spacing w:val="80"/>
          <w:sz w:val="24"/>
        </w:rPr>
        <w:t> </w:t>
      </w:r>
      <w:r>
        <w:rPr>
          <w:b/>
          <w:sz w:val="24"/>
        </w:rPr>
        <w:t>14:</w:t>
      </w:r>
      <w:r>
        <w:rPr>
          <w:b/>
          <w:spacing w:val="80"/>
          <w:sz w:val="24"/>
        </w:rPr>
        <w:t> </w:t>
      </w:r>
      <w:r>
        <w:rPr>
          <w:b/>
          <w:sz w:val="24"/>
        </w:rPr>
        <w:t>Current-Voltage</w:t>
      </w:r>
      <w:r>
        <w:rPr>
          <w:b/>
          <w:spacing w:val="80"/>
          <w:sz w:val="24"/>
        </w:rPr>
        <w:t> </w:t>
      </w:r>
      <w:r>
        <w:rPr>
          <w:b/>
          <w:sz w:val="24"/>
        </w:rPr>
        <w:t>Curves</w:t>
      </w:r>
      <w:r>
        <w:rPr>
          <w:b/>
          <w:spacing w:val="80"/>
          <w:sz w:val="24"/>
        </w:rPr>
        <w:t> </w:t>
      </w:r>
      <w:r>
        <w:rPr>
          <w:b/>
          <w:sz w:val="24"/>
        </w:rPr>
        <w:t>obtained</w:t>
      </w:r>
      <w:r>
        <w:rPr>
          <w:b/>
          <w:spacing w:val="80"/>
          <w:sz w:val="24"/>
        </w:rPr>
        <w:t> </w:t>
      </w:r>
      <w:r>
        <w:rPr>
          <w:b/>
          <w:sz w:val="24"/>
        </w:rPr>
        <w:t>in</w:t>
      </w:r>
      <w:r>
        <w:rPr>
          <w:b/>
          <w:spacing w:val="80"/>
          <w:sz w:val="24"/>
        </w:rPr>
        <w:t> </w:t>
      </w:r>
      <w:r>
        <w:rPr>
          <w:b/>
          <w:sz w:val="24"/>
        </w:rPr>
        <w:t>Control</w:t>
      </w:r>
      <w:r>
        <w:rPr>
          <w:b/>
          <w:spacing w:val="80"/>
          <w:sz w:val="24"/>
        </w:rPr>
        <w:t> </w:t>
      </w:r>
      <w:r>
        <w:rPr>
          <w:b/>
          <w:sz w:val="24"/>
        </w:rPr>
        <w:t>Solution</w:t>
      </w:r>
      <w:r>
        <w:rPr>
          <w:b/>
          <w:spacing w:val="80"/>
          <w:sz w:val="24"/>
        </w:rPr>
        <w:t> </w:t>
      </w:r>
      <w:r>
        <w:rPr>
          <w:b/>
          <w:sz w:val="24"/>
        </w:rPr>
        <w:t>and</w:t>
      </w:r>
      <w:r>
        <w:rPr>
          <w:b/>
          <w:spacing w:val="80"/>
          <w:sz w:val="24"/>
        </w:rPr>
        <w:t> </w:t>
      </w:r>
      <w:r>
        <w:rPr>
          <w:b/>
          <w:sz w:val="24"/>
        </w:rPr>
        <w:t>in</w:t>
      </w:r>
      <w:r>
        <w:rPr>
          <w:b/>
          <w:spacing w:val="80"/>
          <w:sz w:val="24"/>
        </w:rPr>
        <w:t> </w:t>
      </w:r>
      <w:r>
        <w:rPr>
          <w:b/>
          <w:sz w:val="24"/>
        </w:rPr>
        <w:t>the Presence of DCP23 (100 µM) using Nav 1.6 (n = 5)</w:t>
      </w:r>
    </w:p>
    <w:p>
      <w:pPr>
        <w:spacing w:after="0" w:line="480" w:lineRule="auto"/>
        <w:jc w:val="left"/>
        <w:rPr>
          <w:sz w:val="24"/>
        </w:rPr>
        <w:sectPr>
          <w:pgSz w:w="12240" w:h="15840"/>
          <w:pgMar w:header="0" w:footer="1066" w:top="1820" w:bottom="1260" w:left="1480" w:right="1160"/>
        </w:sectPr>
      </w:pPr>
    </w:p>
    <w:p>
      <w:pPr>
        <w:pStyle w:val="Heading1"/>
        <w:spacing w:before="77"/>
        <w:ind w:left="400"/>
      </w:pPr>
      <w:r>
        <w:rPr/>
        <w:t>CHAPTER</w:t>
      </w:r>
      <w:r>
        <w:rPr>
          <w:spacing w:val="-9"/>
        </w:rPr>
        <w:t> </w:t>
      </w:r>
      <w:r>
        <w:rPr>
          <w:spacing w:val="-4"/>
        </w:rPr>
        <w:t>FIVE</w:t>
      </w:r>
    </w:p>
    <w:p>
      <w:pPr>
        <w:pStyle w:val="BodyText"/>
        <w:rPr>
          <w:b/>
        </w:rPr>
      </w:pPr>
    </w:p>
    <w:p>
      <w:pPr>
        <w:pStyle w:val="Heading1"/>
        <w:numPr>
          <w:ilvl w:val="1"/>
          <w:numId w:val="17"/>
        </w:numPr>
        <w:tabs>
          <w:tab w:pos="4449" w:val="left" w:leader="none"/>
        </w:tabs>
        <w:spacing w:line="240" w:lineRule="auto" w:before="0" w:after="0"/>
        <w:ind w:left="4449" w:right="0" w:hanging="364"/>
        <w:jc w:val="left"/>
      </w:pPr>
      <w:bookmarkStart w:name="_TOC_250005" w:id="79"/>
      <w:bookmarkEnd w:id="79"/>
      <w:r>
        <w:rPr>
          <w:spacing w:val="-2"/>
        </w:rPr>
        <w:t>DISCUSSION</w:t>
      </w:r>
    </w:p>
    <w:p>
      <w:pPr>
        <w:pStyle w:val="BodyText"/>
        <w:spacing w:line="480" w:lineRule="auto" w:before="272"/>
        <w:ind w:left="681" w:right="274"/>
        <w:jc w:val="both"/>
      </w:pPr>
      <w:r>
        <w:rPr/>
        <w:t>The synthesis of biologically active dichloro substituted propanamides gave final</w:t>
      </w:r>
      <w:r>
        <w:rPr>
          <w:spacing w:val="40"/>
        </w:rPr>
        <w:t> </w:t>
      </w:r>
      <w:r>
        <w:rPr/>
        <w:t>products that have different physical appearance and the percentage yields were appreciable. The melting point for each product was determined and the close range obtained for each indicated good purity of the final products. Similarly, appearance of single spot for each compound as obtained from thin layer chromatographic profile, further confirmed the purity of the final product.</w:t>
      </w:r>
    </w:p>
    <w:p>
      <w:pPr>
        <w:pStyle w:val="BodyText"/>
      </w:pPr>
    </w:p>
    <w:p>
      <w:pPr>
        <w:pStyle w:val="BodyText"/>
        <w:spacing w:before="1"/>
      </w:pPr>
    </w:p>
    <w:p>
      <w:pPr>
        <w:pStyle w:val="BodyText"/>
        <w:spacing w:line="480" w:lineRule="auto"/>
        <w:ind w:left="681" w:right="271"/>
        <w:jc w:val="both"/>
      </w:pPr>
      <w:r>
        <w:rPr/>
        <w:t>Infrared spectroscopy (IR) revealed the presence of expected functional groups in the compounds. This was achieved by comparing the peak values of absorption frequency obtained from each spectrum to the theoretical values. More importantantly, the IR spectra confirmed the presence of C – N bond which was the point of the nucleophilic attachment; an indication of final product formation. This bond was not present in the starting reagents, either acrylamide or dichloroanilines. The absorption peak values obtained for</w:t>
      </w:r>
      <w:r>
        <w:rPr>
          <w:spacing w:val="-2"/>
        </w:rPr>
        <w:t> </w:t>
      </w:r>
      <w:r>
        <w:rPr/>
        <w:t>the</w:t>
      </w:r>
      <w:r>
        <w:rPr>
          <w:spacing w:val="-4"/>
        </w:rPr>
        <w:t> </w:t>
      </w:r>
      <w:r>
        <w:rPr/>
        <w:t>C</w:t>
      </w:r>
      <w:r>
        <w:rPr>
          <w:spacing w:val="-3"/>
        </w:rPr>
        <w:t> </w:t>
      </w:r>
      <w:r>
        <w:rPr/>
        <w:t>–</w:t>
      </w:r>
      <w:r>
        <w:rPr>
          <w:spacing w:val="-3"/>
        </w:rPr>
        <w:t> </w:t>
      </w:r>
      <w:r>
        <w:rPr/>
        <w:t>N</w:t>
      </w:r>
      <w:r>
        <w:rPr>
          <w:spacing w:val="-4"/>
        </w:rPr>
        <w:t> </w:t>
      </w:r>
      <w:r>
        <w:rPr/>
        <w:t>bond</w:t>
      </w:r>
      <w:r>
        <w:rPr>
          <w:spacing w:val="-3"/>
        </w:rPr>
        <w:t> </w:t>
      </w:r>
      <w:r>
        <w:rPr/>
        <w:t>were</w:t>
      </w:r>
      <w:r>
        <w:rPr>
          <w:spacing w:val="-4"/>
        </w:rPr>
        <w:t> </w:t>
      </w:r>
      <w:r>
        <w:rPr/>
        <w:t>1276.92,</w:t>
      </w:r>
      <w:r>
        <w:rPr>
          <w:spacing w:val="-5"/>
        </w:rPr>
        <w:t> </w:t>
      </w:r>
      <w:r>
        <w:rPr/>
        <w:t>1291.39</w:t>
      </w:r>
      <w:r>
        <w:rPr>
          <w:spacing w:val="-3"/>
        </w:rPr>
        <w:t> </w:t>
      </w:r>
      <w:r>
        <w:rPr/>
        <w:t>and</w:t>
      </w:r>
      <w:r>
        <w:rPr>
          <w:spacing w:val="-3"/>
        </w:rPr>
        <w:t> </w:t>
      </w:r>
      <w:r>
        <w:rPr/>
        <w:t>1291.39 cm</w:t>
      </w:r>
      <w:r>
        <w:rPr>
          <w:vertAlign w:val="superscript"/>
        </w:rPr>
        <w:t>-1</w:t>
      </w:r>
      <w:r>
        <w:rPr>
          <w:vertAlign w:val="baseline"/>
        </w:rPr>
        <w:t> for</w:t>
      </w:r>
      <w:r>
        <w:rPr>
          <w:spacing w:val="-2"/>
          <w:vertAlign w:val="baseline"/>
        </w:rPr>
        <w:t> </w:t>
      </w:r>
      <w:r>
        <w:rPr>
          <w:vertAlign w:val="baseline"/>
        </w:rPr>
        <w:t>DCP23,</w:t>
      </w:r>
      <w:r>
        <w:rPr>
          <w:spacing w:val="-1"/>
          <w:vertAlign w:val="baseline"/>
        </w:rPr>
        <w:t> </w:t>
      </w:r>
      <w:r>
        <w:rPr>
          <w:vertAlign w:val="baseline"/>
        </w:rPr>
        <w:t>DCP25 and DCP34, respectively. The theoretical range was at 1200 - 1300 cm</w:t>
      </w:r>
      <w:r>
        <w:rPr>
          <w:vertAlign w:val="superscript"/>
        </w:rPr>
        <w:t>-1</w:t>
      </w:r>
      <w:r>
        <w:rPr>
          <w:vertAlign w:val="baseline"/>
        </w:rPr>
        <w:t>, thus the values for the products were within the theoretical range (Kemp, 1991).</w:t>
      </w:r>
    </w:p>
    <w:p>
      <w:pPr>
        <w:pStyle w:val="BodyText"/>
      </w:pPr>
    </w:p>
    <w:p>
      <w:pPr>
        <w:pStyle w:val="BodyText"/>
        <w:spacing w:before="2"/>
      </w:pPr>
    </w:p>
    <w:p>
      <w:pPr>
        <w:pStyle w:val="BodyText"/>
        <w:spacing w:line="480" w:lineRule="auto"/>
        <w:ind w:left="681" w:right="277"/>
        <w:jc w:val="both"/>
      </w:pPr>
      <w:r>
        <w:rPr/>
        <w:t>Nuclear magnetic resonanace (NMR) spectra for</w:t>
      </w:r>
      <w:r>
        <w:rPr>
          <w:spacing w:val="-1"/>
        </w:rPr>
        <w:t> </w:t>
      </w:r>
      <w:r>
        <w:rPr/>
        <w:t>the three compounds</w:t>
      </w:r>
      <w:r>
        <w:rPr>
          <w:spacing w:val="-1"/>
        </w:rPr>
        <w:t> </w:t>
      </w:r>
      <w:r>
        <w:rPr/>
        <w:t>were recorded and the spectral analysis revealed the structures of the intended products. Proton NMR</w:t>
      </w:r>
      <w:r>
        <w:rPr>
          <w:spacing w:val="40"/>
        </w:rPr>
        <w:t> </w:t>
      </w:r>
      <w:r>
        <w:rPr/>
        <w:t>spectra was analysed to elucidate the number of hydrogen atoms, position of hydrogen, environment</w:t>
      </w:r>
      <w:r>
        <w:rPr>
          <w:spacing w:val="9"/>
        </w:rPr>
        <w:t> </w:t>
      </w:r>
      <w:r>
        <w:rPr/>
        <w:t>of</w:t>
      </w:r>
      <w:r>
        <w:rPr>
          <w:spacing w:val="2"/>
        </w:rPr>
        <w:t> </w:t>
      </w:r>
      <w:r>
        <w:rPr/>
        <w:t>hydrogen</w:t>
      </w:r>
      <w:r>
        <w:rPr>
          <w:spacing w:val="2"/>
        </w:rPr>
        <w:t> </w:t>
      </w:r>
      <w:r>
        <w:rPr/>
        <w:t>(splitting</w:t>
      </w:r>
      <w:r>
        <w:rPr>
          <w:spacing w:val="5"/>
        </w:rPr>
        <w:t> </w:t>
      </w:r>
      <w:r>
        <w:rPr/>
        <w:t>pattern)</w:t>
      </w:r>
      <w:r>
        <w:rPr>
          <w:spacing w:val="8"/>
        </w:rPr>
        <w:t> </w:t>
      </w:r>
      <w:r>
        <w:rPr/>
        <w:t>and</w:t>
      </w:r>
      <w:r>
        <w:rPr>
          <w:spacing w:val="12"/>
        </w:rPr>
        <w:t> </w:t>
      </w:r>
      <w:r>
        <w:rPr/>
        <w:t>attachment</w:t>
      </w:r>
      <w:r>
        <w:rPr>
          <w:spacing w:val="11"/>
        </w:rPr>
        <w:t> </w:t>
      </w:r>
      <w:r>
        <w:rPr/>
        <w:t>of</w:t>
      </w:r>
      <w:r>
        <w:rPr>
          <w:spacing w:val="10"/>
        </w:rPr>
        <w:t> </w:t>
      </w:r>
      <w:r>
        <w:rPr/>
        <w:t>hydrogen</w:t>
      </w:r>
      <w:r>
        <w:rPr>
          <w:spacing w:val="2"/>
        </w:rPr>
        <w:t> </w:t>
      </w:r>
      <w:r>
        <w:rPr/>
        <w:t>–</w:t>
      </w:r>
      <w:r>
        <w:rPr>
          <w:spacing w:val="6"/>
        </w:rPr>
        <w:t> </w:t>
      </w:r>
      <w:r>
        <w:rPr/>
        <w:t>carbon</w:t>
      </w:r>
      <w:r>
        <w:rPr>
          <w:spacing w:val="2"/>
        </w:rPr>
        <w:t> </w:t>
      </w:r>
      <w:r>
        <w:rPr/>
        <w:t>(H</w:t>
      </w:r>
      <w:r>
        <w:rPr>
          <w:spacing w:val="11"/>
        </w:rPr>
        <w:t> </w:t>
      </w:r>
      <w:r>
        <w:rPr/>
        <w:t>–</w:t>
      </w:r>
      <w:r>
        <w:rPr>
          <w:spacing w:val="12"/>
        </w:rPr>
        <w:t> </w:t>
      </w:r>
      <w:r>
        <w:rPr>
          <w:spacing w:val="-10"/>
        </w:rPr>
        <w:t>C</w:t>
      </w:r>
    </w:p>
    <w:p>
      <w:pPr>
        <w:spacing w:after="0" w:line="480" w:lineRule="auto"/>
        <w:jc w:val="both"/>
        <w:sectPr>
          <w:pgSz w:w="12240" w:h="15840"/>
          <w:pgMar w:header="0" w:footer="1066" w:top="1360" w:bottom="1260" w:left="1480" w:right="1160"/>
        </w:sectPr>
      </w:pPr>
    </w:p>
    <w:p>
      <w:pPr>
        <w:pStyle w:val="BodyText"/>
        <w:spacing w:line="480" w:lineRule="auto" w:before="72"/>
        <w:ind w:left="681" w:right="272"/>
        <w:jc w:val="both"/>
      </w:pPr>
      <w:r>
        <w:rPr/>
        <w:t>attachment). Whereas, Carbon- 13 NMR spectra was used to find the number of carbon atoms</w:t>
      </w:r>
      <w:r>
        <w:rPr>
          <w:spacing w:val="-3"/>
        </w:rPr>
        <w:t> </w:t>
      </w:r>
      <w:r>
        <w:rPr/>
        <w:t>present in</w:t>
      </w:r>
      <w:r>
        <w:rPr>
          <w:spacing w:val="-6"/>
        </w:rPr>
        <w:t> </w:t>
      </w:r>
      <w:r>
        <w:rPr/>
        <w:t>the</w:t>
      </w:r>
      <w:r>
        <w:rPr>
          <w:spacing w:val="-2"/>
        </w:rPr>
        <w:t> </w:t>
      </w:r>
      <w:r>
        <w:rPr/>
        <w:t>compounds</w:t>
      </w:r>
      <w:r>
        <w:rPr>
          <w:spacing w:val="-3"/>
        </w:rPr>
        <w:t> </w:t>
      </w:r>
      <w:r>
        <w:rPr/>
        <w:t>as</w:t>
      </w:r>
      <w:r>
        <w:rPr>
          <w:spacing w:val="-3"/>
        </w:rPr>
        <w:t> </w:t>
      </w:r>
      <w:r>
        <w:rPr/>
        <w:t>well</w:t>
      </w:r>
      <w:r>
        <w:rPr>
          <w:spacing w:val="-6"/>
        </w:rPr>
        <w:t> </w:t>
      </w:r>
      <w:r>
        <w:rPr/>
        <w:t>as</w:t>
      </w:r>
      <w:r>
        <w:rPr>
          <w:spacing w:val="-3"/>
        </w:rPr>
        <w:t> </w:t>
      </w:r>
      <w:r>
        <w:rPr/>
        <w:t>the</w:t>
      </w:r>
      <w:r>
        <w:rPr>
          <w:spacing w:val="-2"/>
        </w:rPr>
        <w:t> </w:t>
      </w:r>
      <w:r>
        <w:rPr/>
        <w:t>environment</w:t>
      </w:r>
      <w:r>
        <w:rPr>
          <w:spacing w:val="-2"/>
        </w:rPr>
        <w:t> </w:t>
      </w:r>
      <w:r>
        <w:rPr/>
        <w:t>of</w:t>
      </w:r>
      <w:r>
        <w:rPr>
          <w:spacing w:val="-9"/>
        </w:rPr>
        <w:t> </w:t>
      </w:r>
      <w:r>
        <w:rPr/>
        <w:t>carbon</w:t>
      </w:r>
      <w:r>
        <w:rPr>
          <w:spacing w:val="-6"/>
        </w:rPr>
        <w:t> </w:t>
      </w:r>
      <w:r>
        <w:rPr/>
        <w:t>atoms. All</w:t>
      </w:r>
      <w:r>
        <w:rPr>
          <w:spacing w:val="-6"/>
        </w:rPr>
        <w:t> </w:t>
      </w:r>
      <w:r>
        <w:rPr/>
        <w:t>the</w:t>
      </w:r>
      <w:r>
        <w:rPr>
          <w:spacing w:val="-2"/>
        </w:rPr>
        <w:t> </w:t>
      </w:r>
      <w:r>
        <w:rPr/>
        <w:t>three isomers (DCP23, DCP25 and DCP34) were to have 9 carbon atoms and 7 protons at different chemical environments. The values as expressed in parts per million (ppm) for each isomer conformed to the expected range of values, thus, elucidate the structure of</w:t>
      </w:r>
      <w:r>
        <w:rPr>
          <w:spacing w:val="40"/>
        </w:rPr>
        <w:t> </w:t>
      </w:r>
      <w:r>
        <w:rPr/>
        <w:t>the final product. However, there was an abnormal shift obtained in the values of the carbon present in CH</w:t>
      </w:r>
      <w:r>
        <w:rPr>
          <w:vertAlign w:val="subscript"/>
        </w:rPr>
        <w:t>2</w:t>
      </w:r>
      <w:r>
        <w:rPr>
          <w:vertAlign w:val="baseline"/>
        </w:rPr>
        <w:t> from the range of 0 - 50 ppm to the regions of about 115 ppm, close to the aromatic carbon regions. Synthesis of dichlorophenylpropanamides through Michael reaction between acrylamide and the anilines came with some challenges. The reaction appeared not thermodynamically favourable due to the observed abnormal frequency of -CH</w:t>
      </w:r>
      <w:r>
        <w:rPr>
          <w:vertAlign w:val="subscript"/>
        </w:rPr>
        <w:t>2-</w:t>
      </w:r>
      <w:r>
        <w:rPr>
          <w:vertAlign w:val="baseline"/>
        </w:rPr>
        <w:t> from the Carbon- 13 NMR spectra. Theoretically, -CH</w:t>
      </w:r>
      <w:r>
        <w:rPr>
          <w:vertAlign w:val="subscript"/>
        </w:rPr>
        <w:t>2</w:t>
      </w:r>
      <w:r>
        <w:rPr>
          <w:vertAlign w:val="baseline"/>
        </w:rPr>
        <w:t>- vibration frequency was absent at its supposed chemical environment as there were no peaks observed at that chemical region. Therefore, Carbon- 13 NMR spectra indicated some level of degradation in the final products after being formed. This would affect the level potency of the synthesized compounds and hence, probable decrease in biological activity. However, the splitting pattern as indicated in COSY, a proton NMR spectrum, revealed the pattern for protons presence in CH</w:t>
      </w:r>
      <w:r>
        <w:rPr>
          <w:vertAlign w:val="subscript"/>
        </w:rPr>
        <w:t>2</w:t>
      </w:r>
      <w:r>
        <w:rPr>
          <w:vertAlign w:val="baseline"/>
        </w:rPr>
        <w:t>-CH</w:t>
      </w:r>
      <w:r>
        <w:rPr>
          <w:vertAlign w:val="subscript"/>
        </w:rPr>
        <w:t>2</w:t>
      </w:r>
      <w:r>
        <w:rPr>
          <w:spacing w:val="-2"/>
          <w:vertAlign w:val="baseline"/>
        </w:rPr>
        <w:t> </w:t>
      </w:r>
      <w:r>
        <w:rPr>
          <w:vertAlign w:val="baseline"/>
        </w:rPr>
        <w:t>where the two protons in the CH</w:t>
      </w:r>
      <w:r>
        <w:rPr>
          <w:vertAlign w:val="subscript"/>
        </w:rPr>
        <w:t>2</w:t>
      </w:r>
      <w:r>
        <w:rPr>
          <w:vertAlign w:val="baseline"/>
        </w:rPr>
        <w:t> gave three peaks (triplet) because they are neighbouring protons (n + 1) and suggests the presence of CH</w:t>
      </w:r>
      <w:r>
        <w:rPr>
          <w:vertAlign w:val="subscript"/>
        </w:rPr>
        <w:t>2</w:t>
      </w:r>
      <w:r>
        <w:rPr>
          <w:vertAlign w:val="baseline"/>
        </w:rPr>
        <w:t>-CH</w:t>
      </w:r>
      <w:r>
        <w:rPr>
          <w:vertAlign w:val="subscript"/>
        </w:rPr>
        <w:t>2</w:t>
      </w:r>
      <w:r>
        <w:rPr>
          <w:vertAlign w:val="baseline"/>
        </w:rPr>
        <w:t> in the product.</w:t>
      </w:r>
    </w:p>
    <w:p>
      <w:pPr>
        <w:pStyle w:val="BodyText"/>
      </w:pPr>
    </w:p>
    <w:p>
      <w:pPr>
        <w:pStyle w:val="BodyText"/>
        <w:spacing w:before="4"/>
      </w:pPr>
    </w:p>
    <w:p>
      <w:pPr>
        <w:pStyle w:val="BodyText"/>
        <w:spacing w:line="480" w:lineRule="auto"/>
        <w:ind w:left="681" w:right="272"/>
        <w:jc w:val="both"/>
        <w:rPr>
          <w:i/>
        </w:rPr>
      </w:pPr>
      <w:r>
        <w:rPr/>
        <w:t>The molecular distance estimation obtained from the 3- dimensional structure of each isomer</w:t>
      </w:r>
      <w:r>
        <w:rPr>
          <w:spacing w:val="-1"/>
        </w:rPr>
        <w:t> </w:t>
      </w:r>
      <w:r>
        <w:rPr/>
        <w:t>conformed</w:t>
      </w:r>
      <w:r>
        <w:rPr>
          <w:spacing w:val="-2"/>
        </w:rPr>
        <w:t> </w:t>
      </w:r>
      <w:r>
        <w:rPr/>
        <w:t>to</w:t>
      </w:r>
      <w:r>
        <w:rPr>
          <w:spacing w:val="-1"/>
        </w:rPr>
        <w:t> </w:t>
      </w:r>
      <w:r>
        <w:rPr/>
        <w:t>the</w:t>
      </w:r>
      <w:r>
        <w:rPr>
          <w:spacing w:val="-3"/>
        </w:rPr>
        <w:t> </w:t>
      </w:r>
      <w:r>
        <w:rPr/>
        <w:t>suggested</w:t>
      </w:r>
      <w:r>
        <w:rPr>
          <w:spacing w:val="-1"/>
        </w:rPr>
        <w:t> </w:t>
      </w:r>
      <w:r>
        <w:rPr/>
        <w:t>pharmacophore</w:t>
      </w:r>
      <w:r>
        <w:rPr>
          <w:spacing w:val="8"/>
        </w:rPr>
        <w:t> </w:t>
      </w:r>
      <w:r>
        <w:rPr/>
        <w:t>models</w:t>
      </w:r>
      <w:r>
        <w:rPr>
          <w:spacing w:val="-4"/>
        </w:rPr>
        <w:t> </w:t>
      </w:r>
      <w:r>
        <w:rPr/>
        <w:t>according</w:t>
      </w:r>
      <w:r>
        <w:rPr>
          <w:spacing w:val="-1"/>
        </w:rPr>
        <w:t> </w:t>
      </w:r>
      <w:r>
        <w:rPr/>
        <w:t>to</w:t>
      </w:r>
      <w:r>
        <w:rPr>
          <w:spacing w:val="-2"/>
        </w:rPr>
        <w:t> </w:t>
      </w:r>
      <w:r>
        <w:rPr/>
        <w:t>Unverferth</w:t>
      </w:r>
      <w:r>
        <w:rPr>
          <w:spacing w:val="-2"/>
        </w:rPr>
        <w:t> </w:t>
      </w:r>
      <w:r>
        <w:rPr>
          <w:i/>
        </w:rPr>
        <w:t>et</w:t>
      </w:r>
      <w:r>
        <w:rPr>
          <w:i/>
          <w:spacing w:val="-1"/>
        </w:rPr>
        <w:t> </w:t>
      </w:r>
      <w:r>
        <w:rPr>
          <w:i/>
          <w:spacing w:val="-4"/>
        </w:rPr>
        <w:t>al.,</w:t>
      </w:r>
    </w:p>
    <w:p>
      <w:pPr>
        <w:spacing w:after="0" w:line="480" w:lineRule="auto"/>
        <w:jc w:val="both"/>
        <w:sectPr>
          <w:pgSz w:w="12240" w:h="15840"/>
          <w:pgMar w:header="0" w:footer="1066" w:top="1360" w:bottom="1260" w:left="1480" w:right="1160"/>
        </w:sectPr>
      </w:pPr>
    </w:p>
    <w:p>
      <w:pPr>
        <w:pStyle w:val="BodyText"/>
        <w:spacing w:line="480" w:lineRule="auto" w:before="72"/>
        <w:ind w:left="681" w:right="285"/>
        <w:jc w:val="both"/>
      </w:pPr>
      <w:r>
        <w:rPr/>
        <w:t>(1998) and Shindikar </w:t>
      </w:r>
      <w:r>
        <w:rPr>
          <w:i/>
        </w:rPr>
        <w:t>et al., </w:t>
      </w:r>
      <w:r>
        <w:rPr/>
        <w:t>(2006). The distances for all the pharmacophore units were found to be the same for all the three isomers.</w:t>
      </w:r>
    </w:p>
    <w:p>
      <w:pPr>
        <w:pStyle w:val="BodyText"/>
      </w:pPr>
    </w:p>
    <w:p>
      <w:pPr>
        <w:pStyle w:val="BodyText"/>
        <w:spacing w:before="1"/>
      </w:pPr>
    </w:p>
    <w:p>
      <w:pPr>
        <w:pStyle w:val="BodyText"/>
        <w:spacing w:line="480" w:lineRule="auto"/>
        <w:ind w:left="681" w:right="276" w:firstLine="57"/>
        <w:jc w:val="both"/>
      </w:pPr>
      <w:r>
        <w:rPr/>
        <w:t>The determination of LD</w:t>
      </w:r>
      <w:r>
        <w:rPr>
          <w:vertAlign w:val="subscript"/>
        </w:rPr>
        <w:t>50</w:t>
      </w:r>
      <w:r>
        <w:rPr>
          <w:vertAlign w:val="baseline"/>
        </w:rPr>
        <w:t> is of significant importance in the sense that, it is a valuable tool employed to compare toxicities of compounds relative to their therapeutic doses (Berkowitz, 2004). In studying unknown compounds (e.g. a plant extract, synthetic compounds), appropriate doses should be determined by preliminary studies of acute toxicity. Such studies are also essential to prevent over dose of</w:t>
      </w:r>
      <w:r>
        <w:rPr>
          <w:spacing w:val="-2"/>
          <w:vertAlign w:val="baseline"/>
        </w:rPr>
        <w:t> </w:t>
      </w:r>
      <w:r>
        <w:rPr>
          <w:vertAlign w:val="baseline"/>
        </w:rPr>
        <w:t>drug which may interfere with results of experiment, and provide a clue for the toxicity profiles of the test compounds (Ozbek </w:t>
      </w:r>
      <w:r>
        <w:rPr>
          <w:i/>
          <w:vertAlign w:val="baseline"/>
        </w:rPr>
        <w:t>et al</w:t>
      </w:r>
      <w:r>
        <w:rPr>
          <w:vertAlign w:val="baseline"/>
        </w:rPr>
        <w:t>., 2004). Thus, LD</w:t>
      </w:r>
      <w:r>
        <w:rPr>
          <w:vertAlign w:val="subscript"/>
        </w:rPr>
        <w:t>50</w:t>
      </w:r>
      <w:r>
        <w:rPr>
          <w:vertAlign w:val="baseline"/>
        </w:rPr>
        <w:t> values of</w:t>
      </w:r>
      <w:r>
        <w:rPr>
          <w:spacing w:val="-3"/>
          <w:vertAlign w:val="baseline"/>
        </w:rPr>
        <w:t> </w:t>
      </w:r>
      <w:r>
        <w:rPr>
          <w:vertAlign w:val="baseline"/>
        </w:rPr>
        <w:t>DCP23, DCP25 and DCP34 were determined to ascertain their relative toxicities. The result showed that route of administration was a key factor in determining toxicity, as oral route was safer than the parenteral route (i.p.), and species differences as well play a critical role in assessing toxicity</w:t>
      </w:r>
      <w:r>
        <w:rPr>
          <w:spacing w:val="-6"/>
          <w:vertAlign w:val="baseline"/>
        </w:rPr>
        <w:t> </w:t>
      </w:r>
      <w:r>
        <w:rPr>
          <w:vertAlign w:val="baseline"/>
        </w:rPr>
        <w:t>of</w:t>
      </w:r>
      <w:r>
        <w:rPr>
          <w:spacing w:val="-5"/>
          <w:vertAlign w:val="baseline"/>
        </w:rPr>
        <w:t> </w:t>
      </w:r>
      <w:r>
        <w:rPr>
          <w:vertAlign w:val="baseline"/>
        </w:rPr>
        <w:t>compounds. According to Matsumura (1975) and Corbett </w:t>
      </w:r>
      <w:r>
        <w:rPr>
          <w:i/>
          <w:vertAlign w:val="baseline"/>
        </w:rPr>
        <w:t>et al</w:t>
      </w:r>
      <w:r>
        <w:rPr>
          <w:i/>
          <w:spacing w:val="-1"/>
          <w:vertAlign w:val="baseline"/>
        </w:rPr>
        <w:t> </w:t>
      </w:r>
      <w:r>
        <w:rPr>
          <w:vertAlign w:val="baseline"/>
        </w:rPr>
        <w:t>(1984), the</w:t>
      </w:r>
      <w:r>
        <w:rPr>
          <w:spacing w:val="-3"/>
          <w:vertAlign w:val="baseline"/>
        </w:rPr>
        <w:t> </w:t>
      </w:r>
      <w:r>
        <w:rPr>
          <w:vertAlign w:val="baseline"/>
        </w:rPr>
        <w:t>test compounds could be said to be moderately</w:t>
      </w:r>
      <w:r>
        <w:rPr>
          <w:spacing w:val="-1"/>
          <w:vertAlign w:val="baseline"/>
        </w:rPr>
        <w:t> </w:t>
      </w:r>
      <w:r>
        <w:rPr>
          <w:vertAlign w:val="baseline"/>
        </w:rPr>
        <w:t>toxic in mice and rats via both intraperitoneal and oral routes of drug administration. However the value of DCP 34 oral LD</w:t>
      </w:r>
      <w:r>
        <w:rPr>
          <w:vertAlign w:val="subscript"/>
        </w:rPr>
        <w:t>50</w:t>
      </w:r>
      <w:r>
        <w:rPr>
          <w:spacing w:val="-12"/>
          <w:vertAlign w:val="baseline"/>
        </w:rPr>
        <w:t> </w:t>
      </w:r>
      <w:r>
        <w:rPr>
          <w:vertAlign w:val="baseline"/>
        </w:rPr>
        <w:t>could be said to be slightly toxic in rats.</w:t>
      </w:r>
    </w:p>
    <w:p>
      <w:pPr>
        <w:pStyle w:val="BodyText"/>
      </w:pPr>
    </w:p>
    <w:p>
      <w:pPr>
        <w:pStyle w:val="BodyText"/>
        <w:spacing w:before="3"/>
      </w:pPr>
    </w:p>
    <w:p>
      <w:pPr>
        <w:pStyle w:val="BodyText"/>
        <w:spacing w:line="480" w:lineRule="auto"/>
        <w:ind w:left="681" w:right="278"/>
        <w:jc w:val="both"/>
      </w:pPr>
      <w:r>
        <w:rPr/>
        <w:t>Subchronic toxicity study was conducted on one isomer (DCP25) to evaluate its effects on some biochemical and haematological parameters. Generally, the compound was relatively safe as there was no statistically significant increase or decrease in most of</w:t>
      </w:r>
      <w:r>
        <w:rPr>
          <w:spacing w:val="-1"/>
        </w:rPr>
        <w:t> </w:t>
      </w:r>
      <w:r>
        <w:rPr/>
        <w:t>the indices after 28-day daily oral administration.</w:t>
      </w:r>
    </w:p>
    <w:p>
      <w:pPr>
        <w:spacing w:after="0" w:line="480" w:lineRule="auto"/>
        <w:jc w:val="both"/>
        <w:sectPr>
          <w:pgSz w:w="12240" w:h="15840"/>
          <w:pgMar w:header="0" w:footer="1066" w:top="1360" w:bottom="1260" w:left="1480" w:right="1160"/>
        </w:sectPr>
      </w:pPr>
    </w:p>
    <w:p>
      <w:pPr>
        <w:pStyle w:val="BodyText"/>
        <w:spacing w:line="480" w:lineRule="auto" w:before="72"/>
        <w:ind w:left="681" w:right="277"/>
        <w:jc w:val="both"/>
      </w:pPr>
      <w:r>
        <w:rPr/>
        <w:t>Alanine aminotransferase (ALT), aspartate aminotranferase (AST) and alkaline phosphatase (AP) are liver enzymes of which their increase in level indicates possible liver damage (Stables and Kupferberg, 1997). ALT and AST are essential predictive measure of intracellular hepatic enzymes that have leaked into systemic circulation and serve as a marker of hepatocyte injury, whereas, AP acts as a marker for biliary function and cholestasis (Harris, 2005). Also, clinically used antiepileptic drugs like carbamazepine, sodium valproate and felbamate are known to cause liver damage in rare cases (Rang </w:t>
      </w:r>
      <w:r>
        <w:rPr>
          <w:i/>
        </w:rPr>
        <w:t>et al</w:t>
      </w:r>
      <w:r>
        <w:rPr/>
        <w:t>., 2007). Therefore, it could be said that DCP25 at 50 mg/kg could have toxic effect on liver as indicated by</w:t>
      </w:r>
      <w:r>
        <w:rPr>
          <w:spacing w:val="-2"/>
        </w:rPr>
        <w:t> </w:t>
      </w:r>
      <w:r>
        <w:rPr/>
        <w:t>significant (p&lt;0.05) increase in ALT level.</w:t>
      </w:r>
    </w:p>
    <w:p>
      <w:pPr>
        <w:pStyle w:val="BodyText"/>
      </w:pPr>
    </w:p>
    <w:p>
      <w:pPr>
        <w:pStyle w:val="BodyText"/>
        <w:spacing w:before="2"/>
      </w:pPr>
    </w:p>
    <w:p>
      <w:pPr>
        <w:pStyle w:val="BodyText"/>
        <w:spacing w:line="480" w:lineRule="auto"/>
        <w:ind w:left="681" w:right="274"/>
        <w:jc w:val="both"/>
      </w:pPr>
      <w:r>
        <w:rPr/>
        <w:t>Renal</w:t>
      </w:r>
      <w:r>
        <w:rPr>
          <w:spacing w:val="-1"/>
        </w:rPr>
        <w:t> </w:t>
      </w:r>
      <w:r>
        <w:rPr/>
        <w:t>function</w:t>
      </w:r>
      <w:r>
        <w:rPr>
          <w:spacing w:val="-5"/>
        </w:rPr>
        <w:t> </w:t>
      </w:r>
      <w:r>
        <w:rPr/>
        <w:t>test was</w:t>
      </w:r>
      <w:r>
        <w:rPr>
          <w:spacing w:val="-3"/>
        </w:rPr>
        <w:t> </w:t>
      </w:r>
      <w:r>
        <w:rPr/>
        <w:t>to evaluate</w:t>
      </w:r>
      <w:r>
        <w:rPr>
          <w:spacing w:val="-2"/>
        </w:rPr>
        <w:t> </w:t>
      </w:r>
      <w:r>
        <w:rPr/>
        <w:t>the level</w:t>
      </w:r>
      <w:r>
        <w:rPr>
          <w:spacing w:val="-5"/>
        </w:rPr>
        <w:t> </w:t>
      </w:r>
      <w:r>
        <w:rPr/>
        <w:t>of</w:t>
      </w:r>
      <w:r>
        <w:rPr>
          <w:spacing w:val="-8"/>
        </w:rPr>
        <w:t> </w:t>
      </w:r>
      <w:r>
        <w:rPr/>
        <w:t>electrolytes, urea</w:t>
      </w:r>
      <w:r>
        <w:rPr>
          <w:spacing w:val="-2"/>
        </w:rPr>
        <w:t> </w:t>
      </w:r>
      <w:r>
        <w:rPr/>
        <w:t>and</w:t>
      </w:r>
      <w:r>
        <w:rPr>
          <w:spacing w:val="-1"/>
        </w:rPr>
        <w:t> </w:t>
      </w:r>
      <w:r>
        <w:rPr/>
        <w:t>creatinine</w:t>
      </w:r>
      <w:r>
        <w:rPr>
          <w:spacing w:val="-2"/>
        </w:rPr>
        <w:t> </w:t>
      </w:r>
      <w:r>
        <w:rPr/>
        <w:t>present in the serum. Kidney has several functions including the excretion of water, soluble wastes such as urea and creatinine, and foreign materials such as drugs or the metabolites. It is responsible for the composition and volume of circulating fluids with respect to water</w:t>
      </w:r>
      <w:r>
        <w:rPr>
          <w:spacing w:val="80"/>
        </w:rPr>
        <w:t> </w:t>
      </w:r>
      <w:r>
        <w:rPr/>
        <w:t>and electrolyte balance and acid-base status (Yusuf </w:t>
      </w:r>
      <w:r>
        <w:rPr>
          <w:i/>
        </w:rPr>
        <w:t>et al</w:t>
      </w:r>
      <w:r>
        <w:rPr/>
        <w:t>., 2010). In renal failure, blood urea nitrogen and serum creatinine usually rise and this implies pre-renal azotemia, but may be caused by increased protein catabolism or an excessive protein load (Feinfeld, 2002). Carbamazepine, a standard antiepileptic drug is known to cause water retention (Rang </w:t>
      </w:r>
      <w:r>
        <w:rPr>
          <w:i/>
        </w:rPr>
        <w:t>et al</w:t>
      </w:r>
      <w:r>
        <w:rPr/>
        <w:t>., 2007), signifying its</w:t>
      </w:r>
      <w:r>
        <w:rPr>
          <w:spacing w:val="-2"/>
        </w:rPr>
        <w:t> </w:t>
      </w:r>
      <w:r>
        <w:rPr/>
        <w:t>unwanted effect on</w:t>
      </w:r>
      <w:r>
        <w:rPr>
          <w:spacing w:val="-5"/>
        </w:rPr>
        <w:t> </w:t>
      </w:r>
      <w:r>
        <w:rPr/>
        <w:t>kidney. From</w:t>
      </w:r>
      <w:r>
        <w:rPr>
          <w:spacing w:val="-9"/>
        </w:rPr>
        <w:t> </w:t>
      </w:r>
      <w:r>
        <w:rPr/>
        <w:t>the</w:t>
      </w:r>
      <w:r>
        <w:rPr>
          <w:spacing w:val="-1"/>
        </w:rPr>
        <w:t> </w:t>
      </w:r>
      <w:r>
        <w:rPr/>
        <w:t>results</w:t>
      </w:r>
      <w:r>
        <w:rPr>
          <w:spacing w:val="-2"/>
        </w:rPr>
        <w:t> </w:t>
      </w:r>
      <w:r>
        <w:rPr/>
        <w:t>of</w:t>
      </w:r>
      <w:r>
        <w:rPr>
          <w:spacing w:val="-3"/>
        </w:rPr>
        <w:t> </w:t>
      </w:r>
      <w:r>
        <w:rPr/>
        <w:t>this</w:t>
      </w:r>
      <w:r>
        <w:rPr>
          <w:spacing w:val="-2"/>
        </w:rPr>
        <w:t> </w:t>
      </w:r>
      <w:r>
        <w:rPr/>
        <w:t>test, DCP25 at 50 mg/kg caused significant increase in the level of creatinine and urea, an indication of toxic effect on the kidney.</w:t>
      </w:r>
    </w:p>
    <w:p>
      <w:pPr>
        <w:spacing w:after="0" w:line="480" w:lineRule="auto"/>
        <w:jc w:val="both"/>
        <w:sectPr>
          <w:pgSz w:w="12240" w:h="15840"/>
          <w:pgMar w:header="0" w:footer="1066" w:top="1360" w:bottom="1260" w:left="1480" w:right="1160"/>
        </w:sectPr>
      </w:pPr>
    </w:p>
    <w:p>
      <w:pPr>
        <w:pStyle w:val="BodyText"/>
        <w:spacing w:line="480" w:lineRule="auto" w:before="72"/>
        <w:ind w:left="681" w:right="279"/>
        <w:jc w:val="both"/>
      </w:pPr>
      <w:r>
        <w:rPr/>
        <w:t>Results obtained from the lipid profile tests indicated no significant change in the levels of total cholesterol (TC), total glyceride (TG), Low density lipid (LDL) as well as high density lipid (HDL). They are essential markers for metabolic disease like diabetes and for coronary</w:t>
      </w:r>
      <w:r>
        <w:rPr>
          <w:spacing w:val="-4"/>
        </w:rPr>
        <w:t> </w:t>
      </w:r>
      <w:r>
        <w:rPr/>
        <w:t>artery</w:t>
      </w:r>
      <w:r>
        <w:rPr>
          <w:spacing w:val="-4"/>
        </w:rPr>
        <w:t> </w:t>
      </w:r>
      <w:r>
        <w:rPr/>
        <w:t>disease. Increase in the level of TC, TG and LDL with corresponding decrease in HDL, are essentially noticed in uncontrolled diabetes; and contribute to coronary artery disease in some diabetic patients (Arvind, </w:t>
      </w:r>
      <w:r>
        <w:rPr>
          <w:i/>
        </w:rPr>
        <w:t>et al</w:t>
      </w:r>
      <w:r>
        <w:rPr/>
        <w:t>., 2002, Yerima, 2013). DCP25 did not seem to have significant effect on all the tested lipid parameters at the administered doses.</w:t>
      </w:r>
    </w:p>
    <w:p>
      <w:pPr>
        <w:pStyle w:val="BodyText"/>
      </w:pPr>
    </w:p>
    <w:p>
      <w:pPr>
        <w:pStyle w:val="BodyText"/>
        <w:spacing w:before="2"/>
      </w:pPr>
    </w:p>
    <w:p>
      <w:pPr>
        <w:pStyle w:val="BodyText"/>
        <w:spacing w:line="480" w:lineRule="auto"/>
        <w:ind w:left="681" w:right="281"/>
        <w:jc w:val="both"/>
      </w:pPr>
      <w:r>
        <w:rPr/>
        <w:t>The haematological parameters evaluated are essential for haematopoietic and leucopoietic systems; and are very sensitive to toxic compounds and serve as an</w:t>
      </w:r>
      <w:r>
        <w:rPr>
          <w:spacing w:val="40"/>
        </w:rPr>
        <w:t> </w:t>
      </w:r>
      <w:r>
        <w:rPr/>
        <w:t>important index</w:t>
      </w:r>
      <w:r>
        <w:rPr>
          <w:spacing w:val="-4"/>
        </w:rPr>
        <w:t> </w:t>
      </w:r>
      <w:r>
        <w:rPr/>
        <w:t>of</w:t>
      </w:r>
      <w:r>
        <w:rPr>
          <w:spacing w:val="-7"/>
        </w:rPr>
        <w:t> </w:t>
      </w:r>
      <w:r>
        <w:rPr/>
        <w:t>the physiological</w:t>
      </w:r>
      <w:r>
        <w:rPr>
          <w:spacing w:val="-4"/>
        </w:rPr>
        <w:t> </w:t>
      </w:r>
      <w:r>
        <w:rPr/>
        <w:t>and pathological</w:t>
      </w:r>
      <w:r>
        <w:rPr>
          <w:spacing w:val="-4"/>
        </w:rPr>
        <w:t> </w:t>
      </w:r>
      <w:r>
        <w:rPr/>
        <w:t>status</w:t>
      </w:r>
      <w:r>
        <w:rPr>
          <w:spacing w:val="-1"/>
        </w:rPr>
        <w:t> </w:t>
      </w:r>
      <w:r>
        <w:rPr/>
        <w:t>for both</w:t>
      </w:r>
      <w:r>
        <w:rPr>
          <w:spacing w:val="-4"/>
        </w:rPr>
        <w:t> </w:t>
      </w:r>
      <w:r>
        <w:rPr/>
        <w:t>animals and humans (Adeneye </w:t>
      </w:r>
      <w:r>
        <w:rPr>
          <w:i/>
        </w:rPr>
        <w:t>et al</w:t>
      </w:r>
      <w:r>
        <w:rPr/>
        <w:t>., 2006). Some clinically useful antiepileptic drugs are known to have unwanted effect on either haematopoietic or leucopoietic systems; phenytoin causes megaloblastic anaemia, carbamazepine is known to cause leucopenia while felbamate results to aplastic anaemia (Rang </w:t>
      </w:r>
      <w:r>
        <w:rPr>
          <w:i/>
        </w:rPr>
        <w:t>et al</w:t>
      </w:r>
      <w:r>
        <w:rPr/>
        <w:t>., 2007). This is a possible indication of DCP25’s free unwanted effects on these systems and may further ascertain its non mimicking unwanted properties to some standard antiepileptic agents sighted.</w:t>
      </w:r>
    </w:p>
    <w:p>
      <w:pPr>
        <w:pStyle w:val="BodyText"/>
      </w:pPr>
    </w:p>
    <w:p>
      <w:pPr>
        <w:pStyle w:val="BodyText"/>
        <w:spacing w:before="2"/>
      </w:pPr>
    </w:p>
    <w:p>
      <w:pPr>
        <w:pStyle w:val="BodyText"/>
        <w:spacing w:line="480" w:lineRule="auto"/>
        <w:ind w:left="681" w:right="275"/>
        <w:jc w:val="both"/>
      </w:pPr>
      <w:r>
        <w:rPr/>
        <w:t>Median toxic dose (TD</w:t>
      </w:r>
      <w:r>
        <w:rPr>
          <w:vertAlign w:val="subscript"/>
        </w:rPr>
        <w:t>50</w:t>
      </w:r>
      <w:r>
        <w:rPr>
          <w:vertAlign w:val="baseline"/>
        </w:rPr>
        <w:t>) of the test compounds was determined using beam walking</w:t>
      </w:r>
      <w:r>
        <w:rPr>
          <w:spacing w:val="40"/>
          <w:vertAlign w:val="baseline"/>
        </w:rPr>
        <w:t> </w:t>
      </w:r>
      <w:r>
        <w:rPr>
          <w:vertAlign w:val="baseline"/>
        </w:rPr>
        <w:t>test.</w:t>
      </w:r>
      <w:r>
        <w:rPr>
          <w:spacing w:val="-1"/>
          <w:vertAlign w:val="baseline"/>
        </w:rPr>
        <w:t> </w:t>
      </w:r>
      <w:r>
        <w:rPr>
          <w:vertAlign w:val="baseline"/>
        </w:rPr>
        <w:t>This</w:t>
      </w:r>
      <w:r>
        <w:rPr>
          <w:spacing w:val="-1"/>
          <w:vertAlign w:val="baseline"/>
        </w:rPr>
        <w:t> </w:t>
      </w:r>
      <w:r>
        <w:rPr>
          <w:vertAlign w:val="baseline"/>
        </w:rPr>
        <w:t>was</w:t>
      </w:r>
      <w:r>
        <w:rPr>
          <w:spacing w:val="-1"/>
          <w:vertAlign w:val="baseline"/>
        </w:rPr>
        <w:t> </w:t>
      </w:r>
      <w:r>
        <w:rPr>
          <w:vertAlign w:val="baseline"/>
        </w:rPr>
        <w:t>to measure extent of motor deficits caused by</w:t>
      </w:r>
      <w:r>
        <w:rPr>
          <w:spacing w:val="-7"/>
          <w:vertAlign w:val="baseline"/>
        </w:rPr>
        <w:t> </w:t>
      </w:r>
      <w:r>
        <w:rPr>
          <w:vertAlign w:val="baseline"/>
        </w:rPr>
        <w:t>effect to the motor cortex, as an index of neurotoxicity. Walking-beam assay is more sensitive in the sense that, a significant</w:t>
      </w:r>
      <w:r>
        <w:rPr>
          <w:spacing w:val="9"/>
          <w:vertAlign w:val="baseline"/>
        </w:rPr>
        <w:t> </w:t>
      </w:r>
      <w:r>
        <w:rPr>
          <w:vertAlign w:val="baseline"/>
        </w:rPr>
        <w:t>deficit</w:t>
      </w:r>
      <w:r>
        <w:rPr>
          <w:spacing w:val="9"/>
          <w:vertAlign w:val="baseline"/>
        </w:rPr>
        <w:t> </w:t>
      </w:r>
      <w:r>
        <w:rPr>
          <w:vertAlign w:val="baseline"/>
        </w:rPr>
        <w:t>can be</w:t>
      </w:r>
      <w:r>
        <w:rPr>
          <w:spacing w:val="3"/>
          <w:vertAlign w:val="baseline"/>
        </w:rPr>
        <w:t> </w:t>
      </w:r>
      <w:r>
        <w:rPr>
          <w:vertAlign w:val="baseline"/>
        </w:rPr>
        <w:t>observed</w:t>
      </w:r>
      <w:r>
        <w:rPr>
          <w:spacing w:val="3"/>
          <w:vertAlign w:val="baseline"/>
        </w:rPr>
        <w:t> </w:t>
      </w:r>
      <w:r>
        <w:rPr>
          <w:vertAlign w:val="baseline"/>
        </w:rPr>
        <w:t>at</w:t>
      </w:r>
      <w:r>
        <w:rPr>
          <w:spacing w:val="10"/>
          <w:vertAlign w:val="baseline"/>
        </w:rPr>
        <w:t> </w:t>
      </w:r>
      <w:r>
        <w:rPr>
          <w:vertAlign w:val="baseline"/>
        </w:rPr>
        <w:t>about</w:t>
      </w:r>
      <w:r>
        <w:rPr>
          <w:spacing w:val="4"/>
          <w:vertAlign w:val="baseline"/>
        </w:rPr>
        <w:t> </w:t>
      </w:r>
      <w:r>
        <w:rPr>
          <w:vertAlign w:val="baseline"/>
        </w:rPr>
        <w:t>25-30%</w:t>
      </w:r>
      <w:r>
        <w:rPr>
          <w:spacing w:val="5"/>
          <w:vertAlign w:val="baseline"/>
        </w:rPr>
        <w:t> </w:t>
      </w:r>
      <w:r>
        <w:rPr>
          <w:vertAlign w:val="baseline"/>
        </w:rPr>
        <w:t>GABA</w:t>
      </w:r>
      <w:r>
        <w:rPr>
          <w:vertAlign w:val="subscript"/>
        </w:rPr>
        <w:t>A</w:t>
      </w:r>
      <w:r>
        <w:rPr>
          <w:spacing w:val="1"/>
          <w:vertAlign w:val="baseline"/>
        </w:rPr>
        <w:t> </w:t>
      </w:r>
      <w:r>
        <w:rPr>
          <w:vertAlign w:val="baseline"/>
        </w:rPr>
        <w:t>receptor</w:t>
      </w:r>
      <w:r>
        <w:rPr>
          <w:spacing w:val="-3"/>
          <w:vertAlign w:val="baseline"/>
        </w:rPr>
        <w:t> </w:t>
      </w:r>
      <w:r>
        <w:rPr>
          <w:vertAlign w:val="baseline"/>
        </w:rPr>
        <w:t>occupancy</w:t>
      </w:r>
      <w:r>
        <w:rPr>
          <w:spacing w:val="-1"/>
          <w:vertAlign w:val="baseline"/>
        </w:rPr>
        <w:t> </w:t>
      </w:r>
      <w:r>
        <w:rPr>
          <w:spacing w:val="-2"/>
          <w:vertAlign w:val="baseline"/>
        </w:rPr>
        <w:t>whereas</w:t>
      </w:r>
    </w:p>
    <w:p>
      <w:pPr>
        <w:spacing w:after="0" w:line="480" w:lineRule="auto"/>
        <w:jc w:val="both"/>
        <w:sectPr>
          <w:pgSz w:w="12240" w:h="15840"/>
          <w:pgMar w:header="0" w:footer="1066" w:top="1360" w:bottom="1260" w:left="1480" w:right="1160"/>
        </w:sectPr>
      </w:pPr>
    </w:p>
    <w:p>
      <w:pPr>
        <w:pStyle w:val="BodyText"/>
        <w:spacing w:line="480" w:lineRule="auto" w:before="72"/>
        <w:ind w:left="681" w:right="275"/>
        <w:jc w:val="both"/>
      </w:pPr>
      <w:r>
        <w:rPr/>
        <w:t>rotarod assay, about 70% receptor occupancy with a full benzodiazepine agonist is required to provide a significant impairment on the rotarod (Stanley </w:t>
      </w:r>
      <w:r>
        <w:rPr>
          <w:i/>
        </w:rPr>
        <w:t>et al</w:t>
      </w:r>
      <w:r>
        <w:rPr/>
        <w:t>., 2005). The results showed that phenytoin was less toxic than the test compounds and thus, lesser tendency</w:t>
      </w:r>
      <w:r>
        <w:rPr>
          <w:spacing w:val="-2"/>
        </w:rPr>
        <w:t> </w:t>
      </w:r>
      <w:r>
        <w:rPr/>
        <w:t>to cause damage to the motor cortex. This also may further explain</w:t>
      </w:r>
      <w:r>
        <w:rPr>
          <w:spacing w:val="-2"/>
        </w:rPr>
        <w:t> </w:t>
      </w:r>
      <w:r>
        <w:rPr/>
        <w:t>the possible interaction of the test compounds to the GABA</w:t>
      </w:r>
      <w:r>
        <w:rPr>
          <w:vertAlign w:val="subscript"/>
        </w:rPr>
        <w:t>A</w:t>
      </w:r>
      <w:r>
        <w:rPr>
          <w:vertAlign w:val="baseline"/>
        </w:rPr>
        <w:t> receptor complex.</w:t>
      </w:r>
    </w:p>
    <w:p>
      <w:pPr>
        <w:pStyle w:val="BodyText"/>
      </w:pPr>
    </w:p>
    <w:p>
      <w:pPr>
        <w:pStyle w:val="BodyText"/>
        <w:spacing w:before="1"/>
      </w:pPr>
    </w:p>
    <w:p>
      <w:pPr>
        <w:pStyle w:val="BodyText"/>
        <w:spacing w:line="480" w:lineRule="auto"/>
        <w:ind w:left="681" w:right="274" w:firstLine="57"/>
        <w:jc w:val="both"/>
      </w:pPr>
      <w:r>
        <w:rPr/>
        <w:t>Similarly, median effective dose (ED</w:t>
      </w:r>
      <w:r>
        <w:rPr>
          <w:vertAlign w:val="subscript"/>
        </w:rPr>
        <w:t>50</w:t>
      </w:r>
      <w:r>
        <w:rPr>
          <w:vertAlign w:val="baseline"/>
        </w:rPr>
        <w:t>) of the test compounds was established using MES- and Picrotoxin- induced seizure tests. The values found showed that the test compounds especially DCP23 could be compared to the ED</w:t>
      </w:r>
      <w:r>
        <w:rPr>
          <w:vertAlign w:val="subscript"/>
        </w:rPr>
        <w:t>50</w:t>
      </w:r>
      <w:r>
        <w:rPr>
          <w:spacing w:val="-2"/>
          <w:vertAlign w:val="baseline"/>
        </w:rPr>
        <w:t> </w:t>
      </w:r>
      <w:r>
        <w:rPr>
          <w:vertAlign w:val="baseline"/>
        </w:rPr>
        <w:t>of phenytoin. Also, some ED</w:t>
      </w:r>
      <w:r>
        <w:rPr>
          <w:vertAlign w:val="subscript"/>
        </w:rPr>
        <w:t>50</w:t>
      </w:r>
      <w:r>
        <w:rPr>
          <w:vertAlign w:val="baseline"/>
        </w:rPr>
        <w:t> values found by Idris </w:t>
      </w:r>
      <w:r>
        <w:rPr>
          <w:i/>
          <w:vertAlign w:val="baseline"/>
        </w:rPr>
        <w:t>et al</w:t>
      </w:r>
      <w:r>
        <w:rPr>
          <w:vertAlign w:val="baseline"/>
        </w:rPr>
        <w:t>., (2008a, 2008b, 2008c) on different isomers of 3- anilinopropanamides could favourably be compared to that of the test compounds. The values of TD</w:t>
      </w:r>
      <w:r>
        <w:rPr>
          <w:vertAlign w:val="subscript"/>
        </w:rPr>
        <w:t>50</w:t>
      </w:r>
      <w:r>
        <w:rPr>
          <w:vertAlign w:val="baseline"/>
        </w:rPr>
        <w:t> and ED</w:t>
      </w:r>
      <w:r>
        <w:rPr>
          <w:vertAlign w:val="subscript"/>
        </w:rPr>
        <w:t>50</w:t>
      </w:r>
      <w:r>
        <w:rPr>
          <w:vertAlign w:val="baseline"/>
        </w:rPr>
        <w:t> were used to determine therapeutic index (TI); in this case described as protective index (PI), and it is an index for safety margin (Brummelen, 2001). The safety margin for the test compounds as determined from the ratio between TD</w:t>
      </w:r>
      <w:r>
        <w:rPr>
          <w:vertAlign w:val="subscript"/>
        </w:rPr>
        <w:t>50</w:t>
      </w:r>
      <w:r>
        <w:rPr>
          <w:spacing w:val="-7"/>
          <w:vertAlign w:val="baseline"/>
        </w:rPr>
        <w:t> </w:t>
      </w:r>
      <w:r>
        <w:rPr>
          <w:vertAlign w:val="baseline"/>
        </w:rPr>
        <w:t>and ED</w:t>
      </w:r>
      <w:r>
        <w:rPr>
          <w:vertAlign w:val="subscript"/>
        </w:rPr>
        <w:t>50</w:t>
      </w:r>
      <w:r>
        <w:rPr>
          <w:spacing w:val="-7"/>
          <w:vertAlign w:val="baseline"/>
        </w:rPr>
        <w:t> </w:t>
      </w:r>
      <w:r>
        <w:rPr>
          <w:vertAlign w:val="baseline"/>
        </w:rPr>
        <w:t>was more to DCP23 (PI: 4), followed by DCP25 (PI: 3) and then DCP34 (PI: 2). According to the work of Shindikar </w:t>
      </w:r>
      <w:r>
        <w:rPr>
          <w:i/>
          <w:vertAlign w:val="baseline"/>
        </w:rPr>
        <w:t>et al</w:t>
      </w:r>
      <w:r>
        <w:rPr>
          <w:vertAlign w:val="baseline"/>
        </w:rPr>
        <w:t>., (2006), the protective indexes of phenytoin and carbamazepine were found to be approximately 7 and 6, respectively. In this work, the protective indexes were approximately 4, 3 and 2; for DCP23, DCP25 and DCP34 respectively. The values could have been compared favourably to that of Shindikar </w:t>
      </w:r>
      <w:r>
        <w:rPr>
          <w:i/>
          <w:vertAlign w:val="baseline"/>
        </w:rPr>
        <w:t>et al</w:t>
      </w:r>
      <w:r>
        <w:rPr>
          <w:vertAlign w:val="baseline"/>
        </w:rPr>
        <w:t>., 2006 if the model for TD</w:t>
      </w:r>
      <w:r>
        <w:rPr>
          <w:vertAlign w:val="subscript"/>
        </w:rPr>
        <w:t>50</w:t>
      </w:r>
      <w:r>
        <w:rPr>
          <w:spacing w:val="-6"/>
          <w:vertAlign w:val="baseline"/>
        </w:rPr>
        <w:t> </w:t>
      </w:r>
      <w:r>
        <w:rPr>
          <w:vertAlign w:val="baseline"/>
        </w:rPr>
        <w:t>was same to that of this research work. The fact that</w:t>
      </w:r>
      <w:r>
        <w:rPr>
          <w:spacing w:val="-1"/>
          <w:vertAlign w:val="baseline"/>
        </w:rPr>
        <w:t> </w:t>
      </w:r>
      <w:r>
        <w:rPr>
          <w:vertAlign w:val="baseline"/>
        </w:rPr>
        <w:t>walking-beam</w:t>
      </w:r>
      <w:r>
        <w:rPr>
          <w:spacing w:val="-6"/>
          <w:vertAlign w:val="baseline"/>
        </w:rPr>
        <w:t> </w:t>
      </w:r>
      <w:r>
        <w:rPr>
          <w:vertAlign w:val="baseline"/>
        </w:rPr>
        <w:t>test (Stanley</w:t>
      </w:r>
      <w:r>
        <w:rPr>
          <w:spacing w:val="-3"/>
          <w:vertAlign w:val="baseline"/>
        </w:rPr>
        <w:t> </w:t>
      </w:r>
      <w:r>
        <w:rPr>
          <w:i/>
          <w:vertAlign w:val="baseline"/>
        </w:rPr>
        <w:t>et</w:t>
      </w:r>
      <w:r>
        <w:rPr>
          <w:i/>
          <w:spacing w:val="-1"/>
          <w:vertAlign w:val="baseline"/>
        </w:rPr>
        <w:t> </w:t>
      </w:r>
      <w:r>
        <w:rPr>
          <w:i/>
          <w:vertAlign w:val="baseline"/>
        </w:rPr>
        <w:t>al</w:t>
      </w:r>
      <w:r>
        <w:rPr>
          <w:vertAlign w:val="baseline"/>
        </w:rPr>
        <w:t>., 2005);</w:t>
      </w:r>
      <w:r>
        <w:rPr>
          <w:spacing w:val="40"/>
          <w:vertAlign w:val="baseline"/>
        </w:rPr>
        <w:t> </w:t>
      </w:r>
      <w:r>
        <w:rPr>
          <w:vertAlign w:val="baseline"/>
        </w:rPr>
        <w:t>as</w:t>
      </w:r>
      <w:r>
        <w:rPr>
          <w:spacing w:val="-3"/>
          <w:vertAlign w:val="baseline"/>
        </w:rPr>
        <w:t> </w:t>
      </w:r>
      <w:r>
        <w:rPr>
          <w:vertAlign w:val="baseline"/>
        </w:rPr>
        <w:t>used in</w:t>
      </w:r>
      <w:r>
        <w:rPr>
          <w:spacing w:val="-6"/>
          <w:vertAlign w:val="baseline"/>
        </w:rPr>
        <w:t> </w:t>
      </w:r>
      <w:r>
        <w:rPr>
          <w:vertAlign w:val="baseline"/>
        </w:rPr>
        <w:t>this</w:t>
      </w:r>
      <w:r>
        <w:rPr>
          <w:spacing w:val="-3"/>
          <w:vertAlign w:val="baseline"/>
        </w:rPr>
        <w:t> </w:t>
      </w:r>
      <w:r>
        <w:rPr>
          <w:vertAlign w:val="baseline"/>
        </w:rPr>
        <w:t>research</w:t>
      </w:r>
      <w:r>
        <w:rPr>
          <w:spacing w:val="-6"/>
          <w:vertAlign w:val="baseline"/>
        </w:rPr>
        <w:t> </w:t>
      </w:r>
      <w:r>
        <w:rPr>
          <w:vertAlign w:val="baseline"/>
        </w:rPr>
        <w:t>work</w:t>
      </w:r>
      <w:r>
        <w:rPr>
          <w:spacing w:val="-1"/>
          <w:vertAlign w:val="baseline"/>
        </w:rPr>
        <w:t> </w:t>
      </w:r>
      <w:r>
        <w:rPr>
          <w:vertAlign w:val="baseline"/>
        </w:rPr>
        <w:t>was</w:t>
      </w:r>
      <w:r>
        <w:rPr>
          <w:spacing w:val="-3"/>
          <w:vertAlign w:val="baseline"/>
        </w:rPr>
        <w:t> </w:t>
      </w:r>
      <w:r>
        <w:rPr>
          <w:vertAlign w:val="baseline"/>
        </w:rPr>
        <w:t>more sensitive (about 30% receptor occupancy) than the rotarod test (about 70% receptor occupancy)</w:t>
      </w:r>
      <w:r>
        <w:rPr>
          <w:spacing w:val="61"/>
          <w:vertAlign w:val="baseline"/>
        </w:rPr>
        <w:t> </w:t>
      </w:r>
      <w:r>
        <w:rPr>
          <w:vertAlign w:val="baseline"/>
        </w:rPr>
        <w:t>as</w:t>
      </w:r>
      <w:r>
        <w:rPr>
          <w:spacing w:val="54"/>
          <w:vertAlign w:val="baseline"/>
        </w:rPr>
        <w:t> </w:t>
      </w:r>
      <w:r>
        <w:rPr>
          <w:vertAlign w:val="baseline"/>
        </w:rPr>
        <w:t>used</w:t>
      </w:r>
      <w:r>
        <w:rPr>
          <w:spacing w:val="62"/>
          <w:vertAlign w:val="baseline"/>
        </w:rPr>
        <w:t> </w:t>
      </w:r>
      <w:r>
        <w:rPr>
          <w:vertAlign w:val="baseline"/>
        </w:rPr>
        <w:t>by</w:t>
      </w:r>
      <w:r>
        <w:rPr>
          <w:spacing w:val="51"/>
          <w:vertAlign w:val="baseline"/>
        </w:rPr>
        <w:t> </w:t>
      </w:r>
      <w:r>
        <w:rPr>
          <w:vertAlign w:val="baseline"/>
        </w:rPr>
        <w:t>Shindikar</w:t>
      </w:r>
      <w:r>
        <w:rPr>
          <w:spacing w:val="63"/>
          <w:vertAlign w:val="baseline"/>
        </w:rPr>
        <w:t> </w:t>
      </w:r>
      <w:r>
        <w:rPr>
          <w:i/>
          <w:vertAlign w:val="baseline"/>
        </w:rPr>
        <w:t>et</w:t>
      </w:r>
      <w:r>
        <w:rPr>
          <w:i/>
          <w:spacing w:val="57"/>
          <w:vertAlign w:val="baseline"/>
        </w:rPr>
        <w:t> </w:t>
      </w:r>
      <w:r>
        <w:rPr>
          <w:i/>
          <w:vertAlign w:val="baseline"/>
        </w:rPr>
        <w:t>al</w:t>
      </w:r>
      <w:r>
        <w:rPr>
          <w:vertAlign w:val="baseline"/>
        </w:rPr>
        <w:t>.,</w:t>
      </w:r>
      <w:r>
        <w:rPr>
          <w:spacing w:val="59"/>
          <w:vertAlign w:val="baseline"/>
        </w:rPr>
        <w:t> </w:t>
      </w:r>
      <w:r>
        <w:rPr>
          <w:vertAlign w:val="baseline"/>
        </w:rPr>
        <w:t>2006,</w:t>
      </w:r>
      <w:r>
        <w:rPr>
          <w:spacing w:val="54"/>
          <w:vertAlign w:val="baseline"/>
        </w:rPr>
        <w:t> </w:t>
      </w:r>
      <w:r>
        <w:rPr>
          <w:vertAlign w:val="baseline"/>
        </w:rPr>
        <w:t>means</w:t>
      </w:r>
      <w:r>
        <w:rPr>
          <w:spacing w:val="55"/>
          <w:vertAlign w:val="baseline"/>
        </w:rPr>
        <w:t> </w:t>
      </w:r>
      <w:r>
        <w:rPr>
          <w:vertAlign w:val="baseline"/>
        </w:rPr>
        <w:t>that,</w:t>
      </w:r>
      <w:r>
        <w:rPr>
          <w:spacing w:val="58"/>
          <w:vertAlign w:val="baseline"/>
        </w:rPr>
        <w:t> </w:t>
      </w:r>
      <w:r>
        <w:rPr>
          <w:vertAlign w:val="baseline"/>
        </w:rPr>
        <w:t>motor</w:t>
      </w:r>
      <w:r>
        <w:rPr>
          <w:spacing w:val="59"/>
          <w:vertAlign w:val="baseline"/>
        </w:rPr>
        <w:t> </w:t>
      </w:r>
      <w:r>
        <w:rPr>
          <w:vertAlign w:val="baseline"/>
        </w:rPr>
        <w:t>impairment</w:t>
      </w:r>
      <w:r>
        <w:rPr>
          <w:spacing w:val="61"/>
          <w:vertAlign w:val="baseline"/>
        </w:rPr>
        <w:t> </w:t>
      </w:r>
      <w:r>
        <w:rPr>
          <w:vertAlign w:val="baseline"/>
        </w:rPr>
        <w:t>as</w:t>
      </w:r>
      <w:r>
        <w:rPr>
          <w:spacing w:val="55"/>
          <w:vertAlign w:val="baseline"/>
        </w:rPr>
        <w:t> </w:t>
      </w:r>
      <w:r>
        <w:rPr>
          <w:spacing w:val="-5"/>
          <w:vertAlign w:val="baseline"/>
        </w:rPr>
        <w:t>an</w:t>
      </w:r>
    </w:p>
    <w:p>
      <w:pPr>
        <w:spacing w:after="0" w:line="480" w:lineRule="auto"/>
        <w:jc w:val="both"/>
        <w:sectPr>
          <w:pgSz w:w="12240" w:h="15840"/>
          <w:pgMar w:header="0" w:footer="1066" w:top="1360" w:bottom="1260" w:left="1480" w:right="1160"/>
        </w:sectPr>
      </w:pPr>
    </w:p>
    <w:p>
      <w:pPr>
        <w:pStyle w:val="BodyText"/>
        <w:spacing w:line="480" w:lineRule="auto" w:before="72"/>
        <w:ind w:left="681" w:right="281"/>
        <w:jc w:val="both"/>
      </w:pPr>
      <w:r>
        <w:rPr/>
        <w:t>indication of neurotoxicity must have been manifested at lower doses of the test compounds. Thus, resulted to lower TD</w:t>
      </w:r>
      <w:r>
        <w:rPr>
          <w:vertAlign w:val="subscript"/>
        </w:rPr>
        <w:t>50</w:t>
      </w:r>
      <w:r>
        <w:rPr>
          <w:spacing w:val="-14"/>
          <w:vertAlign w:val="baseline"/>
        </w:rPr>
        <w:t> </w:t>
      </w:r>
      <w:r>
        <w:rPr>
          <w:vertAlign w:val="baseline"/>
        </w:rPr>
        <w:t>values</w:t>
      </w:r>
      <w:r>
        <w:rPr>
          <w:spacing w:val="-1"/>
          <w:vertAlign w:val="baseline"/>
        </w:rPr>
        <w:t> </w:t>
      </w:r>
      <w:r>
        <w:rPr>
          <w:vertAlign w:val="baseline"/>
        </w:rPr>
        <w:t>and hence, led to lower protective index </w:t>
      </w:r>
      <w:r>
        <w:rPr>
          <w:spacing w:val="-2"/>
          <w:vertAlign w:val="baseline"/>
        </w:rPr>
        <w:t>values.</w:t>
      </w:r>
    </w:p>
    <w:p>
      <w:pPr>
        <w:pStyle w:val="BodyText"/>
      </w:pPr>
    </w:p>
    <w:p>
      <w:pPr>
        <w:pStyle w:val="BodyText"/>
        <w:spacing w:before="1"/>
      </w:pPr>
    </w:p>
    <w:p>
      <w:pPr>
        <w:pStyle w:val="BodyText"/>
        <w:spacing w:line="480" w:lineRule="auto"/>
        <w:ind w:left="681" w:right="274"/>
        <w:jc w:val="both"/>
      </w:pPr>
      <w:r>
        <w:rPr/>
        <w:t>Maximal electroshock causes several changes at the cellular level, which can disrupt the signal transduction in the neurons. One of the most important mechanism by which it causes</w:t>
      </w:r>
      <w:r>
        <w:rPr>
          <w:spacing w:val="-1"/>
        </w:rPr>
        <w:t> </w:t>
      </w:r>
      <w:r>
        <w:rPr/>
        <w:t>cellular damage is facilitation</w:t>
      </w:r>
      <w:r>
        <w:rPr>
          <w:spacing w:val="-6"/>
        </w:rPr>
        <w:t> </w:t>
      </w:r>
      <w:r>
        <w:rPr/>
        <w:t>of</w:t>
      </w:r>
      <w:r>
        <w:rPr>
          <w:spacing w:val="-9"/>
        </w:rPr>
        <w:t> </w:t>
      </w:r>
      <w:r>
        <w:rPr/>
        <w:t>Ca</w:t>
      </w:r>
      <w:r>
        <w:rPr>
          <w:vertAlign w:val="superscript"/>
        </w:rPr>
        <w:t>2+</w:t>
      </w:r>
      <w:r>
        <w:rPr>
          <w:spacing w:val="-15"/>
          <w:vertAlign w:val="baseline"/>
        </w:rPr>
        <w:t> </w:t>
      </w:r>
      <w:r>
        <w:rPr>
          <w:vertAlign w:val="baseline"/>
        </w:rPr>
        <w:t>entry</w:t>
      </w:r>
      <w:r>
        <w:rPr>
          <w:spacing w:val="-6"/>
          <w:vertAlign w:val="baseline"/>
        </w:rPr>
        <w:t> </w:t>
      </w:r>
      <w:r>
        <w:rPr>
          <w:vertAlign w:val="baseline"/>
        </w:rPr>
        <w:t>into the</w:t>
      </w:r>
      <w:r>
        <w:rPr>
          <w:spacing w:val="-2"/>
          <w:vertAlign w:val="baseline"/>
        </w:rPr>
        <w:t> </w:t>
      </w:r>
      <w:r>
        <w:rPr>
          <w:vertAlign w:val="baseline"/>
        </w:rPr>
        <w:t>cells in large</w:t>
      </w:r>
      <w:r>
        <w:rPr>
          <w:spacing w:val="-2"/>
          <w:vertAlign w:val="baseline"/>
        </w:rPr>
        <w:t> </w:t>
      </w:r>
      <w:r>
        <w:rPr>
          <w:vertAlign w:val="baseline"/>
        </w:rPr>
        <w:t>amount and</w:t>
      </w:r>
      <w:r>
        <w:rPr>
          <w:spacing w:val="-1"/>
          <w:vertAlign w:val="baseline"/>
        </w:rPr>
        <w:t> </w:t>
      </w:r>
      <w:r>
        <w:rPr>
          <w:vertAlign w:val="baseline"/>
        </w:rPr>
        <w:t>thus, prolonging the duration</w:t>
      </w:r>
      <w:r>
        <w:rPr>
          <w:spacing w:val="-4"/>
          <w:vertAlign w:val="baseline"/>
        </w:rPr>
        <w:t> </w:t>
      </w:r>
      <w:r>
        <w:rPr>
          <w:vertAlign w:val="baseline"/>
        </w:rPr>
        <w:t>of</w:t>
      </w:r>
      <w:r>
        <w:rPr>
          <w:spacing w:val="-7"/>
          <w:vertAlign w:val="baseline"/>
        </w:rPr>
        <w:t> </w:t>
      </w:r>
      <w:r>
        <w:rPr>
          <w:vertAlign w:val="baseline"/>
        </w:rPr>
        <w:t>convulsions</w:t>
      </w:r>
      <w:r>
        <w:rPr>
          <w:spacing w:val="-1"/>
          <w:vertAlign w:val="baseline"/>
        </w:rPr>
        <w:t> </w:t>
      </w:r>
      <w:r>
        <w:rPr>
          <w:vertAlign w:val="baseline"/>
        </w:rPr>
        <w:t>(Inan and Buyukafsar, 2008). Apart from</w:t>
      </w:r>
      <w:r>
        <w:rPr>
          <w:spacing w:val="-8"/>
          <w:vertAlign w:val="baseline"/>
        </w:rPr>
        <w:t> </w:t>
      </w:r>
      <w:r>
        <w:rPr>
          <w:vertAlign w:val="baseline"/>
        </w:rPr>
        <w:t>the Ca</w:t>
      </w:r>
      <w:r>
        <w:rPr>
          <w:vertAlign w:val="superscript"/>
        </w:rPr>
        <w:t>2+</w:t>
      </w:r>
      <w:r>
        <w:rPr>
          <w:vertAlign w:val="baseline"/>
        </w:rPr>
        <w:t> ions, MES may also facilitate the entry of other positive ions like Na</w:t>
      </w:r>
      <w:r>
        <w:rPr>
          <w:vertAlign w:val="superscript"/>
        </w:rPr>
        <w:t>+</w:t>
      </w:r>
      <w:r>
        <w:rPr>
          <w:vertAlign w:val="baseline"/>
        </w:rPr>
        <w:t> and thus, its blockade can prevent the MES-induced tonic extension (Bum </w:t>
      </w:r>
      <w:r>
        <w:rPr>
          <w:i/>
          <w:vertAlign w:val="baseline"/>
        </w:rPr>
        <w:t>et al</w:t>
      </w:r>
      <w:r>
        <w:rPr>
          <w:vertAlign w:val="baseline"/>
        </w:rPr>
        <w:t>., 2010). On the contrary, potentiation of opioid and GABA receptors are also reported to protect against MES-induced seizures (Sandrini, 1992). Currently available anticonvulsant drugs like sodium valproate and phenytoin act by modulation of these ion channels (Rang </w:t>
      </w:r>
      <w:r>
        <w:rPr>
          <w:i/>
          <w:vertAlign w:val="baseline"/>
        </w:rPr>
        <w:t>et al</w:t>
      </w:r>
      <w:r>
        <w:rPr>
          <w:vertAlign w:val="baseline"/>
        </w:rPr>
        <w:t>., </w:t>
      </w:r>
      <w:r>
        <w:rPr>
          <w:spacing w:val="-2"/>
          <w:vertAlign w:val="baseline"/>
        </w:rPr>
        <w:t>2003).</w:t>
      </w:r>
    </w:p>
    <w:p>
      <w:pPr>
        <w:pStyle w:val="BodyText"/>
      </w:pPr>
    </w:p>
    <w:p>
      <w:pPr>
        <w:pStyle w:val="BodyText"/>
        <w:spacing w:before="2"/>
      </w:pPr>
    </w:p>
    <w:p>
      <w:pPr>
        <w:pStyle w:val="BodyText"/>
        <w:spacing w:line="480" w:lineRule="auto"/>
        <w:ind w:left="681" w:right="277"/>
        <w:jc w:val="both"/>
      </w:pPr>
      <w:r>
        <w:rPr/>
        <w:t>The MES is a model for generalized tonic-clonic seizures. The behavioral and electrographic seizures generated in this model are consistent with the human disorder (grand mal). This model</w:t>
      </w:r>
      <w:r>
        <w:rPr>
          <w:spacing w:val="-7"/>
        </w:rPr>
        <w:t> </w:t>
      </w:r>
      <w:r>
        <w:rPr/>
        <w:t>identifies</w:t>
      </w:r>
      <w:r>
        <w:rPr>
          <w:spacing w:val="-4"/>
        </w:rPr>
        <w:t> </w:t>
      </w:r>
      <w:r>
        <w:rPr/>
        <w:t>those</w:t>
      </w:r>
      <w:r>
        <w:rPr>
          <w:spacing w:val="-3"/>
        </w:rPr>
        <w:t> </w:t>
      </w:r>
      <w:r>
        <w:rPr/>
        <w:t>compounds</w:t>
      </w:r>
      <w:r>
        <w:rPr>
          <w:spacing w:val="-4"/>
        </w:rPr>
        <w:t> </w:t>
      </w:r>
      <w:r>
        <w:rPr/>
        <w:t>which</w:t>
      </w:r>
      <w:r>
        <w:rPr>
          <w:spacing w:val="-7"/>
        </w:rPr>
        <w:t> </w:t>
      </w:r>
      <w:r>
        <w:rPr/>
        <w:t>prevent</w:t>
      </w:r>
      <w:r>
        <w:rPr>
          <w:spacing w:val="-2"/>
        </w:rPr>
        <w:t> </w:t>
      </w:r>
      <w:r>
        <w:rPr/>
        <w:t>the</w:t>
      </w:r>
      <w:r>
        <w:rPr>
          <w:spacing w:val="-3"/>
        </w:rPr>
        <w:t> </w:t>
      </w:r>
      <w:r>
        <w:rPr/>
        <w:t>spread</w:t>
      </w:r>
      <w:r>
        <w:rPr>
          <w:spacing w:val="-2"/>
        </w:rPr>
        <w:t> </w:t>
      </w:r>
      <w:r>
        <w:rPr/>
        <w:t>of</w:t>
      </w:r>
      <w:r>
        <w:rPr>
          <w:spacing w:val="-10"/>
        </w:rPr>
        <w:t> </w:t>
      </w:r>
      <w:r>
        <w:rPr/>
        <w:t>seizures. Protection against hind limb tonic extension (HLTE) in the MEST predicts</w:t>
      </w:r>
      <w:r>
        <w:rPr>
          <w:spacing w:val="40"/>
        </w:rPr>
        <w:t> </w:t>
      </w:r>
      <w:r>
        <w:rPr/>
        <w:t>anticonvulsant activity of antiepileptic drugs that prevent the spread of seizure discharge from an epileptic focus during seizure activity (e.g phenytoin, carbamazepine, oxcarbazepine, and lamotrigine) (Browning, 1992). Thus, indicate the ability of the antiepileptic</w:t>
      </w:r>
      <w:r>
        <w:rPr>
          <w:spacing w:val="68"/>
        </w:rPr>
        <w:t> </w:t>
      </w:r>
      <w:r>
        <w:rPr/>
        <w:t>agent</w:t>
      </w:r>
      <w:r>
        <w:rPr>
          <w:spacing w:val="71"/>
        </w:rPr>
        <w:t> </w:t>
      </w:r>
      <w:r>
        <w:rPr/>
        <w:t>to</w:t>
      </w:r>
      <w:r>
        <w:rPr>
          <w:spacing w:val="72"/>
        </w:rPr>
        <w:t> </w:t>
      </w:r>
      <w:r>
        <w:rPr/>
        <w:t>serve</w:t>
      </w:r>
      <w:r>
        <w:rPr>
          <w:spacing w:val="70"/>
        </w:rPr>
        <w:t> </w:t>
      </w:r>
      <w:r>
        <w:rPr/>
        <w:t>in</w:t>
      </w:r>
      <w:r>
        <w:rPr>
          <w:spacing w:val="67"/>
        </w:rPr>
        <w:t> </w:t>
      </w:r>
      <w:r>
        <w:rPr/>
        <w:t>the</w:t>
      </w:r>
      <w:r>
        <w:rPr>
          <w:spacing w:val="69"/>
        </w:rPr>
        <w:t> </w:t>
      </w:r>
      <w:r>
        <w:rPr/>
        <w:t>treatment</w:t>
      </w:r>
      <w:r>
        <w:rPr>
          <w:spacing w:val="71"/>
        </w:rPr>
        <w:t> </w:t>
      </w:r>
      <w:r>
        <w:rPr/>
        <w:t>of</w:t>
      </w:r>
      <w:r>
        <w:rPr>
          <w:spacing w:val="59"/>
        </w:rPr>
        <w:t> </w:t>
      </w:r>
      <w:r>
        <w:rPr/>
        <w:t>generalized</w:t>
      </w:r>
      <w:r>
        <w:rPr>
          <w:spacing w:val="67"/>
        </w:rPr>
        <w:t> </w:t>
      </w:r>
      <w:r>
        <w:rPr/>
        <w:t>tonic-clonic</w:t>
      </w:r>
      <w:r>
        <w:rPr>
          <w:spacing w:val="65"/>
        </w:rPr>
        <w:t> </w:t>
      </w:r>
      <w:r>
        <w:rPr/>
        <w:t>and</w:t>
      </w:r>
      <w:r>
        <w:rPr>
          <w:spacing w:val="71"/>
        </w:rPr>
        <w:t> </w:t>
      </w:r>
      <w:r>
        <w:rPr>
          <w:spacing w:val="-2"/>
        </w:rPr>
        <w:t>partial</w:t>
      </w:r>
    </w:p>
    <w:p>
      <w:pPr>
        <w:spacing w:after="0" w:line="480" w:lineRule="auto"/>
        <w:jc w:val="both"/>
        <w:sectPr>
          <w:pgSz w:w="12240" w:h="15840"/>
          <w:pgMar w:header="0" w:footer="1066" w:top="1360" w:bottom="1260" w:left="1480" w:right="1160"/>
        </w:sectPr>
      </w:pPr>
    </w:p>
    <w:p>
      <w:pPr>
        <w:pStyle w:val="BodyText"/>
        <w:spacing w:line="480" w:lineRule="auto" w:before="72"/>
        <w:ind w:left="681" w:right="271"/>
        <w:jc w:val="both"/>
      </w:pPr>
      <w:r>
        <w:rPr/>
        <w:t>seizures (Raza </w:t>
      </w:r>
      <w:r>
        <w:rPr>
          <w:i/>
        </w:rPr>
        <w:t>et al</w:t>
      </w:r>
      <w:r>
        <w:rPr/>
        <w:t>., 2001). It has been suggested that, the induction of seizures by electroshock machine is through inhibitory current breakdown and voltage-dependent sodium channels in these electrically induced stimuli (McNamara, 1996). Antiepileptic drugs</w:t>
      </w:r>
      <w:r>
        <w:rPr>
          <w:spacing w:val="-3"/>
        </w:rPr>
        <w:t> </w:t>
      </w:r>
      <w:r>
        <w:rPr/>
        <w:t>that act via</w:t>
      </w:r>
      <w:r>
        <w:rPr>
          <w:spacing w:val="-2"/>
        </w:rPr>
        <w:t> </w:t>
      </w:r>
      <w:r>
        <w:rPr/>
        <w:t>this</w:t>
      </w:r>
      <w:r>
        <w:rPr>
          <w:spacing w:val="-3"/>
        </w:rPr>
        <w:t> </w:t>
      </w:r>
      <w:r>
        <w:rPr/>
        <w:t>pathway</w:t>
      </w:r>
      <w:r>
        <w:rPr>
          <w:spacing w:val="-5"/>
        </w:rPr>
        <w:t> </w:t>
      </w:r>
      <w:r>
        <w:rPr/>
        <w:t>are</w:t>
      </w:r>
      <w:r>
        <w:rPr>
          <w:spacing w:val="-2"/>
        </w:rPr>
        <w:t> </w:t>
      </w:r>
      <w:r>
        <w:rPr/>
        <w:t>able</w:t>
      </w:r>
      <w:r>
        <w:rPr>
          <w:spacing w:val="-2"/>
        </w:rPr>
        <w:t> </w:t>
      </w:r>
      <w:r>
        <w:rPr/>
        <w:t>to limit the</w:t>
      </w:r>
      <w:r>
        <w:rPr>
          <w:spacing w:val="-2"/>
        </w:rPr>
        <w:t> </w:t>
      </w:r>
      <w:r>
        <w:rPr/>
        <w:t>repetitive firing</w:t>
      </w:r>
      <w:r>
        <w:rPr>
          <w:spacing w:val="-1"/>
        </w:rPr>
        <w:t> </w:t>
      </w:r>
      <w:r>
        <w:rPr/>
        <w:t>of</w:t>
      </w:r>
      <w:r>
        <w:rPr>
          <w:spacing w:val="-8"/>
        </w:rPr>
        <w:t> </w:t>
      </w:r>
      <w:r>
        <w:rPr/>
        <w:t>action</w:t>
      </w:r>
      <w:r>
        <w:rPr>
          <w:spacing w:val="-5"/>
        </w:rPr>
        <w:t> </w:t>
      </w:r>
      <w:r>
        <w:rPr/>
        <w:t>potentials by slowing the rate of recovery of voltage-activated sodium ions channels from inactivation and suppress hind limb tonic extension in maximal electroshock seizures (Rho and Sankar, 1999). Also, increased levels noradrenaline, dopamine and 5-hydroxytrytamine protect</w:t>
      </w:r>
      <w:r>
        <w:rPr>
          <w:spacing w:val="-3"/>
        </w:rPr>
        <w:t> </w:t>
      </w:r>
      <w:r>
        <w:rPr/>
        <w:t>against elecro-convulsion</w:t>
      </w:r>
      <w:r>
        <w:rPr>
          <w:spacing w:val="-3"/>
        </w:rPr>
        <w:t> </w:t>
      </w:r>
      <w:r>
        <w:rPr/>
        <w:t>in</w:t>
      </w:r>
      <w:r>
        <w:rPr>
          <w:spacing w:val="-8"/>
        </w:rPr>
        <w:t> </w:t>
      </w:r>
      <w:r>
        <w:rPr/>
        <w:t>chicks</w:t>
      </w:r>
      <w:r>
        <w:rPr>
          <w:spacing w:val="-5"/>
        </w:rPr>
        <w:t> </w:t>
      </w:r>
      <w:r>
        <w:rPr/>
        <w:t>and</w:t>
      </w:r>
      <w:r>
        <w:rPr>
          <w:spacing w:val="-3"/>
        </w:rPr>
        <w:t> </w:t>
      </w:r>
      <w:r>
        <w:rPr/>
        <w:t>rats</w:t>
      </w:r>
      <w:r>
        <w:rPr>
          <w:spacing w:val="-5"/>
        </w:rPr>
        <w:t> </w:t>
      </w:r>
      <w:r>
        <w:rPr/>
        <w:t>(Osuide and Wambebe,</w:t>
      </w:r>
      <w:r>
        <w:rPr>
          <w:spacing w:val="-1"/>
        </w:rPr>
        <w:t> </w:t>
      </w:r>
      <w:r>
        <w:rPr/>
        <w:t>1979). All</w:t>
      </w:r>
      <w:r>
        <w:rPr>
          <w:spacing w:val="-11"/>
        </w:rPr>
        <w:t> </w:t>
      </w:r>
      <w:r>
        <w:rPr/>
        <w:t>the test compounds (DCP 23, DCP 25 and DCP 34) demonstrated good efficacy against MES-induced seizure in a</w:t>
      </w:r>
      <w:r>
        <w:rPr>
          <w:spacing w:val="-1"/>
        </w:rPr>
        <w:t> </w:t>
      </w:r>
      <w:r>
        <w:rPr/>
        <w:t>dose</w:t>
      </w:r>
      <w:r>
        <w:rPr>
          <w:spacing w:val="-1"/>
        </w:rPr>
        <w:t> </w:t>
      </w:r>
      <w:r>
        <w:rPr/>
        <w:t>dependent manner. Evidently from</w:t>
      </w:r>
      <w:r>
        <w:rPr>
          <w:spacing w:val="-9"/>
        </w:rPr>
        <w:t> </w:t>
      </w:r>
      <w:r>
        <w:rPr/>
        <w:t>the</w:t>
      </w:r>
      <w:r>
        <w:rPr>
          <w:spacing w:val="-1"/>
        </w:rPr>
        <w:t> </w:t>
      </w:r>
      <w:r>
        <w:rPr/>
        <w:t>graded doses</w:t>
      </w:r>
      <w:r>
        <w:rPr>
          <w:spacing w:val="-2"/>
        </w:rPr>
        <w:t> </w:t>
      </w:r>
      <w:r>
        <w:rPr/>
        <w:t>used, 2,3- dichloro substituted compound appeared to be the most potent. The activity was due to their ability to inhibit tonic hindlimb extension (THLE) of the animals and thus prevented the spread of seizure by possibly limiting the repetitive firing of action potentials. Though the model is not specific to one mechanism as described, generally could be closely linked to sodium channels mediated mechanism. This could be confirmed by the efficacy of the standard drug (phenytoin) used, which is known to act via sodium</w:t>
      </w:r>
      <w:r>
        <w:rPr>
          <w:spacing w:val="-6"/>
        </w:rPr>
        <w:t> </w:t>
      </w:r>
      <w:r>
        <w:rPr/>
        <w:t>channel.</w:t>
      </w:r>
      <w:r>
        <w:rPr>
          <w:spacing w:val="40"/>
        </w:rPr>
        <w:t> </w:t>
      </w:r>
      <w:r>
        <w:rPr/>
        <w:t>Therefore, the</w:t>
      </w:r>
      <w:r>
        <w:rPr>
          <w:spacing w:val="-2"/>
        </w:rPr>
        <w:t> </w:t>
      </w:r>
      <w:r>
        <w:rPr/>
        <w:t>test compounds may</w:t>
      </w:r>
      <w:r>
        <w:rPr>
          <w:spacing w:val="-1"/>
        </w:rPr>
        <w:t> </w:t>
      </w:r>
      <w:r>
        <w:rPr/>
        <w:t>serve</w:t>
      </w:r>
      <w:r>
        <w:rPr>
          <w:spacing w:val="-2"/>
        </w:rPr>
        <w:t> </w:t>
      </w:r>
      <w:r>
        <w:rPr/>
        <w:t>as lead compounds for the development of</w:t>
      </w:r>
      <w:r>
        <w:rPr>
          <w:spacing w:val="-5"/>
        </w:rPr>
        <w:t> </w:t>
      </w:r>
      <w:r>
        <w:rPr/>
        <w:t>newer antiepileptic agents in</w:t>
      </w:r>
      <w:r>
        <w:rPr>
          <w:spacing w:val="-2"/>
        </w:rPr>
        <w:t> </w:t>
      </w:r>
      <w:r>
        <w:rPr/>
        <w:t>the management of</w:t>
      </w:r>
      <w:r>
        <w:rPr>
          <w:spacing w:val="-5"/>
        </w:rPr>
        <w:t> </w:t>
      </w:r>
      <w:r>
        <w:rPr/>
        <w:t>generalized tonic-clonic and partial seizures.</w:t>
      </w:r>
    </w:p>
    <w:p>
      <w:pPr>
        <w:pStyle w:val="BodyText"/>
      </w:pPr>
    </w:p>
    <w:p>
      <w:pPr>
        <w:pStyle w:val="BodyText"/>
        <w:spacing w:before="4"/>
      </w:pPr>
    </w:p>
    <w:p>
      <w:pPr>
        <w:pStyle w:val="BodyText"/>
        <w:spacing w:line="480" w:lineRule="auto"/>
        <w:ind w:left="681" w:right="279"/>
        <w:jc w:val="both"/>
      </w:pPr>
      <w:r>
        <w:rPr/>
        <w:t>Pentylenetetrazole (PTZ) is believed to be an antagonist at GABA pathway in the CNS resulting in an imbalance between the ionic concentrations of the membrane</w:t>
      </w:r>
      <w:r>
        <w:rPr>
          <w:spacing w:val="40"/>
        </w:rPr>
        <w:t> </w:t>
      </w:r>
      <w:r>
        <w:rPr/>
        <w:t>(Nagakannan</w:t>
      </w:r>
      <w:r>
        <w:rPr>
          <w:spacing w:val="23"/>
        </w:rPr>
        <w:t> </w:t>
      </w:r>
      <w:r>
        <w:rPr>
          <w:i/>
        </w:rPr>
        <w:t>et</w:t>
      </w:r>
      <w:r>
        <w:rPr>
          <w:i/>
          <w:spacing w:val="25"/>
        </w:rPr>
        <w:t> </w:t>
      </w:r>
      <w:r>
        <w:rPr>
          <w:i/>
        </w:rPr>
        <w:t>al</w:t>
      </w:r>
      <w:r>
        <w:rPr/>
        <w:t>.,</w:t>
      </w:r>
      <w:r>
        <w:rPr>
          <w:spacing w:val="27"/>
        </w:rPr>
        <w:t> </w:t>
      </w:r>
      <w:r>
        <w:rPr/>
        <w:t>2011).</w:t>
      </w:r>
      <w:r>
        <w:rPr>
          <w:spacing w:val="27"/>
        </w:rPr>
        <w:t> </w:t>
      </w:r>
      <w:r>
        <w:rPr/>
        <w:t>Like</w:t>
      </w:r>
      <w:r>
        <w:rPr>
          <w:spacing w:val="24"/>
        </w:rPr>
        <w:t> </w:t>
      </w:r>
      <w:r>
        <w:rPr/>
        <w:t>other</w:t>
      </w:r>
      <w:r>
        <w:rPr>
          <w:spacing w:val="26"/>
        </w:rPr>
        <w:t> </w:t>
      </w:r>
      <w:r>
        <w:rPr/>
        <w:t>rodent</w:t>
      </w:r>
      <w:r>
        <w:rPr>
          <w:spacing w:val="30"/>
        </w:rPr>
        <w:t> </w:t>
      </w:r>
      <w:r>
        <w:rPr/>
        <w:t>models</w:t>
      </w:r>
      <w:r>
        <w:rPr>
          <w:spacing w:val="23"/>
        </w:rPr>
        <w:t> </w:t>
      </w:r>
      <w:r>
        <w:rPr/>
        <w:t>of</w:t>
      </w:r>
      <w:r>
        <w:rPr>
          <w:spacing w:val="22"/>
        </w:rPr>
        <w:t> </w:t>
      </w:r>
      <w:r>
        <w:rPr/>
        <w:t>absence</w:t>
      </w:r>
      <w:r>
        <w:rPr>
          <w:spacing w:val="29"/>
        </w:rPr>
        <w:t> </w:t>
      </w:r>
      <w:r>
        <w:rPr/>
        <w:t>seizures,</w:t>
      </w:r>
      <w:r>
        <w:rPr>
          <w:spacing w:val="27"/>
        </w:rPr>
        <w:t> </w:t>
      </w:r>
      <w:r>
        <w:rPr/>
        <w:t>PTZ-</w:t>
      </w:r>
      <w:r>
        <w:rPr>
          <w:spacing w:val="-2"/>
        </w:rPr>
        <w:t>induced</w:t>
      </w:r>
    </w:p>
    <w:p>
      <w:pPr>
        <w:spacing w:after="0" w:line="480" w:lineRule="auto"/>
        <w:jc w:val="both"/>
        <w:sectPr>
          <w:pgSz w:w="12240" w:h="15840"/>
          <w:pgMar w:header="0" w:footer="1066" w:top="1360" w:bottom="1260" w:left="1480" w:right="1160"/>
        </w:sectPr>
      </w:pPr>
    </w:p>
    <w:p>
      <w:pPr>
        <w:pStyle w:val="BodyText"/>
        <w:spacing w:line="480" w:lineRule="auto" w:before="72"/>
        <w:ind w:left="681" w:right="269"/>
        <w:jc w:val="both"/>
      </w:pPr>
      <w:r>
        <w:rPr/>
        <w:t>seizures are potentiated by g-aminobutyric acid (GABA) antagonist. With some minor exceptions, the pharmacological</w:t>
      </w:r>
      <w:r>
        <w:rPr>
          <w:spacing w:val="-6"/>
        </w:rPr>
        <w:t> </w:t>
      </w:r>
      <w:r>
        <w:rPr/>
        <w:t>profile of</w:t>
      </w:r>
      <w:r>
        <w:rPr>
          <w:spacing w:val="-4"/>
        </w:rPr>
        <w:t> </w:t>
      </w:r>
      <w:r>
        <w:rPr/>
        <w:t>the scPTZ seizure model</w:t>
      </w:r>
      <w:r>
        <w:rPr>
          <w:spacing w:val="-1"/>
        </w:rPr>
        <w:t> </w:t>
      </w:r>
      <w:r>
        <w:rPr/>
        <w:t>is consistent with</w:t>
      </w:r>
      <w:r>
        <w:rPr>
          <w:spacing w:val="-1"/>
        </w:rPr>
        <w:t> </w:t>
      </w:r>
      <w:r>
        <w:rPr/>
        <w:t>the human condition (petit mal) (Malawska, 2005). Studies have shown that PTZ induces seizures by blocking the major inhibitory pathways mediated by the predominant inhibitory neurotransmitter GABA, at all levels of the CNS (DeSarro </w:t>
      </w:r>
      <w:r>
        <w:rPr>
          <w:i/>
        </w:rPr>
        <w:t>et al</w:t>
      </w:r>
      <w:r>
        <w:rPr/>
        <w:t>., 1999). It has also been shown that seizures induced by PTZ, can be blocked by drugs such as ethosuximide that reduces T-type Ca</w:t>
      </w:r>
      <w:r>
        <w:rPr>
          <w:vertAlign w:val="superscript"/>
        </w:rPr>
        <w:t>2+</w:t>
      </w:r>
      <w:r>
        <w:rPr>
          <w:vertAlign w:val="baseline"/>
        </w:rPr>
        <w:t> currents (Rho and Saukar, 1999), and standard drugs such as diazepam and phenobarbitone are thought to produce their effects by enhancing GABA-mediated inhibition in the brain (Rogawski and Porter, 1990). It has been reported that dopamine reduces the threshold of PTZ convulsions in mice and pimozide (specific dopamine receptor antagonist) protected experimental animals against PTZ-induced</w:t>
      </w:r>
      <w:r>
        <w:rPr>
          <w:spacing w:val="-1"/>
          <w:vertAlign w:val="baseline"/>
        </w:rPr>
        <w:t> </w:t>
      </w:r>
      <w:r>
        <w:rPr>
          <w:vertAlign w:val="baseline"/>
        </w:rPr>
        <w:t>seizures</w:t>
      </w:r>
      <w:r>
        <w:rPr>
          <w:spacing w:val="-3"/>
          <w:vertAlign w:val="baseline"/>
        </w:rPr>
        <w:t> </w:t>
      </w:r>
      <w:r>
        <w:rPr>
          <w:vertAlign w:val="baseline"/>
        </w:rPr>
        <w:t>(Amabeoku, 1989).</w:t>
      </w:r>
      <w:r>
        <w:rPr>
          <w:spacing w:val="-4"/>
          <w:vertAlign w:val="baseline"/>
        </w:rPr>
        <w:t> </w:t>
      </w:r>
      <w:r>
        <w:rPr>
          <w:vertAlign w:val="baseline"/>
        </w:rPr>
        <w:t>In</w:t>
      </w:r>
      <w:r>
        <w:rPr>
          <w:spacing w:val="-6"/>
          <w:vertAlign w:val="baseline"/>
        </w:rPr>
        <w:t> </w:t>
      </w:r>
      <w:r>
        <w:rPr>
          <w:vertAlign w:val="baseline"/>
        </w:rPr>
        <w:t>addition, activation</w:t>
      </w:r>
      <w:r>
        <w:rPr>
          <w:spacing w:val="-6"/>
          <w:vertAlign w:val="baseline"/>
        </w:rPr>
        <w:t> </w:t>
      </w:r>
      <w:r>
        <w:rPr>
          <w:vertAlign w:val="baseline"/>
        </w:rPr>
        <w:t>of</w:t>
      </w:r>
      <w:r>
        <w:rPr>
          <w:spacing w:val="-9"/>
          <w:vertAlign w:val="baseline"/>
        </w:rPr>
        <w:t> </w:t>
      </w:r>
      <w:r>
        <w:rPr>
          <w:vertAlign w:val="baseline"/>
        </w:rPr>
        <w:t>N-methyl-D-aspartate (NMDA) receptor system appears to be involved in the initiation and propagation of pentylenetetrazole-induced seizures (Velisek </w:t>
      </w:r>
      <w:r>
        <w:rPr>
          <w:i/>
          <w:vertAlign w:val="baseline"/>
        </w:rPr>
        <w:t>et al</w:t>
      </w:r>
      <w:r>
        <w:rPr>
          <w:vertAlign w:val="baseline"/>
        </w:rPr>
        <w:t>., 1999). Drugs such as felbamate that block glutamatergic excitation mediated by NMDA receptor, have shown anticonvulsant activity against PTZ-induced seizures (White, 1997). Anticonvulsant activity in scPTZ test identifies compounds that can raise the seizure threshold in the brain (White </w:t>
      </w:r>
      <w:r>
        <w:rPr>
          <w:i/>
          <w:vertAlign w:val="baseline"/>
        </w:rPr>
        <w:t>et al</w:t>
      </w:r>
      <w:r>
        <w:rPr>
          <w:vertAlign w:val="baseline"/>
        </w:rPr>
        <w:t>., 1998). Antiepileptic drugs effective in the therapy of generalized seizures of (absence or myoclonic) petitmal type such as phenobarbital, and benzodiazepines, are capable of raising seizure threshold induced by pentylenetetrazole (Loscher </w:t>
      </w:r>
      <w:r>
        <w:rPr>
          <w:i/>
          <w:vertAlign w:val="baseline"/>
        </w:rPr>
        <w:t>et al</w:t>
      </w:r>
      <w:r>
        <w:rPr>
          <w:vertAlign w:val="baseline"/>
        </w:rPr>
        <w:t>., 1991). It is therefore possible that the anticonvulsant effects shown by DCP 23 ans DCP 25 against the PTZ-induced seizures might be due to activation of GABA neurotransmissions, blockade</w:t>
      </w:r>
      <w:r>
        <w:rPr>
          <w:spacing w:val="17"/>
          <w:vertAlign w:val="baseline"/>
        </w:rPr>
        <w:t> </w:t>
      </w:r>
      <w:r>
        <w:rPr>
          <w:vertAlign w:val="baseline"/>
        </w:rPr>
        <w:t>of</w:t>
      </w:r>
      <w:r>
        <w:rPr>
          <w:spacing w:val="12"/>
          <w:vertAlign w:val="baseline"/>
        </w:rPr>
        <w:t> </w:t>
      </w:r>
      <w:r>
        <w:rPr>
          <w:vertAlign w:val="baseline"/>
        </w:rPr>
        <w:t>glutamatergic</w:t>
      </w:r>
      <w:r>
        <w:rPr>
          <w:spacing w:val="24"/>
          <w:vertAlign w:val="baseline"/>
        </w:rPr>
        <w:t> </w:t>
      </w:r>
      <w:r>
        <w:rPr>
          <w:vertAlign w:val="baseline"/>
        </w:rPr>
        <w:t>neurotransmission</w:t>
      </w:r>
      <w:r>
        <w:rPr>
          <w:spacing w:val="20"/>
          <w:vertAlign w:val="baseline"/>
        </w:rPr>
        <w:t> </w:t>
      </w:r>
      <w:r>
        <w:rPr>
          <w:vertAlign w:val="baseline"/>
        </w:rPr>
        <w:t>mediated</w:t>
      </w:r>
      <w:r>
        <w:rPr>
          <w:spacing w:val="20"/>
          <w:vertAlign w:val="baseline"/>
        </w:rPr>
        <w:t> </w:t>
      </w:r>
      <w:r>
        <w:rPr>
          <w:vertAlign w:val="baseline"/>
        </w:rPr>
        <w:t>by</w:t>
      </w:r>
      <w:r>
        <w:rPr>
          <w:spacing w:val="15"/>
          <w:vertAlign w:val="baseline"/>
        </w:rPr>
        <w:t> </w:t>
      </w:r>
      <w:r>
        <w:rPr>
          <w:vertAlign w:val="baseline"/>
        </w:rPr>
        <w:t>NMDA</w:t>
      </w:r>
      <w:r>
        <w:rPr>
          <w:spacing w:val="24"/>
          <w:vertAlign w:val="baseline"/>
        </w:rPr>
        <w:t> </w:t>
      </w:r>
      <w:r>
        <w:rPr>
          <w:vertAlign w:val="baseline"/>
        </w:rPr>
        <w:t>receptor,</w:t>
      </w:r>
      <w:r>
        <w:rPr>
          <w:spacing w:val="17"/>
          <w:vertAlign w:val="baseline"/>
        </w:rPr>
        <w:t> </w:t>
      </w:r>
      <w:r>
        <w:rPr>
          <w:vertAlign w:val="baseline"/>
        </w:rPr>
        <w:t>or</w:t>
      </w:r>
      <w:r>
        <w:rPr>
          <w:spacing w:val="22"/>
          <w:vertAlign w:val="baseline"/>
        </w:rPr>
        <w:t> </w:t>
      </w:r>
      <w:r>
        <w:rPr>
          <w:spacing w:val="-2"/>
          <w:vertAlign w:val="baseline"/>
        </w:rPr>
        <w:t>blockade</w:t>
      </w:r>
    </w:p>
    <w:p>
      <w:pPr>
        <w:spacing w:after="0" w:line="480" w:lineRule="auto"/>
        <w:jc w:val="both"/>
        <w:sectPr>
          <w:pgSz w:w="12240" w:h="15840"/>
          <w:pgMar w:header="0" w:footer="1066" w:top="1360" w:bottom="1260" w:left="1480" w:right="1160"/>
        </w:sectPr>
      </w:pPr>
    </w:p>
    <w:p>
      <w:pPr>
        <w:pStyle w:val="BodyText"/>
        <w:spacing w:line="480" w:lineRule="auto" w:before="72"/>
        <w:ind w:left="681" w:right="279"/>
        <w:jc w:val="both"/>
      </w:pPr>
      <w:r>
        <w:rPr/>
        <w:t>of the dopaminergic receptor system in the CNS. However, DCP34 may lack these properties as it did not show activity against this test model. Therefore, the two compounds with good anticonvulsant activity in this test</w:t>
      </w:r>
      <w:r>
        <w:rPr>
          <w:spacing w:val="26"/>
        </w:rPr>
        <w:t> </w:t>
      </w:r>
      <w:r>
        <w:rPr/>
        <w:t>model, which was comparable</w:t>
      </w:r>
      <w:r>
        <w:rPr>
          <w:spacing w:val="40"/>
        </w:rPr>
        <w:t> </w:t>
      </w:r>
      <w:r>
        <w:rPr/>
        <w:t>to sodium valproate (standard drug), could be optimized and serve as potential lead compounds for the development of antiepileptic agents against clonic seizure and thus may be beneficial in absence seizure.</w:t>
      </w:r>
    </w:p>
    <w:p>
      <w:pPr>
        <w:pStyle w:val="BodyText"/>
      </w:pPr>
    </w:p>
    <w:p>
      <w:pPr>
        <w:pStyle w:val="BodyText"/>
        <w:spacing w:before="1"/>
      </w:pPr>
    </w:p>
    <w:p>
      <w:pPr>
        <w:pStyle w:val="BodyText"/>
        <w:spacing w:line="480" w:lineRule="auto"/>
        <w:ind w:left="681" w:right="275"/>
        <w:jc w:val="both"/>
      </w:pPr>
      <w:r>
        <w:rPr/>
        <w:t>4-aminopyridine induces clonic-tonic convulsions by blocking potassium channels (Yamaguchi and Rogawski, 1992). Potassium channels play a vital role in the control of neuronal excitability and seizure susceptibility, and will prove important for the suppression of seizure initiation and spread (Wickenden, 2002). The potassium channel activators which more readily penetrate the central nervous system (CNS) may have therapeutic potential in the treatment of epilepsy. The test compounds may not have activity</w:t>
      </w:r>
      <w:r>
        <w:rPr>
          <w:spacing w:val="-2"/>
        </w:rPr>
        <w:t> </w:t>
      </w:r>
      <w:r>
        <w:rPr/>
        <w:t>against this</w:t>
      </w:r>
      <w:r>
        <w:rPr>
          <w:spacing w:val="-1"/>
        </w:rPr>
        <w:t> </w:t>
      </w:r>
      <w:r>
        <w:rPr/>
        <w:t>test model, as</w:t>
      </w:r>
      <w:r>
        <w:rPr>
          <w:spacing w:val="-1"/>
        </w:rPr>
        <w:t> </w:t>
      </w:r>
      <w:r>
        <w:rPr/>
        <w:t>they</w:t>
      </w:r>
      <w:r>
        <w:rPr>
          <w:spacing w:val="-2"/>
        </w:rPr>
        <w:t> </w:t>
      </w:r>
      <w:r>
        <w:rPr/>
        <w:t>did not offer protection</w:t>
      </w:r>
      <w:r>
        <w:rPr>
          <w:spacing w:val="-3"/>
        </w:rPr>
        <w:t> </w:t>
      </w:r>
      <w:r>
        <w:rPr/>
        <w:t>against seizures</w:t>
      </w:r>
      <w:r>
        <w:rPr>
          <w:spacing w:val="-1"/>
        </w:rPr>
        <w:t> </w:t>
      </w:r>
      <w:r>
        <w:rPr/>
        <w:t>generated by 4-aminopyridine contrary to the standard drug (Phenobarbitone) and thus, could not act to block potassium channels. However, the little activity demonstrated by the 3,4- dichlorosubstituted compound might be an</w:t>
      </w:r>
      <w:r>
        <w:rPr>
          <w:spacing w:val="-2"/>
        </w:rPr>
        <w:t> </w:t>
      </w:r>
      <w:r>
        <w:rPr/>
        <w:t>evidence to show some properties against this </w:t>
      </w:r>
      <w:r>
        <w:rPr>
          <w:spacing w:val="-2"/>
        </w:rPr>
        <w:t>pathway.</w:t>
      </w:r>
    </w:p>
    <w:p>
      <w:pPr>
        <w:pStyle w:val="BodyText"/>
      </w:pPr>
    </w:p>
    <w:p>
      <w:pPr>
        <w:pStyle w:val="BodyText"/>
        <w:spacing w:before="3"/>
      </w:pPr>
    </w:p>
    <w:p>
      <w:pPr>
        <w:pStyle w:val="BodyText"/>
        <w:spacing w:line="480" w:lineRule="auto"/>
        <w:ind w:left="681" w:right="281"/>
        <w:jc w:val="both"/>
      </w:pPr>
      <w:r>
        <w:rPr/>
        <w:t>Strychnine is a competitive antagonist of the inhibitory amino acid glycine (Larson, 1969). The absence of anticonvulsant activity shown by all the test compounds and phenobarbitone in the seizures generated by</w:t>
      </w:r>
      <w:r>
        <w:rPr>
          <w:spacing w:val="-1"/>
        </w:rPr>
        <w:t> </w:t>
      </w:r>
      <w:r>
        <w:rPr/>
        <w:t>strychnine, suggests that the compounds and the standard drug at the dose tested, might not have interaction with glycine receptor.</w:t>
      </w:r>
    </w:p>
    <w:p>
      <w:pPr>
        <w:spacing w:after="0" w:line="480" w:lineRule="auto"/>
        <w:jc w:val="both"/>
        <w:sectPr>
          <w:pgSz w:w="12240" w:h="15840"/>
          <w:pgMar w:header="0" w:footer="1066" w:top="1360" w:bottom="1260" w:left="1480" w:right="1160"/>
        </w:sectPr>
      </w:pPr>
    </w:p>
    <w:p>
      <w:pPr>
        <w:pStyle w:val="BodyText"/>
        <w:spacing w:line="480" w:lineRule="auto" w:before="72"/>
        <w:ind w:left="681" w:right="275"/>
        <w:jc w:val="both"/>
      </w:pPr>
      <w:r>
        <w:rPr/>
        <w:t>The test compounds (DCP 23 and DCP 25) showed good activity against picrotoxin- induced seizures in a dose dependent manner. Picrotoxin is a non-competitive GABA antagonist that blocks the chloride channel (Takeuchi and Takeuchi, 1969). Antiepilepic agents such as sodium valproate, phenobarbitone, benzodiazepine and ethosuximide suppress seizures induced by</w:t>
      </w:r>
      <w:r>
        <w:rPr>
          <w:spacing w:val="-1"/>
        </w:rPr>
        <w:t> </w:t>
      </w:r>
      <w:r>
        <w:rPr/>
        <w:t>picrotoxin</w:t>
      </w:r>
      <w:r>
        <w:rPr>
          <w:spacing w:val="-3"/>
        </w:rPr>
        <w:t> </w:t>
      </w:r>
      <w:r>
        <w:rPr/>
        <w:t>at different doses</w:t>
      </w:r>
      <w:r>
        <w:rPr>
          <w:spacing w:val="-1"/>
        </w:rPr>
        <w:t> </w:t>
      </w:r>
      <w:r>
        <w:rPr/>
        <w:t>(Porter </w:t>
      </w:r>
      <w:r>
        <w:rPr>
          <w:i/>
        </w:rPr>
        <w:t>et al</w:t>
      </w:r>
      <w:r>
        <w:rPr/>
        <w:t>., 1984). Similarly, among the new antiepileptic drugs, gabapentin and tiagabine suppress seizures induced</w:t>
      </w:r>
      <w:r>
        <w:rPr>
          <w:spacing w:val="40"/>
        </w:rPr>
        <w:t> </w:t>
      </w:r>
      <w:r>
        <w:rPr/>
        <w:t>by picrotoxin (Taylor, 1995). These agents are known to have different mechanisms of action at the molecular level in relation to GABA (Rho and Sankar, 1999). The efficacy</w:t>
      </w:r>
      <w:r>
        <w:rPr>
          <w:spacing w:val="40"/>
        </w:rPr>
        <w:t> </w:t>
      </w:r>
      <w:r>
        <w:rPr/>
        <w:t>of</w:t>
      </w:r>
      <w:r>
        <w:rPr>
          <w:spacing w:val="-4"/>
        </w:rPr>
        <w:t> </w:t>
      </w:r>
      <w:r>
        <w:rPr/>
        <w:t>the test compounds against this model further suggests their possible ability</w:t>
      </w:r>
      <w:r>
        <w:rPr>
          <w:spacing w:val="-1"/>
        </w:rPr>
        <w:t> </w:t>
      </w:r>
      <w:r>
        <w:rPr/>
        <w:t>to interact with chloride channel, and the interaction may be related to that of benzodiazepine and other allied agents as evidently shown when diazepam was employed as the standard</w:t>
      </w:r>
      <w:r>
        <w:rPr>
          <w:spacing w:val="80"/>
        </w:rPr>
        <w:t> </w:t>
      </w:r>
      <w:r>
        <w:rPr/>
        <w:t>drug in the study. Therefore, the test compounds could be predicted to act via GABA- mediated mechanisms.</w:t>
      </w:r>
    </w:p>
    <w:p>
      <w:pPr>
        <w:pStyle w:val="BodyText"/>
      </w:pPr>
    </w:p>
    <w:p>
      <w:pPr>
        <w:pStyle w:val="BodyText"/>
        <w:spacing w:before="3"/>
      </w:pPr>
    </w:p>
    <w:p>
      <w:pPr>
        <w:pStyle w:val="BodyText"/>
        <w:spacing w:line="480" w:lineRule="auto"/>
        <w:ind w:left="681" w:right="271"/>
        <w:jc w:val="both"/>
      </w:pPr>
      <w:r>
        <w:rPr/>
        <w:t>Tolerance development has been most frequently demonstrated for drugs that act upon</w:t>
      </w:r>
      <w:r>
        <w:rPr>
          <w:spacing w:val="40"/>
        </w:rPr>
        <w:t> </w:t>
      </w:r>
      <w:r>
        <w:rPr/>
        <w:t>the central nervous system, such as opiate analgesics, nicotine, benzodiazepines, ethanol, cocaine and amphetamine (Alvan </w:t>
      </w:r>
      <w:r>
        <w:rPr>
          <w:i/>
        </w:rPr>
        <w:t>et al</w:t>
      </w:r>
      <w:r>
        <w:rPr/>
        <w:t>., 2001). It can result from increased drug metabolism or from</w:t>
      </w:r>
      <w:r>
        <w:rPr>
          <w:spacing w:val="-4"/>
        </w:rPr>
        <w:t> </w:t>
      </w:r>
      <w:r>
        <w:rPr/>
        <w:t>adaptations in the neural elements that respond to the drugs initially, thus, causes diminished effect of the drug after repeated administration at the same dose (Nestler </w:t>
      </w:r>
      <w:r>
        <w:rPr>
          <w:i/>
        </w:rPr>
        <w:t>et al</w:t>
      </w:r>
      <w:r>
        <w:rPr/>
        <w:t>., 2009). Daily oral administration of the test compounds for 5 days is a recommended study to evaluate possible development of tolerance for potential anticonvulsant agents (Stables and Kupferberg, 1997). The results of this study showed that,</w:t>
      </w:r>
      <w:r>
        <w:rPr>
          <w:spacing w:val="35"/>
        </w:rPr>
        <w:t> </w:t>
      </w:r>
      <w:r>
        <w:rPr/>
        <w:t>all</w:t>
      </w:r>
      <w:r>
        <w:rPr>
          <w:spacing w:val="29"/>
        </w:rPr>
        <w:t> </w:t>
      </w:r>
      <w:r>
        <w:rPr/>
        <w:t>the</w:t>
      </w:r>
      <w:r>
        <w:rPr>
          <w:spacing w:val="31"/>
        </w:rPr>
        <w:t> </w:t>
      </w:r>
      <w:r>
        <w:rPr/>
        <w:t>test</w:t>
      </w:r>
      <w:r>
        <w:rPr>
          <w:spacing w:val="34"/>
        </w:rPr>
        <w:t> </w:t>
      </w:r>
      <w:r>
        <w:rPr/>
        <w:t>compounds</w:t>
      </w:r>
      <w:r>
        <w:rPr>
          <w:spacing w:val="30"/>
        </w:rPr>
        <w:t> </w:t>
      </w:r>
      <w:r>
        <w:rPr/>
        <w:t>were</w:t>
      </w:r>
      <w:r>
        <w:rPr>
          <w:spacing w:val="32"/>
        </w:rPr>
        <w:t> </w:t>
      </w:r>
      <w:r>
        <w:rPr/>
        <w:t>able</w:t>
      </w:r>
      <w:r>
        <w:rPr>
          <w:spacing w:val="32"/>
        </w:rPr>
        <w:t> </w:t>
      </w:r>
      <w:r>
        <w:rPr/>
        <w:t>to</w:t>
      </w:r>
      <w:r>
        <w:rPr>
          <w:spacing w:val="32"/>
        </w:rPr>
        <w:t> </w:t>
      </w:r>
      <w:r>
        <w:rPr/>
        <w:t>offer</w:t>
      </w:r>
      <w:r>
        <w:rPr>
          <w:spacing w:val="35"/>
        </w:rPr>
        <w:t> </w:t>
      </w:r>
      <w:r>
        <w:rPr/>
        <w:t>higher</w:t>
      </w:r>
      <w:r>
        <w:rPr>
          <w:spacing w:val="34"/>
        </w:rPr>
        <w:t> </w:t>
      </w:r>
      <w:r>
        <w:rPr/>
        <w:t>protection</w:t>
      </w:r>
      <w:r>
        <w:rPr>
          <w:spacing w:val="28"/>
        </w:rPr>
        <w:t> </w:t>
      </w:r>
      <w:r>
        <w:rPr/>
        <w:t>against</w:t>
      </w:r>
      <w:r>
        <w:rPr>
          <w:spacing w:val="38"/>
        </w:rPr>
        <w:t> </w:t>
      </w:r>
      <w:r>
        <w:rPr/>
        <w:t>MES-</w:t>
      </w:r>
      <w:r>
        <w:rPr>
          <w:spacing w:val="-2"/>
        </w:rPr>
        <w:t>induced</w:t>
      </w:r>
    </w:p>
    <w:p>
      <w:pPr>
        <w:spacing w:after="0" w:line="480" w:lineRule="auto"/>
        <w:jc w:val="both"/>
        <w:sectPr>
          <w:pgSz w:w="12240" w:h="15840"/>
          <w:pgMar w:header="0" w:footer="1066" w:top="1360" w:bottom="1260" w:left="1480" w:right="1160"/>
        </w:sectPr>
      </w:pPr>
    </w:p>
    <w:p>
      <w:pPr>
        <w:pStyle w:val="BodyText"/>
        <w:spacing w:line="480" w:lineRule="auto" w:before="72"/>
        <w:ind w:left="681" w:right="282"/>
        <w:jc w:val="both"/>
      </w:pPr>
      <w:r>
        <w:rPr/>
        <w:t>seizure</w:t>
      </w:r>
      <w:r>
        <w:rPr>
          <w:spacing w:val="-1"/>
        </w:rPr>
        <w:t> </w:t>
      </w:r>
      <w:r>
        <w:rPr/>
        <w:t>after 5-day</w:t>
      </w:r>
      <w:r>
        <w:rPr>
          <w:spacing w:val="-10"/>
        </w:rPr>
        <w:t> </w:t>
      </w:r>
      <w:r>
        <w:rPr/>
        <w:t>of</w:t>
      </w:r>
      <w:r>
        <w:rPr>
          <w:spacing w:val="-8"/>
        </w:rPr>
        <w:t> </w:t>
      </w:r>
      <w:r>
        <w:rPr/>
        <w:t>their daily</w:t>
      </w:r>
      <w:r>
        <w:rPr>
          <w:spacing w:val="-5"/>
        </w:rPr>
        <w:t> </w:t>
      </w:r>
      <w:r>
        <w:rPr/>
        <w:t>administration. The</w:t>
      </w:r>
      <w:r>
        <w:rPr>
          <w:spacing w:val="-1"/>
        </w:rPr>
        <w:t> </w:t>
      </w:r>
      <w:r>
        <w:rPr/>
        <w:t>protection</w:t>
      </w:r>
      <w:r>
        <w:rPr>
          <w:spacing w:val="-5"/>
        </w:rPr>
        <w:t> </w:t>
      </w:r>
      <w:r>
        <w:rPr/>
        <w:t>was higher than</w:t>
      </w:r>
      <w:r>
        <w:rPr>
          <w:spacing w:val="-5"/>
        </w:rPr>
        <w:t> </w:t>
      </w:r>
      <w:r>
        <w:rPr/>
        <w:t>those</w:t>
      </w:r>
      <w:r>
        <w:rPr>
          <w:spacing w:val="-1"/>
        </w:rPr>
        <w:t> </w:t>
      </w:r>
      <w:r>
        <w:rPr/>
        <w:t>that received single dose of the test compounds. This would further show that there was no diminished effect of</w:t>
      </w:r>
      <w:r>
        <w:rPr>
          <w:spacing w:val="-1"/>
        </w:rPr>
        <w:t> </w:t>
      </w:r>
      <w:r>
        <w:rPr/>
        <w:t>the compounds, and hence, indicated non development of</w:t>
      </w:r>
      <w:r>
        <w:rPr>
          <w:spacing w:val="-1"/>
        </w:rPr>
        <w:t> </w:t>
      </w:r>
      <w:r>
        <w:rPr/>
        <w:t>tolerance.</w:t>
      </w:r>
    </w:p>
    <w:p>
      <w:pPr>
        <w:pStyle w:val="BodyText"/>
      </w:pPr>
    </w:p>
    <w:p>
      <w:pPr>
        <w:pStyle w:val="BodyText"/>
        <w:spacing w:before="1"/>
      </w:pPr>
    </w:p>
    <w:p>
      <w:pPr>
        <w:pStyle w:val="BodyText"/>
        <w:spacing w:line="480" w:lineRule="auto"/>
        <w:ind w:left="681" w:right="272" w:firstLine="62"/>
        <w:jc w:val="both"/>
      </w:pPr>
      <w:r>
        <w:rPr/>
        <w:t>Kindling is</w:t>
      </w:r>
      <w:r>
        <w:rPr>
          <w:spacing w:val="-4"/>
        </w:rPr>
        <w:t> </w:t>
      </w:r>
      <w:r>
        <w:rPr/>
        <w:t>a</w:t>
      </w:r>
      <w:r>
        <w:rPr>
          <w:spacing w:val="-3"/>
        </w:rPr>
        <w:t> </w:t>
      </w:r>
      <w:r>
        <w:rPr/>
        <w:t>well-established model</w:t>
      </w:r>
      <w:r>
        <w:rPr>
          <w:spacing w:val="-7"/>
        </w:rPr>
        <w:t> </w:t>
      </w:r>
      <w:r>
        <w:rPr/>
        <w:t>of</w:t>
      </w:r>
      <w:r>
        <w:rPr>
          <w:spacing w:val="-10"/>
        </w:rPr>
        <w:t> </w:t>
      </w:r>
      <w:r>
        <w:rPr/>
        <w:t>abnormal</w:t>
      </w:r>
      <w:r>
        <w:rPr>
          <w:spacing w:val="-2"/>
        </w:rPr>
        <w:t> </w:t>
      </w:r>
      <w:r>
        <w:rPr/>
        <w:t>plasticity</w:t>
      </w:r>
      <w:r>
        <w:rPr>
          <w:spacing w:val="-2"/>
        </w:rPr>
        <w:t> </w:t>
      </w:r>
      <w:r>
        <w:rPr/>
        <w:t>leading</w:t>
      </w:r>
      <w:r>
        <w:rPr>
          <w:spacing w:val="-2"/>
        </w:rPr>
        <w:t> </w:t>
      </w:r>
      <w:r>
        <w:rPr/>
        <w:t>to prolonged seizures and to epilepsy (Rivera </w:t>
      </w:r>
      <w:r>
        <w:rPr>
          <w:i/>
        </w:rPr>
        <w:t>et al</w:t>
      </w:r>
      <w:r>
        <w:rPr/>
        <w:t>., 2012). It is a model of epilepsy and epileptogenesis where repeated administration of a subconvulsive dose of PTZ produced a progressive increase in convulsant activity, culminating in generalized seizures in animals (Dhir, </w:t>
      </w:r>
      <w:r>
        <w:rPr>
          <w:i/>
        </w:rPr>
        <w:t>et al</w:t>
      </w:r>
      <w:r>
        <w:rPr/>
        <w:t>., 2007). The generalized tonic-clonic seizure in this model resemble that of epilepsy in humans (Becker, </w:t>
      </w:r>
      <w:r>
        <w:rPr>
          <w:i/>
        </w:rPr>
        <w:t>et al</w:t>
      </w:r>
      <w:r>
        <w:rPr/>
        <w:t>., 1992) and hippocampus is the brain area that participate in seizure generation following kindling (Takemiya, </w:t>
      </w:r>
      <w:r>
        <w:rPr>
          <w:i/>
        </w:rPr>
        <w:t>et al</w:t>
      </w:r>
      <w:r>
        <w:rPr/>
        <w:t>., 2003). The test compounds were able to retard the severity of seizure by not allowing the seizure progression to classical convulsion stage (stage 3-5). Since PTZ induces seizures by blocking the major</w:t>
      </w:r>
      <w:r>
        <w:rPr>
          <w:spacing w:val="80"/>
        </w:rPr>
        <w:t> </w:t>
      </w:r>
      <w:r>
        <w:rPr/>
        <w:t>inhibitory pathways mediated by the predominant inhibitory neurotransmitter GABA, at all levels of the CNS (DeSarro </w:t>
      </w:r>
      <w:r>
        <w:rPr>
          <w:i/>
        </w:rPr>
        <w:t>et al</w:t>
      </w:r>
      <w:r>
        <w:rPr/>
        <w:t>., 1999) further suggests the potential of the test compounds in enhancing GABA transmission or inhibit the seizure generation following kindling in hippocampus area.</w:t>
      </w:r>
    </w:p>
    <w:p>
      <w:pPr>
        <w:pStyle w:val="BodyText"/>
      </w:pPr>
    </w:p>
    <w:p>
      <w:pPr>
        <w:pStyle w:val="BodyText"/>
        <w:spacing w:before="3"/>
      </w:pPr>
    </w:p>
    <w:p>
      <w:pPr>
        <w:pStyle w:val="BodyText"/>
        <w:spacing w:line="480" w:lineRule="auto"/>
        <w:ind w:left="681" w:right="277"/>
        <w:jc w:val="both"/>
      </w:pPr>
      <w:r>
        <w:rPr/>
        <w:t>Fluphenamic acid has an interesting modulatory effect on neuronal sodium channels, reducing sodium current availability and slowing down inactivation and recovery from inactivation, leading to diminished repetitive and burst firing (Hau-Jie </w:t>
      </w:r>
      <w:r>
        <w:rPr>
          <w:i/>
        </w:rPr>
        <w:t>et al</w:t>
      </w:r>
      <w:r>
        <w:rPr/>
        <w:t>., 2010). Antiepileptic drugs that act via MEST model are able to limit the repetitive firing of action</w:t>
      </w:r>
      <w:r>
        <w:rPr>
          <w:spacing w:val="69"/>
        </w:rPr>
        <w:t> </w:t>
      </w:r>
      <w:r>
        <w:rPr/>
        <w:t>potentials</w:t>
      </w:r>
      <w:r>
        <w:rPr>
          <w:spacing w:val="76"/>
        </w:rPr>
        <w:t> </w:t>
      </w:r>
      <w:r>
        <w:rPr/>
        <w:t>by</w:t>
      </w:r>
      <w:r>
        <w:rPr>
          <w:spacing w:val="69"/>
        </w:rPr>
        <w:t> </w:t>
      </w:r>
      <w:r>
        <w:rPr/>
        <w:t>slowing</w:t>
      </w:r>
      <w:r>
        <w:rPr>
          <w:spacing w:val="74"/>
        </w:rPr>
        <w:t> </w:t>
      </w:r>
      <w:r>
        <w:rPr/>
        <w:t>the</w:t>
      </w:r>
      <w:r>
        <w:rPr>
          <w:spacing w:val="73"/>
        </w:rPr>
        <w:t> </w:t>
      </w:r>
      <w:r>
        <w:rPr/>
        <w:t>rate</w:t>
      </w:r>
      <w:r>
        <w:rPr>
          <w:spacing w:val="74"/>
        </w:rPr>
        <w:t> </w:t>
      </w:r>
      <w:r>
        <w:rPr/>
        <w:t>of</w:t>
      </w:r>
      <w:r>
        <w:rPr>
          <w:spacing w:val="66"/>
        </w:rPr>
        <w:t> </w:t>
      </w:r>
      <w:r>
        <w:rPr/>
        <w:t>recovery</w:t>
      </w:r>
      <w:r>
        <w:rPr>
          <w:spacing w:val="64"/>
        </w:rPr>
        <w:t> </w:t>
      </w:r>
      <w:r>
        <w:rPr/>
        <w:t>of</w:t>
      </w:r>
      <w:r>
        <w:rPr>
          <w:spacing w:val="71"/>
        </w:rPr>
        <w:t> </w:t>
      </w:r>
      <w:r>
        <w:rPr/>
        <w:t>voltage-activated</w:t>
      </w:r>
      <w:r>
        <w:rPr>
          <w:spacing w:val="74"/>
        </w:rPr>
        <w:t> </w:t>
      </w:r>
      <w:r>
        <w:rPr/>
        <w:t>sodium</w:t>
      </w:r>
      <w:r>
        <w:rPr>
          <w:spacing w:val="75"/>
        </w:rPr>
        <w:t> </w:t>
      </w:r>
      <w:r>
        <w:rPr>
          <w:spacing w:val="-4"/>
        </w:rPr>
        <w:t>ions</w:t>
      </w:r>
    </w:p>
    <w:p>
      <w:pPr>
        <w:spacing w:after="0" w:line="480" w:lineRule="auto"/>
        <w:jc w:val="both"/>
        <w:sectPr>
          <w:pgSz w:w="12240" w:h="15840"/>
          <w:pgMar w:header="0" w:footer="1066" w:top="1360" w:bottom="1260" w:left="1480" w:right="1160"/>
        </w:sectPr>
      </w:pPr>
    </w:p>
    <w:p>
      <w:pPr>
        <w:pStyle w:val="BodyText"/>
        <w:spacing w:line="480" w:lineRule="auto" w:before="72"/>
        <w:ind w:left="681" w:right="280"/>
        <w:jc w:val="both"/>
      </w:pPr>
      <w:r>
        <w:rPr/>
        <w:t>channels from inactivation and suppress hind limb tonic extension in maximal electroshock seizures (Rho and Sankar, 1999). The ability of fluphenamic acid to offer dose dependent protection against MES model confirmed its modulatory effect on neuronal sodium channels. This is clearly demonstrated by its effect to potentiate the protective outcome of the test compounds (DCP 23 and DCP 25) when interacted at the lowest dose where it offered no protection. The potentiation was similarly</w:t>
      </w:r>
      <w:r>
        <w:rPr>
          <w:spacing w:val="-2"/>
        </w:rPr>
        <w:t> </w:t>
      </w:r>
      <w:r>
        <w:rPr/>
        <w:t>observed with phenytoin suggesting similar possible mechanism of action between the test compounds, phenytoin and fluphenamic acid.</w:t>
      </w:r>
    </w:p>
    <w:p>
      <w:pPr>
        <w:pStyle w:val="BodyText"/>
      </w:pPr>
    </w:p>
    <w:p>
      <w:pPr>
        <w:pStyle w:val="BodyText"/>
        <w:spacing w:before="2"/>
      </w:pPr>
    </w:p>
    <w:p>
      <w:pPr>
        <w:pStyle w:val="BodyText"/>
        <w:spacing w:line="480" w:lineRule="auto"/>
        <w:ind w:left="681" w:right="275"/>
        <w:jc w:val="both"/>
      </w:pPr>
      <w:r>
        <w:rPr/>
        <w:t>Overexpression of</w:t>
      </w:r>
      <w:r>
        <w:rPr>
          <w:spacing w:val="-3"/>
        </w:rPr>
        <w:t> </w:t>
      </w:r>
      <w:r>
        <w:rPr/>
        <w:t>T-type channels appears to be linked to pathophysiological conditions such as absence seizure, and metallic ions such as Cd</w:t>
      </w:r>
      <w:r>
        <w:rPr>
          <w:vertAlign w:val="superscript"/>
        </w:rPr>
        <w:t>2+</w:t>
      </w:r>
      <w:r>
        <w:rPr>
          <w:vertAlign w:val="baseline"/>
        </w:rPr>
        <w:t>, Co</w:t>
      </w:r>
      <w:r>
        <w:rPr>
          <w:vertAlign w:val="superscript"/>
        </w:rPr>
        <w:t>2+</w:t>
      </w:r>
      <w:r>
        <w:rPr>
          <w:vertAlign w:val="baseline"/>
        </w:rPr>
        <w:t> ,Ni</w:t>
      </w:r>
      <w:r>
        <w:rPr>
          <w:vertAlign w:val="superscript"/>
        </w:rPr>
        <w:t>+1</w:t>
      </w:r>
      <w:r>
        <w:rPr>
          <w:vertAlign w:val="baseline"/>
        </w:rPr>
        <w:t>, Pb</w:t>
      </w:r>
      <w:r>
        <w:rPr>
          <w:vertAlign w:val="superscript"/>
        </w:rPr>
        <w:t>2+</w:t>
      </w:r>
      <w:r>
        <w:rPr>
          <w:vertAlign w:val="baseline"/>
        </w:rPr>
        <w:t> and Zn</w:t>
      </w:r>
      <w:r>
        <w:rPr>
          <w:vertAlign w:val="superscript"/>
        </w:rPr>
        <w:t>2+</w:t>
      </w:r>
      <w:r>
        <w:rPr>
          <w:vertAlign w:val="baseline"/>
        </w:rPr>
        <w:t> have been found to inhibit Ca</w:t>
      </w:r>
      <w:r>
        <w:rPr>
          <w:vertAlign w:val="superscript"/>
        </w:rPr>
        <w:t>2+</w:t>
      </w:r>
      <w:r>
        <w:rPr>
          <w:spacing w:val="-15"/>
          <w:vertAlign w:val="baseline"/>
        </w:rPr>
        <w:t> </w:t>
      </w:r>
      <w:r>
        <w:rPr>
          <w:vertAlign w:val="baseline"/>
        </w:rPr>
        <w:t>permeation via voltage-dependent Ca</w:t>
      </w:r>
      <w:r>
        <w:rPr>
          <w:vertAlign w:val="superscript"/>
        </w:rPr>
        <w:t>2+</w:t>
      </w:r>
      <w:r>
        <w:rPr>
          <w:spacing w:val="-15"/>
          <w:vertAlign w:val="baseline"/>
        </w:rPr>
        <w:t> </w:t>
      </w:r>
      <w:r>
        <w:rPr>
          <w:vertAlign w:val="baseline"/>
        </w:rPr>
        <w:t>channels</w:t>
      </w:r>
      <w:r>
        <w:rPr>
          <w:spacing w:val="-1"/>
          <w:vertAlign w:val="baseline"/>
        </w:rPr>
        <w:t> </w:t>
      </w:r>
      <w:r>
        <w:rPr>
          <w:vertAlign w:val="baseline"/>
        </w:rPr>
        <w:t>with</w:t>
      </w:r>
      <w:r>
        <w:rPr>
          <w:spacing w:val="-3"/>
          <w:vertAlign w:val="baseline"/>
        </w:rPr>
        <w:t> </w:t>
      </w:r>
      <w:r>
        <w:rPr>
          <w:vertAlign w:val="baseline"/>
        </w:rPr>
        <w:t>different potencies. Among these cations Ni</w:t>
      </w:r>
      <w:r>
        <w:rPr>
          <w:vertAlign w:val="superscript"/>
        </w:rPr>
        <w:t>+1</w:t>
      </w:r>
      <w:r>
        <w:rPr>
          <w:vertAlign w:val="baseline"/>
        </w:rPr>
        <w:t> was found to be selective blocker for low voltage- activated T-type Ca</w:t>
      </w:r>
      <w:r>
        <w:rPr>
          <w:vertAlign w:val="superscript"/>
        </w:rPr>
        <w:t>2+</w:t>
      </w:r>
      <w:r>
        <w:rPr>
          <w:vertAlign w:val="baseline"/>
        </w:rPr>
        <w:t> channels (Kang </w:t>
      </w:r>
      <w:r>
        <w:rPr>
          <w:i/>
          <w:vertAlign w:val="baseline"/>
        </w:rPr>
        <w:t>et al</w:t>
      </w:r>
      <w:r>
        <w:rPr>
          <w:vertAlign w:val="baseline"/>
        </w:rPr>
        <w:t>., 2006). </w:t>
      </w:r>
      <w:r>
        <w:rPr>
          <w:i/>
          <w:vertAlign w:val="baseline"/>
        </w:rPr>
        <w:t>In-vitro </w:t>
      </w:r>
      <w:r>
        <w:rPr>
          <w:vertAlign w:val="baseline"/>
        </w:rPr>
        <w:t>studies showed that it selectively blocked T-type current of number of cell types including sensory neurons (Todorovic and Lingle, 1998). Pharmacological studies have shown that low voltage activated T-type of calcium ion channels are involved in the genesis of absence seizures (Van Luijtelaar </w:t>
      </w:r>
      <w:r>
        <w:rPr>
          <w:i/>
          <w:vertAlign w:val="baseline"/>
        </w:rPr>
        <w:t>et al</w:t>
      </w:r>
      <w:r>
        <w:rPr>
          <w:vertAlign w:val="baseline"/>
        </w:rPr>
        <w:t>., 2000). Drugs that act by inhibiting neuronal T-type calcium ion currents like sodium valproate have potential activity against absence seizures (Loscher</w:t>
      </w:r>
      <w:r>
        <w:rPr>
          <w:spacing w:val="80"/>
          <w:vertAlign w:val="baseline"/>
        </w:rPr>
        <w:t> </w:t>
      </w:r>
      <w:r>
        <w:rPr>
          <w:i/>
          <w:vertAlign w:val="baseline"/>
        </w:rPr>
        <w:t>et</w:t>
      </w:r>
      <w:r>
        <w:rPr>
          <w:i/>
          <w:spacing w:val="-1"/>
          <w:vertAlign w:val="baseline"/>
        </w:rPr>
        <w:t> </w:t>
      </w:r>
      <w:r>
        <w:rPr>
          <w:i/>
          <w:vertAlign w:val="baseline"/>
        </w:rPr>
        <w:t>al</w:t>
      </w:r>
      <w:r>
        <w:rPr>
          <w:vertAlign w:val="baseline"/>
        </w:rPr>
        <w:t>., 1991). Also, study</w:t>
      </w:r>
      <w:r>
        <w:rPr>
          <w:spacing w:val="-11"/>
          <w:vertAlign w:val="baseline"/>
        </w:rPr>
        <w:t> </w:t>
      </w:r>
      <w:r>
        <w:rPr>
          <w:vertAlign w:val="baseline"/>
        </w:rPr>
        <w:t>conducted</w:t>
      </w:r>
      <w:r>
        <w:rPr>
          <w:spacing w:val="-1"/>
          <w:vertAlign w:val="baseline"/>
        </w:rPr>
        <w:t> </w:t>
      </w:r>
      <w:r>
        <w:rPr>
          <w:vertAlign w:val="baseline"/>
        </w:rPr>
        <w:t>by</w:t>
      </w:r>
      <w:r>
        <w:rPr>
          <w:spacing w:val="-6"/>
          <w:vertAlign w:val="baseline"/>
        </w:rPr>
        <w:t> </w:t>
      </w:r>
      <w:r>
        <w:rPr>
          <w:vertAlign w:val="baseline"/>
        </w:rPr>
        <w:t>Rehni</w:t>
      </w:r>
      <w:r>
        <w:rPr>
          <w:spacing w:val="-6"/>
          <w:vertAlign w:val="baseline"/>
        </w:rPr>
        <w:t> </w:t>
      </w:r>
      <w:r>
        <w:rPr>
          <w:vertAlign w:val="baseline"/>
        </w:rPr>
        <w:t>and</w:t>
      </w:r>
      <w:r>
        <w:rPr>
          <w:spacing w:val="-1"/>
          <w:vertAlign w:val="baseline"/>
        </w:rPr>
        <w:t> </w:t>
      </w:r>
      <w:r>
        <w:rPr>
          <w:vertAlign w:val="baseline"/>
        </w:rPr>
        <w:t>Singh, (2009), showed</w:t>
      </w:r>
      <w:r>
        <w:rPr>
          <w:spacing w:val="-1"/>
          <w:vertAlign w:val="baseline"/>
        </w:rPr>
        <w:t> </w:t>
      </w:r>
      <w:r>
        <w:rPr>
          <w:vertAlign w:val="baseline"/>
        </w:rPr>
        <w:t>reversal</w:t>
      </w:r>
      <w:r>
        <w:rPr>
          <w:spacing w:val="-10"/>
          <w:vertAlign w:val="baseline"/>
        </w:rPr>
        <w:t> </w:t>
      </w:r>
      <w:r>
        <w:rPr>
          <w:vertAlign w:val="baseline"/>
        </w:rPr>
        <w:t>of</w:t>
      </w:r>
      <w:r>
        <w:rPr>
          <w:spacing w:val="-9"/>
          <w:vertAlign w:val="baseline"/>
        </w:rPr>
        <w:t> </w:t>
      </w:r>
      <w:r>
        <w:rPr>
          <w:vertAlign w:val="baseline"/>
        </w:rPr>
        <w:t>PTZ- induced seizure activity in mice by nickel chloride. In this study nickel chloride showed significant delay in latency of seizure, and when interacted with DCP 23 and DCP 25 there</w:t>
      </w:r>
      <w:r>
        <w:rPr>
          <w:spacing w:val="30"/>
          <w:vertAlign w:val="baseline"/>
        </w:rPr>
        <w:t> </w:t>
      </w:r>
      <w:r>
        <w:rPr>
          <w:vertAlign w:val="baseline"/>
        </w:rPr>
        <w:t>was</w:t>
      </w:r>
      <w:r>
        <w:rPr>
          <w:spacing w:val="33"/>
          <w:vertAlign w:val="baseline"/>
        </w:rPr>
        <w:t> </w:t>
      </w:r>
      <w:r>
        <w:rPr>
          <w:vertAlign w:val="baseline"/>
        </w:rPr>
        <w:t>reduction</w:t>
      </w:r>
      <w:r>
        <w:rPr>
          <w:spacing w:val="35"/>
          <w:vertAlign w:val="baseline"/>
        </w:rPr>
        <w:t> </w:t>
      </w:r>
      <w:r>
        <w:rPr>
          <w:vertAlign w:val="baseline"/>
        </w:rPr>
        <w:t>in</w:t>
      </w:r>
      <w:r>
        <w:rPr>
          <w:spacing w:val="35"/>
          <w:vertAlign w:val="baseline"/>
        </w:rPr>
        <w:t> </w:t>
      </w:r>
      <w:r>
        <w:rPr>
          <w:vertAlign w:val="baseline"/>
        </w:rPr>
        <w:t>severity</w:t>
      </w:r>
      <w:r>
        <w:rPr>
          <w:spacing w:val="26"/>
          <w:vertAlign w:val="baseline"/>
        </w:rPr>
        <w:t> </w:t>
      </w:r>
      <w:r>
        <w:rPr>
          <w:vertAlign w:val="baseline"/>
        </w:rPr>
        <w:t>of</w:t>
      </w:r>
      <w:r>
        <w:rPr>
          <w:spacing w:val="27"/>
          <w:vertAlign w:val="baseline"/>
        </w:rPr>
        <w:t> </w:t>
      </w:r>
      <w:r>
        <w:rPr>
          <w:vertAlign w:val="baseline"/>
        </w:rPr>
        <w:t>seizure</w:t>
      </w:r>
      <w:r>
        <w:rPr>
          <w:spacing w:val="30"/>
          <w:vertAlign w:val="baseline"/>
        </w:rPr>
        <w:t> </w:t>
      </w:r>
      <w:r>
        <w:rPr>
          <w:vertAlign w:val="baseline"/>
        </w:rPr>
        <w:t>as</w:t>
      </w:r>
      <w:r>
        <w:rPr>
          <w:spacing w:val="33"/>
          <w:vertAlign w:val="baseline"/>
        </w:rPr>
        <w:t> </w:t>
      </w:r>
      <w:r>
        <w:rPr>
          <w:vertAlign w:val="baseline"/>
        </w:rPr>
        <w:t>evidently</w:t>
      </w:r>
      <w:r>
        <w:rPr>
          <w:spacing w:val="26"/>
          <w:vertAlign w:val="baseline"/>
        </w:rPr>
        <w:t> </w:t>
      </w:r>
      <w:r>
        <w:rPr>
          <w:vertAlign w:val="baseline"/>
        </w:rPr>
        <w:t>demonstrated</w:t>
      </w:r>
      <w:r>
        <w:rPr>
          <w:spacing w:val="30"/>
          <w:vertAlign w:val="baseline"/>
        </w:rPr>
        <w:t> </w:t>
      </w:r>
      <w:r>
        <w:rPr>
          <w:vertAlign w:val="baseline"/>
        </w:rPr>
        <w:t>by</w:t>
      </w:r>
      <w:r>
        <w:rPr>
          <w:spacing w:val="26"/>
          <w:vertAlign w:val="baseline"/>
        </w:rPr>
        <w:t> </w:t>
      </w:r>
      <w:r>
        <w:rPr>
          <w:vertAlign w:val="baseline"/>
        </w:rPr>
        <w:t>the</w:t>
      </w:r>
      <w:r>
        <w:rPr>
          <w:spacing w:val="34"/>
          <w:vertAlign w:val="baseline"/>
        </w:rPr>
        <w:t> </w:t>
      </w:r>
      <w:r>
        <w:rPr>
          <w:vertAlign w:val="baseline"/>
        </w:rPr>
        <w:t>significant</w:t>
      </w:r>
    </w:p>
    <w:p>
      <w:pPr>
        <w:spacing w:after="0" w:line="480" w:lineRule="auto"/>
        <w:jc w:val="both"/>
        <w:sectPr>
          <w:pgSz w:w="12240" w:h="15840"/>
          <w:pgMar w:header="0" w:footer="1066" w:top="1360" w:bottom="1260" w:left="1480" w:right="1160"/>
        </w:sectPr>
      </w:pPr>
    </w:p>
    <w:p>
      <w:pPr>
        <w:pStyle w:val="BodyText"/>
        <w:spacing w:line="480" w:lineRule="auto" w:before="72"/>
        <w:ind w:left="681" w:right="276"/>
        <w:jc w:val="both"/>
      </w:pPr>
      <w:r>
        <w:rPr/>
        <w:t>increase in the latency of seizure. Accordingly, the decrease in the severity was more</w:t>
      </w:r>
      <w:r>
        <w:rPr>
          <w:spacing w:val="40"/>
        </w:rPr>
        <w:t> </w:t>
      </w:r>
      <w:r>
        <w:rPr/>
        <w:t>with the DCP 23 as it appreciably increased the protective outcome. Therefore, the test compounds could be said to act via calcium channels by possibly blocking the neuronal T-Type calcium ion channels. Thus, the compounds might mimic the action of sodium valproate and hence could be exploited in the management of absence seizure.</w:t>
      </w:r>
    </w:p>
    <w:p>
      <w:pPr>
        <w:pStyle w:val="BodyText"/>
      </w:pPr>
    </w:p>
    <w:p>
      <w:pPr>
        <w:pStyle w:val="BodyText"/>
        <w:spacing w:before="1"/>
      </w:pPr>
    </w:p>
    <w:p>
      <w:pPr>
        <w:pStyle w:val="BodyText"/>
        <w:spacing w:line="480" w:lineRule="auto"/>
        <w:ind w:left="681" w:right="276"/>
        <w:jc w:val="both"/>
      </w:pPr>
      <w:r>
        <w:rPr/>
        <w:t>Study of serotonergic and histaminergic pathways show that the decrease neurotransmission of serotonin and histamine in the brain reduces seizures threshold. Since cyproheptadine interferes with these pathways via antagonizing subtypes of 5HT</w:t>
      </w:r>
      <w:r>
        <w:rPr>
          <w:vertAlign w:val="subscript"/>
        </w:rPr>
        <w:t>1,</w:t>
      </w:r>
      <w:r>
        <w:rPr>
          <w:vertAlign w:val="baseline"/>
        </w:rPr>
        <w:t> 5HT</w:t>
      </w:r>
      <w:r>
        <w:rPr>
          <w:vertAlign w:val="subscript"/>
        </w:rPr>
        <w:t>2</w:t>
      </w:r>
      <w:r>
        <w:rPr>
          <w:vertAlign w:val="baseline"/>
        </w:rPr>
        <w:t> and H</w:t>
      </w:r>
      <w:r>
        <w:rPr>
          <w:vertAlign w:val="subscript"/>
        </w:rPr>
        <w:t>1</w:t>
      </w:r>
      <w:r>
        <w:rPr>
          <w:vertAlign w:val="baseline"/>
        </w:rPr>
        <w:t> receptors (Singh and Goel, 2010), therefore it is considered as proconvulsant. From the interaction study, cyproheptadine did not seem to augment the convulsive</w:t>
      </w:r>
      <w:r>
        <w:rPr>
          <w:spacing w:val="-1"/>
          <w:vertAlign w:val="baseline"/>
        </w:rPr>
        <w:t> </w:t>
      </w:r>
      <w:r>
        <w:rPr>
          <w:vertAlign w:val="baseline"/>
        </w:rPr>
        <w:t>effect of</w:t>
      </w:r>
      <w:r>
        <w:rPr>
          <w:spacing w:val="-8"/>
          <w:vertAlign w:val="baseline"/>
        </w:rPr>
        <w:t> </w:t>
      </w:r>
      <w:r>
        <w:rPr>
          <w:vertAlign w:val="baseline"/>
        </w:rPr>
        <w:t>PTZ;</w:t>
      </w:r>
      <w:r>
        <w:rPr>
          <w:spacing w:val="-4"/>
          <w:vertAlign w:val="baseline"/>
        </w:rPr>
        <w:t> </w:t>
      </w:r>
      <w:r>
        <w:rPr>
          <w:vertAlign w:val="baseline"/>
        </w:rPr>
        <w:t>the</w:t>
      </w:r>
      <w:r>
        <w:rPr>
          <w:spacing w:val="-1"/>
          <w:vertAlign w:val="baseline"/>
        </w:rPr>
        <w:t> </w:t>
      </w:r>
      <w:r>
        <w:rPr>
          <w:vertAlign w:val="baseline"/>
        </w:rPr>
        <w:t>outcome</w:t>
      </w:r>
      <w:r>
        <w:rPr>
          <w:spacing w:val="-1"/>
          <w:vertAlign w:val="baseline"/>
        </w:rPr>
        <w:t> </w:t>
      </w:r>
      <w:r>
        <w:rPr>
          <w:vertAlign w:val="baseline"/>
        </w:rPr>
        <w:t>of</w:t>
      </w:r>
      <w:r>
        <w:rPr>
          <w:spacing w:val="-8"/>
          <w:vertAlign w:val="baseline"/>
        </w:rPr>
        <w:t> </w:t>
      </w:r>
      <w:r>
        <w:rPr>
          <w:vertAlign w:val="baseline"/>
        </w:rPr>
        <w:t>seizure</w:t>
      </w:r>
      <w:r>
        <w:rPr>
          <w:spacing w:val="-1"/>
          <w:vertAlign w:val="baseline"/>
        </w:rPr>
        <w:t> </w:t>
      </w:r>
      <w:r>
        <w:rPr>
          <w:vertAlign w:val="baseline"/>
        </w:rPr>
        <w:t>protection</w:t>
      </w:r>
      <w:r>
        <w:rPr>
          <w:spacing w:val="-5"/>
          <w:vertAlign w:val="baseline"/>
        </w:rPr>
        <w:t> </w:t>
      </w:r>
      <w:r>
        <w:rPr>
          <w:vertAlign w:val="baseline"/>
        </w:rPr>
        <w:t>and the mean</w:t>
      </w:r>
      <w:r>
        <w:rPr>
          <w:spacing w:val="-5"/>
          <w:vertAlign w:val="baseline"/>
        </w:rPr>
        <w:t> </w:t>
      </w:r>
      <w:r>
        <w:rPr>
          <w:vertAlign w:val="baseline"/>
        </w:rPr>
        <w:t>onset of</w:t>
      </w:r>
      <w:r>
        <w:rPr>
          <w:spacing w:val="-8"/>
          <w:vertAlign w:val="baseline"/>
        </w:rPr>
        <w:t> </w:t>
      </w:r>
      <w:r>
        <w:rPr>
          <w:vertAlign w:val="baseline"/>
        </w:rPr>
        <w:t>seizure were not affected. Therefore, the interaction study between cyproheptadine and the test compounds suggested that the mechanism of action of the compounds may not be via serotonergic</w:t>
      </w:r>
      <w:r>
        <w:rPr>
          <w:spacing w:val="-4"/>
          <w:vertAlign w:val="baseline"/>
        </w:rPr>
        <w:t> </w:t>
      </w:r>
      <w:r>
        <w:rPr>
          <w:vertAlign w:val="baseline"/>
        </w:rPr>
        <w:t>and histaminergic</w:t>
      </w:r>
      <w:r>
        <w:rPr>
          <w:spacing w:val="-1"/>
          <w:vertAlign w:val="baseline"/>
        </w:rPr>
        <w:t> </w:t>
      </w:r>
      <w:r>
        <w:rPr>
          <w:vertAlign w:val="baseline"/>
        </w:rPr>
        <w:t>pathway</w:t>
      </w:r>
      <w:r>
        <w:rPr>
          <w:spacing w:val="-4"/>
          <w:vertAlign w:val="baseline"/>
        </w:rPr>
        <w:t> </w:t>
      </w:r>
      <w:r>
        <w:rPr>
          <w:vertAlign w:val="baseline"/>
        </w:rPr>
        <w:t>as</w:t>
      </w:r>
      <w:r>
        <w:rPr>
          <w:spacing w:val="-2"/>
          <w:vertAlign w:val="baseline"/>
        </w:rPr>
        <w:t> </w:t>
      </w:r>
      <w:r>
        <w:rPr>
          <w:vertAlign w:val="baseline"/>
        </w:rPr>
        <w:t>shown</w:t>
      </w:r>
      <w:r>
        <w:rPr>
          <w:spacing w:val="-2"/>
          <w:vertAlign w:val="baseline"/>
        </w:rPr>
        <w:t> </w:t>
      </w:r>
      <w:r>
        <w:rPr>
          <w:vertAlign w:val="baseline"/>
        </w:rPr>
        <w:t>from</w:t>
      </w:r>
      <w:r>
        <w:rPr>
          <w:spacing w:val="-8"/>
          <w:vertAlign w:val="baseline"/>
        </w:rPr>
        <w:t> </w:t>
      </w:r>
      <w:r>
        <w:rPr>
          <w:vertAlign w:val="baseline"/>
        </w:rPr>
        <w:t>the</w:t>
      </w:r>
      <w:r>
        <w:rPr>
          <w:spacing w:val="-1"/>
          <w:vertAlign w:val="baseline"/>
        </w:rPr>
        <w:t> </w:t>
      </w:r>
      <w:r>
        <w:rPr>
          <w:vertAlign w:val="baseline"/>
        </w:rPr>
        <w:t>outcome</w:t>
      </w:r>
      <w:r>
        <w:rPr>
          <w:spacing w:val="-1"/>
          <w:vertAlign w:val="baseline"/>
        </w:rPr>
        <w:t> </w:t>
      </w:r>
      <w:r>
        <w:rPr>
          <w:vertAlign w:val="baseline"/>
        </w:rPr>
        <w:t>of</w:t>
      </w:r>
      <w:r>
        <w:rPr>
          <w:spacing w:val="2"/>
          <w:vertAlign w:val="baseline"/>
        </w:rPr>
        <w:t> </w:t>
      </w:r>
      <w:r>
        <w:rPr>
          <w:vertAlign w:val="baseline"/>
        </w:rPr>
        <w:t>seizure</w:t>
      </w:r>
      <w:r>
        <w:rPr>
          <w:spacing w:val="-1"/>
          <w:vertAlign w:val="baseline"/>
        </w:rPr>
        <w:t> </w:t>
      </w:r>
      <w:r>
        <w:rPr>
          <w:spacing w:val="-2"/>
          <w:vertAlign w:val="baseline"/>
        </w:rPr>
        <w:t>protection.</w:t>
      </w:r>
    </w:p>
    <w:p>
      <w:pPr>
        <w:pStyle w:val="BodyText"/>
      </w:pPr>
    </w:p>
    <w:p>
      <w:pPr>
        <w:pStyle w:val="BodyText"/>
        <w:spacing w:before="2"/>
      </w:pPr>
    </w:p>
    <w:p>
      <w:pPr>
        <w:pStyle w:val="BodyText"/>
        <w:spacing w:line="480" w:lineRule="auto"/>
        <w:ind w:left="681" w:right="276"/>
        <w:jc w:val="both"/>
      </w:pPr>
      <w:r>
        <w:rPr/>
        <w:t>Hypnotic effects are classically</w:t>
      </w:r>
      <w:r>
        <w:rPr>
          <w:spacing w:val="-6"/>
        </w:rPr>
        <w:t> </w:t>
      </w:r>
      <w:r>
        <w:rPr/>
        <w:t>considered to involve more pronounced depression</w:t>
      </w:r>
      <w:r>
        <w:rPr>
          <w:spacing w:val="-1"/>
        </w:rPr>
        <w:t> </w:t>
      </w:r>
      <w:r>
        <w:rPr/>
        <w:t>of</w:t>
      </w:r>
      <w:r>
        <w:rPr>
          <w:spacing w:val="-4"/>
        </w:rPr>
        <w:t> </w:t>
      </w:r>
      <w:r>
        <w:rPr/>
        <w:t>the central</w:t>
      </w:r>
      <w:r>
        <w:rPr>
          <w:spacing w:val="-5"/>
        </w:rPr>
        <w:t> </w:t>
      </w:r>
      <w:r>
        <w:rPr/>
        <w:t>nervous</w:t>
      </w:r>
      <w:r>
        <w:rPr>
          <w:spacing w:val="-3"/>
        </w:rPr>
        <w:t> </w:t>
      </w:r>
      <w:r>
        <w:rPr/>
        <w:t>system</w:t>
      </w:r>
      <w:r>
        <w:rPr>
          <w:spacing w:val="-5"/>
        </w:rPr>
        <w:t> </w:t>
      </w:r>
      <w:r>
        <w:rPr/>
        <w:t>than</w:t>
      </w:r>
      <w:r>
        <w:rPr>
          <w:spacing w:val="-5"/>
        </w:rPr>
        <w:t> </w:t>
      </w:r>
      <w:r>
        <w:rPr/>
        <w:t>sedation, and this</w:t>
      </w:r>
      <w:r>
        <w:rPr>
          <w:spacing w:val="-3"/>
        </w:rPr>
        <w:t> </w:t>
      </w:r>
      <w:r>
        <w:rPr/>
        <w:t>can typically</w:t>
      </w:r>
      <w:r>
        <w:rPr>
          <w:spacing w:val="-1"/>
        </w:rPr>
        <w:t> </w:t>
      </w:r>
      <w:r>
        <w:rPr/>
        <w:t>be achieved by</w:t>
      </w:r>
      <w:r>
        <w:rPr>
          <w:spacing w:val="-1"/>
        </w:rPr>
        <w:t> </w:t>
      </w:r>
      <w:r>
        <w:rPr/>
        <w:t>increasing</w:t>
      </w:r>
      <w:r>
        <w:rPr>
          <w:spacing w:val="-1"/>
        </w:rPr>
        <w:t> </w:t>
      </w:r>
      <w:r>
        <w:rPr/>
        <w:t>the dose of sedative-hypnotic drugs and therefore bring about shortening of sleep latency, increase</w:t>
      </w:r>
      <w:r>
        <w:rPr>
          <w:spacing w:val="-1"/>
        </w:rPr>
        <w:t> </w:t>
      </w:r>
      <w:r>
        <w:rPr/>
        <w:t>of</w:t>
      </w:r>
      <w:r>
        <w:rPr>
          <w:spacing w:val="-8"/>
        </w:rPr>
        <w:t> </w:t>
      </w:r>
      <w:r>
        <w:rPr/>
        <w:t>total</w:t>
      </w:r>
      <w:r>
        <w:rPr>
          <w:spacing w:val="-5"/>
        </w:rPr>
        <w:t> </w:t>
      </w:r>
      <w:r>
        <w:rPr/>
        <w:t>sleep time</w:t>
      </w:r>
      <w:r>
        <w:rPr>
          <w:spacing w:val="-1"/>
        </w:rPr>
        <w:t> </w:t>
      </w:r>
      <w:r>
        <w:rPr/>
        <w:t>and sleep efficiency</w:t>
      </w:r>
      <w:r>
        <w:rPr>
          <w:spacing w:val="-5"/>
        </w:rPr>
        <w:t> </w:t>
      </w:r>
      <w:r>
        <w:rPr/>
        <w:t>(Tobler </w:t>
      </w:r>
      <w:r>
        <w:rPr>
          <w:i/>
        </w:rPr>
        <w:t>et al</w:t>
      </w:r>
      <w:r>
        <w:rPr/>
        <w:t>., 2001).</w:t>
      </w:r>
      <w:r>
        <w:rPr>
          <w:spacing w:val="-3"/>
        </w:rPr>
        <w:t> </w:t>
      </w:r>
      <w:r>
        <w:rPr/>
        <w:t>The</w:t>
      </w:r>
      <w:r>
        <w:rPr>
          <w:spacing w:val="-1"/>
        </w:rPr>
        <w:t> </w:t>
      </w:r>
      <w:r>
        <w:rPr/>
        <w:t>test compounds (DCP 23 and DCP 25) at the highest dose potentiated the hypnotic effect of</w:t>
      </w:r>
      <w:r>
        <w:rPr>
          <w:spacing w:val="-3"/>
        </w:rPr>
        <w:t> </w:t>
      </w:r>
      <w:r>
        <w:rPr/>
        <w:t>diazepam by decreasing the onset of sleep and enhancing the duration of sleep. This effect may be attributed</w:t>
      </w:r>
      <w:r>
        <w:rPr>
          <w:spacing w:val="38"/>
        </w:rPr>
        <w:t> </w:t>
      </w:r>
      <w:r>
        <w:rPr/>
        <w:t>to</w:t>
      </w:r>
      <w:r>
        <w:rPr>
          <w:spacing w:val="40"/>
        </w:rPr>
        <w:t> </w:t>
      </w:r>
      <w:r>
        <w:rPr/>
        <w:t>an</w:t>
      </w:r>
      <w:r>
        <w:rPr>
          <w:spacing w:val="38"/>
        </w:rPr>
        <w:t> </w:t>
      </w:r>
      <w:r>
        <w:rPr/>
        <w:t>action</w:t>
      </w:r>
      <w:r>
        <w:rPr>
          <w:spacing w:val="38"/>
        </w:rPr>
        <w:t> </w:t>
      </w:r>
      <w:r>
        <w:rPr/>
        <w:t>on</w:t>
      </w:r>
      <w:r>
        <w:rPr>
          <w:spacing w:val="38"/>
        </w:rPr>
        <w:t> </w:t>
      </w:r>
      <w:r>
        <w:rPr/>
        <w:t>the</w:t>
      </w:r>
      <w:r>
        <w:rPr>
          <w:spacing w:val="40"/>
        </w:rPr>
        <w:t> </w:t>
      </w:r>
      <w:r>
        <w:rPr/>
        <w:t>central</w:t>
      </w:r>
      <w:r>
        <w:rPr>
          <w:spacing w:val="39"/>
        </w:rPr>
        <w:t> </w:t>
      </w:r>
      <w:r>
        <w:rPr/>
        <w:t>mechanisms</w:t>
      </w:r>
      <w:r>
        <w:rPr>
          <w:spacing w:val="40"/>
        </w:rPr>
        <w:t> </w:t>
      </w:r>
      <w:r>
        <w:rPr/>
        <w:t>involved</w:t>
      </w:r>
      <w:r>
        <w:rPr>
          <w:spacing w:val="40"/>
        </w:rPr>
        <w:t> </w:t>
      </w:r>
      <w:r>
        <w:rPr/>
        <w:t>in</w:t>
      </w:r>
      <w:r>
        <w:rPr>
          <w:spacing w:val="40"/>
        </w:rPr>
        <w:t> </w:t>
      </w:r>
      <w:r>
        <w:rPr/>
        <w:t>the</w:t>
      </w:r>
      <w:r>
        <w:rPr>
          <w:spacing w:val="40"/>
        </w:rPr>
        <w:t> </w:t>
      </w:r>
      <w:r>
        <w:rPr/>
        <w:t>regulation</w:t>
      </w:r>
      <w:r>
        <w:rPr>
          <w:spacing w:val="38"/>
        </w:rPr>
        <w:t> </w:t>
      </w:r>
      <w:r>
        <w:rPr/>
        <w:t>of</w:t>
      </w:r>
      <w:r>
        <w:rPr>
          <w:spacing w:val="36"/>
        </w:rPr>
        <w:t> </w:t>
      </w:r>
      <w:r>
        <w:rPr/>
        <w:t>sleep</w:t>
      </w:r>
    </w:p>
    <w:p>
      <w:pPr>
        <w:spacing w:after="0" w:line="480" w:lineRule="auto"/>
        <w:jc w:val="both"/>
        <w:sectPr>
          <w:pgSz w:w="12240" w:h="15840"/>
          <w:pgMar w:header="0" w:footer="1066" w:top="1360" w:bottom="1260" w:left="1480" w:right="1160"/>
        </w:sectPr>
      </w:pPr>
    </w:p>
    <w:p>
      <w:pPr>
        <w:pStyle w:val="BodyText"/>
        <w:spacing w:line="480" w:lineRule="auto" w:before="72"/>
        <w:ind w:left="681" w:right="276"/>
        <w:jc w:val="both"/>
      </w:pPr>
      <w:r>
        <w:rPr/>
        <w:t>(N’Gouemo </w:t>
      </w:r>
      <w:r>
        <w:rPr>
          <w:i/>
        </w:rPr>
        <w:t>et al</w:t>
      </w:r>
      <w:r>
        <w:rPr/>
        <w:t>., 1994; Amos </w:t>
      </w:r>
      <w:r>
        <w:rPr>
          <w:i/>
        </w:rPr>
        <w:t>et al</w:t>
      </w:r>
      <w:r>
        <w:rPr/>
        <w:t>., 2001) or an inhibition of diazepam metabolism (Kaul and Kulkarni, 1978). Sleep is also reduced when there is a decrease in serotonin concentration</w:t>
      </w:r>
      <w:r>
        <w:rPr>
          <w:spacing w:val="-1"/>
        </w:rPr>
        <w:t> </w:t>
      </w:r>
      <w:r>
        <w:rPr/>
        <w:t>or destruction of</w:t>
      </w:r>
      <w:r>
        <w:rPr>
          <w:spacing w:val="-4"/>
        </w:rPr>
        <w:t> </w:t>
      </w:r>
      <w:r>
        <w:rPr/>
        <w:t>the dorsal</w:t>
      </w:r>
      <w:r>
        <w:rPr>
          <w:spacing w:val="-6"/>
        </w:rPr>
        <w:t> </w:t>
      </w:r>
      <w:r>
        <w:rPr/>
        <w:t>raphe nucleus in</w:t>
      </w:r>
      <w:r>
        <w:rPr>
          <w:spacing w:val="-1"/>
        </w:rPr>
        <w:t> </w:t>
      </w:r>
      <w:r>
        <w:rPr/>
        <w:t>the brain stem, which</w:t>
      </w:r>
      <w:r>
        <w:rPr>
          <w:spacing w:val="-1"/>
        </w:rPr>
        <w:t> </w:t>
      </w:r>
      <w:r>
        <w:rPr/>
        <w:t>contains most of the brain’s serotonergic cell bodies. On the other hand, increased firing of norepinephrine-containing neurons in</w:t>
      </w:r>
      <w:r>
        <w:rPr>
          <w:spacing w:val="-5"/>
        </w:rPr>
        <w:t> </w:t>
      </w:r>
      <w:r>
        <w:rPr/>
        <w:t>the locus</w:t>
      </w:r>
      <w:r>
        <w:rPr>
          <w:spacing w:val="-2"/>
        </w:rPr>
        <w:t> </w:t>
      </w:r>
      <w:r>
        <w:rPr/>
        <w:t>ceruleus</w:t>
      </w:r>
      <w:r>
        <w:rPr>
          <w:spacing w:val="-2"/>
        </w:rPr>
        <w:t> </w:t>
      </w:r>
      <w:r>
        <w:rPr/>
        <w:t>will</w:t>
      </w:r>
      <w:r>
        <w:rPr>
          <w:spacing w:val="-4"/>
        </w:rPr>
        <w:t> </w:t>
      </w:r>
      <w:r>
        <w:rPr/>
        <w:t>result in</w:t>
      </w:r>
      <w:r>
        <w:rPr>
          <w:spacing w:val="-5"/>
        </w:rPr>
        <w:t> </w:t>
      </w:r>
      <w:r>
        <w:rPr/>
        <w:t>a</w:t>
      </w:r>
      <w:r>
        <w:rPr>
          <w:spacing w:val="-1"/>
        </w:rPr>
        <w:t> </w:t>
      </w:r>
      <w:r>
        <w:rPr/>
        <w:t>reduction</w:t>
      </w:r>
      <w:r>
        <w:rPr>
          <w:spacing w:val="-5"/>
        </w:rPr>
        <w:t> </w:t>
      </w:r>
      <w:r>
        <w:rPr/>
        <w:t>of</w:t>
      </w:r>
      <w:r>
        <w:rPr>
          <w:spacing w:val="-8"/>
        </w:rPr>
        <w:t> </w:t>
      </w:r>
      <w:r>
        <w:rPr/>
        <w:t>rapid eye movement sleep and increased wakefulness (Curtis and Jermain, 2002). It has also been reported that activation of GABA</w:t>
      </w:r>
      <w:r>
        <w:rPr>
          <w:vertAlign w:val="subscript"/>
        </w:rPr>
        <w:t>A</w:t>
      </w:r>
      <w:r>
        <w:rPr>
          <w:vertAlign w:val="baseline"/>
        </w:rPr>
        <w:t> receptor in the CNS is known to favour sleep (Gottesmann, 2002). Thus, the compounds possessed pharmacophore that may be responsible for central depressive action. Therefore, could be linked partly to</w:t>
      </w:r>
      <w:r>
        <w:rPr>
          <w:spacing w:val="40"/>
          <w:vertAlign w:val="baseline"/>
        </w:rPr>
        <w:t> </w:t>
      </w:r>
      <w:r>
        <w:rPr>
          <w:vertAlign w:val="baseline"/>
        </w:rPr>
        <w:t>serotonergic and noradrenergic pathways; but more to GABAergic pathway as shown by potentiating the hypnotic effect of diazepam.</w:t>
      </w:r>
    </w:p>
    <w:p>
      <w:pPr>
        <w:pStyle w:val="BodyText"/>
        <w:spacing w:line="480" w:lineRule="auto" w:before="243"/>
        <w:ind w:left="681" w:right="270"/>
        <w:jc w:val="both"/>
      </w:pPr>
      <w:r>
        <w:rPr/>
        <w:t>Voltage-gated sodium channels (VGSCs) play a critical role in regulating cellular excitability and controlling many of</w:t>
      </w:r>
      <w:r>
        <w:rPr>
          <w:spacing w:val="-2"/>
        </w:rPr>
        <w:t> </w:t>
      </w:r>
      <w:r>
        <w:rPr/>
        <w:t>the physiological processes associated with neuronal activity (Catterall, 2000). The design of the test compounds (DCP23, DCP25 and</w:t>
      </w:r>
      <w:r>
        <w:rPr>
          <w:spacing w:val="80"/>
        </w:rPr>
        <w:t> </w:t>
      </w:r>
      <w:r>
        <w:rPr/>
        <w:t>DCP34) was on the basis of suggested pharmacophore model for compounds acting as blockers of the voltage-dependent sodium channel as described by Unverferth </w:t>
      </w:r>
      <w:r>
        <w:rPr>
          <w:i/>
        </w:rPr>
        <w:t>et al</w:t>
      </w:r>
      <w:r>
        <w:rPr/>
        <w:t>., (1998). Therefore, their supposed molecular target would be via votage-gated sodium channels (VGSCs). Thus, VGSCs was selected to possibly prove the conformity of the test compounds to the pharmacophore model. In animal models of epilepsy, the Nav1.6 sodium channel isoform, which is heavily expressed in the central nervous system, has been shown to be upregulated (Hargus </w:t>
      </w:r>
      <w:r>
        <w:rPr>
          <w:i/>
        </w:rPr>
        <w:t>et al., </w:t>
      </w:r>
      <w:r>
        <w:rPr/>
        <w:t>2011). Similarly, Nav1.6 channels have a particularly low threshold for spike initiation and are abundantly expressed along the</w:t>
      </w:r>
      <w:r>
        <w:rPr>
          <w:spacing w:val="40"/>
        </w:rPr>
        <w:t> </w:t>
      </w:r>
      <w:r>
        <w:rPr/>
        <w:t>axon</w:t>
      </w:r>
      <w:r>
        <w:rPr>
          <w:spacing w:val="40"/>
        </w:rPr>
        <w:t> </w:t>
      </w:r>
      <w:r>
        <w:rPr/>
        <w:t>initial</w:t>
      </w:r>
      <w:r>
        <w:rPr>
          <w:spacing w:val="40"/>
        </w:rPr>
        <w:t> </w:t>
      </w:r>
      <w:r>
        <w:rPr/>
        <w:t>segment,</w:t>
      </w:r>
      <w:r>
        <w:rPr>
          <w:spacing w:val="40"/>
        </w:rPr>
        <w:t> </w:t>
      </w:r>
      <w:r>
        <w:rPr/>
        <w:t>the</w:t>
      </w:r>
      <w:r>
        <w:rPr>
          <w:spacing w:val="40"/>
        </w:rPr>
        <w:t> </w:t>
      </w:r>
      <w:r>
        <w:rPr/>
        <w:t>site</w:t>
      </w:r>
      <w:r>
        <w:rPr>
          <w:spacing w:val="40"/>
        </w:rPr>
        <w:t> </w:t>
      </w:r>
      <w:r>
        <w:rPr/>
        <w:t>of</w:t>
      </w:r>
      <w:r>
        <w:rPr>
          <w:spacing w:val="36"/>
        </w:rPr>
        <w:t> </w:t>
      </w:r>
      <w:r>
        <w:rPr/>
        <w:t>action</w:t>
      </w:r>
      <w:r>
        <w:rPr>
          <w:spacing w:val="39"/>
        </w:rPr>
        <w:t> </w:t>
      </w:r>
      <w:r>
        <w:rPr/>
        <w:t>potential</w:t>
      </w:r>
      <w:r>
        <w:rPr>
          <w:spacing w:val="40"/>
        </w:rPr>
        <w:t> </w:t>
      </w:r>
      <w:r>
        <w:rPr/>
        <w:t>initiation.</w:t>
      </w:r>
      <w:r>
        <w:rPr>
          <w:spacing w:val="40"/>
        </w:rPr>
        <w:t> </w:t>
      </w:r>
      <w:r>
        <w:rPr/>
        <w:t>They</w:t>
      </w:r>
      <w:r>
        <w:rPr>
          <w:spacing w:val="40"/>
        </w:rPr>
        <w:t> </w:t>
      </w:r>
      <w:r>
        <w:rPr/>
        <w:t>have</w:t>
      </w:r>
      <w:r>
        <w:rPr>
          <w:spacing w:val="40"/>
        </w:rPr>
        <w:t> </w:t>
      </w:r>
      <w:r>
        <w:rPr/>
        <w:t>been</w:t>
      </w:r>
      <w:r>
        <w:rPr>
          <w:spacing w:val="39"/>
        </w:rPr>
        <w:t> </w:t>
      </w:r>
      <w:r>
        <w:rPr/>
        <w:t>shown</w:t>
      </w:r>
      <w:r>
        <w:rPr>
          <w:spacing w:val="39"/>
        </w:rPr>
        <w:t> </w:t>
      </w:r>
      <w:r>
        <w:rPr/>
        <w:t>to</w:t>
      </w:r>
    </w:p>
    <w:p>
      <w:pPr>
        <w:spacing w:after="0" w:line="480" w:lineRule="auto"/>
        <w:jc w:val="both"/>
        <w:sectPr>
          <w:pgSz w:w="12240" w:h="15840"/>
          <w:pgMar w:header="0" w:footer="1066" w:top="1360" w:bottom="1260" w:left="1480" w:right="1160"/>
        </w:sectPr>
      </w:pPr>
    </w:p>
    <w:p>
      <w:pPr>
        <w:pStyle w:val="BodyText"/>
        <w:spacing w:line="480" w:lineRule="auto" w:before="72"/>
        <w:ind w:left="681" w:right="278"/>
        <w:jc w:val="both"/>
      </w:pPr>
      <w:r>
        <w:rPr/>
        <w:t>contribute to the spike trigger and also to regulate the repetitive discharge properties of hippocampal CA1 pyramidal neurons. It was also found that kindling is associated with higher expression of Nav1.6 sodium channels in hippocampal CA3 neurons (Rivara</w:t>
      </w:r>
      <w:r>
        <w:rPr>
          <w:spacing w:val="40"/>
        </w:rPr>
        <w:t> </w:t>
      </w:r>
      <w:r>
        <w:rPr>
          <w:i/>
        </w:rPr>
        <w:t>et al</w:t>
      </w:r>
      <w:r>
        <w:rPr/>
        <w:t>., 2012).</w:t>
      </w:r>
      <w:r>
        <w:rPr>
          <w:spacing w:val="-4"/>
        </w:rPr>
        <w:t> </w:t>
      </w:r>
      <w:r>
        <w:rPr/>
        <w:t>This is</w:t>
      </w:r>
      <w:r>
        <w:rPr>
          <w:spacing w:val="-3"/>
        </w:rPr>
        <w:t> </w:t>
      </w:r>
      <w:r>
        <w:rPr/>
        <w:t>a</w:t>
      </w:r>
      <w:r>
        <w:rPr>
          <w:spacing w:val="-2"/>
        </w:rPr>
        <w:t> </w:t>
      </w:r>
      <w:r>
        <w:rPr/>
        <w:t>clearly</w:t>
      </w:r>
      <w:r>
        <w:rPr>
          <w:spacing w:val="-6"/>
        </w:rPr>
        <w:t> </w:t>
      </w:r>
      <w:r>
        <w:rPr/>
        <w:t>evidence</w:t>
      </w:r>
      <w:r>
        <w:rPr>
          <w:spacing w:val="-2"/>
        </w:rPr>
        <w:t> </w:t>
      </w:r>
      <w:r>
        <w:rPr/>
        <w:t>to show</w:t>
      </w:r>
      <w:r>
        <w:rPr>
          <w:spacing w:val="-6"/>
        </w:rPr>
        <w:t> </w:t>
      </w:r>
      <w:r>
        <w:rPr/>
        <w:t>that,</w:t>
      </w:r>
      <w:r>
        <w:rPr>
          <w:spacing w:val="-3"/>
        </w:rPr>
        <w:t> </w:t>
      </w:r>
      <w:r>
        <w:rPr/>
        <w:t>Nav1.6 isoform</w:t>
      </w:r>
      <w:r>
        <w:rPr>
          <w:spacing w:val="-10"/>
        </w:rPr>
        <w:t> </w:t>
      </w:r>
      <w:r>
        <w:rPr/>
        <w:t>plays</w:t>
      </w:r>
      <w:r>
        <w:rPr>
          <w:spacing w:val="-3"/>
        </w:rPr>
        <w:t> </w:t>
      </w:r>
      <w:r>
        <w:rPr/>
        <w:t>an</w:t>
      </w:r>
      <w:r>
        <w:rPr>
          <w:spacing w:val="-1"/>
        </w:rPr>
        <w:t> </w:t>
      </w:r>
      <w:r>
        <w:rPr/>
        <w:t>important role in controlling neuronal firing and as such, its inhibition would accordingly decrease neuronal firing. Also, the fact that the Nav1.6 sodium channel isoform has been heavily implicated in epilepsy, therefore, its selective pharmacological inhibition could increase the efficacy of anti-epileptic drugs (Rivera </w:t>
      </w:r>
      <w:r>
        <w:rPr>
          <w:i/>
        </w:rPr>
        <w:t>et al</w:t>
      </w:r>
      <w:r>
        <w:rPr/>
        <w:t>., 2012). Thus, the choice of Nav1.6 isoform</w:t>
      </w:r>
      <w:r>
        <w:rPr>
          <w:spacing w:val="-9"/>
        </w:rPr>
        <w:t> </w:t>
      </w:r>
      <w:r>
        <w:rPr/>
        <w:t>to test for the</w:t>
      </w:r>
      <w:r>
        <w:rPr>
          <w:spacing w:val="-1"/>
        </w:rPr>
        <w:t> </w:t>
      </w:r>
      <w:r>
        <w:rPr/>
        <w:t>efficacy</w:t>
      </w:r>
      <w:r>
        <w:rPr>
          <w:spacing w:val="-5"/>
        </w:rPr>
        <w:t> </w:t>
      </w:r>
      <w:r>
        <w:rPr/>
        <w:t>of</w:t>
      </w:r>
      <w:r>
        <w:rPr>
          <w:spacing w:val="-3"/>
        </w:rPr>
        <w:t> </w:t>
      </w:r>
      <w:r>
        <w:rPr/>
        <w:t>DCP23, DCP25 and DCP34 at different concentrations; was on the basis of these facts.</w:t>
      </w:r>
    </w:p>
    <w:p>
      <w:pPr>
        <w:pStyle w:val="BodyText"/>
      </w:pPr>
    </w:p>
    <w:p>
      <w:pPr>
        <w:pStyle w:val="BodyText"/>
        <w:spacing w:before="2"/>
      </w:pPr>
    </w:p>
    <w:p>
      <w:pPr>
        <w:pStyle w:val="BodyText"/>
        <w:spacing w:line="480" w:lineRule="auto" w:before="1"/>
        <w:ind w:left="681" w:right="277"/>
        <w:jc w:val="both"/>
      </w:pPr>
      <w:r>
        <w:rPr/>
        <w:t>This study was conducted to compare the potency of phenytoin, lamotrigine and carbamazepine on sodium channel of neuroblastoma cell, at resting membrane potential. The outcome of the results showed that phenytoin is the most potent followed by lamotrigine and then</w:t>
      </w:r>
      <w:r>
        <w:rPr>
          <w:spacing w:val="-5"/>
        </w:rPr>
        <w:t> </w:t>
      </w:r>
      <w:r>
        <w:rPr/>
        <w:t>carbamazepine. This was</w:t>
      </w:r>
      <w:r>
        <w:rPr>
          <w:spacing w:val="-2"/>
        </w:rPr>
        <w:t> </w:t>
      </w:r>
      <w:r>
        <w:rPr/>
        <w:t>depicted by</w:t>
      </w:r>
      <w:r>
        <w:rPr>
          <w:spacing w:val="-5"/>
        </w:rPr>
        <w:t> </w:t>
      </w:r>
      <w:r>
        <w:rPr/>
        <w:t>their IC</w:t>
      </w:r>
      <w:r>
        <w:rPr>
          <w:vertAlign w:val="subscript"/>
        </w:rPr>
        <w:t>50</w:t>
      </w:r>
      <w:r>
        <w:rPr>
          <w:spacing w:val="-11"/>
          <w:vertAlign w:val="baseline"/>
        </w:rPr>
        <w:t> </w:t>
      </w:r>
      <w:r>
        <w:rPr>
          <w:vertAlign w:val="baseline"/>
        </w:rPr>
        <w:t>values of</w:t>
      </w:r>
      <w:r>
        <w:rPr>
          <w:spacing w:val="-3"/>
          <w:vertAlign w:val="baseline"/>
        </w:rPr>
        <w:t> </w:t>
      </w:r>
      <w:r>
        <w:rPr>
          <w:vertAlign w:val="baseline"/>
        </w:rPr>
        <w:t>58, 91 and 140 µM, respectively, and this has also proven that phenytoin and lamotrigine offered tonic inhibition of sodium channels over a similar dose range (Lang, </w:t>
      </w:r>
      <w:r>
        <w:rPr>
          <w:i/>
          <w:vertAlign w:val="baseline"/>
        </w:rPr>
        <w:t>et al</w:t>
      </w:r>
      <w:r>
        <w:rPr>
          <w:vertAlign w:val="baseline"/>
        </w:rPr>
        <w:t>., 1993). Similarly, all the test compounds were found to produce tonic inhibition of the sodium channels at different potency level when their efficacies were tested at a resting membrane potential of -60mV. Their ability to produce tonic inhibition of sodium currents when voltage clamped at -60mV, though at different potency level, was an indication to prove their efficacy against sodium channels and may act as blockers of</w:t>
      </w:r>
      <w:r>
        <w:rPr>
          <w:spacing w:val="-3"/>
          <w:vertAlign w:val="baseline"/>
        </w:rPr>
        <w:t> </w:t>
      </w:r>
      <w:r>
        <w:rPr>
          <w:vertAlign w:val="baseline"/>
        </w:rPr>
        <w:t>the channel.</w:t>
      </w:r>
      <w:r>
        <w:rPr>
          <w:spacing w:val="62"/>
          <w:w w:val="150"/>
          <w:vertAlign w:val="baseline"/>
        </w:rPr>
        <w:t> </w:t>
      </w:r>
      <w:r>
        <w:rPr>
          <w:vertAlign w:val="baseline"/>
        </w:rPr>
        <w:t>The</w:t>
      </w:r>
      <w:r>
        <w:rPr>
          <w:spacing w:val="59"/>
          <w:w w:val="150"/>
          <w:vertAlign w:val="baseline"/>
        </w:rPr>
        <w:t> </w:t>
      </w:r>
      <w:r>
        <w:rPr>
          <w:vertAlign w:val="baseline"/>
        </w:rPr>
        <w:t>IC</w:t>
      </w:r>
      <w:r>
        <w:rPr>
          <w:vertAlign w:val="subscript"/>
        </w:rPr>
        <w:t>50</w:t>
      </w:r>
      <w:r>
        <w:rPr>
          <w:spacing w:val="63"/>
          <w:w w:val="150"/>
          <w:vertAlign w:val="baseline"/>
        </w:rPr>
        <w:t> </w:t>
      </w:r>
      <w:r>
        <w:rPr>
          <w:vertAlign w:val="baseline"/>
        </w:rPr>
        <w:t>value</w:t>
      </w:r>
      <w:r>
        <w:rPr>
          <w:spacing w:val="60"/>
          <w:w w:val="150"/>
          <w:vertAlign w:val="baseline"/>
        </w:rPr>
        <w:t> </w:t>
      </w:r>
      <w:r>
        <w:rPr>
          <w:vertAlign w:val="baseline"/>
        </w:rPr>
        <w:t>of</w:t>
      </w:r>
      <w:r>
        <w:rPr>
          <w:spacing w:val="52"/>
          <w:w w:val="150"/>
          <w:vertAlign w:val="baseline"/>
        </w:rPr>
        <w:t> </w:t>
      </w:r>
      <w:r>
        <w:rPr>
          <w:vertAlign w:val="baseline"/>
        </w:rPr>
        <w:t>the</w:t>
      </w:r>
      <w:r>
        <w:rPr>
          <w:spacing w:val="64"/>
          <w:w w:val="150"/>
          <w:vertAlign w:val="baseline"/>
        </w:rPr>
        <w:t> </w:t>
      </w:r>
      <w:r>
        <w:rPr>
          <w:vertAlign w:val="baseline"/>
        </w:rPr>
        <w:t>most</w:t>
      </w:r>
      <w:r>
        <w:rPr>
          <w:spacing w:val="66"/>
          <w:w w:val="150"/>
          <w:vertAlign w:val="baseline"/>
        </w:rPr>
        <w:t> </w:t>
      </w:r>
      <w:r>
        <w:rPr>
          <w:vertAlign w:val="baseline"/>
        </w:rPr>
        <w:t>active</w:t>
      </w:r>
      <w:r>
        <w:rPr>
          <w:spacing w:val="64"/>
          <w:w w:val="150"/>
          <w:vertAlign w:val="baseline"/>
        </w:rPr>
        <w:t> </w:t>
      </w:r>
      <w:r>
        <w:rPr>
          <w:vertAlign w:val="baseline"/>
        </w:rPr>
        <w:t>compound</w:t>
      </w:r>
      <w:r>
        <w:rPr>
          <w:spacing w:val="60"/>
          <w:w w:val="150"/>
          <w:vertAlign w:val="baseline"/>
        </w:rPr>
        <w:t> </w:t>
      </w:r>
      <w:r>
        <w:rPr>
          <w:vertAlign w:val="baseline"/>
        </w:rPr>
        <w:t>(DCP23)</w:t>
      </w:r>
      <w:r>
        <w:rPr>
          <w:spacing w:val="62"/>
          <w:w w:val="150"/>
          <w:vertAlign w:val="baseline"/>
        </w:rPr>
        <w:t> </w:t>
      </w:r>
      <w:r>
        <w:rPr>
          <w:vertAlign w:val="baseline"/>
        </w:rPr>
        <w:t>among</w:t>
      </w:r>
      <w:r>
        <w:rPr>
          <w:spacing w:val="60"/>
          <w:w w:val="150"/>
          <w:vertAlign w:val="baseline"/>
        </w:rPr>
        <w:t> </w:t>
      </w:r>
      <w:r>
        <w:rPr>
          <w:vertAlign w:val="baseline"/>
        </w:rPr>
        <w:t>the</w:t>
      </w:r>
      <w:r>
        <w:rPr>
          <w:spacing w:val="59"/>
          <w:w w:val="150"/>
          <w:vertAlign w:val="baseline"/>
        </w:rPr>
        <w:t> </w:t>
      </w:r>
      <w:r>
        <w:rPr>
          <w:spacing w:val="-4"/>
          <w:vertAlign w:val="baseline"/>
        </w:rPr>
        <w:t>test</w:t>
      </w:r>
    </w:p>
    <w:p>
      <w:pPr>
        <w:spacing w:after="0" w:line="480" w:lineRule="auto"/>
        <w:jc w:val="both"/>
        <w:sectPr>
          <w:pgSz w:w="12240" w:h="15840"/>
          <w:pgMar w:header="0" w:footer="1066" w:top="1360" w:bottom="1260" w:left="1480" w:right="1160"/>
        </w:sectPr>
      </w:pPr>
    </w:p>
    <w:p>
      <w:pPr>
        <w:pStyle w:val="BodyText"/>
        <w:spacing w:line="480" w:lineRule="auto" w:before="72"/>
        <w:ind w:left="681" w:right="272"/>
        <w:jc w:val="both"/>
      </w:pPr>
      <w:r>
        <w:rPr/>
        <w:t>compounds was found to be 64.8 µM. This suggests that the potency of DCP23 could be favorably compared to that of phenytoin and lamotrigine and it appeared to be more potent than lamotrigine and carbamazepine. In another study, the action of Propofol; which is also known to modulate neuronal sodium channels as its major determinant for AED activity in addition</w:t>
      </w:r>
      <w:r>
        <w:rPr>
          <w:spacing w:val="-1"/>
        </w:rPr>
        <w:t> </w:t>
      </w:r>
      <w:r>
        <w:rPr/>
        <w:t>to GABA and Ca</w:t>
      </w:r>
      <w:r>
        <w:rPr>
          <w:vertAlign w:val="superscript"/>
        </w:rPr>
        <w:t>2+</w:t>
      </w:r>
      <w:r>
        <w:rPr>
          <w:vertAlign w:val="baseline"/>
        </w:rPr>
        <w:t> channels modulation</w:t>
      </w:r>
      <w:r>
        <w:rPr>
          <w:spacing w:val="-1"/>
          <w:vertAlign w:val="baseline"/>
        </w:rPr>
        <w:t> </w:t>
      </w:r>
      <w:r>
        <w:rPr>
          <w:vertAlign w:val="baseline"/>
        </w:rPr>
        <w:t>(Martella </w:t>
      </w:r>
      <w:r>
        <w:rPr>
          <w:i/>
          <w:vertAlign w:val="baseline"/>
        </w:rPr>
        <w:t>et al</w:t>
      </w:r>
      <w:r>
        <w:rPr>
          <w:vertAlign w:val="baseline"/>
        </w:rPr>
        <w:t>., 2005), was evaluated on hippocampal cultured neuron. The IC</w:t>
      </w:r>
      <w:r>
        <w:rPr>
          <w:vertAlign w:val="subscript"/>
        </w:rPr>
        <w:t>50</w:t>
      </w:r>
      <w:r>
        <w:rPr>
          <w:spacing w:val="-12"/>
          <w:vertAlign w:val="baseline"/>
        </w:rPr>
        <w:t> </w:t>
      </w:r>
      <w:r>
        <w:rPr>
          <w:vertAlign w:val="baseline"/>
        </w:rPr>
        <w:t>was found to be 17.7 µM while that of</w:t>
      </w:r>
      <w:r>
        <w:rPr>
          <w:spacing w:val="-7"/>
          <w:vertAlign w:val="baseline"/>
        </w:rPr>
        <w:t> </w:t>
      </w:r>
      <w:r>
        <w:rPr>
          <w:vertAlign w:val="baseline"/>
        </w:rPr>
        <w:t>other hydroxyamide analogs</w:t>
      </w:r>
      <w:r>
        <w:rPr>
          <w:spacing w:val="-1"/>
          <w:vertAlign w:val="baseline"/>
        </w:rPr>
        <w:t> </w:t>
      </w:r>
      <w:r>
        <w:rPr>
          <w:vertAlign w:val="baseline"/>
        </w:rPr>
        <w:t>of</w:t>
      </w:r>
      <w:r>
        <w:rPr>
          <w:spacing w:val="-7"/>
          <w:vertAlign w:val="baseline"/>
        </w:rPr>
        <w:t> </w:t>
      </w:r>
      <w:r>
        <w:rPr>
          <w:vertAlign w:val="baseline"/>
        </w:rPr>
        <w:t>propofol;</w:t>
      </w:r>
      <w:r>
        <w:rPr>
          <w:spacing w:val="-4"/>
          <w:vertAlign w:val="baseline"/>
        </w:rPr>
        <w:t> </w:t>
      </w:r>
      <w:r>
        <w:rPr>
          <w:vertAlign w:val="baseline"/>
        </w:rPr>
        <w:t>HS245 and HS357, were 100 and 24 µM respectively (Jones </w:t>
      </w:r>
      <w:r>
        <w:rPr>
          <w:i/>
          <w:vertAlign w:val="baseline"/>
        </w:rPr>
        <w:t>et al</w:t>
      </w:r>
      <w:r>
        <w:rPr>
          <w:vertAlign w:val="baseline"/>
        </w:rPr>
        <w:t>., 2007). Also, study was conducted to evaluate a novel lactam (YW192) containing anticonvulsant pharmacophore in comparism to lamotrigine using NaV</w:t>
      </w:r>
      <w:r>
        <w:rPr>
          <w:spacing w:val="-2"/>
          <w:vertAlign w:val="baseline"/>
        </w:rPr>
        <w:t> </w:t>
      </w:r>
      <w:r>
        <w:rPr>
          <w:vertAlign w:val="baseline"/>
        </w:rPr>
        <w:t>1.2,</w:t>
      </w:r>
      <w:r>
        <w:rPr>
          <w:spacing w:val="-6"/>
          <w:vertAlign w:val="baseline"/>
        </w:rPr>
        <w:t> </w:t>
      </w:r>
      <w:r>
        <w:rPr>
          <w:vertAlign w:val="baseline"/>
        </w:rPr>
        <w:t>the IC</w:t>
      </w:r>
      <w:r>
        <w:rPr>
          <w:vertAlign w:val="subscript"/>
        </w:rPr>
        <w:t>50</w:t>
      </w:r>
      <w:r>
        <w:rPr>
          <w:spacing w:val="-15"/>
          <w:vertAlign w:val="baseline"/>
        </w:rPr>
        <w:t> </w:t>
      </w:r>
      <w:r>
        <w:rPr>
          <w:vertAlign w:val="baseline"/>
        </w:rPr>
        <w:t>values for lamotrigine and YW192 at resting membrane potential, were found as 172 and 57 µM respectively (Jones, </w:t>
      </w:r>
      <w:r>
        <w:rPr>
          <w:i/>
          <w:vertAlign w:val="baseline"/>
        </w:rPr>
        <w:t>et al</w:t>
      </w:r>
      <w:r>
        <w:rPr>
          <w:vertAlign w:val="baseline"/>
        </w:rPr>
        <w:t>., 2009). These results could additionally show good potency of DCP23.</w:t>
      </w:r>
    </w:p>
    <w:p>
      <w:pPr>
        <w:pStyle w:val="BodyText"/>
      </w:pPr>
    </w:p>
    <w:p>
      <w:pPr>
        <w:pStyle w:val="BodyText"/>
        <w:spacing w:before="2"/>
      </w:pPr>
    </w:p>
    <w:p>
      <w:pPr>
        <w:pStyle w:val="BodyText"/>
        <w:spacing w:line="480" w:lineRule="auto" w:before="1"/>
        <w:ind w:left="681" w:right="280"/>
        <w:jc w:val="both"/>
      </w:pPr>
      <w:r>
        <w:rPr/>
        <w:t>Generally, antiepileptic drugs</w:t>
      </w:r>
      <w:r>
        <w:rPr>
          <w:spacing w:val="-1"/>
        </w:rPr>
        <w:t> </w:t>
      </w:r>
      <w:r>
        <w:rPr/>
        <w:t>(phenytoin-like drugs) blocked sodium</w:t>
      </w:r>
      <w:r>
        <w:rPr>
          <w:spacing w:val="-3"/>
        </w:rPr>
        <w:t> </w:t>
      </w:r>
      <w:r>
        <w:rPr/>
        <w:t>channels</w:t>
      </w:r>
      <w:r>
        <w:rPr>
          <w:spacing w:val="-1"/>
        </w:rPr>
        <w:t> </w:t>
      </w:r>
      <w:r>
        <w:rPr/>
        <w:t>at specific receptor site which is formed by</w:t>
      </w:r>
      <w:r>
        <w:rPr>
          <w:spacing w:val="-1"/>
        </w:rPr>
        <w:t> </w:t>
      </w:r>
      <w:r>
        <w:rPr/>
        <w:t>amino acid residues in</w:t>
      </w:r>
      <w:r>
        <w:rPr>
          <w:spacing w:val="-1"/>
        </w:rPr>
        <w:t> </w:t>
      </w:r>
      <w:r>
        <w:rPr/>
        <w:t>the S6 segments in</w:t>
      </w:r>
      <w:r>
        <w:rPr>
          <w:spacing w:val="-1"/>
        </w:rPr>
        <w:t> </w:t>
      </w:r>
      <w:r>
        <w:rPr/>
        <w:t>domains I, III and</w:t>
      </w:r>
      <w:r>
        <w:rPr>
          <w:spacing w:val="-1"/>
        </w:rPr>
        <w:t> </w:t>
      </w:r>
      <w:r>
        <w:rPr/>
        <w:t>IV. These</w:t>
      </w:r>
      <w:r>
        <w:rPr>
          <w:spacing w:val="-2"/>
        </w:rPr>
        <w:t> </w:t>
      </w:r>
      <w:r>
        <w:rPr/>
        <w:t>drugs</w:t>
      </w:r>
      <w:r>
        <w:rPr>
          <w:spacing w:val="-3"/>
        </w:rPr>
        <w:t> </w:t>
      </w:r>
      <w:r>
        <w:rPr/>
        <w:t>bind</w:t>
      </w:r>
      <w:r>
        <w:rPr>
          <w:spacing w:val="-1"/>
        </w:rPr>
        <w:t> </w:t>
      </w:r>
      <w:r>
        <w:rPr/>
        <w:t>to a</w:t>
      </w:r>
      <w:r>
        <w:rPr>
          <w:spacing w:val="-7"/>
        </w:rPr>
        <w:t> </w:t>
      </w:r>
      <w:r>
        <w:rPr/>
        <w:t>receptor site in</w:t>
      </w:r>
      <w:r>
        <w:rPr>
          <w:spacing w:val="-6"/>
        </w:rPr>
        <w:t> </w:t>
      </w:r>
      <w:r>
        <w:rPr/>
        <w:t>the</w:t>
      </w:r>
      <w:r>
        <w:rPr>
          <w:spacing w:val="-2"/>
        </w:rPr>
        <w:t> </w:t>
      </w:r>
      <w:r>
        <w:rPr/>
        <w:t>pore</w:t>
      </w:r>
      <w:r>
        <w:rPr>
          <w:spacing w:val="-12"/>
        </w:rPr>
        <w:t> </w:t>
      </w:r>
      <w:r>
        <w:rPr/>
        <w:t>of</w:t>
      </w:r>
      <w:r>
        <w:rPr>
          <w:spacing w:val="-9"/>
        </w:rPr>
        <w:t> </w:t>
      </w:r>
      <w:r>
        <w:rPr/>
        <w:t>sodium</w:t>
      </w:r>
      <w:r>
        <w:rPr>
          <w:spacing w:val="-10"/>
        </w:rPr>
        <w:t> </w:t>
      </w:r>
      <w:r>
        <w:rPr/>
        <w:t>channels</w:t>
      </w:r>
      <w:r>
        <w:rPr>
          <w:spacing w:val="-3"/>
        </w:rPr>
        <w:t> </w:t>
      </w:r>
      <w:r>
        <w:rPr/>
        <w:t>and impede ion permeation</w:t>
      </w:r>
      <w:r>
        <w:rPr>
          <w:spacing w:val="-7"/>
        </w:rPr>
        <w:t> </w:t>
      </w:r>
      <w:r>
        <w:rPr/>
        <w:t>(Catterall, 2012). The</w:t>
      </w:r>
      <w:r>
        <w:rPr>
          <w:spacing w:val="-3"/>
        </w:rPr>
        <w:t> </w:t>
      </w:r>
      <w:r>
        <w:rPr/>
        <w:t>ability</w:t>
      </w:r>
      <w:r>
        <w:rPr>
          <w:spacing w:val="-7"/>
        </w:rPr>
        <w:t> </w:t>
      </w:r>
      <w:r>
        <w:rPr/>
        <w:t>of</w:t>
      </w:r>
      <w:r>
        <w:rPr>
          <w:spacing w:val="-10"/>
        </w:rPr>
        <w:t> </w:t>
      </w:r>
      <w:r>
        <w:rPr/>
        <w:t>DCP23, DCP25</w:t>
      </w:r>
      <w:r>
        <w:rPr>
          <w:spacing w:val="-2"/>
        </w:rPr>
        <w:t> </w:t>
      </w:r>
      <w:r>
        <w:rPr/>
        <w:t>and</w:t>
      </w:r>
      <w:r>
        <w:rPr>
          <w:spacing w:val="-2"/>
        </w:rPr>
        <w:t> </w:t>
      </w:r>
      <w:r>
        <w:rPr/>
        <w:t>DCP34</w:t>
      </w:r>
      <w:r>
        <w:rPr>
          <w:spacing w:val="-2"/>
        </w:rPr>
        <w:t> </w:t>
      </w:r>
      <w:r>
        <w:rPr/>
        <w:t>to</w:t>
      </w:r>
      <w:r>
        <w:rPr>
          <w:spacing w:val="-2"/>
        </w:rPr>
        <w:t> </w:t>
      </w:r>
      <w:r>
        <w:rPr/>
        <w:t>reduce</w:t>
      </w:r>
      <w:r>
        <w:rPr>
          <w:spacing w:val="-3"/>
        </w:rPr>
        <w:t> </w:t>
      </w:r>
      <w:r>
        <w:rPr/>
        <w:t>sodium channel currents was an indication to show that they bound to a specific receptor site in the pore of sodium in these segments and domains, hence, blocked sodium ion </w:t>
      </w:r>
      <w:r>
        <w:rPr>
          <w:spacing w:val="-2"/>
        </w:rPr>
        <w:t>permeation.</w:t>
      </w:r>
    </w:p>
    <w:p>
      <w:pPr>
        <w:pStyle w:val="BodyText"/>
      </w:pPr>
    </w:p>
    <w:p>
      <w:pPr>
        <w:pStyle w:val="BodyText"/>
        <w:spacing w:before="1"/>
      </w:pPr>
    </w:p>
    <w:p>
      <w:pPr>
        <w:pStyle w:val="BodyText"/>
        <w:spacing w:line="480" w:lineRule="auto"/>
        <w:ind w:left="681" w:right="277"/>
        <w:jc w:val="both"/>
      </w:pPr>
      <w:r>
        <w:rPr/>
        <w:t>A common feature</w:t>
      </w:r>
      <w:r>
        <w:rPr>
          <w:spacing w:val="-4"/>
        </w:rPr>
        <w:t> </w:t>
      </w:r>
      <w:r>
        <w:rPr/>
        <w:t>of</w:t>
      </w:r>
      <w:r>
        <w:rPr>
          <w:spacing w:val="-1"/>
        </w:rPr>
        <w:t> </w:t>
      </w:r>
      <w:r>
        <w:rPr/>
        <w:t>many AEDs is their ability</w:t>
      </w:r>
      <w:r>
        <w:rPr>
          <w:spacing w:val="-3"/>
        </w:rPr>
        <w:t> </w:t>
      </w:r>
      <w:r>
        <w:rPr/>
        <w:t>to bind with</w:t>
      </w:r>
      <w:r>
        <w:rPr>
          <w:spacing w:val="-3"/>
        </w:rPr>
        <w:t> </w:t>
      </w:r>
      <w:r>
        <w:rPr/>
        <w:t>greater affinity</w:t>
      </w:r>
      <w:r>
        <w:rPr>
          <w:spacing w:val="-3"/>
        </w:rPr>
        <w:t> </w:t>
      </w:r>
      <w:r>
        <w:rPr/>
        <w:t>to open</w:t>
      </w:r>
      <w:r>
        <w:rPr>
          <w:spacing w:val="-3"/>
        </w:rPr>
        <w:t> </w:t>
      </w:r>
      <w:r>
        <w:rPr/>
        <w:t>and inactivated</w:t>
      </w:r>
      <w:r>
        <w:rPr>
          <w:spacing w:val="6"/>
        </w:rPr>
        <w:t> </w:t>
      </w:r>
      <w:r>
        <w:rPr/>
        <w:t>channels</w:t>
      </w:r>
      <w:r>
        <w:rPr>
          <w:spacing w:val="7"/>
        </w:rPr>
        <w:t> </w:t>
      </w:r>
      <w:r>
        <w:rPr/>
        <w:t>over</w:t>
      </w:r>
      <w:r>
        <w:rPr>
          <w:spacing w:val="10"/>
        </w:rPr>
        <w:t> </w:t>
      </w:r>
      <w:r>
        <w:rPr/>
        <w:t>channels</w:t>
      </w:r>
      <w:r>
        <w:rPr>
          <w:spacing w:val="12"/>
        </w:rPr>
        <w:t> </w:t>
      </w:r>
      <w:r>
        <w:rPr/>
        <w:t>at</w:t>
      </w:r>
      <w:r>
        <w:rPr>
          <w:spacing w:val="13"/>
        </w:rPr>
        <w:t> </w:t>
      </w:r>
      <w:r>
        <w:rPr/>
        <w:t>rest</w:t>
      </w:r>
      <w:r>
        <w:rPr>
          <w:spacing w:val="10"/>
        </w:rPr>
        <w:t> </w:t>
      </w:r>
      <w:r>
        <w:rPr/>
        <w:t>(Kuo</w:t>
      </w:r>
      <w:r>
        <w:rPr>
          <w:spacing w:val="20"/>
        </w:rPr>
        <w:t> </w:t>
      </w:r>
      <w:r>
        <w:rPr>
          <w:i/>
        </w:rPr>
        <w:t>et</w:t>
      </w:r>
      <w:r>
        <w:rPr>
          <w:i/>
          <w:spacing w:val="10"/>
        </w:rPr>
        <w:t> </w:t>
      </w:r>
      <w:r>
        <w:rPr>
          <w:i/>
        </w:rPr>
        <w:t>al</w:t>
      </w:r>
      <w:r>
        <w:rPr/>
        <w:t>.,</w:t>
      </w:r>
      <w:r>
        <w:rPr>
          <w:spacing w:val="10"/>
        </w:rPr>
        <w:t> </w:t>
      </w:r>
      <w:r>
        <w:rPr/>
        <w:t>1997).</w:t>
      </w:r>
      <w:r>
        <w:rPr>
          <w:spacing w:val="11"/>
        </w:rPr>
        <w:t> </w:t>
      </w:r>
      <w:r>
        <w:rPr/>
        <w:t>Antiepileptic</w:t>
      </w:r>
      <w:r>
        <w:rPr>
          <w:spacing w:val="7"/>
        </w:rPr>
        <w:t> </w:t>
      </w:r>
      <w:r>
        <w:rPr/>
        <w:t>drugs</w:t>
      </w:r>
      <w:r>
        <w:rPr>
          <w:spacing w:val="7"/>
        </w:rPr>
        <w:t> </w:t>
      </w:r>
      <w:r>
        <w:rPr/>
        <w:t>such</w:t>
      </w:r>
      <w:r>
        <w:rPr>
          <w:spacing w:val="9"/>
        </w:rPr>
        <w:t> </w:t>
      </w:r>
      <w:r>
        <w:rPr>
          <w:spacing w:val="-5"/>
        </w:rPr>
        <w:t>as</w:t>
      </w:r>
    </w:p>
    <w:p>
      <w:pPr>
        <w:spacing w:after="0" w:line="480" w:lineRule="auto"/>
        <w:jc w:val="both"/>
        <w:sectPr>
          <w:pgSz w:w="12240" w:h="15840"/>
          <w:pgMar w:header="0" w:footer="1066" w:top="1360" w:bottom="1260" w:left="1480" w:right="1160"/>
        </w:sectPr>
      </w:pPr>
    </w:p>
    <w:p>
      <w:pPr>
        <w:pStyle w:val="BodyText"/>
        <w:spacing w:line="480" w:lineRule="auto" w:before="72"/>
        <w:ind w:left="681" w:right="271"/>
        <w:jc w:val="both"/>
      </w:pPr>
      <w:r>
        <w:rPr/>
        <w:t>diphenyl hydantoins, carbamazepine and lamotrigine, are thought to be effective because of a higher affinity for the inactivated state of the channel over the resting state of the channel (Kuo and Bean, 1994). This characteristic is best described by the modulated receptor hypothesis that states that drug affinity for the channel receptor is dependent on the channel state, transitioning from a low- to high affinity site during inactivation of</w:t>
      </w:r>
      <w:r>
        <w:rPr>
          <w:spacing w:val="-2"/>
        </w:rPr>
        <w:t> </w:t>
      </w:r>
      <w:r>
        <w:rPr/>
        <w:t>the channel i.e sodium channels accumulate in high-affinity drug biding conformations (Hondeghem and Katzung, 1977), thus, results in stabilization</w:t>
      </w:r>
      <w:r>
        <w:rPr>
          <w:spacing w:val="-5"/>
        </w:rPr>
        <w:t> </w:t>
      </w:r>
      <w:r>
        <w:rPr/>
        <w:t>of</w:t>
      </w:r>
      <w:r>
        <w:rPr>
          <w:spacing w:val="-8"/>
        </w:rPr>
        <w:t> </w:t>
      </w:r>
      <w:r>
        <w:rPr/>
        <w:t>the inactivated state</w:t>
      </w:r>
      <w:r>
        <w:rPr>
          <w:spacing w:val="-1"/>
        </w:rPr>
        <w:t> </w:t>
      </w:r>
      <w:r>
        <w:rPr/>
        <w:t>and minimization of the persistent current (Kuo </w:t>
      </w:r>
      <w:r>
        <w:rPr>
          <w:i/>
        </w:rPr>
        <w:t>et al. </w:t>
      </w:r>
      <w:r>
        <w:rPr/>
        <w:t>1997). The action of DCP23 and</w:t>
      </w:r>
      <w:r>
        <w:rPr>
          <w:spacing w:val="40"/>
        </w:rPr>
        <w:t> </w:t>
      </w:r>
      <w:r>
        <w:rPr/>
        <w:t>DCP25 were</w:t>
      </w:r>
      <w:r>
        <w:rPr>
          <w:spacing w:val="-2"/>
        </w:rPr>
        <w:t> </w:t>
      </w:r>
      <w:r>
        <w:rPr/>
        <w:t>tested at</w:t>
      </w:r>
      <w:r>
        <w:rPr>
          <w:spacing w:val="-1"/>
        </w:rPr>
        <w:t> </w:t>
      </w:r>
      <w:r>
        <w:rPr/>
        <w:t>open/inactivated state</w:t>
      </w:r>
      <w:r>
        <w:rPr>
          <w:spacing w:val="-2"/>
        </w:rPr>
        <w:t> </w:t>
      </w:r>
      <w:r>
        <w:rPr/>
        <w:t>of</w:t>
      </w:r>
      <w:r>
        <w:rPr>
          <w:spacing w:val="-4"/>
        </w:rPr>
        <w:t> </w:t>
      </w:r>
      <w:r>
        <w:rPr/>
        <w:t>the channels; voltage clamped at -100Mv. The outcome of</w:t>
      </w:r>
      <w:r>
        <w:rPr>
          <w:spacing w:val="-2"/>
        </w:rPr>
        <w:t> </w:t>
      </w:r>
      <w:r>
        <w:rPr/>
        <w:t>the results showed their states-dependent action on NaV 1.6 as indicated by their lower sodium current inhibition in inactivated state but higher current inhibition at resting state. The evidence for this phenomenon would be the outcome of IC</w:t>
      </w:r>
      <w:r>
        <w:rPr>
          <w:vertAlign w:val="subscript"/>
        </w:rPr>
        <w:t>50</w:t>
      </w:r>
      <w:r>
        <w:rPr>
          <w:vertAlign w:val="baseline"/>
        </w:rPr>
        <w:t> of DCP23 which</w:t>
      </w:r>
      <w:r>
        <w:rPr>
          <w:spacing w:val="-1"/>
          <w:vertAlign w:val="baseline"/>
        </w:rPr>
        <w:t> </w:t>
      </w:r>
      <w:r>
        <w:rPr>
          <w:vertAlign w:val="baseline"/>
        </w:rPr>
        <w:t>was found to be100 µM higher that (64 µM) found at the resting potential. This could be seen from Dose – Response Curves of DCP23 at the two states of the channel, where there was right shift of the curve obtained at inactivated state when compared to that of the resting state. This was an indication of higher binding affinity of the</w:t>
      </w:r>
      <w:r>
        <w:rPr>
          <w:spacing w:val="-2"/>
          <w:vertAlign w:val="baseline"/>
        </w:rPr>
        <w:t> </w:t>
      </w:r>
      <w:r>
        <w:rPr>
          <w:vertAlign w:val="baseline"/>
        </w:rPr>
        <w:t>compound</w:t>
      </w:r>
      <w:r>
        <w:rPr>
          <w:spacing w:val="-1"/>
          <w:vertAlign w:val="baseline"/>
        </w:rPr>
        <w:t> </w:t>
      </w:r>
      <w:r>
        <w:rPr>
          <w:vertAlign w:val="baseline"/>
        </w:rPr>
        <w:t>to inactivated</w:t>
      </w:r>
      <w:r>
        <w:rPr>
          <w:spacing w:val="-1"/>
          <w:vertAlign w:val="baseline"/>
        </w:rPr>
        <w:t> </w:t>
      </w:r>
      <w:r>
        <w:rPr>
          <w:vertAlign w:val="baseline"/>
        </w:rPr>
        <w:t>channels where</w:t>
      </w:r>
      <w:r>
        <w:rPr>
          <w:spacing w:val="-2"/>
          <w:vertAlign w:val="baseline"/>
        </w:rPr>
        <w:t> </w:t>
      </w:r>
      <w:r>
        <w:rPr>
          <w:vertAlign w:val="baseline"/>
        </w:rPr>
        <w:t>sodium</w:t>
      </w:r>
      <w:r>
        <w:rPr>
          <w:spacing w:val="-6"/>
          <w:vertAlign w:val="baseline"/>
        </w:rPr>
        <w:t> </w:t>
      </w:r>
      <w:r>
        <w:rPr>
          <w:vertAlign w:val="baseline"/>
        </w:rPr>
        <w:t>channels</w:t>
      </w:r>
      <w:r>
        <w:rPr>
          <w:spacing w:val="-3"/>
          <w:vertAlign w:val="baseline"/>
        </w:rPr>
        <w:t> </w:t>
      </w:r>
      <w:r>
        <w:rPr>
          <w:vertAlign w:val="baseline"/>
        </w:rPr>
        <w:t>accumulate in high-affinity drug binding conformations. The increased fraction of inactivated channels limits the number of sodium channels ready to open during repetitive firing, which is believed to occur when the seizure activity spreads (Rogawski and Loscher, 2004).</w:t>
      </w:r>
      <w:r>
        <w:rPr>
          <w:spacing w:val="80"/>
          <w:vertAlign w:val="baseline"/>
        </w:rPr>
        <w:t> </w:t>
      </w:r>
      <w:r>
        <w:rPr>
          <w:vertAlign w:val="baseline"/>
        </w:rPr>
        <w:t>Similarly, DCP25 showed twice higher affinity to inactivated state than to the resting state as evidently shown at the concentration of</w:t>
      </w:r>
      <w:r>
        <w:rPr>
          <w:spacing w:val="-2"/>
          <w:vertAlign w:val="baseline"/>
        </w:rPr>
        <w:t> </w:t>
      </w:r>
      <w:r>
        <w:rPr>
          <w:vertAlign w:val="baseline"/>
        </w:rPr>
        <w:t>100 µM, thus, conformed to the similar action of DCP23.</w:t>
      </w:r>
      <w:r>
        <w:rPr>
          <w:spacing w:val="33"/>
          <w:vertAlign w:val="baseline"/>
        </w:rPr>
        <w:t> </w:t>
      </w:r>
      <w:r>
        <w:rPr>
          <w:vertAlign w:val="baseline"/>
        </w:rPr>
        <w:t>However,</w:t>
      </w:r>
      <w:r>
        <w:rPr>
          <w:spacing w:val="28"/>
          <w:vertAlign w:val="baseline"/>
        </w:rPr>
        <w:t> </w:t>
      </w:r>
      <w:r>
        <w:rPr>
          <w:vertAlign w:val="baseline"/>
        </w:rPr>
        <w:t>to</w:t>
      </w:r>
      <w:r>
        <w:rPr>
          <w:spacing w:val="36"/>
          <w:vertAlign w:val="baseline"/>
        </w:rPr>
        <w:t> </w:t>
      </w:r>
      <w:r>
        <w:rPr>
          <w:vertAlign w:val="baseline"/>
        </w:rPr>
        <w:t>compare</w:t>
      </w:r>
      <w:r>
        <w:rPr>
          <w:spacing w:val="30"/>
          <w:vertAlign w:val="baseline"/>
        </w:rPr>
        <w:t> </w:t>
      </w:r>
      <w:r>
        <w:rPr>
          <w:vertAlign w:val="baseline"/>
        </w:rPr>
        <w:t>this</w:t>
      </w:r>
      <w:r>
        <w:rPr>
          <w:spacing w:val="28"/>
          <w:vertAlign w:val="baseline"/>
        </w:rPr>
        <w:t> </w:t>
      </w:r>
      <w:r>
        <w:rPr>
          <w:vertAlign w:val="baseline"/>
        </w:rPr>
        <w:t>to</w:t>
      </w:r>
      <w:r>
        <w:rPr>
          <w:spacing w:val="30"/>
          <w:vertAlign w:val="baseline"/>
        </w:rPr>
        <w:t> </w:t>
      </w:r>
      <w:r>
        <w:rPr>
          <w:vertAlign w:val="baseline"/>
        </w:rPr>
        <w:t>the</w:t>
      </w:r>
      <w:r>
        <w:rPr>
          <w:spacing w:val="30"/>
          <w:vertAlign w:val="baseline"/>
        </w:rPr>
        <w:t> </w:t>
      </w:r>
      <w:r>
        <w:rPr>
          <w:vertAlign w:val="baseline"/>
        </w:rPr>
        <w:t>peculiarity</w:t>
      </w:r>
      <w:r>
        <w:rPr>
          <w:spacing w:val="21"/>
          <w:vertAlign w:val="baseline"/>
        </w:rPr>
        <w:t> </w:t>
      </w:r>
      <w:r>
        <w:rPr>
          <w:vertAlign w:val="baseline"/>
        </w:rPr>
        <w:t>of</w:t>
      </w:r>
      <w:r>
        <w:rPr>
          <w:spacing w:val="23"/>
          <w:vertAlign w:val="baseline"/>
        </w:rPr>
        <w:t> </w:t>
      </w:r>
      <w:r>
        <w:rPr>
          <w:vertAlign w:val="baseline"/>
        </w:rPr>
        <w:t>other</w:t>
      </w:r>
      <w:r>
        <w:rPr>
          <w:spacing w:val="32"/>
          <w:vertAlign w:val="baseline"/>
        </w:rPr>
        <w:t> </w:t>
      </w:r>
      <w:r>
        <w:rPr>
          <w:vertAlign w:val="baseline"/>
        </w:rPr>
        <w:t>phenytoin-like</w:t>
      </w:r>
      <w:r>
        <w:rPr>
          <w:spacing w:val="30"/>
          <w:vertAlign w:val="baseline"/>
        </w:rPr>
        <w:t> </w:t>
      </w:r>
      <w:r>
        <w:rPr>
          <w:vertAlign w:val="baseline"/>
        </w:rPr>
        <w:t>drugs</w:t>
      </w:r>
      <w:r>
        <w:rPr>
          <w:spacing w:val="33"/>
          <w:vertAlign w:val="baseline"/>
        </w:rPr>
        <w:t> </w:t>
      </w:r>
      <w:r>
        <w:rPr>
          <w:spacing w:val="-4"/>
          <w:vertAlign w:val="baseline"/>
        </w:rPr>
        <w:t>e.g,</w:t>
      </w:r>
    </w:p>
    <w:p>
      <w:pPr>
        <w:spacing w:after="0" w:line="480" w:lineRule="auto"/>
        <w:jc w:val="both"/>
        <w:sectPr>
          <w:pgSz w:w="12240" w:h="15840"/>
          <w:pgMar w:header="0" w:footer="1066" w:top="1360" w:bottom="1260" w:left="1480" w:right="1160"/>
        </w:sectPr>
      </w:pPr>
    </w:p>
    <w:p>
      <w:pPr>
        <w:pStyle w:val="BodyText"/>
        <w:spacing w:line="480" w:lineRule="auto" w:before="72"/>
        <w:ind w:left="681" w:right="272"/>
        <w:jc w:val="both"/>
      </w:pPr>
      <w:r>
        <w:rPr/>
        <w:t>lamotrigine; it was found to demonstrate much higher affinity at open/inactivated state (Jones </w:t>
      </w:r>
      <w:r>
        <w:rPr>
          <w:i/>
        </w:rPr>
        <w:t>et al</w:t>
      </w:r>
      <w:r>
        <w:rPr/>
        <w:t>., 2009). Carbamazepine also limits repetitive firing of nerve action</w:t>
      </w:r>
      <w:r>
        <w:rPr>
          <w:spacing w:val="-1"/>
        </w:rPr>
        <w:t> </w:t>
      </w:r>
      <w:r>
        <w:rPr/>
        <w:t>potentials and it shows neuronal sodium channel blocking characteristics similar to those of phenytoin</w:t>
      </w:r>
      <w:r>
        <w:rPr>
          <w:spacing w:val="-3"/>
        </w:rPr>
        <w:t> </w:t>
      </w:r>
      <w:r>
        <w:rPr/>
        <w:t>i.e low-affinity</w:t>
      </w:r>
      <w:r>
        <w:rPr>
          <w:spacing w:val="-10"/>
        </w:rPr>
        <w:t> </w:t>
      </w:r>
      <w:r>
        <w:rPr/>
        <w:t>resting block</w:t>
      </w:r>
      <w:r>
        <w:rPr>
          <w:spacing w:val="-3"/>
        </w:rPr>
        <w:t> </w:t>
      </w:r>
      <w:r>
        <w:rPr/>
        <w:t>and high</w:t>
      </w:r>
      <w:r>
        <w:rPr>
          <w:spacing w:val="-7"/>
        </w:rPr>
        <w:t> </w:t>
      </w:r>
      <w:r>
        <w:rPr/>
        <w:t>affinity</w:t>
      </w:r>
      <w:r>
        <w:rPr>
          <w:spacing w:val="-3"/>
        </w:rPr>
        <w:t> </w:t>
      </w:r>
      <w:r>
        <w:rPr/>
        <w:t>for</w:t>
      </w:r>
      <w:r>
        <w:rPr>
          <w:spacing w:val="-2"/>
        </w:rPr>
        <w:t> </w:t>
      </w:r>
      <w:r>
        <w:rPr/>
        <w:t>the inactivated</w:t>
      </w:r>
      <w:r>
        <w:rPr>
          <w:spacing w:val="-3"/>
        </w:rPr>
        <w:t> </w:t>
      </w:r>
      <w:r>
        <w:rPr/>
        <w:t>state</w:t>
      </w:r>
      <w:r>
        <w:rPr>
          <w:spacing w:val="-4"/>
        </w:rPr>
        <w:t> </w:t>
      </w:r>
      <w:r>
        <w:rPr/>
        <w:t>(Lipkind and Fozzard, 2010). This showed that the test compounds share similar state-dependent characteristics to that of phenytoin, lamotrigine as well as carbamazepine but with lower degree of potency. Several studies have highlighted the importance of Na channel inactivation in regulating neuronal activity, synaptic integration and neuronal spiking. In cortical pyramidal neurons, inactivation of Na channels accounted for the reduction in spike rate during high frequency stimulation (Fleidervish </w:t>
      </w:r>
      <w:r>
        <w:rPr>
          <w:i/>
        </w:rPr>
        <w:t>et al.</w:t>
      </w:r>
      <w:r>
        <w:rPr/>
        <w:t>, 1996). Disruptions in Na channel inactivation mechanisms alter membrane excitability leading to epileptiform activity and the generation of action potential bursts in generalized epilepsy with febrile seizures plus and severe myoclonic epilepsy of infancy (Spampanato </w:t>
      </w:r>
      <w:r>
        <w:rPr>
          <w:i/>
        </w:rPr>
        <w:t>et al.</w:t>
      </w:r>
      <w:r>
        <w:rPr/>
        <w:t>, 2001). Therefore,</w:t>
      </w:r>
      <w:r>
        <w:rPr>
          <w:spacing w:val="-6"/>
        </w:rPr>
        <w:t> </w:t>
      </w:r>
      <w:r>
        <w:rPr/>
        <w:t>the</w:t>
      </w:r>
      <w:r>
        <w:rPr>
          <w:spacing w:val="-4"/>
        </w:rPr>
        <w:t> </w:t>
      </w:r>
      <w:r>
        <w:rPr/>
        <w:t>test compounds</w:t>
      </w:r>
      <w:r>
        <w:rPr>
          <w:spacing w:val="-5"/>
        </w:rPr>
        <w:t> </w:t>
      </w:r>
      <w:r>
        <w:rPr/>
        <w:t>could be</w:t>
      </w:r>
      <w:r>
        <w:rPr>
          <w:spacing w:val="-4"/>
        </w:rPr>
        <w:t> </w:t>
      </w:r>
      <w:r>
        <w:rPr/>
        <w:t>exploited in</w:t>
      </w:r>
      <w:r>
        <w:rPr>
          <w:spacing w:val="-7"/>
        </w:rPr>
        <w:t> </w:t>
      </w:r>
      <w:r>
        <w:rPr/>
        <w:t>regulating neuronal</w:t>
      </w:r>
      <w:r>
        <w:rPr>
          <w:spacing w:val="-7"/>
        </w:rPr>
        <w:t> </w:t>
      </w:r>
      <w:r>
        <w:rPr/>
        <w:t>activity,</w:t>
      </w:r>
      <w:r>
        <w:rPr>
          <w:spacing w:val="-1"/>
        </w:rPr>
        <w:t> </w:t>
      </w:r>
      <w:r>
        <w:rPr/>
        <w:t>synaptic integration and neuronal spiking due to peculiar transitioning characteristics of the channel at the inactivated state.</w:t>
      </w:r>
    </w:p>
    <w:p>
      <w:pPr>
        <w:pStyle w:val="BodyText"/>
      </w:pPr>
    </w:p>
    <w:p>
      <w:pPr>
        <w:pStyle w:val="BodyText"/>
        <w:spacing w:before="4"/>
      </w:pPr>
    </w:p>
    <w:p>
      <w:pPr>
        <w:pStyle w:val="BodyText"/>
        <w:spacing w:line="480" w:lineRule="auto"/>
        <w:ind w:left="681" w:right="275"/>
        <w:jc w:val="both"/>
      </w:pPr>
      <w:r>
        <w:rPr/>
        <w:t>The use-dependent inhibition of sodium current by phenytoin and carbamazepine is an important mechanism for inhibiting the sustained high-frequency repetitive firing of action potentials that occurs during a seizure thus limiting the spread of the seizure (Rogawski and Porter, 1990). However, carbamazepine possess weak use-dependent block when compared to that of phenytoin (Lipkind and Fozzard, 2010). DCP23 being</w:t>
      </w:r>
      <w:r>
        <w:rPr>
          <w:spacing w:val="40"/>
        </w:rPr>
        <w:t> </w:t>
      </w:r>
      <w:r>
        <w:rPr/>
        <w:t>the</w:t>
      </w:r>
      <w:r>
        <w:rPr>
          <w:spacing w:val="13"/>
        </w:rPr>
        <w:t> </w:t>
      </w:r>
      <w:r>
        <w:rPr/>
        <w:t>most</w:t>
      </w:r>
      <w:r>
        <w:rPr>
          <w:spacing w:val="16"/>
        </w:rPr>
        <w:t> </w:t>
      </w:r>
      <w:r>
        <w:rPr/>
        <w:t>potent,</w:t>
      </w:r>
      <w:r>
        <w:rPr>
          <w:spacing w:val="14"/>
        </w:rPr>
        <w:t> </w:t>
      </w:r>
      <w:r>
        <w:rPr/>
        <w:t>was</w:t>
      </w:r>
      <w:r>
        <w:rPr>
          <w:spacing w:val="9"/>
        </w:rPr>
        <w:t> </w:t>
      </w:r>
      <w:r>
        <w:rPr/>
        <w:t>tested</w:t>
      </w:r>
      <w:r>
        <w:rPr>
          <w:spacing w:val="11"/>
        </w:rPr>
        <w:t> </w:t>
      </w:r>
      <w:r>
        <w:rPr/>
        <w:t>at</w:t>
      </w:r>
      <w:r>
        <w:rPr>
          <w:spacing w:val="12"/>
        </w:rPr>
        <w:t> </w:t>
      </w:r>
      <w:r>
        <w:rPr/>
        <w:t>the</w:t>
      </w:r>
      <w:r>
        <w:rPr>
          <w:spacing w:val="10"/>
        </w:rPr>
        <w:t> </w:t>
      </w:r>
      <w:r>
        <w:rPr/>
        <w:t>high</w:t>
      </w:r>
      <w:r>
        <w:rPr>
          <w:spacing w:val="11"/>
        </w:rPr>
        <w:t> </w:t>
      </w:r>
      <w:r>
        <w:rPr/>
        <w:t>frequency</w:t>
      </w:r>
      <w:r>
        <w:rPr>
          <w:spacing w:val="11"/>
        </w:rPr>
        <w:t> </w:t>
      </w:r>
      <w:r>
        <w:rPr/>
        <w:t>driven</w:t>
      </w:r>
      <w:r>
        <w:rPr>
          <w:spacing w:val="6"/>
        </w:rPr>
        <w:t> </w:t>
      </w:r>
      <w:r>
        <w:rPr/>
        <w:t>state</w:t>
      </w:r>
      <w:r>
        <w:rPr>
          <w:spacing w:val="10"/>
        </w:rPr>
        <w:t> </w:t>
      </w:r>
      <w:r>
        <w:rPr/>
        <w:t>of</w:t>
      </w:r>
      <w:r>
        <w:rPr>
          <w:spacing w:val="3"/>
        </w:rPr>
        <w:t> </w:t>
      </w:r>
      <w:r>
        <w:rPr/>
        <w:t>the</w:t>
      </w:r>
      <w:r>
        <w:rPr>
          <w:spacing w:val="10"/>
        </w:rPr>
        <w:t> </w:t>
      </w:r>
      <w:r>
        <w:rPr/>
        <w:t>sodium</w:t>
      </w:r>
      <w:r>
        <w:rPr>
          <w:spacing w:val="7"/>
        </w:rPr>
        <w:t> </w:t>
      </w:r>
      <w:r>
        <w:rPr/>
        <w:t>channel</w:t>
      </w:r>
      <w:r>
        <w:rPr>
          <w:spacing w:val="12"/>
        </w:rPr>
        <w:t> </w:t>
      </w:r>
      <w:r>
        <w:rPr>
          <w:spacing w:val="-5"/>
        </w:rPr>
        <w:t>and</w:t>
      </w:r>
    </w:p>
    <w:p>
      <w:pPr>
        <w:spacing w:after="0" w:line="480" w:lineRule="auto"/>
        <w:jc w:val="both"/>
        <w:sectPr>
          <w:pgSz w:w="12240" w:h="15840"/>
          <w:pgMar w:header="0" w:footer="1066" w:top="1360" w:bottom="1260" w:left="1480" w:right="1160"/>
        </w:sectPr>
      </w:pPr>
    </w:p>
    <w:p>
      <w:pPr>
        <w:pStyle w:val="BodyText"/>
        <w:spacing w:line="480" w:lineRule="auto" w:before="72"/>
        <w:ind w:left="681" w:right="273"/>
        <w:jc w:val="both"/>
      </w:pPr>
      <w:r>
        <w:rPr/>
        <w:t>similarly was found to demonstrate appreciable frequency-dependent block commonly known as use-dependent block. It was shown to reduce the inward conduction of sodium ions as indicated by significant reduction of the normalized current recorded during steady state activation. The voltage dependence of activation of the sodium channel was due to outward movement of gating charges in response to changes in the membrane electric field (Catterall, 2000). Therefore, DCP23</w:t>
      </w:r>
      <w:r>
        <w:rPr>
          <w:spacing w:val="-1"/>
        </w:rPr>
        <w:t> </w:t>
      </w:r>
      <w:r>
        <w:rPr/>
        <w:t>shifted the steady</w:t>
      </w:r>
      <w:r>
        <w:rPr>
          <w:spacing w:val="-6"/>
        </w:rPr>
        <w:t> </w:t>
      </w:r>
      <w:r>
        <w:rPr/>
        <w:t>state activation</w:t>
      </w:r>
      <w:r>
        <w:rPr>
          <w:spacing w:val="-1"/>
        </w:rPr>
        <w:t> </w:t>
      </w:r>
      <w:r>
        <w:rPr/>
        <w:t>curve to more hyperpolarized voltage, and that could be a good indicator for suppression of epileptiform activity during high frequency neuronal firing.</w:t>
      </w:r>
    </w:p>
    <w:p>
      <w:pPr>
        <w:pStyle w:val="BodyText"/>
      </w:pPr>
    </w:p>
    <w:p>
      <w:pPr>
        <w:pStyle w:val="BodyText"/>
        <w:spacing w:before="2"/>
      </w:pPr>
    </w:p>
    <w:p>
      <w:pPr>
        <w:pStyle w:val="BodyText"/>
        <w:spacing w:line="480" w:lineRule="auto"/>
        <w:ind w:left="681" w:right="280"/>
        <w:jc w:val="both"/>
      </w:pPr>
      <w:r>
        <w:rPr/>
        <w:t>Generally, this voltage- and frequency-dependent block is considered critical for the selective suppression of epileptiform activity prevalent during epileptic seizures, while sparing normal channel function (Rogawski and Loscher, 2004). Hence, the various actions demonstrated by the test compounds on Nav1.6 were corroborated with their observed anti-MES activity in animals. Thus, these compounds could be optimized and exploited as lead compound in developing newer antiepileptic agents.</w:t>
      </w:r>
    </w:p>
    <w:p>
      <w:pPr>
        <w:spacing w:after="0" w:line="480" w:lineRule="auto"/>
        <w:jc w:val="both"/>
        <w:sectPr>
          <w:pgSz w:w="12240" w:h="15840"/>
          <w:pgMar w:header="0" w:footer="1066" w:top="1360" w:bottom="1260" w:left="1480" w:right="1160"/>
        </w:sectPr>
      </w:pPr>
    </w:p>
    <w:p>
      <w:pPr>
        <w:pStyle w:val="Heading1"/>
        <w:spacing w:before="77"/>
        <w:ind w:left="399"/>
      </w:pPr>
      <w:r>
        <w:rPr/>
        <w:t>CHAPTER</w:t>
      </w:r>
      <w:r>
        <w:rPr>
          <w:spacing w:val="-9"/>
        </w:rPr>
        <w:t> </w:t>
      </w:r>
      <w:r>
        <w:rPr>
          <w:spacing w:val="-5"/>
        </w:rPr>
        <w:t>SIX</w:t>
      </w:r>
    </w:p>
    <w:p>
      <w:pPr>
        <w:pStyle w:val="BodyText"/>
        <w:rPr>
          <w:b/>
        </w:rPr>
      </w:pPr>
    </w:p>
    <w:p>
      <w:pPr>
        <w:pStyle w:val="Heading1"/>
        <w:numPr>
          <w:ilvl w:val="1"/>
          <w:numId w:val="18"/>
        </w:numPr>
        <w:tabs>
          <w:tab w:pos="2130" w:val="left" w:leader="none"/>
        </w:tabs>
        <w:spacing w:line="240" w:lineRule="auto" w:before="0" w:after="0"/>
        <w:ind w:left="2130" w:right="0" w:hanging="364"/>
        <w:jc w:val="left"/>
      </w:pPr>
      <w:bookmarkStart w:name="_TOC_250004" w:id="80"/>
      <w:r>
        <w:rPr/>
        <w:t>SUMMARY,</w:t>
      </w:r>
      <w:r>
        <w:rPr>
          <w:spacing w:val="-1"/>
        </w:rPr>
        <w:t> </w:t>
      </w:r>
      <w:r>
        <w:rPr/>
        <w:t>CONCLUSION</w:t>
      </w:r>
      <w:r>
        <w:rPr>
          <w:spacing w:val="-2"/>
        </w:rPr>
        <w:t> </w:t>
      </w:r>
      <w:r>
        <w:rPr/>
        <w:t>AND</w:t>
      </w:r>
      <w:bookmarkEnd w:id="80"/>
      <w:r>
        <w:rPr>
          <w:spacing w:val="-2"/>
        </w:rPr>
        <w:t> RECOMMENDATION</w:t>
      </w:r>
    </w:p>
    <w:p>
      <w:pPr>
        <w:pStyle w:val="BodyText"/>
        <w:rPr>
          <w:b/>
        </w:rPr>
      </w:pPr>
    </w:p>
    <w:p>
      <w:pPr>
        <w:pStyle w:val="Heading2"/>
        <w:numPr>
          <w:ilvl w:val="1"/>
          <w:numId w:val="18"/>
        </w:numPr>
        <w:tabs>
          <w:tab w:pos="1045" w:val="left" w:leader="none"/>
        </w:tabs>
        <w:spacing w:line="240" w:lineRule="auto" w:before="1" w:after="0"/>
        <w:ind w:left="1045" w:right="0" w:hanging="364"/>
        <w:jc w:val="both"/>
      </w:pPr>
      <w:bookmarkStart w:name="_TOC_250003" w:id="81"/>
      <w:bookmarkEnd w:id="81"/>
      <w:r>
        <w:rPr>
          <w:spacing w:val="-2"/>
        </w:rPr>
        <w:t>Summary</w:t>
      </w:r>
    </w:p>
    <w:p>
      <w:pPr>
        <w:pStyle w:val="BodyText"/>
        <w:spacing w:line="480" w:lineRule="auto" w:before="271"/>
        <w:ind w:left="681" w:right="280"/>
        <w:jc w:val="both"/>
      </w:pPr>
      <w:r>
        <w:rPr/>
        <w:t>2,3 (DCP23)-, 2,5 (DCP25)- and 3,4 (DCP34)- Dichloro– 3(aminophenyl) propanamides were designed and synthesized based on proposed anticonvulsant pharmacophore units according to Unverferth </w:t>
      </w:r>
      <w:r>
        <w:rPr>
          <w:i/>
        </w:rPr>
        <w:t>et al</w:t>
      </w:r>
      <w:r>
        <w:rPr/>
        <w:t>., 1998</w:t>
      </w:r>
      <w:r>
        <w:rPr>
          <w:spacing w:val="-2"/>
        </w:rPr>
        <w:t> </w:t>
      </w:r>
      <w:r>
        <w:rPr/>
        <w:t>and Shindikar, 2006. They</w:t>
      </w:r>
      <w:r>
        <w:rPr>
          <w:spacing w:val="-7"/>
        </w:rPr>
        <w:t> </w:t>
      </w:r>
      <w:r>
        <w:rPr/>
        <w:t>were found to conform</w:t>
      </w:r>
      <w:r>
        <w:rPr>
          <w:spacing w:val="-7"/>
        </w:rPr>
        <w:t> </w:t>
      </w:r>
      <w:r>
        <w:rPr/>
        <w:t>to the distance range estimations according to these pharmacophore models.</w:t>
      </w:r>
    </w:p>
    <w:p>
      <w:pPr>
        <w:pStyle w:val="BodyText"/>
      </w:pPr>
    </w:p>
    <w:p>
      <w:pPr>
        <w:pStyle w:val="BodyText"/>
        <w:spacing w:before="1"/>
      </w:pPr>
    </w:p>
    <w:p>
      <w:pPr>
        <w:pStyle w:val="BodyText"/>
        <w:spacing w:line="480" w:lineRule="auto"/>
        <w:ind w:left="681" w:right="283"/>
        <w:jc w:val="both"/>
      </w:pPr>
      <w:r>
        <w:rPr/>
        <w:t>The compounds were tested on different acute models for anticonvulsant screening and thus, their anticonvulsant effects were established most especially in maximal electroshock- and pentylenetetrazole- induced seizure models, which are the recommended primary screening models.</w:t>
      </w:r>
    </w:p>
    <w:p>
      <w:pPr>
        <w:pStyle w:val="BodyText"/>
      </w:pPr>
    </w:p>
    <w:p>
      <w:pPr>
        <w:pStyle w:val="BodyText"/>
      </w:pPr>
    </w:p>
    <w:p>
      <w:pPr>
        <w:pStyle w:val="BodyText"/>
        <w:spacing w:line="480" w:lineRule="auto" w:before="1"/>
        <w:ind w:left="681" w:right="271"/>
        <w:jc w:val="both"/>
      </w:pPr>
      <w:r>
        <w:rPr/>
        <w:t>Median lethal</w:t>
      </w:r>
      <w:r>
        <w:rPr>
          <w:spacing w:val="-9"/>
        </w:rPr>
        <w:t> </w:t>
      </w:r>
      <w:r>
        <w:rPr/>
        <w:t>dose</w:t>
      </w:r>
      <w:r>
        <w:rPr>
          <w:spacing w:val="-1"/>
        </w:rPr>
        <w:t> </w:t>
      </w:r>
      <w:r>
        <w:rPr/>
        <w:t>(LD</w:t>
      </w:r>
      <w:r>
        <w:rPr>
          <w:vertAlign w:val="subscript"/>
        </w:rPr>
        <w:t>50</w:t>
      </w:r>
      <w:r>
        <w:rPr>
          <w:vertAlign w:val="baseline"/>
        </w:rPr>
        <w:t>), median</w:t>
      </w:r>
      <w:r>
        <w:rPr>
          <w:spacing w:val="-5"/>
          <w:vertAlign w:val="baseline"/>
        </w:rPr>
        <w:t> </w:t>
      </w:r>
      <w:r>
        <w:rPr>
          <w:vertAlign w:val="baseline"/>
        </w:rPr>
        <w:t>toxic</w:t>
      </w:r>
      <w:r>
        <w:rPr>
          <w:spacing w:val="-1"/>
          <w:vertAlign w:val="baseline"/>
        </w:rPr>
        <w:t> </w:t>
      </w:r>
      <w:r>
        <w:rPr>
          <w:vertAlign w:val="baseline"/>
        </w:rPr>
        <w:t>dose</w:t>
      </w:r>
      <w:r>
        <w:rPr>
          <w:spacing w:val="-1"/>
          <w:vertAlign w:val="baseline"/>
        </w:rPr>
        <w:t> </w:t>
      </w:r>
      <w:r>
        <w:rPr>
          <w:vertAlign w:val="baseline"/>
        </w:rPr>
        <w:t>(TD</w:t>
      </w:r>
      <w:r>
        <w:rPr>
          <w:vertAlign w:val="subscript"/>
        </w:rPr>
        <w:t>50</w:t>
      </w:r>
      <w:r>
        <w:rPr>
          <w:vertAlign w:val="baseline"/>
        </w:rPr>
        <w:t>) and median</w:t>
      </w:r>
      <w:r>
        <w:rPr>
          <w:spacing w:val="-5"/>
          <w:vertAlign w:val="baseline"/>
        </w:rPr>
        <w:t> </w:t>
      </w:r>
      <w:r>
        <w:rPr>
          <w:vertAlign w:val="baseline"/>
        </w:rPr>
        <w:t>effective</w:t>
      </w:r>
      <w:r>
        <w:rPr>
          <w:spacing w:val="-1"/>
          <w:vertAlign w:val="baseline"/>
        </w:rPr>
        <w:t> </w:t>
      </w:r>
      <w:r>
        <w:rPr>
          <w:vertAlign w:val="baseline"/>
        </w:rPr>
        <w:t>dose</w:t>
      </w:r>
      <w:r>
        <w:rPr>
          <w:spacing w:val="-1"/>
          <w:vertAlign w:val="baseline"/>
        </w:rPr>
        <w:t> </w:t>
      </w:r>
      <w:r>
        <w:rPr>
          <w:vertAlign w:val="baseline"/>
        </w:rPr>
        <w:t>(ED</w:t>
      </w:r>
      <w:r>
        <w:rPr>
          <w:vertAlign w:val="subscript"/>
        </w:rPr>
        <w:t>50</w:t>
      </w:r>
      <w:r>
        <w:rPr>
          <w:vertAlign w:val="baseline"/>
        </w:rPr>
        <w:t>)</w:t>
      </w:r>
      <w:r>
        <w:rPr>
          <w:spacing w:val="-3"/>
          <w:vertAlign w:val="baseline"/>
        </w:rPr>
        <w:t> </w:t>
      </w:r>
      <w:r>
        <w:rPr>
          <w:vertAlign w:val="baseline"/>
        </w:rPr>
        <w:t>of all the synthesized compounds were determined. These indices were accordingly applied for the subsequent determination of compounds’ therapeutic index (TI), as a measure for their margin of safety.</w:t>
      </w:r>
    </w:p>
    <w:p>
      <w:pPr>
        <w:pStyle w:val="BodyText"/>
      </w:pPr>
    </w:p>
    <w:p>
      <w:pPr>
        <w:pStyle w:val="BodyText"/>
        <w:spacing w:before="1"/>
      </w:pPr>
    </w:p>
    <w:p>
      <w:pPr>
        <w:pStyle w:val="BodyText"/>
        <w:spacing w:line="480" w:lineRule="auto"/>
        <w:ind w:left="681" w:right="271"/>
        <w:jc w:val="both"/>
      </w:pPr>
      <w:r>
        <w:rPr/>
        <w:t>Pharmacological interaction between the compounds and some specific receptor or channel blockers was conducted. Data</w:t>
      </w:r>
      <w:r>
        <w:rPr>
          <w:spacing w:val="-5"/>
        </w:rPr>
        <w:t> </w:t>
      </w:r>
      <w:r>
        <w:rPr/>
        <w:t>obtained from</w:t>
      </w:r>
      <w:r>
        <w:rPr>
          <w:spacing w:val="-8"/>
        </w:rPr>
        <w:t> </w:t>
      </w:r>
      <w:r>
        <w:rPr/>
        <w:t>these interactions suggested that the compounds could have their possible mechanism of action via sodium and calcium channels blockade; as they were able to potentiate the blocking effect of Fluphenamic acid, an</w:t>
      </w:r>
      <w:r>
        <w:rPr>
          <w:spacing w:val="-1"/>
        </w:rPr>
        <w:t> </w:t>
      </w:r>
      <w:r>
        <w:rPr/>
        <w:t>inhibitor</w:t>
      </w:r>
      <w:r>
        <w:rPr>
          <w:spacing w:val="-4"/>
        </w:rPr>
        <w:t> </w:t>
      </w:r>
      <w:r>
        <w:rPr/>
        <w:t>of</w:t>
      </w:r>
      <w:r>
        <w:rPr>
          <w:spacing w:val="-8"/>
        </w:rPr>
        <w:t> </w:t>
      </w:r>
      <w:r>
        <w:rPr/>
        <w:t>neuronal</w:t>
      </w:r>
      <w:r>
        <w:rPr>
          <w:spacing w:val="-5"/>
        </w:rPr>
        <w:t> </w:t>
      </w:r>
      <w:r>
        <w:rPr/>
        <w:t>firing via</w:t>
      </w:r>
      <w:r>
        <w:rPr>
          <w:spacing w:val="-2"/>
        </w:rPr>
        <w:t> </w:t>
      </w:r>
      <w:r>
        <w:rPr/>
        <w:t>sodium</w:t>
      </w:r>
      <w:r>
        <w:rPr>
          <w:spacing w:val="-5"/>
        </w:rPr>
        <w:t> </w:t>
      </w:r>
      <w:r>
        <w:rPr/>
        <w:t>ion</w:t>
      </w:r>
      <w:r>
        <w:rPr>
          <w:spacing w:val="-1"/>
        </w:rPr>
        <w:t> </w:t>
      </w:r>
      <w:r>
        <w:rPr/>
        <w:t>channel</w:t>
      </w:r>
      <w:r>
        <w:rPr>
          <w:spacing w:val="-1"/>
        </w:rPr>
        <w:t> </w:t>
      </w:r>
      <w:r>
        <w:rPr/>
        <w:t>blockade;</w:t>
      </w:r>
      <w:r>
        <w:rPr>
          <w:spacing w:val="-5"/>
        </w:rPr>
        <w:t> </w:t>
      </w:r>
      <w:r>
        <w:rPr/>
        <w:t>and nickel</w:t>
      </w:r>
      <w:r>
        <w:rPr>
          <w:spacing w:val="-5"/>
        </w:rPr>
        <w:t> </w:t>
      </w:r>
      <w:r>
        <w:rPr/>
        <w:t>chloride,</w:t>
      </w:r>
    </w:p>
    <w:p>
      <w:pPr>
        <w:spacing w:after="0" w:line="480" w:lineRule="auto"/>
        <w:jc w:val="both"/>
        <w:sectPr>
          <w:pgSz w:w="12240" w:h="15840"/>
          <w:pgMar w:header="0" w:footer="1066" w:top="1360" w:bottom="1260" w:left="1480" w:right="1160"/>
        </w:sectPr>
      </w:pPr>
    </w:p>
    <w:p>
      <w:pPr>
        <w:pStyle w:val="BodyText"/>
        <w:spacing w:line="480" w:lineRule="auto" w:before="72"/>
        <w:ind w:left="681" w:right="287"/>
        <w:jc w:val="both"/>
      </w:pPr>
      <w:r>
        <w:rPr/>
        <w:t>a known specific blocker of T-type calcium ion channels. Similarly, the results obtained from diazepam-induced sleep test when interacted with DCP23 and DCP34; could be another predictive measure of their ability to interact with benzodiazepine receptor site.</w:t>
      </w:r>
    </w:p>
    <w:p>
      <w:pPr>
        <w:pStyle w:val="BodyText"/>
      </w:pPr>
    </w:p>
    <w:p>
      <w:pPr>
        <w:pStyle w:val="BodyText"/>
        <w:spacing w:before="1"/>
      </w:pPr>
    </w:p>
    <w:p>
      <w:pPr>
        <w:pStyle w:val="BodyText"/>
        <w:spacing w:line="480" w:lineRule="auto"/>
        <w:ind w:left="681" w:right="277"/>
        <w:jc w:val="both"/>
      </w:pPr>
      <w:r>
        <w:rPr/>
        <w:t>Also, from the interaction study conducted between the test compounds and cyproheptadine, histamine (H</w:t>
      </w:r>
      <w:r>
        <w:rPr>
          <w:vertAlign w:val="subscript"/>
        </w:rPr>
        <w:t>1</w:t>
      </w:r>
      <w:r>
        <w:rPr>
          <w:vertAlign w:val="baseline"/>
        </w:rPr>
        <w:t>) and serotonin (5HT</w:t>
      </w:r>
      <w:r>
        <w:rPr>
          <w:vertAlign w:val="subscript"/>
        </w:rPr>
        <w:t>1</w:t>
      </w:r>
      <w:r>
        <w:rPr>
          <w:vertAlign w:val="baseline"/>
        </w:rPr>
        <w:t> and 5HT</w:t>
      </w:r>
      <w:r>
        <w:rPr>
          <w:vertAlign w:val="subscript"/>
        </w:rPr>
        <w:t>2</w:t>
      </w:r>
      <w:r>
        <w:rPr>
          <w:vertAlign w:val="baseline"/>
        </w:rPr>
        <w:t>) blocker; it was an evidence to predict non interaction of the compounds with either of the two pathways. Thus, their anticonvulsant effect was not mediated via histaminergic or serotonergic </w:t>
      </w:r>
      <w:r>
        <w:rPr>
          <w:spacing w:val="-2"/>
          <w:vertAlign w:val="baseline"/>
        </w:rPr>
        <w:t>pathways.</w:t>
      </w:r>
    </w:p>
    <w:p>
      <w:pPr>
        <w:pStyle w:val="BodyText"/>
      </w:pPr>
    </w:p>
    <w:p>
      <w:pPr>
        <w:pStyle w:val="BodyText"/>
        <w:spacing w:before="1"/>
      </w:pPr>
    </w:p>
    <w:p>
      <w:pPr>
        <w:pStyle w:val="BodyText"/>
        <w:spacing w:line="480" w:lineRule="auto"/>
        <w:ind w:left="681" w:right="276"/>
        <w:jc w:val="both"/>
      </w:pPr>
      <w:r>
        <w:rPr/>
        <w:t>The test compounds offered highly appreciable retardation in the pentylenetetrazole- induced kindling, a chronic model of convulsion that is closely mimicking human pathologic condition.</w:t>
      </w:r>
    </w:p>
    <w:p>
      <w:pPr>
        <w:pStyle w:val="BodyText"/>
      </w:pPr>
    </w:p>
    <w:p>
      <w:pPr>
        <w:pStyle w:val="BodyText"/>
        <w:spacing w:before="1"/>
      </w:pPr>
    </w:p>
    <w:p>
      <w:pPr>
        <w:pStyle w:val="BodyText"/>
        <w:spacing w:line="480" w:lineRule="auto"/>
        <w:ind w:left="681" w:right="275"/>
        <w:jc w:val="both"/>
      </w:pPr>
      <w:r>
        <w:rPr/>
        <w:t>The </w:t>
      </w:r>
      <w:r>
        <w:rPr>
          <w:i/>
        </w:rPr>
        <w:t>in vitro </w:t>
      </w:r>
      <w:r>
        <w:rPr/>
        <w:t>study conducted on voltage-gated sodium channels (Na</w:t>
      </w:r>
      <w:r>
        <w:rPr>
          <w:vertAlign w:val="subscript"/>
        </w:rPr>
        <w:t>v</w:t>
      </w:r>
      <w:r>
        <w:rPr>
          <w:vertAlign w:val="baseline"/>
        </w:rPr>
        <w:t>1.6), stably</w:t>
      </w:r>
      <w:r>
        <w:rPr>
          <w:spacing w:val="40"/>
          <w:vertAlign w:val="baseline"/>
        </w:rPr>
        <w:t> </w:t>
      </w:r>
      <w:r>
        <w:rPr>
          <w:vertAlign w:val="baseline"/>
        </w:rPr>
        <w:t>expressed in Human Embryonic Kidney (HEK Cells 293), the synthesized compounds showed concentration-dependent current blockade of voltage-gated sodium channels </w:t>
      </w:r>
      <w:r>
        <w:rPr>
          <w:spacing w:val="-2"/>
          <w:vertAlign w:val="baseline"/>
        </w:rPr>
        <w:t>(VGSCs).</w:t>
      </w:r>
    </w:p>
    <w:p>
      <w:pPr>
        <w:pStyle w:val="BodyText"/>
      </w:pPr>
    </w:p>
    <w:p>
      <w:pPr>
        <w:pStyle w:val="BodyText"/>
        <w:spacing w:before="1"/>
      </w:pPr>
    </w:p>
    <w:p>
      <w:pPr>
        <w:pStyle w:val="BodyText"/>
        <w:spacing w:line="480" w:lineRule="auto"/>
        <w:ind w:left="681" w:right="276"/>
        <w:jc w:val="both"/>
      </w:pPr>
      <w:r>
        <w:rPr/>
        <w:t>DCP23 and DCP25 were found to be more potent than DCP34, and both showed state dependent action by exhibiting higher affinity to inactivated state than the resting state,</w:t>
      </w:r>
      <w:r>
        <w:rPr>
          <w:spacing w:val="40"/>
        </w:rPr>
        <w:t> </w:t>
      </w:r>
      <w:r>
        <w:rPr/>
        <w:t>an important gating characteristic of</w:t>
      </w:r>
      <w:r>
        <w:rPr>
          <w:spacing w:val="-1"/>
        </w:rPr>
        <w:t> </w:t>
      </w:r>
      <w:r>
        <w:rPr/>
        <w:t>sodium</w:t>
      </w:r>
      <w:r>
        <w:rPr>
          <w:spacing w:val="-2"/>
        </w:rPr>
        <w:t> </w:t>
      </w:r>
      <w:r>
        <w:rPr/>
        <w:t>channel</w:t>
      </w:r>
      <w:r>
        <w:rPr>
          <w:spacing w:val="-2"/>
        </w:rPr>
        <w:t> </w:t>
      </w:r>
      <w:r>
        <w:rPr/>
        <w:t>blockers used in the management of </w:t>
      </w:r>
      <w:r>
        <w:rPr>
          <w:spacing w:val="-2"/>
        </w:rPr>
        <w:t>epilepsy.</w:t>
      </w:r>
    </w:p>
    <w:p>
      <w:pPr>
        <w:spacing w:after="0" w:line="480" w:lineRule="auto"/>
        <w:jc w:val="both"/>
        <w:sectPr>
          <w:pgSz w:w="12240" w:h="15840"/>
          <w:pgMar w:header="0" w:footer="1066" w:top="1360" w:bottom="1260" w:left="1480" w:right="1160"/>
        </w:sectPr>
      </w:pPr>
    </w:p>
    <w:p>
      <w:pPr>
        <w:pStyle w:val="BodyText"/>
        <w:spacing w:line="480" w:lineRule="auto" w:before="72"/>
        <w:ind w:left="681" w:right="285"/>
        <w:jc w:val="both"/>
      </w:pPr>
      <w:r>
        <w:rPr/>
        <w:t>DCP23 was found to be most potent and hence, its action was evaluated at depolarized state of the channels (activated state). The outcome of this action from an established current-voltage relationship was that, DCP23 exhibited ‘use dependent action’, also known as frequency dependent action.</w:t>
      </w:r>
    </w:p>
    <w:p>
      <w:pPr>
        <w:pStyle w:val="BodyText"/>
      </w:pPr>
    </w:p>
    <w:p>
      <w:pPr>
        <w:pStyle w:val="BodyText"/>
        <w:spacing w:before="1"/>
      </w:pPr>
    </w:p>
    <w:p>
      <w:pPr>
        <w:pStyle w:val="BodyText"/>
        <w:spacing w:line="480" w:lineRule="auto"/>
        <w:ind w:left="681" w:right="275"/>
        <w:jc w:val="both"/>
      </w:pPr>
      <w:r>
        <w:rPr/>
        <w:t>The results obtained from biochemical and haematological as well as lipid profile assays after 28 days oral administration of DCP25, showed no significant deleterious effects in all the indices evaluated, an indication of relative safety of the compound.</w:t>
      </w:r>
    </w:p>
    <w:p>
      <w:pPr>
        <w:pStyle w:val="BodyText"/>
      </w:pPr>
    </w:p>
    <w:p>
      <w:pPr>
        <w:pStyle w:val="BodyText"/>
        <w:spacing w:before="6"/>
      </w:pPr>
    </w:p>
    <w:p>
      <w:pPr>
        <w:pStyle w:val="Heading2"/>
        <w:numPr>
          <w:ilvl w:val="1"/>
          <w:numId w:val="18"/>
        </w:numPr>
        <w:tabs>
          <w:tab w:pos="1045" w:val="left" w:leader="none"/>
        </w:tabs>
        <w:spacing w:line="240" w:lineRule="auto" w:before="0" w:after="0"/>
        <w:ind w:left="1045" w:right="0" w:hanging="364"/>
        <w:jc w:val="both"/>
      </w:pPr>
      <w:bookmarkStart w:name="_TOC_250002" w:id="82"/>
      <w:bookmarkEnd w:id="82"/>
      <w:r>
        <w:rPr>
          <w:spacing w:val="-2"/>
        </w:rPr>
        <w:t>Conclusion</w:t>
      </w:r>
    </w:p>
    <w:p>
      <w:pPr>
        <w:pStyle w:val="BodyText"/>
        <w:spacing w:line="480" w:lineRule="auto" w:before="271"/>
        <w:ind w:left="681" w:right="271"/>
        <w:jc w:val="both"/>
      </w:pPr>
      <w:r>
        <w:rPr/>
        <w:t>The test compounds possess pharmacophores which are responsible for their anticonvulsant properties as demonstrated in both acute and chronic animal models of convulsion. The primary molecular target for their action was via voltage-gated sodium channels, and hence, they could be exploited and optimized to serve as lead compounds for the development of newer antiepileptic agents known to block sodium channels. Therefore, the design conformed to the proposed pharmacophore models according to Unverferth </w:t>
      </w:r>
      <w:r>
        <w:rPr>
          <w:i/>
        </w:rPr>
        <w:t>et al., </w:t>
      </w:r>
      <w:r>
        <w:rPr/>
        <w:t>(1998) and Shindikar </w:t>
      </w:r>
      <w:r>
        <w:rPr>
          <w:i/>
        </w:rPr>
        <w:t>et al., </w:t>
      </w:r>
      <w:r>
        <w:rPr/>
        <w:t>(2006).</w:t>
      </w:r>
    </w:p>
    <w:p>
      <w:pPr>
        <w:spacing w:after="0" w:line="480" w:lineRule="auto"/>
        <w:jc w:val="both"/>
        <w:sectPr>
          <w:pgSz w:w="12240" w:h="15840"/>
          <w:pgMar w:header="0" w:footer="1066" w:top="1360" w:bottom="1260" w:left="1480" w:right="1160"/>
        </w:sectPr>
      </w:pPr>
    </w:p>
    <w:p>
      <w:pPr>
        <w:pStyle w:val="Heading2"/>
        <w:numPr>
          <w:ilvl w:val="1"/>
          <w:numId w:val="18"/>
        </w:numPr>
        <w:tabs>
          <w:tab w:pos="1045" w:val="left" w:leader="none"/>
        </w:tabs>
        <w:spacing w:line="240" w:lineRule="auto" w:before="77" w:after="0"/>
        <w:ind w:left="1045" w:right="0" w:hanging="364"/>
        <w:jc w:val="both"/>
      </w:pPr>
      <w:bookmarkStart w:name="_TOC_250001" w:id="83"/>
      <w:bookmarkEnd w:id="83"/>
      <w:r>
        <w:rPr>
          <w:spacing w:val="-2"/>
        </w:rPr>
        <w:t>Recommendation:</w:t>
      </w:r>
    </w:p>
    <w:p>
      <w:pPr>
        <w:pStyle w:val="BodyText"/>
        <w:spacing w:line="480" w:lineRule="auto" w:before="271"/>
        <w:ind w:left="681" w:right="278"/>
        <w:jc w:val="both"/>
      </w:pPr>
      <w:r>
        <w:rPr/>
        <w:t>Structural modification should be done to improve the potency as well as to reduce the toxicity of these compounds probably by computer modeling to study other molecular descriptors that are not stated by Unverferth </w:t>
      </w:r>
      <w:r>
        <w:rPr>
          <w:i/>
        </w:rPr>
        <w:t>et al., </w:t>
      </w:r>
      <w:r>
        <w:rPr/>
        <w:t>(1998) and Shindikar </w:t>
      </w:r>
      <w:r>
        <w:rPr>
          <w:i/>
        </w:rPr>
        <w:t>et al., </w:t>
      </w:r>
      <w:r>
        <w:rPr/>
        <w:t>(2006).</w:t>
      </w:r>
    </w:p>
    <w:p>
      <w:pPr>
        <w:pStyle w:val="BodyText"/>
      </w:pPr>
    </w:p>
    <w:p>
      <w:pPr>
        <w:pStyle w:val="BodyText"/>
        <w:spacing w:before="1"/>
      </w:pPr>
    </w:p>
    <w:p>
      <w:pPr>
        <w:pStyle w:val="BodyText"/>
        <w:spacing w:line="480" w:lineRule="auto"/>
        <w:ind w:left="681" w:right="276"/>
        <w:jc w:val="both"/>
      </w:pPr>
      <w:r>
        <w:rPr/>
        <w:t>Also, the synthetic pathway as adopted in this research should be modified by either introducing a coupling reagent or by substituting an acrylamide with another reagent containing amide moiety. This may eventually improve the thermal stability of the compounds there by improving their potencies.</w:t>
      </w:r>
    </w:p>
    <w:p>
      <w:pPr>
        <w:pStyle w:val="BodyText"/>
      </w:pPr>
    </w:p>
    <w:p>
      <w:pPr>
        <w:pStyle w:val="BodyText"/>
        <w:spacing w:before="1"/>
      </w:pPr>
    </w:p>
    <w:p>
      <w:pPr>
        <w:pStyle w:val="BodyText"/>
        <w:spacing w:line="480" w:lineRule="auto"/>
        <w:ind w:left="681" w:right="282"/>
        <w:jc w:val="both"/>
      </w:pPr>
      <w:r>
        <w:rPr/>
        <w:t>There is the need to further investigate the action of these compounds on cultured hippocampal neurons using electrophysiological measurement of sodium channel </w:t>
      </w:r>
      <w:r>
        <w:rPr>
          <w:spacing w:val="-2"/>
        </w:rPr>
        <w:t>currents.</w:t>
      </w:r>
    </w:p>
    <w:p>
      <w:pPr>
        <w:pStyle w:val="BodyText"/>
      </w:pPr>
    </w:p>
    <w:p>
      <w:pPr>
        <w:pStyle w:val="BodyText"/>
        <w:spacing w:before="1"/>
      </w:pPr>
    </w:p>
    <w:p>
      <w:pPr>
        <w:pStyle w:val="BodyText"/>
        <w:spacing w:line="480" w:lineRule="auto"/>
        <w:ind w:left="681" w:right="289"/>
        <w:jc w:val="both"/>
      </w:pPr>
      <w:r>
        <w:rPr/>
        <w:t>Also, indepth chronic toxicity studies should be carried out to ascertain their safety or otherwise, on structural and functional integrity of vital organs of the body.</w:t>
      </w:r>
    </w:p>
    <w:p>
      <w:pPr>
        <w:pStyle w:val="BodyText"/>
      </w:pPr>
    </w:p>
    <w:p>
      <w:pPr>
        <w:pStyle w:val="BodyText"/>
        <w:spacing w:before="1"/>
      </w:pPr>
    </w:p>
    <w:p>
      <w:pPr>
        <w:pStyle w:val="BodyText"/>
        <w:spacing w:line="480" w:lineRule="auto"/>
        <w:ind w:left="681" w:right="287"/>
        <w:jc w:val="both"/>
      </w:pPr>
      <w:r>
        <w:rPr/>
        <w:t>Similarly, the potential of these compounds as antinociceptive should be evaluated in</w:t>
      </w:r>
      <w:r>
        <w:rPr>
          <w:spacing w:val="40"/>
        </w:rPr>
        <w:t> </w:t>
      </w:r>
      <w:r>
        <w:rPr/>
        <w:t>both </w:t>
      </w:r>
      <w:r>
        <w:rPr>
          <w:i/>
        </w:rPr>
        <w:t>in vivo </w:t>
      </w:r>
      <w:r>
        <w:rPr/>
        <w:t>and </w:t>
      </w:r>
      <w:r>
        <w:rPr>
          <w:i/>
        </w:rPr>
        <w:t>in vitro </w:t>
      </w:r>
      <w:r>
        <w:rPr/>
        <w:t>models.</w:t>
      </w:r>
    </w:p>
    <w:p>
      <w:pPr>
        <w:spacing w:after="0" w:line="480" w:lineRule="auto"/>
        <w:jc w:val="both"/>
        <w:sectPr>
          <w:pgSz w:w="12240" w:h="15840"/>
          <w:pgMar w:header="0" w:footer="1066" w:top="1360" w:bottom="1260" w:left="1480" w:right="1160"/>
        </w:sectPr>
      </w:pPr>
    </w:p>
    <w:p>
      <w:pPr>
        <w:pStyle w:val="Heading1"/>
        <w:spacing w:before="77"/>
        <w:jc w:val="left"/>
      </w:pPr>
      <w:bookmarkStart w:name="_TOC_250000" w:id="84"/>
      <w:bookmarkEnd w:id="84"/>
      <w:r>
        <w:rPr>
          <w:spacing w:val="-2"/>
        </w:rPr>
        <w:t>REFERENCE</w:t>
      </w:r>
    </w:p>
    <w:p>
      <w:pPr>
        <w:pStyle w:val="BodyText"/>
        <w:spacing w:before="271"/>
        <w:ind w:left="681" w:right="275"/>
        <w:jc w:val="both"/>
      </w:pPr>
      <w:r>
        <w:rPr/>
        <w:t>Aamodi, S.M. and Constantine-Paton, M. (1999). The role of neural activity in synaptic development and its implications for adult brain function. </w:t>
      </w:r>
      <w:r>
        <w:rPr>
          <w:i/>
        </w:rPr>
        <w:t>Advance Neurology, </w:t>
      </w:r>
      <w:r>
        <w:rPr/>
        <w:t>79: 133- </w:t>
      </w:r>
      <w:r>
        <w:rPr>
          <w:spacing w:val="-4"/>
        </w:rPr>
        <w:t>144.</w:t>
      </w:r>
    </w:p>
    <w:p>
      <w:pPr>
        <w:pStyle w:val="BodyText"/>
        <w:spacing w:before="1"/>
      </w:pPr>
    </w:p>
    <w:p>
      <w:pPr>
        <w:pStyle w:val="BodyText"/>
        <w:ind w:left="681" w:right="279"/>
        <w:jc w:val="both"/>
      </w:pPr>
      <w:r>
        <w:rPr/>
        <w:t>Adeneye, A.A., Ajagbonna, O.P., Adeleke, T.I. and Bello, S.O. (2006). Preliminary toxicity and phytochemical studies of the stem bark aqueous extract of Musanga cecropioides in rats. </w:t>
      </w:r>
      <w:r>
        <w:rPr>
          <w:i/>
        </w:rPr>
        <w:t>Journal of Ethnopharmacology</w:t>
      </w:r>
      <w:r>
        <w:rPr/>
        <w:t>, 105, 374-379.</w:t>
      </w:r>
    </w:p>
    <w:p>
      <w:pPr>
        <w:pStyle w:val="BodyText"/>
      </w:pPr>
    </w:p>
    <w:p>
      <w:pPr>
        <w:pStyle w:val="BodyText"/>
        <w:ind w:left="681" w:right="278"/>
        <w:jc w:val="both"/>
      </w:pPr>
      <w:r>
        <w:rPr/>
        <w:t>Alvan, G., Paintaud, G. and Wakelkamp, M. (2001). Clinical pharmacodynamics. In: </w:t>
      </w:r>
      <w:r>
        <w:rPr>
          <w:i/>
        </w:rPr>
        <w:t>Drug Benefits and Risks, </w:t>
      </w:r>
      <w:r>
        <w:rPr/>
        <w:t>Boxtel, C.J., Santoso, B. and Edwards, I.R. (Eds). John Willey and Sons LTD, New York, USA, p. 97; p. 152.</w:t>
      </w:r>
    </w:p>
    <w:p>
      <w:pPr>
        <w:pStyle w:val="BodyText"/>
        <w:spacing w:before="2"/>
      </w:pPr>
    </w:p>
    <w:p>
      <w:pPr>
        <w:pStyle w:val="BodyText"/>
        <w:spacing w:line="237" w:lineRule="auto" w:before="1"/>
        <w:ind w:left="681" w:right="291"/>
        <w:jc w:val="both"/>
      </w:pPr>
      <w:r>
        <w:rPr/>
        <w:t>Amabeoku, G.J., Leng, M.J. and Syce, J.A. (1989). Antimicrobial and anticonvulsant activities of Viscum capense. </w:t>
      </w:r>
      <w:r>
        <w:rPr>
          <w:i/>
        </w:rPr>
        <w:t>Journal of Ethnopharmacology</w:t>
      </w:r>
      <w:r>
        <w:rPr/>
        <w:t>, 61: 237-241.</w:t>
      </w:r>
    </w:p>
    <w:p>
      <w:pPr>
        <w:pStyle w:val="BodyText"/>
        <w:spacing w:before="1"/>
      </w:pPr>
    </w:p>
    <w:p>
      <w:pPr>
        <w:spacing w:line="240" w:lineRule="auto" w:before="0"/>
        <w:ind w:left="681" w:right="272" w:firstLine="0"/>
        <w:jc w:val="both"/>
        <w:rPr>
          <w:sz w:val="24"/>
        </w:rPr>
      </w:pPr>
      <w:r>
        <w:rPr>
          <w:sz w:val="24"/>
        </w:rPr>
        <w:t>Amos, S., Adzu, B., Binda, L., Wambebe, C. and Gamaniel, K. (2001). Neuropharmacological effect of the aqueous extract of </w:t>
      </w:r>
      <w:r>
        <w:rPr>
          <w:i/>
          <w:sz w:val="24"/>
        </w:rPr>
        <w:t>Sphoeranthus senegalensis </w:t>
      </w:r>
      <w:r>
        <w:rPr>
          <w:sz w:val="24"/>
        </w:rPr>
        <w:t>in mice</w:t>
      </w:r>
      <w:r>
        <w:rPr>
          <w:i/>
          <w:sz w:val="24"/>
        </w:rPr>
        <w:t>. Journal of Ethnopharmacolg</w:t>
      </w:r>
      <w:r>
        <w:rPr>
          <w:sz w:val="24"/>
        </w:rPr>
        <w:t>, 78: 33-37.</w:t>
      </w:r>
    </w:p>
    <w:p>
      <w:pPr>
        <w:pStyle w:val="BodyText"/>
      </w:pPr>
    </w:p>
    <w:p>
      <w:pPr>
        <w:pStyle w:val="BodyText"/>
        <w:ind w:left="681" w:right="277"/>
        <w:jc w:val="both"/>
      </w:pPr>
      <w:r>
        <w:rPr/>
        <w:t>Amos, S., Akah, P.A., Enwerem, N., Chindo, B.A., Hussaini, I.M., Wambebe, C., Gamaniel, K. (2004). Behavioral effect of pavetta crassipes extract on rodents. </w:t>
      </w:r>
      <w:r>
        <w:rPr>
          <w:i/>
        </w:rPr>
        <w:t>Pharmacology, Biochemistry and Behavior</w:t>
      </w:r>
      <w:r>
        <w:rPr/>
        <w:t>, 77: 751-759.</w:t>
      </w:r>
    </w:p>
    <w:p>
      <w:pPr>
        <w:pStyle w:val="BodyText"/>
        <w:spacing w:before="1"/>
      </w:pPr>
    </w:p>
    <w:p>
      <w:pPr>
        <w:spacing w:line="242" w:lineRule="auto" w:before="0"/>
        <w:ind w:left="681" w:right="282" w:firstLine="0"/>
        <w:jc w:val="both"/>
        <w:rPr>
          <w:sz w:val="24"/>
        </w:rPr>
      </w:pPr>
      <w:r>
        <w:rPr>
          <w:sz w:val="24"/>
        </w:rPr>
        <w:t>Arvind, K., Pradeepa, R., Deapa, R. and Mohan, V. (2002). Diabetes and coronary</w:t>
      </w:r>
      <w:r>
        <w:rPr>
          <w:spacing w:val="-6"/>
          <w:sz w:val="24"/>
        </w:rPr>
        <w:t> </w:t>
      </w:r>
      <w:r>
        <w:rPr>
          <w:sz w:val="24"/>
        </w:rPr>
        <w:t>artery diseases. </w:t>
      </w:r>
      <w:r>
        <w:rPr>
          <w:i/>
          <w:sz w:val="24"/>
        </w:rPr>
        <w:t>Indian Journal of Medical Research</w:t>
      </w:r>
      <w:r>
        <w:rPr>
          <w:sz w:val="24"/>
        </w:rPr>
        <w:t>, 116: 163-176.</w:t>
      </w:r>
    </w:p>
    <w:p>
      <w:pPr>
        <w:pStyle w:val="BodyText"/>
        <w:spacing w:line="237" w:lineRule="auto" w:before="275"/>
        <w:ind w:left="681" w:right="287"/>
        <w:jc w:val="both"/>
      </w:pPr>
      <w:r>
        <w:rPr/>
        <w:t>Arzimanoglou, A., Hirsch, E., Nehlig, A., Castelnau, P., Gressens, P., Vasconcelos, A. (2002). Epilepsy and neuroprotection. </w:t>
      </w:r>
      <w:r>
        <w:rPr>
          <w:i/>
        </w:rPr>
        <w:t>Epileptic Disorder</w:t>
      </w:r>
      <w:r>
        <w:rPr/>
        <w:t>, 3: 173-182.</w:t>
      </w:r>
    </w:p>
    <w:p>
      <w:pPr>
        <w:pStyle w:val="BodyText"/>
        <w:spacing w:before="1"/>
      </w:pPr>
    </w:p>
    <w:p>
      <w:pPr>
        <w:pStyle w:val="BodyText"/>
        <w:spacing w:line="242" w:lineRule="auto"/>
        <w:ind w:left="681" w:right="292"/>
        <w:jc w:val="both"/>
      </w:pPr>
      <w:r>
        <w:rPr/>
        <w:t>Avoli, M., Louvel, J., Pumain, R., Kohling, R. (2005). Cellular and molecular mechanisms of epilepsy in the human brain</w:t>
      </w:r>
      <w:r>
        <w:rPr>
          <w:i/>
        </w:rPr>
        <w:t>. Progress in Neurobiology</w:t>
      </w:r>
      <w:r>
        <w:rPr/>
        <w:t>, 77: 166-200.</w:t>
      </w:r>
    </w:p>
    <w:p>
      <w:pPr>
        <w:pStyle w:val="BodyText"/>
      </w:pPr>
    </w:p>
    <w:p>
      <w:pPr>
        <w:pStyle w:val="BodyText"/>
        <w:spacing w:line="237" w:lineRule="auto"/>
        <w:ind w:left="681" w:right="284"/>
        <w:jc w:val="both"/>
      </w:pPr>
      <w:r>
        <w:rPr/>
        <w:t>Banerjee, P.N., Filippi, D. and Hauser, W.A. (2009). The descriptive epidemiology of epilepsy- A review. </w:t>
      </w:r>
      <w:r>
        <w:rPr>
          <w:i/>
        </w:rPr>
        <w:t>Epilepsy Research</w:t>
      </w:r>
      <w:r>
        <w:rPr/>
        <w:t>, 85: 31-45.</w:t>
      </w:r>
    </w:p>
    <w:p>
      <w:pPr>
        <w:pStyle w:val="BodyText"/>
        <w:spacing w:before="1"/>
      </w:pPr>
    </w:p>
    <w:p>
      <w:pPr>
        <w:pStyle w:val="BodyText"/>
        <w:spacing w:line="242" w:lineRule="auto"/>
        <w:ind w:left="681" w:right="271"/>
        <w:jc w:val="both"/>
      </w:pPr>
      <w:r>
        <w:rPr/>
        <w:t>Baraban, S.C. and Tallent, M.K. (2004). Interneuron diversity series: interneuronal neuropeptides-endogenous regulators of neuronal excitability. </w:t>
      </w:r>
      <w:r>
        <w:rPr>
          <w:i/>
        </w:rPr>
        <w:t>TINS</w:t>
      </w:r>
      <w:r>
        <w:rPr/>
        <w:t>, 27: 135-142.</w:t>
      </w:r>
    </w:p>
    <w:p>
      <w:pPr>
        <w:pStyle w:val="BodyText"/>
        <w:spacing w:line="237" w:lineRule="auto" w:before="276"/>
        <w:ind w:left="681" w:right="290"/>
        <w:jc w:val="both"/>
      </w:pPr>
      <w:r>
        <w:rPr/>
        <w:t>Becker, A., Grecksch, G., Ruthrich, H.L., Pohle, W., Marx, B. and Mathies, H. (1992). Kindling and its consequences on learning in rats. </w:t>
      </w:r>
      <w:r>
        <w:rPr>
          <w:i/>
        </w:rPr>
        <w:t>Behavior Neural Biology</w:t>
      </w:r>
      <w:r>
        <w:rPr/>
        <w:t>, 57: 37-43.</w:t>
      </w:r>
    </w:p>
    <w:p>
      <w:pPr>
        <w:spacing w:after="0" w:line="237" w:lineRule="auto"/>
        <w:jc w:val="both"/>
        <w:sectPr>
          <w:pgSz w:w="12240" w:h="15840"/>
          <w:pgMar w:header="0" w:footer="1066" w:top="1360" w:bottom="1260" w:left="1480" w:right="1160"/>
        </w:sectPr>
      </w:pPr>
    </w:p>
    <w:p>
      <w:pPr>
        <w:pStyle w:val="BodyText"/>
        <w:spacing w:before="72"/>
        <w:ind w:left="681" w:right="278"/>
        <w:jc w:val="both"/>
      </w:pPr>
      <w:r>
        <w:rPr/>
        <w:t>Becker, A.J., Chen, J., Zien, A., Sochivico, D., Normann, S., Schramm, J., Elger, C.E., Wiestler, O.D. and Blumcice, I. (2003). Correlated stage and subfield associated hippocampal gene expression patterns in experimental and human temporal lobe</w:t>
      </w:r>
      <w:r>
        <w:rPr>
          <w:spacing w:val="40"/>
        </w:rPr>
        <w:t> </w:t>
      </w:r>
      <w:r>
        <w:rPr/>
        <w:t>epilepsy. </w:t>
      </w:r>
      <w:r>
        <w:rPr>
          <w:i/>
        </w:rPr>
        <w:t>Europian Journal of Neuroscience</w:t>
      </w:r>
      <w:r>
        <w:rPr/>
        <w:t>, 18: 2792-2802.</w:t>
      </w:r>
    </w:p>
    <w:p>
      <w:pPr>
        <w:pStyle w:val="BodyText"/>
        <w:spacing w:before="274"/>
        <w:ind w:left="681" w:right="275"/>
        <w:jc w:val="both"/>
      </w:pPr>
      <w:r>
        <w:rPr/>
        <w:t>Benjamin, E.R., Fruthi, F. Olanrewaju, S., Ilyin, V.I., Crumley, G., Kutlini, E., Valenzano, K.J. and Woodward, R.M. (2006). State-Dependent Compound Inhibition of NaV 1.2 Sodium Channels Using the FLIPR Vm Dye: On-Target and Off-Target Effects of Diverse Pharmacological Agents. </w:t>
      </w:r>
      <w:r>
        <w:rPr>
          <w:i/>
        </w:rPr>
        <w:t>Journal of Biomolecular Screening, </w:t>
      </w:r>
      <w:r>
        <w:rPr/>
        <w:t>11(1): 29-39.</w:t>
      </w:r>
    </w:p>
    <w:p>
      <w:pPr>
        <w:pStyle w:val="BodyText"/>
        <w:spacing w:before="5"/>
      </w:pPr>
    </w:p>
    <w:p>
      <w:pPr>
        <w:spacing w:line="237" w:lineRule="auto" w:before="0"/>
        <w:ind w:left="681" w:right="281" w:firstLine="0"/>
        <w:jc w:val="both"/>
        <w:rPr>
          <w:sz w:val="24"/>
        </w:rPr>
      </w:pPr>
      <w:r>
        <w:rPr>
          <w:sz w:val="24"/>
        </w:rPr>
        <w:t>Berkowitz, B.A. (2004). </w:t>
      </w:r>
      <w:r>
        <w:rPr>
          <w:i/>
          <w:sz w:val="24"/>
        </w:rPr>
        <w:t>In</w:t>
      </w:r>
      <w:r>
        <w:rPr>
          <w:sz w:val="24"/>
        </w:rPr>
        <w:t>: B.G. Katzung. </w:t>
      </w:r>
      <w:r>
        <w:rPr>
          <w:i/>
          <w:sz w:val="24"/>
        </w:rPr>
        <w:t>Basic and clinical evaluation of new drugs</w:t>
      </w:r>
      <w:r>
        <w:rPr>
          <w:sz w:val="24"/>
        </w:rPr>
        <w:t>. Lange</w:t>
      </w:r>
      <w:r>
        <w:rPr>
          <w:spacing w:val="22"/>
          <w:sz w:val="24"/>
        </w:rPr>
        <w:t> </w:t>
      </w:r>
      <w:r>
        <w:rPr>
          <w:sz w:val="24"/>
        </w:rPr>
        <w:t>Medical</w:t>
      </w:r>
      <w:r>
        <w:rPr>
          <w:spacing w:val="20"/>
          <w:sz w:val="24"/>
        </w:rPr>
        <w:t> </w:t>
      </w:r>
      <w:r>
        <w:rPr>
          <w:sz w:val="24"/>
        </w:rPr>
        <w:t>Books,</w:t>
      </w:r>
      <w:r>
        <w:rPr>
          <w:spacing w:val="22"/>
          <w:sz w:val="24"/>
        </w:rPr>
        <w:t> </w:t>
      </w:r>
      <w:r>
        <w:rPr>
          <w:sz w:val="24"/>
        </w:rPr>
        <w:t>Mc</w:t>
      </w:r>
      <w:r>
        <w:rPr>
          <w:spacing w:val="19"/>
          <w:sz w:val="24"/>
        </w:rPr>
        <w:t> </w:t>
      </w:r>
      <w:r>
        <w:rPr>
          <w:sz w:val="24"/>
        </w:rPr>
        <w:t>Graw-Hill</w:t>
      </w:r>
      <w:r>
        <w:rPr>
          <w:spacing w:val="21"/>
          <w:sz w:val="24"/>
        </w:rPr>
        <w:t> </w:t>
      </w:r>
      <w:r>
        <w:rPr>
          <w:sz w:val="24"/>
        </w:rPr>
        <w:t>Medical</w:t>
      </w:r>
      <w:r>
        <w:rPr>
          <w:spacing w:val="16"/>
          <w:sz w:val="24"/>
        </w:rPr>
        <w:t> </w:t>
      </w:r>
      <w:r>
        <w:rPr>
          <w:sz w:val="24"/>
        </w:rPr>
        <w:t>Publishing</w:t>
      </w:r>
      <w:r>
        <w:rPr>
          <w:spacing w:val="20"/>
          <w:sz w:val="24"/>
        </w:rPr>
        <w:t> </w:t>
      </w:r>
      <w:r>
        <w:rPr>
          <w:sz w:val="24"/>
        </w:rPr>
        <w:t>Division</w:t>
      </w:r>
      <w:r>
        <w:rPr>
          <w:spacing w:val="15"/>
          <w:sz w:val="24"/>
        </w:rPr>
        <w:t> </w:t>
      </w:r>
      <w:r>
        <w:rPr>
          <w:sz w:val="24"/>
        </w:rPr>
        <w:t>New</w:t>
      </w:r>
      <w:r>
        <w:rPr>
          <w:spacing w:val="24"/>
          <w:sz w:val="24"/>
        </w:rPr>
        <w:t> </w:t>
      </w:r>
      <w:r>
        <w:rPr>
          <w:sz w:val="24"/>
        </w:rPr>
        <w:t>York</w:t>
      </w:r>
      <w:r>
        <w:rPr>
          <w:spacing w:val="21"/>
          <w:sz w:val="24"/>
        </w:rPr>
        <w:t> </w:t>
      </w:r>
      <w:r>
        <w:rPr>
          <w:spacing w:val="-2"/>
          <w:sz w:val="24"/>
        </w:rPr>
        <w:t>Chicago,</w:t>
      </w:r>
    </w:p>
    <w:p>
      <w:pPr>
        <w:pStyle w:val="BodyText"/>
        <w:spacing w:before="4"/>
        <w:ind w:left="681"/>
      </w:pPr>
      <w:r>
        <w:rPr/>
        <w:t>pp.</w:t>
      </w:r>
      <w:r>
        <w:rPr>
          <w:spacing w:val="4"/>
        </w:rPr>
        <w:t> </w:t>
      </w:r>
      <w:r>
        <w:rPr>
          <w:spacing w:val="-5"/>
        </w:rPr>
        <w:t>67.</w:t>
      </w:r>
    </w:p>
    <w:p>
      <w:pPr>
        <w:pStyle w:val="BodyText"/>
        <w:spacing w:before="2"/>
      </w:pPr>
    </w:p>
    <w:p>
      <w:pPr>
        <w:spacing w:line="237" w:lineRule="auto" w:before="0"/>
        <w:ind w:left="681" w:right="282" w:firstLine="0"/>
        <w:jc w:val="both"/>
        <w:rPr>
          <w:sz w:val="24"/>
        </w:rPr>
      </w:pPr>
      <w:r>
        <w:rPr>
          <w:sz w:val="24"/>
        </w:rPr>
        <w:t>Bernard, S., Chang, M.D., Daniel, H. and Lowentein, M.D. (2003). Mechanism of</w:t>
      </w:r>
      <w:r>
        <w:rPr>
          <w:spacing w:val="40"/>
          <w:sz w:val="24"/>
        </w:rPr>
        <w:t> </w:t>
      </w:r>
      <w:r>
        <w:rPr>
          <w:sz w:val="24"/>
        </w:rPr>
        <w:t>disease epilepsy. </w:t>
      </w:r>
      <w:r>
        <w:rPr>
          <w:i/>
          <w:sz w:val="24"/>
        </w:rPr>
        <w:t>New England journal of medicine</w:t>
      </w:r>
      <w:r>
        <w:rPr>
          <w:sz w:val="24"/>
        </w:rPr>
        <w:t>, 349: 1257-1266.</w:t>
      </w:r>
    </w:p>
    <w:p>
      <w:pPr>
        <w:pStyle w:val="BodyText"/>
        <w:spacing w:before="1"/>
      </w:pPr>
    </w:p>
    <w:p>
      <w:pPr>
        <w:pStyle w:val="BodyText"/>
        <w:spacing w:before="1"/>
        <w:ind w:left="681" w:right="279"/>
        <w:jc w:val="both"/>
      </w:pPr>
      <w:r>
        <w:rPr/>
        <w:t>Brown, M.L., Brown, G.B. and Brouillette, W.J. (1999). Comparative molecular field analysis</w:t>
      </w:r>
      <w:r>
        <w:rPr>
          <w:spacing w:val="-4"/>
        </w:rPr>
        <w:t> </w:t>
      </w:r>
      <w:r>
        <w:rPr/>
        <w:t>of</w:t>
      </w:r>
      <w:r>
        <w:rPr>
          <w:spacing w:val="-5"/>
        </w:rPr>
        <w:t> </w:t>
      </w:r>
      <w:r>
        <w:rPr/>
        <w:t>hydantoin</w:t>
      </w:r>
      <w:r>
        <w:rPr>
          <w:spacing w:val="-2"/>
        </w:rPr>
        <w:t> </w:t>
      </w:r>
      <w:r>
        <w:rPr/>
        <w:t>binding</w:t>
      </w:r>
      <w:r>
        <w:rPr>
          <w:spacing w:val="-2"/>
        </w:rPr>
        <w:t> </w:t>
      </w:r>
      <w:r>
        <w:rPr/>
        <w:t>to</w:t>
      </w:r>
      <w:r>
        <w:rPr>
          <w:spacing w:val="-2"/>
        </w:rPr>
        <w:t> </w:t>
      </w:r>
      <w:r>
        <w:rPr/>
        <w:t>the</w:t>
      </w:r>
      <w:r>
        <w:rPr>
          <w:spacing w:val="-3"/>
        </w:rPr>
        <w:t> </w:t>
      </w:r>
      <w:r>
        <w:rPr/>
        <w:t>neuronal</w:t>
      </w:r>
      <w:r>
        <w:rPr>
          <w:spacing w:val="-2"/>
        </w:rPr>
        <w:t> </w:t>
      </w:r>
      <w:r>
        <w:rPr/>
        <w:t>voltage-dependent sodium</w:t>
      </w:r>
      <w:r>
        <w:rPr>
          <w:spacing w:val="-7"/>
        </w:rPr>
        <w:t> </w:t>
      </w:r>
      <w:r>
        <w:rPr/>
        <w:t>channel. </w:t>
      </w:r>
      <w:r>
        <w:rPr>
          <w:i/>
        </w:rPr>
        <w:t>Journal of Medicial Chemistry, </w:t>
      </w:r>
      <w:r>
        <w:rPr/>
        <w:t>40</w:t>
      </w:r>
      <w:r>
        <w:rPr>
          <w:b/>
        </w:rPr>
        <w:t>:</w:t>
      </w:r>
      <w:r>
        <w:rPr/>
        <w:t>602–607.</w:t>
      </w:r>
    </w:p>
    <w:p>
      <w:pPr>
        <w:pStyle w:val="BodyText"/>
      </w:pPr>
    </w:p>
    <w:p>
      <w:pPr>
        <w:pStyle w:val="BodyText"/>
        <w:ind w:left="681" w:right="271"/>
        <w:jc w:val="both"/>
      </w:pPr>
      <w:r>
        <w:rPr/>
        <w:t>Browne, L.E., Blaney, F.E., Yusaf, S.P., Clare, J.J. and Wray, D. (2009). Structural Determinants of Drugs Acting on the NaV 1.8 Channels. </w:t>
      </w:r>
      <w:r>
        <w:rPr>
          <w:i/>
        </w:rPr>
        <w:t>Journal of Biological</w:t>
      </w:r>
      <w:r>
        <w:rPr>
          <w:i/>
          <w:spacing w:val="40"/>
        </w:rPr>
        <w:t> </w:t>
      </w:r>
      <w:r>
        <w:rPr>
          <w:i/>
        </w:rPr>
        <w:t>Chemistry, </w:t>
      </w:r>
      <w:r>
        <w:rPr/>
        <w:t>284(16): 10523-10536.</w:t>
      </w:r>
    </w:p>
    <w:p>
      <w:pPr>
        <w:pStyle w:val="BodyText"/>
      </w:pPr>
    </w:p>
    <w:p>
      <w:pPr>
        <w:spacing w:line="240" w:lineRule="auto" w:before="0"/>
        <w:ind w:left="681" w:right="281" w:firstLine="0"/>
        <w:jc w:val="both"/>
        <w:rPr>
          <w:sz w:val="24"/>
        </w:rPr>
      </w:pPr>
      <w:r>
        <w:rPr>
          <w:sz w:val="24"/>
        </w:rPr>
        <w:t>Browning, R. (1992). The electroshock model, neuronal</w:t>
      </w:r>
      <w:r>
        <w:rPr>
          <w:spacing w:val="-3"/>
          <w:sz w:val="24"/>
        </w:rPr>
        <w:t> </w:t>
      </w:r>
      <w:r>
        <w:rPr>
          <w:sz w:val="24"/>
        </w:rPr>
        <w:t>network and antiepileptic drugs. </w:t>
      </w:r>
      <w:r>
        <w:rPr>
          <w:i/>
          <w:sz w:val="24"/>
        </w:rPr>
        <w:t>In</w:t>
      </w:r>
      <w:r>
        <w:rPr>
          <w:sz w:val="24"/>
        </w:rPr>
        <w:t>: </w:t>
      </w:r>
      <w:r>
        <w:rPr>
          <w:i/>
          <w:sz w:val="24"/>
        </w:rPr>
        <w:t>Drugs for Control of Epilepsy: Actions on Neuronal Networks in Seizure Disorders</w:t>
      </w:r>
      <w:r>
        <w:rPr>
          <w:sz w:val="24"/>
        </w:rPr>
        <w:t>, Faingold, C.L., Fromm, G.H. (Eds). CRC press: Boca Raton, FL, pp. 195-211.</w:t>
      </w:r>
    </w:p>
    <w:p>
      <w:pPr>
        <w:pStyle w:val="BodyText"/>
        <w:spacing w:before="1"/>
      </w:pPr>
    </w:p>
    <w:p>
      <w:pPr>
        <w:pStyle w:val="BodyText"/>
        <w:spacing w:line="242" w:lineRule="auto"/>
        <w:ind w:left="681" w:right="289"/>
        <w:jc w:val="both"/>
      </w:pPr>
      <w:r>
        <w:rPr/>
        <w:t>Brummelen, P.V. (2001). Drug development. In: Drug Benefits and Risks, Boxtel, C.J., Santoso,</w:t>
      </w:r>
      <w:r>
        <w:rPr>
          <w:spacing w:val="-6"/>
        </w:rPr>
        <w:t> </w:t>
      </w:r>
      <w:r>
        <w:rPr/>
        <w:t>B.</w:t>
      </w:r>
      <w:r>
        <w:rPr>
          <w:spacing w:val="1"/>
        </w:rPr>
        <w:t> </w:t>
      </w:r>
      <w:r>
        <w:rPr/>
        <w:t>and</w:t>
      </w:r>
      <w:r>
        <w:rPr>
          <w:spacing w:val="-1"/>
        </w:rPr>
        <w:t> </w:t>
      </w:r>
      <w:r>
        <w:rPr/>
        <w:t>Edwards,</w:t>
      </w:r>
      <w:r>
        <w:rPr>
          <w:spacing w:val="-4"/>
        </w:rPr>
        <w:t> </w:t>
      </w:r>
      <w:r>
        <w:rPr/>
        <w:t>I.R.</w:t>
      </w:r>
      <w:r>
        <w:rPr>
          <w:spacing w:val="-3"/>
        </w:rPr>
        <w:t> </w:t>
      </w:r>
      <w:r>
        <w:rPr/>
        <w:t>(Eds).</w:t>
      </w:r>
      <w:r>
        <w:rPr>
          <w:spacing w:val="-4"/>
        </w:rPr>
        <w:t> </w:t>
      </w:r>
      <w:r>
        <w:rPr/>
        <w:t>John</w:t>
      </w:r>
      <w:r>
        <w:rPr>
          <w:spacing w:val="-1"/>
        </w:rPr>
        <w:t> </w:t>
      </w:r>
      <w:r>
        <w:rPr/>
        <w:t>Willey</w:t>
      </w:r>
      <w:r>
        <w:rPr>
          <w:spacing w:val="-1"/>
        </w:rPr>
        <w:t> </w:t>
      </w:r>
      <w:r>
        <w:rPr/>
        <w:t>and</w:t>
      </w:r>
      <w:r>
        <w:rPr>
          <w:spacing w:val="-1"/>
        </w:rPr>
        <w:t> </w:t>
      </w:r>
      <w:r>
        <w:rPr/>
        <w:t>Sons</w:t>
      </w:r>
      <w:r>
        <w:rPr>
          <w:spacing w:val="-2"/>
        </w:rPr>
        <w:t> </w:t>
      </w:r>
      <w:r>
        <w:rPr/>
        <w:t>LTD, New</w:t>
      </w:r>
      <w:r>
        <w:rPr>
          <w:spacing w:val="-2"/>
        </w:rPr>
        <w:t> </w:t>
      </w:r>
      <w:r>
        <w:rPr/>
        <w:t>York,</w:t>
      </w:r>
      <w:r>
        <w:rPr>
          <w:spacing w:val="-4"/>
        </w:rPr>
        <w:t> </w:t>
      </w:r>
      <w:r>
        <w:rPr/>
        <w:t>USA,</w:t>
      </w:r>
      <w:r>
        <w:rPr>
          <w:spacing w:val="1"/>
        </w:rPr>
        <w:t> </w:t>
      </w:r>
      <w:r>
        <w:rPr/>
        <w:t>p.</w:t>
      </w:r>
      <w:r>
        <w:rPr>
          <w:spacing w:val="-3"/>
        </w:rPr>
        <w:t> </w:t>
      </w:r>
      <w:r>
        <w:rPr>
          <w:spacing w:val="-5"/>
        </w:rPr>
        <w:t>97.</w:t>
      </w:r>
    </w:p>
    <w:p>
      <w:pPr>
        <w:pStyle w:val="BodyText"/>
        <w:spacing w:line="275" w:lineRule="exact" w:before="273"/>
        <w:ind w:left="681"/>
      </w:pPr>
      <w:r>
        <w:rPr/>
        <w:t>Bum,</w:t>
      </w:r>
      <w:r>
        <w:rPr>
          <w:spacing w:val="15"/>
        </w:rPr>
        <w:t> </w:t>
      </w:r>
      <w:r>
        <w:rPr/>
        <w:t>E.N.,</w:t>
      </w:r>
      <w:r>
        <w:rPr>
          <w:spacing w:val="17"/>
        </w:rPr>
        <w:t> </w:t>
      </w:r>
      <w:r>
        <w:rPr/>
        <w:t>Nkantchoua,</w:t>
      </w:r>
      <w:r>
        <w:rPr>
          <w:spacing w:val="18"/>
        </w:rPr>
        <w:t> </w:t>
      </w:r>
      <w:r>
        <w:rPr/>
        <w:t>G.N.,</w:t>
      </w:r>
      <w:r>
        <w:rPr>
          <w:spacing w:val="17"/>
        </w:rPr>
        <w:t> </w:t>
      </w:r>
      <w:r>
        <w:rPr/>
        <w:t>Njikam,</w:t>
      </w:r>
      <w:r>
        <w:rPr>
          <w:spacing w:val="18"/>
        </w:rPr>
        <w:t> </w:t>
      </w:r>
      <w:r>
        <w:rPr/>
        <w:t>N.,</w:t>
      </w:r>
      <w:r>
        <w:rPr>
          <w:spacing w:val="17"/>
        </w:rPr>
        <w:t> </w:t>
      </w:r>
      <w:r>
        <w:rPr/>
        <w:t>Taiwe,</w:t>
      </w:r>
      <w:r>
        <w:rPr>
          <w:spacing w:val="17"/>
        </w:rPr>
        <w:t> </w:t>
      </w:r>
      <w:r>
        <w:rPr/>
        <w:t>G.S.,</w:t>
      </w:r>
      <w:r>
        <w:rPr>
          <w:spacing w:val="13"/>
        </w:rPr>
        <w:t> </w:t>
      </w:r>
      <w:r>
        <w:rPr/>
        <w:t>Ngoupaye,</w:t>
      </w:r>
      <w:r>
        <w:rPr>
          <w:spacing w:val="18"/>
        </w:rPr>
        <w:t> </w:t>
      </w:r>
      <w:r>
        <w:rPr/>
        <w:t>G.T.</w:t>
      </w:r>
      <w:r>
        <w:rPr>
          <w:spacing w:val="17"/>
        </w:rPr>
        <w:t> </w:t>
      </w:r>
      <w:r>
        <w:rPr/>
        <w:t>and</w:t>
      </w:r>
      <w:r>
        <w:rPr>
          <w:spacing w:val="16"/>
        </w:rPr>
        <w:t> </w:t>
      </w:r>
      <w:r>
        <w:rPr>
          <w:spacing w:val="-2"/>
        </w:rPr>
        <w:t>Pelanken,</w:t>
      </w:r>
    </w:p>
    <w:p>
      <w:pPr>
        <w:pStyle w:val="BodyText"/>
        <w:spacing w:line="275" w:lineRule="exact"/>
        <w:ind w:left="681"/>
      </w:pPr>
      <w:r>
        <w:rPr/>
        <w:t>M.M.</w:t>
      </w:r>
      <w:r>
        <w:rPr>
          <w:spacing w:val="22"/>
        </w:rPr>
        <w:t> </w:t>
      </w:r>
      <w:r>
        <w:rPr/>
        <w:t>(2010).</w:t>
      </w:r>
      <w:r>
        <w:rPr>
          <w:spacing w:val="25"/>
        </w:rPr>
        <w:t> </w:t>
      </w:r>
      <w:r>
        <w:rPr/>
        <w:t>Anticonvulsant</w:t>
      </w:r>
      <w:r>
        <w:rPr>
          <w:spacing w:val="28"/>
        </w:rPr>
        <w:t> </w:t>
      </w:r>
      <w:r>
        <w:rPr/>
        <w:t>and</w:t>
      </w:r>
      <w:r>
        <w:rPr>
          <w:spacing w:val="26"/>
        </w:rPr>
        <w:t> </w:t>
      </w:r>
      <w:r>
        <w:rPr/>
        <w:t>sedative</w:t>
      </w:r>
      <w:r>
        <w:rPr>
          <w:spacing w:val="22"/>
        </w:rPr>
        <w:t> </w:t>
      </w:r>
      <w:r>
        <w:rPr/>
        <w:t>activity</w:t>
      </w:r>
      <w:r>
        <w:rPr>
          <w:spacing w:val="18"/>
        </w:rPr>
        <w:t> </w:t>
      </w:r>
      <w:r>
        <w:rPr/>
        <w:t>of</w:t>
      </w:r>
      <w:r>
        <w:rPr>
          <w:spacing w:val="20"/>
        </w:rPr>
        <w:t> </w:t>
      </w:r>
      <w:r>
        <w:rPr/>
        <w:t>leaves</w:t>
      </w:r>
      <w:r>
        <w:rPr>
          <w:spacing w:val="21"/>
        </w:rPr>
        <w:t> </w:t>
      </w:r>
      <w:r>
        <w:rPr/>
        <w:t>Senna</w:t>
      </w:r>
      <w:r>
        <w:rPr>
          <w:spacing w:val="25"/>
        </w:rPr>
        <w:t> </w:t>
      </w:r>
      <w:r>
        <w:rPr/>
        <w:t>spectabilis</w:t>
      </w:r>
      <w:r>
        <w:rPr>
          <w:spacing w:val="30"/>
        </w:rPr>
        <w:t> </w:t>
      </w:r>
      <w:r>
        <w:rPr/>
        <w:t>in</w:t>
      </w:r>
      <w:r>
        <w:rPr>
          <w:spacing w:val="27"/>
        </w:rPr>
        <w:t> </w:t>
      </w:r>
      <w:r>
        <w:rPr>
          <w:spacing w:val="-2"/>
        </w:rPr>
        <w:t>mice.</w:t>
      </w:r>
    </w:p>
    <w:p>
      <w:pPr>
        <w:spacing w:before="3"/>
        <w:ind w:left="681" w:right="0" w:firstLine="0"/>
        <w:jc w:val="left"/>
        <w:rPr>
          <w:sz w:val="24"/>
        </w:rPr>
      </w:pPr>
      <w:r>
        <w:rPr>
          <w:i/>
          <w:sz w:val="24"/>
        </w:rPr>
        <w:t>International</w:t>
      </w:r>
      <w:r>
        <w:rPr>
          <w:i/>
          <w:spacing w:val="-4"/>
          <w:sz w:val="24"/>
        </w:rPr>
        <w:t> </w:t>
      </w:r>
      <w:r>
        <w:rPr>
          <w:i/>
          <w:sz w:val="24"/>
        </w:rPr>
        <w:t>Journal</w:t>
      </w:r>
      <w:r>
        <w:rPr>
          <w:i/>
          <w:spacing w:val="-1"/>
          <w:sz w:val="24"/>
        </w:rPr>
        <w:t> </w:t>
      </w:r>
      <w:r>
        <w:rPr>
          <w:i/>
          <w:sz w:val="24"/>
        </w:rPr>
        <w:t>of</w:t>
      </w:r>
      <w:r>
        <w:rPr>
          <w:i/>
          <w:spacing w:val="4"/>
          <w:sz w:val="24"/>
        </w:rPr>
        <w:t> </w:t>
      </w:r>
      <w:r>
        <w:rPr>
          <w:i/>
          <w:sz w:val="24"/>
        </w:rPr>
        <w:t>Pharmacology</w:t>
      </w:r>
      <w:r>
        <w:rPr>
          <w:sz w:val="24"/>
        </w:rPr>
        <w:t>, 6:</w:t>
      </w:r>
      <w:r>
        <w:rPr>
          <w:spacing w:val="-5"/>
          <w:sz w:val="24"/>
        </w:rPr>
        <w:t> </w:t>
      </w:r>
      <w:r>
        <w:rPr>
          <w:sz w:val="24"/>
        </w:rPr>
        <w:t>123-</w:t>
      </w:r>
      <w:r>
        <w:rPr>
          <w:spacing w:val="-4"/>
          <w:sz w:val="24"/>
        </w:rPr>
        <w:t>128.</w:t>
      </w:r>
    </w:p>
    <w:p>
      <w:pPr>
        <w:pStyle w:val="BodyText"/>
      </w:pPr>
    </w:p>
    <w:p>
      <w:pPr>
        <w:pStyle w:val="BodyText"/>
        <w:spacing w:line="275" w:lineRule="exact"/>
        <w:ind w:left="681"/>
      </w:pPr>
      <w:r>
        <w:rPr/>
        <w:t>Camerino,</w:t>
      </w:r>
      <w:r>
        <w:rPr>
          <w:spacing w:val="46"/>
        </w:rPr>
        <w:t> </w:t>
      </w:r>
      <w:r>
        <w:rPr/>
        <w:t>D.C.,</w:t>
      </w:r>
      <w:r>
        <w:rPr>
          <w:spacing w:val="44"/>
        </w:rPr>
        <w:t> </w:t>
      </w:r>
      <w:r>
        <w:rPr/>
        <w:t>Tricarico,</w:t>
      </w:r>
      <w:r>
        <w:rPr>
          <w:spacing w:val="49"/>
        </w:rPr>
        <w:t> </w:t>
      </w:r>
      <w:r>
        <w:rPr/>
        <w:t>D.</w:t>
      </w:r>
      <w:r>
        <w:rPr>
          <w:spacing w:val="48"/>
        </w:rPr>
        <w:t> </w:t>
      </w:r>
      <w:r>
        <w:rPr/>
        <w:t>and</w:t>
      </w:r>
      <w:r>
        <w:rPr>
          <w:spacing w:val="46"/>
        </w:rPr>
        <w:t> </w:t>
      </w:r>
      <w:r>
        <w:rPr/>
        <w:t>Desaphy,</w:t>
      </w:r>
      <w:r>
        <w:rPr>
          <w:spacing w:val="49"/>
        </w:rPr>
        <w:t> </w:t>
      </w:r>
      <w:r>
        <w:rPr/>
        <w:t>J.F.</w:t>
      </w:r>
      <w:r>
        <w:rPr>
          <w:spacing w:val="49"/>
        </w:rPr>
        <w:t> </w:t>
      </w:r>
      <w:r>
        <w:rPr/>
        <w:t>(2007).</w:t>
      </w:r>
      <w:r>
        <w:rPr>
          <w:spacing w:val="44"/>
        </w:rPr>
        <w:t> </w:t>
      </w:r>
      <w:r>
        <w:rPr/>
        <w:t>Ion</w:t>
      </w:r>
      <w:r>
        <w:rPr>
          <w:spacing w:val="41"/>
        </w:rPr>
        <w:t> </w:t>
      </w:r>
      <w:r>
        <w:rPr/>
        <w:t>Channel</w:t>
      </w:r>
      <w:r>
        <w:rPr>
          <w:spacing w:val="39"/>
        </w:rPr>
        <w:t> </w:t>
      </w:r>
      <w:r>
        <w:rPr>
          <w:spacing w:val="-2"/>
        </w:rPr>
        <w:t>Pharmacology.</w:t>
      </w:r>
    </w:p>
    <w:p>
      <w:pPr>
        <w:spacing w:line="275" w:lineRule="exact" w:before="0"/>
        <w:ind w:left="681" w:right="0" w:firstLine="0"/>
        <w:jc w:val="left"/>
        <w:rPr>
          <w:sz w:val="24"/>
        </w:rPr>
      </w:pPr>
      <w:r>
        <w:rPr>
          <w:i/>
          <w:sz w:val="24"/>
        </w:rPr>
        <w:t>Neurotherapeutics, </w:t>
      </w:r>
      <w:r>
        <w:rPr>
          <w:sz w:val="24"/>
        </w:rPr>
        <w:t>4:</w:t>
      </w:r>
      <w:r>
        <w:rPr>
          <w:spacing w:val="-2"/>
          <w:sz w:val="24"/>
        </w:rPr>
        <w:t> </w:t>
      </w:r>
      <w:r>
        <w:rPr>
          <w:sz w:val="24"/>
        </w:rPr>
        <w:t>184-</w:t>
      </w:r>
      <w:r>
        <w:rPr>
          <w:spacing w:val="-4"/>
          <w:sz w:val="24"/>
        </w:rPr>
        <w:t>198.</w:t>
      </w:r>
    </w:p>
    <w:p>
      <w:pPr>
        <w:pStyle w:val="BodyText"/>
      </w:pPr>
    </w:p>
    <w:p>
      <w:pPr>
        <w:pStyle w:val="BodyText"/>
        <w:spacing w:line="242" w:lineRule="auto"/>
        <w:ind w:left="681" w:right="295"/>
        <w:jc w:val="both"/>
      </w:pPr>
      <w:r>
        <w:rPr/>
        <w:t>Carlen, P.L., Skinnner, F., Zhang, L., Naus, C., Kushnir, M. and Perez velaquez, J.L. (2000). The role of gap junctions in seizures. </w:t>
      </w:r>
      <w:r>
        <w:rPr>
          <w:i/>
        </w:rPr>
        <w:t>Brain Research Revised</w:t>
      </w:r>
      <w:r>
        <w:rPr/>
        <w:t>. 32: 235-241.</w:t>
      </w:r>
    </w:p>
    <w:p>
      <w:pPr>
        <w:pStyle w:val="BodyText"/>
        <w:spacing w:line="237" w:lineRule="auto" w:before="275"/>
        <w:ind w:left="681" w:right="291"/>
        <w:jc w:val="both"/>
      </w:pPr>
      <w:r>
        <w:rPr/>
        <w:t>Catterall, W.A. (2000) From ionic currents to molecular mechanisms: the structure and function of voltage-gated sodium channels. </w:t>
      </w:r>
      <w:r>
        <w:rPr>
          <w:i/>
        </w:rPr>
        <w:t>Neuron </w:t>
      </w:r>
      <w:r>
        <w:rPr/>
        <w:t>26</w:t>
      </w:r>
      <w:r>
        <w:rPr>
          <w:b/>
        </w:rPr>
        <w:t>:</w:t>
      </w:r>
      <w:r>
        <w:rPr/>
        <w:t>13–25.</w:t>
      </w:r>
    </w:p>
    <w:p>
      <w:pPr>
        <w:spacing w:after="0" w:line="237" w:lineRule="auto"/>
        <w:jc w:val="both"/>
        <w:sectPr>
          <w:pgSz w:w="12240" w:h="15840"/>
          <w:pgMar w:header="0" w:footer="1066" w:top="1360" w:bottom="1260" w:left="1480" w:right="1160"/>
        </w:sectPr>
      </w:pPr>
    </w:p>
    <w:p>
      <w:pPr>
        <w:spacing w:line="240" w:lineRule="auto" w:before="72"/>
        <w:ind w:left="681" w:right="271" w:firstLine="0"/>
        <w:jc w:val="both"/>
        <w:rPr>
          <w:sz w:val="24"/>
        </w:rPr>
      </w:pPr>
      <w:r>
        <w:rPr>
          <w:sz w:val="24"/>
        </w:rPr>
        <w:t>Catterall, W.A., Goldin, A.I. and Waxman, S.G. (2005). Nomenclature and structure- function relationships of voltage-gated sodium channel. </w:t>
      </w:r>
      <w:r>
        <w:rPr>
          <w:i/>
          <w:sz w:val="24"/>
        </w:rPr>
        <w:t>International Union of Pharmacology XLVII</w:t>
      </w:r>
      <w:r>
        <w:rPr>
          <w:sz w:val="24"/>
        </w:rPr>
        <w:t>, 27: 7520–7531.</w:t>
      </w:r>
    </w:p>
    <w:p>
      <w:pPr>
        <w:pStyle w:val="BodyText"/>
        <w:spacing w:before="3"/>
      </w:pPr>
    </w:p>
    <w:p>
      <w:pPr>
        <w:pStyle w:val="BodyText"/>
        <w:spacing w:line="237" w:lineRule="auto"/>
        <w:ind w:left="681" w:right="287"/>
        <w:jc w:val="both"/>
      </w:pPr>
      <w:r>
        <w:rPr/>
        <w:t>Catterall, W.A</w:t>
      </w:r>
      <w:r>
        <w:rPr>
          <w:b/>
        </w:rPr>
        <w:t>. </w:t>
      </w:r>
      <w:r>
        <w:rPr/>
        <w:t>(2012). Voltage-gated sodium channels at 60: structure, function and pathophysiology. </w:t>
      </w:r>
      <w:r>
        <w:rPr>
          <w:i/>
        </w:rPr>
        <w:t>Journal of Physiology</w:t>
      </w:r>
      <w:r>
        <w:rPr/>
        <w:t>, 590(11): 2577–2589.</w:t>
      </w:r>
    </w:p>
    <w:p>
      <w:pPr>
        <w:pStyle w:val="BodyText"/>
        <w:spacing w:before="1"/>
      </w:pPr>
    </w:p>
    <w:p>
      <w:pPr>
        <w:pStyle w:val="BodyText"/>
        <w:ind w:left="681"/>
        <w:jc w:val="both"/>
      </w:pPr>
      <w:r>
        <w:rPr/>
        <w:t>Catterall,</w:t>
      </w:r>
      <w:r>
        <w:rPr>
          <w:spacing w:val="57"/>
        </w:rPr>
        <w:t> </w:t>
      </w:r>
      <w:r>
        <w:rPr/>
        <w:t>WA,</w:t>
      </w:r>
      <w:r>
        <w:rPr>
          <w:spacing w:val="55"/>
        </w:rPr>
        <w:t> </w:t>
      </w:r>
      <w:r>
        <w:rPr/>
        <w:t>Kalume,</w:t>
      </w:r>
      <w:r>
        <w:rPr>
          <w:spacing w:val="56"/>
        </w:rPr>
        <w:t> </w:t>
      </w:r>
      <w:r>
        <w:rPr/>
        <w:t>F.</w:t>
      </w:r>
      <w:r>
        <w:rPr>
          <w:spacing w:val="59"/>
        </w:rPr>
        <w:t> </w:t>
      </w:r>
      <w:r>
        <w:rPr/>
        <w:t>and</w:t>
      </w:r>
      <w:r>
        <w:rPr>
          <w:spacing w:val="54"/>
        </w:rPr>
        <w:t> </w:t>
      </w:r>
      <w:r>
        <w:rPr/>
        <w:t>Oakley,</w:t>
      </w:r>
      <w:r>
        <w:rPr>
          <w:spacing w:val="60"/>
        </w:rPr>
        <w:t> </w:t>
      </w:r>
      <w:r>
        <w:rPr/>
        <w:t>J.C.</w:t>
      </w:r>
      <w:r>
        <w:rPr>
          <w:spacing w:val="55"/>
        </w:rPr>
        <w:t> </w:t>
      </w:r>
      <w:r>
        <w:rPr/>
        <w:t>(2010).</w:t>
      </w:r>
      <w:r>
        <w:rPr>
          <w:spacing w:val="55"/>
        </w:rPr>
        <w:t> </w:t>
      </w:r>
      <w:r>
        <w:rPr/>
        <w:t>NaV1.1</w:t>
      </w:r>
      <w:r>
        <w:rPr>
          <w:spacing w:val="53"/>
        </w:rPr>
        <w:t> </w:t>
      </w:r>
      <w:r>
        <w:rPr/>
        <w:t>channels</w:t>
      </w:r>
      <w:r>
        <w:rPr>
          <w:spacing w:val="51"/>
        </w:rPr>
        <w:t> </w:t>
      </w:r>
      <w:r>
        <w:rPr/>
        <w:t>and</w:t>
      </w:r>
      <w:r>
        <w:rPr>
          <w:spacing w:val="54"/>
        </w:rPr>
        <w:t> </w:t>
      </w:r>
      <w:r>
        <w:rPr>
          <w:spacing w:val="-2"/>
        </w:rPr>
        <w:t>epilepsy.</w:t>
      </w:r>
    </w:p>
    <w:p>
      <w:pPr>
        <w:spacing w:before="2"/>
        <w:ind w:left="681" w:right="0" w:firstLine="0"/>
        <w:jc w:val="both"/>
        <w:rPr>
          <w:sz w:val="24"/>
        </w:rPr>
      </w:pPr>
      <w:r>
        <w:rPr>
          <w:i/>
          <w:sz w:val="24"/>
        </w:rPr>
        <w:t>Journal</w:t>
      </w:r>
      <w:r>
        <w:rPr>
          <w:i/>
          <w:spacing w:val="-3"/>
          <w:sz w:val="24"/>
        </w:rPr>
        <w:t> </w:t>
      </w:r>
      <w:r>
        <w:rPr>
          <w:i/>
          <w:sz w:val="24"/>
        </w:rPr>
        <w:t>of</w:t>
      </w:r>
      <w:r>
        <w:rPr>
          <w:i/>
          <w:spacing w:val="-1"/>
          <w:sz w:val="24"/>
        </w:rPr>
        <w:t> </w:t>
      </w:r>
      <w:r>
        <w:rPr>
          <w:i/>
          <w:sz w:val="24"/>
        </w:rPr>
        <w:t>Physiology,</w:t>
      </w:r>
      <w:r>
        <w:rPr>
          <w:i/>
          <w:spacing w:val="3"/>
          <w:sz w:val="24"/>
        </w:rPr>
        <w:t> </w:t>
      </w:r>
      <w:r>
        <w:rPr>
          <w:sz w:val="24"/>
        </w:rPr>
        <w:t>588,</w:t>
      </w:r>
      <w:r>
        <w:rPr>
          <w:spacing w:val="1"/>
          <w:sz w:val="24"/>
        </w:rPr>
        <w:t> </w:t>
      </w:r>
      <w:r>
        <w:rPr>
          <w:spacing w:val="-2"/>
          <w:sz w:val="24"/>
        </w:rPr>
        <w:t>1849–1859.</w:t>
      </w:r>
    </w:p>
    <w:p>
      <w:pPr>
        <w:pStyle w:val="BodyText"/>
        <w:spacing w:before="3"/>
      </w:pPr>
    </w:p>
    <w:p>
      <w:pPr>
        <w:pStyle w:val="BodyText"/>
        <w:spacing w:line="237" w:lineRule="auto"/>
        <w:ind w:left="681" w:right="286"/>
        <w:jc w:val="both"/>
      </w:pPr>
      <w:r>
        <w:rPr/>
        <w:t>Cest’ele, S. and Catterall, W.A. (2000). Molecular Mechanisms of Neurotoxin Action</w:t>
      </w:r>
      <w:r>
        <w:rPr>
          <w:spacing w:val="-1"/>
        </w:rPr>
        <w:t> </w:t>
      </w:r>
      <w:r>
        <w:rPr/>
        <w:t>on Voltage-Gated Sodium Channels. </w:t>
      </w:r>
      <w:r>
        <w:rPr>
          <w:i/>
        </w:rPr>
        <w:t>Biochimie, </w:t>
      </w:r>
      <w:r>
        <w:rPr/>
        <w:t>82: 883-892.</w:t>
      </w:r>
    </w:p>
    <w:p>
      <w:pPr>
        <w:pStyle w:val="BodyText"/>
        <w:spacing w:before="1"/>
      </w:pPr>
    </w:p>
    <w:p>
      <w:pPr>
        <w:pStyle w:val="BodyText"/>
        <w:ind w:left="681" w:right="274"/>
        <w:jc w:val="both"/>
      </w:pPr>
      <w:r>
        <w:rPr/>
        <w:t>Chanda B and Bezanilla F (2002). Tracking voltage-dependent conformational changes</w:t>
      </w:r>
      <w:r>
        <w:rPr>
          <w:spacing w:val="80"/>
        </w:rPr>
        <w:t> </w:t>
      </w:r>
      <w:r>
        <w:rPr/>
        <w:t>in</w:t>
      </w:r>
      <w:r>
        <w:rPr>
          <w:spacing w:val="-2"/>
        </w:rPr>
        <w:t> </w:t>
      </w:r>
      <w:r>
        <w:rPr/>
        <w:t>skeletal</w:t>
      </w:r>
      <w:r>
        <w:rPr>
          <w:spacing w:val="-6"/>
        </w:rPr>
        <w:t> </w:t>
      </w:r>
      <w:r>
        <w:rPr/>
        <w:t>muscle</w:t>
      </w:r>
      <w:r>
        <w:rPr>
          <w:spacing w:val="-2"/>
        </w:rPr>
        <w:t> </w:t>
      </w:r>
      <w:r>
        <w:rPr/>
        <w:t>sodium</w:t>
      </w:r>
      <w:r>
        <w:rPr>
          <w:spacing w:val="-6"/>
        </w:rPr>
        <w:t> </w:t>
      </w:r>
      <w:r>
        <w:rPr/>
        <w:t>channel</w:t>
      </w:r>
      <w:r>
        <w:rPr>
          <w:spacing w:val="-10"/>
        </w:rPr>
        <w:t> </w:t>
      </w:r>
      <w:r>
        <w:rPr/>
        <w:t>during</w:t>
      </w:r>
      <w:r>
        <w:rPr>
          <w:spacing w:val="-2"/>
        </w:rPr>
        <w:t> </w:t>
      </w:r>
      <w:r>
        <w:rPr/>
        <w:t>activation. </w:t>
      </w:r>
      <w:r>
        <w:rPr>
          <w:i/>
        </w:rPr>
        <w:t>Journal</w:t>
      </w:r>
      <w:r>
        <w:rPr>
          <w:i/>
          <w:spacing w:val="-2"/>
        </w:rPr>
        <w:t> </w:t>
      </w:r>
      <w:r>
        <w:rPr>
          <w:i/>
        </w:rPr>
        <w:t>of General</w:t>
      </w:r>
      <w:r>
        <w:rPr>
          <w:i/>
          <w:spacing w:val="-2"/>
        </w:rPr>
        <w:t> </w:t>
      </w:r>
      <w:r>
        <w:rPr>
          <w:i/>
        </w:rPr>
        <w:t>Physiology, </w:t>
      </w:r>
      <w:r>
        <w:rPr/>
        <w:t>120: </w:t>
      </w:r>
      <w:r>
        <w:rPr>
          <w:spacing w:val="-2"/>
        </w:rPr>
        <w:t>629–645.</w:t>
      </w:r>
    </w:p>
    <w:p>
      <w:pPr>
        <w:pStyle w:val="BodyText"/>
      </w:pPr>
    </w:p>
    <w:p>
      <w:pPr>
        <w:pStyle w:val="BodyText"/>
        <w:spacing w:before="1"/>
        <w:ind w:left="681" w:right="275"/>
        <w:jc w:val="both"/>
      </w:pPr>
      <w:r>
        <w:rPr/>
        <w:t>Chernoff, D.M. and Strichartz, G.R. (1990). Kinetics of local anesthetic inhibition of neuronal sodium currents pH and hydrophobicity dependence. </w:t>
      </w:r>
      <w:r>
        <w:rPr>
          <w:i/>
        </w:rPr>
        <w:t>Biophysical Journal</w:t>
      </w:r>
      <w:r>
        <w:rPr/>
        <w:t>, 58: </w:t>
      </w:r>
      <w:r>
        <w:rPr>
          <w:spacing w:val="-2"/>
        </w:rPr>
        <w:t>69-81.</w:t>
      </w:r>
    </w:p>
    <w:p>
      <w:pPr>
        <w:pStyle w:val="BodyText"/>
      </w:pPr>
    </w:p>
    <w:p>
      <w:pPr>
        <w:pStyle w:val="BodyText"/>
        <w:spacing w:line="242" w:lineRule="auto"/>
        <w:ind w:left="681" w:right="284"/>
        <w:jc w:val="both"/>
      </w:pPr>
      <w:r>
        <w:rPr/>
        <w:t>Clark, C.R., Sansom, R.T.,</w:t>
      </w:r>
      <w:r>
        <w:rPr>
          <w:spacing w:val="-2"/>
        </w:rPr>
        <w:t> </w:t>
      </w:r>
      <w:r>
        <w:rPr/>
        <w:t>Lin, C.M. and Norris, G.N.</w:t>
      </w:r>
      <w:r>
        <w:rPr>
          <w:spacing w:val="-3"/>
        </w:rPr>
        <w:t> </w:t>
      </w:r>
      <w:r>
        <w:rPr/>
        <w:t>(1985).</w:t>
      </w:r>
      <w:r>
        <w:rPr>
          <w:spacing w:val="-2"/>
        </w:rPr>
        <w:t> </w:t>
      </w:r>
      <w:r>
        <w:rPr/>
        <w:t>Anticonvulsant activity</w:t>
      </w:r>
      <w:r>
        <w:rPr>
          <w:spacing w:val="-4"/>
        </w:rPr>
        <w:t> </w:t>
      </w:r>
      <w:r>
        <w:rPr/>
        <w:t>of some 4-aminobenzanilides. </w:t>
      </w:r>
      <w:r>
        <w:rPr>
          <w:i/>
        </w:rPr>
        <w:t>Journal of Medicinal Chemistry, </w:t>
      </w:r>
      <w:r>
        <w:rPr/>
        <w:t>28: 1259-1262.</w:t>
      </w:r>
    </w:p>
    <w:p>
      <w:pPr>
        <w:spacing w:line="237" w:lineRule="auto" w:before="275"/>
        <w:ind w:left="681" w:right="290" w:firstLine="0"/>
        <w:jc w:val="both"/>
        <w:rPr>
          <w:sz w:val="24"/>
        </w:rPr>
      </w:pPr>
      <w:r>
        <w:rPr>
          <w:sz w:val="24"/>
        </w:rPr>
        <w:t>Conn, P.J. and Pin, J. (1997). Pharmacology and functions of metabotropic glutamate receptors. </w:t>
      </w:r>
      <w:r>
        <w:rPr>
          <w:i/>
          <w:sz w:val="24"/>
        </w:rPr>
        <w:t>Annual Revised Phamacology and Toxicology</w:t>
      </w:r>
      <w:r>
        <w:rPr>
          <w:sz w:val="24"/>
        </w:rPr>
        <w:t>, 37: 205-237.</w:t>
      </w:r>
    </w:p>
    <w:p>
      <w:pPr>
        <w:pStyle w:val="BodyText"/>
        <w:spacing w:before="1"/>
      </w:pPr>
    </w:p>
    <w:p>
      <w:pPr>
        <w:pStyle w:val="BodyText"/>
        <w:ind w:left="681" w:right="287"/>
        <w:jc w:val="both"/>
      </w:pPr>
      <w:r>
        <w:rPr/>
        <w:t>Cooper, E.C., Harrington, E., Jan, Y.N. and Jan, L.Y. (2001). M Channel KCNQ2 subunits are localizedto key sites for control of neuronal network oscillations and synchronization in mouse brain. </w:t>
      </w:r>
      <w:r>
        <w:rPr>
          <w:i/>
        </w:rPr>
        <w:t>Journal of Neuroscience</w:t>
      </w:r>
      <w:r>
        <w:rPr/>
        <w:t>, 21: 9529-9540.</w:t>
      </w:r>
    </w:p>
    <w:p>
      <w:pPr>
        <w:pStyle w:val="BodyText"/>
        <w:spacing w:before="1"/>
      </w:pPr>
    </w:p>
    <w:p>
      <w:pPr>
        <w:spacing w:line="242" w:lineRule="auto" w:before="0"/>
        <w:ind w:left="681" w:right="283" w:firstLine="0"/>
        <w:jc w:val="both"/>
        <w:rPr>
          <w:sz w:val="24"/>
        </w:rPr>
      </w:pPr>
      <w:r>
        <w:rPr>
          <w:sz w:val="24"/>
        </w:rPr>
        <w:t>Corbett, J.R., Wright, K. and Bailie, A.C. (1984). </w:t>
      </w:r>
      <w:r>
        <w:rPr>
          <w:i/>
          <w:sz w:val="24"/>
        </w:rPr>
        <w:t>The Biochemical Mode of Action of Pesticides</w:t>
      </w:r>
      <w:r>
        <w:rPr>
          <w:sz w:val="24"/>
        </w:rPr>
        <w:t>. 2</w:t>
      </w:r>
      <w:r>
        <w:rPr>
          <w:sz w:val="24"/>
          <w:vertAlign w:val="superscript"/>
        </w:rPr>
        <w:t>nd</w:t>
      </w:r>
      <w:r>
        <w:rPr>
          <w:sz w:val="24"/>
          <w:vertAlign w:val="baseline"/>
        </w:rPr>
        <w:t> Edition. Academic Press, London.</w:t>
      </w:r>
    </w:p>
    <w:p>
      <w:pPr>
        <w:spacing w:line="240" w:lineRule="auto" w:before="273"/>
        <w:ind w:left="681" w:right="280" w:firstLine="0"/>
        <w:jc w:val="both"/>
        <w:rPr>
          <w:sz w:val="24"/>
        </w:rPr>
      </w:pPr>
      <w:r>
        <w:rPr>
          <w:sz w:val="24"/>
        </w:rPr>
        <w:t>Cosford, N.D.P.;</w:t>
      </w:r>
      <w:r>
        <w:rPr>
          <w:spacing w:val="-7"/>
          <w:sz w:val="24"/>
        </w:rPr>
        <w:t> </w:t>
      </w:r>
      <w:r>
        <w:rPr>
          <w:sz w:val="24"/>
        </w:rPr>
        <w:t>Meinke, P.T.;</w:t>
      </w:r>
      <w:r>
        <w:rPr>
          <w:spacing w:val="-7"/>
          <w:sz w:val="24"/>
        </w:rPr>
        <w:t> </w:t>
      </w:r>
      <w:r>
        <w:rPr>
          <w:sz w:val="24"/>
        </w:rPr>
        <w:t>Stauderman, K.A.;</w:t>
      </w:r>
      <w:r>
        <w:rPr>
          <w:spacing w:val="-2"/>
          <w:sz w:val="24"/>
        </w:rPr>
        <w:t> </w:t>
      </w:r>
      <w:r>
        <w:rPr>
          <w:sz w:val="24"/>
        </w:rPr>
        <w:t>Hess, S.D.</w:t>
      </w:r>
      <w:r>
        <w:rPr>
          <w:spacing w:val="-1"/>
          <w:sz w:val="24"/>
        </w:rPr>
        <w:t> </w:t>
      </w:r>
      <w:r>
        <w:rPr>
          <w:sz w:val="24"/>
        </w:rPr>
        <w:t>(2002). Recent advances in the modulation</w:t>
      </w:r>
      <w:r>
        <w:rPr>
          <w:spacing w:val="-2"/>
          <w:sz w:val="24"/>
        </w:rPr>
        <w:t> </w:t>
      </w:r>
      <w:r>
        <w:rPr>
          <w:sz w:val="24"/>
        </w:rPr>
        <w:t>of</w:t>
      </w:r>
      <w:r>
        <w:rPr>
          <w:spacing w:val="-1"/>
          <w:sz w:val="24"/>
        </w:rPr>
        <w:t> </w:t>
      </w:r>
      <w:r>
        <w:rPr>
          <w:sz w:val="24"/>
        </w:rPr>
        <w:t>voltage-gated ion</w:t>
      </w:r>
      <w:r>
        <w:rPr>
          <w:spacing w:val="-2"/>
          <w:sz w:val="24"/>
        </w:rPr>
        <w:t> </w:t>
      </w:r>
      <w:r>
        <w:rPr>
          <w:sz w:val="24"/>
        </w:rPr>
        <w:t>channels for the treatment of</w:t>
      </w:r>
      <w:r>
        <w:rPr>
          <w:spacing w:val="-5"/>
          <w:sz w:val="24"/>
        </w:rPr>
        <w:t> </w:t>
      </w:r>
      <w:r>
        <w:rPr>
          <w:sz w:val="24"/>
        </w:rPr>
        <w:t>epilepsy. </w:t>
      </w:r>
      <w:r>
        <w:rPr>
          <w:i/>
          <w:sz w:val="24"/>
        </w:rPr>
        <w:t>Current Drug Target on CNS and Neurological Disorder, 1</w:t>
      </w:r>
      <w:r>
        <w:rPr>
          <w:sz w:val="24"/>
        </w:rPr>
        <w:t>: 81-104.</w:t>
      </w:r>
    </w:p>
    <w:p>
      <w:pPr>
        <w:pStyle w:val="BodyText"/>
      </w:pPr>
    </w:p>
    <w:p>
      <w:pPr>
        <w:pStyle w:val="BodyText"/>
        <w:ind w:left="681" w:right="279"/>
        <w:jc w:val="both"/>
      </w:pPr>
      <w:r>
        <w:rPr/>
        <w:t>Cox JJ, Reimann F, Nicholas AK, Thornton G, Roberts E, Springell K, Karbani G, Jafri H, Mannan J, Raashid Y, Al-Gazali L, Hamamy H, Valente EM, Gorman S,Williams R, McHale DP,Wood JN, Gribble FM &amp;Woods CG (2006). An SCN9A channelopathy causes congenital inability to experience pain. </w:t>
      </w:r>
      <w:r>
        <w:rPr>
          <w:i/>
        </w:rPr>
        <w:t>Nature,</w:t>
      </w:r>
      <w:r>
        <w:rPr>
          <w:i/>
          <w:spacing w:val="40"/>
        </w:rPr>
        <w:t> </w:t>
      </w:r>
      <w:r>
        <w:rPr/>
        <w:t>444: 894–898.</w:t>
      </w:r>
    </w:p>
    <w:p>
      <w:pPr>
        <w:pStyle w:val="BodyText"/>
        <w:spacing w:before="274"/>
        <w:ind w:left="681" w:right="274"/>
        <w:jc w:val="both"/>
      </w:pPr>
      <w:r>
        <w:rPr/>
        <w:t>Curtis, J.L. and Jermaine, D.M. (2002). Sleep Disorders. In: </w:t>
      </w:r>
      <w:r>
        <w:rPr>
          <w:i/>
        </w:rPr>
        <w:t>Pharmacotherapy</w:t>
      </w:r>
      <w:r>
        <w:rPr/>
        <w:t>. A Physiological Approach, 5</w:t>
      </w:r>
      <w:r>
        <w:rPr>
          <w:vertAlign w:val="superscript"/>
        </w:rPr>
        <w:t>th</w:t>
      </w:r>
      <w:r>
        <w:rPr>
          <w:vertAlign w:val="baseline"/>
        </w:rPr>
        <w:t> edition, Dipiro, J.T., Talbert, R.L., Yee, G.C., Matzke, G.R., Wells, B.G. and Posey, L.M. (eds). McGraw-Hill, New York, pp. 1323-1333.</w:t>
      </w:r>
    </w:p>
    <w:p>
      <w:pPr>
        <w:spacing w:after="0"/>
        <w:jc w:val="both"/>
        <w:sectPr>
          <w:pgSz w:w="12240" w:h="15840"/>
          <w:pgMar w:header="0" w:footer="1066" w:top="1360" w:bottom="1260" w:left="1480" w:right="1160"/>
        </w:sectPr>
      </w:pPr>
    </w:p>
    <w:p>
      <w:pPr>
        <w:pStyle w:val="BodyText"/>
        <w:spacing w:line="237" w:lineRule="auto" w:before="74"/>
        <w:ind w:left="681" w:right="277"/>
        <w:jc w:val="both"/>
      </w:pPr>
      <w:r>
        <w:rPr/>
        <w:t>DeCurtis, M. and Avanzini, G. (2001). Interictal</w:t>
      </w:r>
      <w:r>
        <w:rPr>
          <w:spacing w:val="-2"/>
        </w:rPr>
        <w:t> </w:t>
      </w:r>
      <w:r>
        <w:rPr/>
        <w:t>Spikes in Focal</w:t>
      </w:r>
      <w:r>
        <w:rPr>
          <w:spacing w:val="-2"/>
        </w:rPr>
        <w:t> </w:t>
      </w:r>
      <w:r>
        <w:rPr/>
        <w:t>Epileptogesis. </w:t>
      </w:r>
      <w:r>
        <w:rPr>
          <w:i/>
        </w:rPr>
        <w:t>Progress Neurobiology, </w:t>
      </w:r>
      <w:r>
        <w:rPr/>
        <w:t>63(5): 541-567.</w:t>
      </w:r>
    </w:p>
    <w:p>
      <w:pPr>
        <w:pStyle w:val="BodyText"/>
        <w:spacing w:before="1"/>
      </w:pPr>
    </w:p>
    <w:p>
      <w:pPr>
        <w:spacing w:line="240" w:lineRule="auto" w:before="0"/>
        <w:ind w:left="681" w:right="283" w:firstLine="0"/>
        <w:jc w:val="both"/>
        <w:rPr>
          <w:sz w:val="24"/>
        </w:rPr>
      </w:pPr>
      <w:r>
        <w:rPr>
          <w:sz w:val="24"/>
        </w:rPr>
        <w:t>Dekker, J., Ty, M. and Strichartz, G.R. (2008). Principles of Cellular Excitability and Electrochemical Transmission. In: </w:t>
      </w:r>
      <w:r>
        <w:rPr>
          <w:i/>
          <w:sz w:val="24"/>
        </w:rPr>
        <w:t>Principles of Pharmmacology, the Pathophysiologic Basis of Drug Therapy, </w:t>
      </w:r>
      <w:r>
        <w:rPr>
          <w:sz w:val="24"/>
        </w:rPr>
        <w:t>2</w:t>
      </w:r>
      <w:r>
        <w:rPr>
          <w:sz w:val="24"/>
          <w:vertAlign w:val="superscript"/>
        </w:rPr>
        <w:t>nd</w:t>
      </w:r>
      <w:r>
        <w:rPr>
          <w:sz w:val="24"/>
          <w:vertAlign w:val="baseline"/>
        </w:rPr>
        <w:t> edition, Golan, D.E., Tashjian, A.H., Armstrong, E.J. and Armstrong, A.W. (eds). Lippincott Williams and Wilkins, Baltimore, pp. 79-89.</w:t>
      </w:r>
    </w:p>
    <w:p>
      <w:pPr>
        <w:pStyle w:val="BodyText"/>
        <w:spacing w:before="3"/>
      </w:pPr>
    </w:p>
    <w:p>
      <w:pPr>
        <w:pStyle w:val="BodyText"/>
        <w:ind w:left="681" w:right="277"/>
        <w:jc w:val="both"/>
      </w:pPr>
      <w:r>
        <w:rPr/>
        <w:t>DeSarro, A., Cecchetti, V., Fravolin., Naccari, F., Tabarrini, O. and DeSarro, G. (1999). Effects of novel 6-defluroquinolones and classic quinolones on Pentylenetetrazole- induced seizures in mice. </w:t>
      </w:r>
      <w:r>
        <w:rPr>
          <w:i/>
        </w:rPr>
        <w:t>Antimicrobial agents and Chemotherapy</w:t>
      </w:r>
      <w:r>
        <w:rPr/>
        <w:t>, 43: 1729-1736.</w:t>
      </w:r>
    </w:p>
    <w:p>
      <w:pPr>
        <w:pStyle w:val="BodyText"/>
        <w:spacing w:before="1"/>
      </w:pPr>
    </w:p>
    <w:p>
      <w:pPr>
        <w:pStyle w:val="BodyText"/>
        <w:ind w:left="681" w:right="276"/>
        <w:jc w:val="both"/>
      </w:pPr>
      <w:r>
        <w:rPr/>
        <w:t>Dhir, A., Naida, P.S. and Kulkarni, S.K. (2007). Neuroprotective effect of nimesulide, a preferencial COX-2 inhibitor against pentylenetetrazole PTZ-induced chemical parameters in mice. </w:t>
      </w:r>
      <w:r>
        <w:rPr>
          <w:i/>
        </w:rPr>
        <w:t>Seizure</w:t>
      </w:r>
      <w:r>
        <w:rPr/>
        <w:t>, 16: 691-697.</w:t>
      </w:r>
    </w:p>
    <w:p>
      <w:pPr>
        <w:pStyle w:val="BodyText"/>
        <w:spacing w:before="3"/>
      </w:pPr>
    </w:p>
    <w:p>
      <w:pPr>
        <w:pStyle w:val="BodyText"/>
        <w:spacing w:line="237" w:lineRule="auto"/>
        <w:ind w:left="681" w:right="282"/>
        <w:jc w:val="both"/>
      </w:pPr>
      <w:r>
        <w:rPr/>
        <w:t>Dib-Hajj, S.D., Black, J.A. and Waxman, S.G. (2009). Voltage-Gated Sodium Channels: Therapeutic Targets for Pain. </w:t>
      </w:r>
      <w:r>
        <w:rPr>
          <w:i/>
        </w:rPr>
        <w:t>Pain Medicine, </w:t>
      </w:r>
      <w:r>
        <w:rPr/>
        <w:t>10(7): 1260-1269.</w:t>
      </w:r>
    </w:p>
    <w:p>
      <w:pPr>
        <w:pStyle w:val="BodyText"/>
        <w:spacing w:before="1"/>
      </w:pPr>
    </w:p>
    <w:p>
      <w:pPr>
        <w:pStyle w:val="BodyText"/>
        <w:ind w:left="681"/>
        <w:jc w:val="both"/>
      </w:pPr>
      <w:r>
        <w:rPr/>
        <w:t>Dingledine,</w:t>
      </w:r>
      <w:r>
        <w:rPr>
          <w:spacing w:val="17"/>
        </w:rPr>
        <w:t> </w:t>
      </w:r>
      <w:r>
        <w:rPr/>
        <w:t>R.,</w:t>
      </w:r>
      <w:r>
        <w:rPr>
          <w:spacing w:val="20"/>
        </w:rPr>
        <w:t> </w:t>
      </w:r>
      <w:r>
        <w:rPr/>
        <w:t>Borges,</w:t>
      </w:r>
      <w:r>
        <w:rPr>
          <w:spacing w:val="20"/>
        </w:rPr>
        <w:t> </w:t>
      </w:r>
      <w:r>
        <w:rPr/>
        <w:t>K.</w:t>
      </w:r>
      <w:r>
        <w:rPr>
          <w:spacing w:val="20"/>
        </w:rPr>
        <w:t> </w:t>
      </w:r>
      <w:r>
        <w:rPr/>
        <w:t>and</w:t>
      </w:r>
      <w:r>
        <w:rPr>
          <w:spacing w:val="18"/>
        </w:rPr>
        <w:t> </w:t>
      </w:r>
      <w:r>
        <w:rPr/>
        <w:t>Bowie,</w:t>
      </w:r>
      <w:r>
        <w:rPr>
          <w:spacing w:val="20"/>
        </w:rPr>
        <w:t> </w:t>
      </w:r>
      <w:r>
        <w:rPr/>
        <w:t>D.</w:t>
      </w:r>
      <w:r>
        <w:rPr>
          <w:spacing w:val="20"/>
        </w:rPr>
        <w:t> </w:t>
      </w:r>
      <w:r>
        <w:rPr/>
        <w:t>(1999).</w:t>
      </w:r>
      <w:r>
        <w:rPr>
          <w:spacing w:val="20"/>
        </w:rPr>
        <w:t> </w:t>
      </w:r>
      <w:r>
        <w:rPr/>
        <w:t>The</w:t>
      </w:r>
      <w:r>
        <w:rPr>
          <w:spacing w:val="16"/>
        </w:rPr>
        <w:t> </w:t>
      </w:r>
      <w:r>
        <w:rPr/>
        <w:t>glutamate</w:t>
      </w:r>
      <w:r>
        <w:rPr>
          <w:spacing w:val="17"/>
        </w:rPr>
        <w:t> </w:t>
      </w:r>
      <w:r>
        <w:rPr/>
        <w:t>receptor</w:t>
      </w:r>
      <w:r>
        <w:rPr>
          <w:spacing w:val="19"/>
        </w:rPr>
        <w:t> </w:t>
      </w:r>
      <w:r>
        <w:rPr/>
        <w:t>ion</w:t>
      </w:r>
      <w:r>
        <w:rPr>
          <w:spacing w:val="14"/>
        </w:rPr>
        <w:t> </w:t>
      </w:r>
      <w:r>
        <w:rPr>
          <w:spacing w:val="-2"/>
        </w:rPr>
        <w:t>channels.</w:t>
      </w:r>
    </w:p>
    <w:p>
      <w:pPr>
        <w:spacing w:before="2"/>
        <w:ind w:left="681" w:right="0" w:firstLine="0"/>
        <w:jc w:val="both"/>
        <w:rPr>
          <w:sz w:val="24"/>
        </w:rPr>
      </w:pPr>
      <w:r>
        <w:rPr>
          <w:i/>
          <w:sz w:val="24"/>
        </w:rPr>
        <w:t>Pharmacology</w:t>
      </w:r>
      <w:r>
        <w:rPr>
          <w:i/>
          <w:spacing w:val="-2"/>
          <w:sz w:val="24"/>
        </w:rPr>
        <w:t> </w:t>
      </w:r>
      <w:r>
        <w:rPr>
          <w:i/>
          <w:sz w:val="24"/>
        </w:rPr>
        <w:t>Review</w:t>
      </w:r>
      <w:r>
        <w:rPr>
          <w:sz w:val="24"/>
        </w:rPr>
        <w:t>, 51: 7-</w:t>
      </w:r>
      <w:r>
        <w:rPr>
          <w:spacing w:val="-5"/>
          <w:sz w:val="24"/>
        </w:rPr>
        <w:t>61.</w:t>
      </w:r>
    </w:p>
    <w:p>
      <w:pPr>
        <w:pStyle w:val="BodyText"/>
        <w:spacing w:before="3"/>
      </w:pPr>
    </w:p>
    <w:p>
      <w:pPr>
        <w:pStyle w:val="BodyText"/>
        <w:spacing w:line="237" w:lineRule="auto"/>
        <w:ind w:left="681" w:right="270"/>
        <w:jc w:val="both"/>
      </w:pPr>
      <w:r>
        <w:rPr/>
        <w:t>Elaine, A. and Michael, P.B. (2007). Excitability Constraints on Voltage-Gated Sodium Channels. </w:t>
      </w:r>
      <w:r>
        <w:rPr>
          <w:i/>
        </w:rPr>
        <w:t>PLOS Computational Biology, </w:t>
      </w:r>
      <w:r>
        <w:rPr/>
        <w:t>3(9): 1751-1760.</w:t>
      </w:r>
    </w:p>
    <w:p>
      <w:pPr>
        <w:pStyle w:val="BodyText"/>
        <w:spacing w:before="1"/>
      </w:pPr>
    </w:p>
    <w:p>
      <w:pPr>
        <w:pStyle w:val="BodyText"/>
        <w:ind w:left="681" w:right="273"/>
        <w:jc w:val="both"/>
      </w:pPr>
      <w:r>
        <w:rPr/>
        <w:t>Ertel, E.A., Campbell, K.P., Harpold, M.M., Hofmann, F., Mori, Y., Perez-Reyes, E., Schwartz, A. Snutch, T.P., Tanabe, T. and Birnbauma, L. (2000). Nomenclature of Voltage-Gated Calcium Channels. </w:t>
      </w:r>
      <w:r>
        <w:rPr>
          <w:i/>
        </w:rPr>
        <w:t>Neuron, </w:t>
      </w:r>
      <w:r>
        <w:rPr/>
        <w:t>25: 533-535.</w:t>
      </w:r>
    </w:p>
    <w:p>
      <w:pPr>
        <w:pStyle w:val="BodyText"/>
      </w:pPr>
    </w:p>
    <w:p>
      <w:pPr>
        <w:spacing w:line="242" w:lineRule="auto" w:before="0"/>
        <w:ind w:left="681" w:right="285" w:firstLine="0"/>
        <w:jc w:val="both"/>
        <w:rPr>
          <w:sz w:val="24"/>
        </w:rPr>
      </w:pPr>
      <w:r>
        <w:rPr>
          <w:sz w:val="24"/>
        </w:rPr>
        <w:t>Evans, W.C. (1996). </w:t>
      </w:r>
      <w:r>
        <w:rPr>
          <w:i/>
          <w:sz w:val="24"/>
        </w:rPr>
        <w:t>Trease and Evans Pharmacognosy </w:t>
      </w:r>
      <w:r>
        <w:rPr>
          <w:sz w:val="24"/>
        </w:rPr>
        <w:t>14</w:t>
      </w:r>
      <w:r>
        <w:rPr>
          <w:sz w:val="24"/>
          <w:vertAlign w:val="superscript"/>
        </w:rPr>
        <w:t>th</w:t>
      </w:r>
      <w:r>
        <w:rPr>
          <w:sz w:val="24"/>
          <w:vertAlign w:val="baseline"/>
        </w:rPr>
        <w:t> ed. London: Saunders, pp. </w:t>
      </w:r>
      <w:r>
        <w:rPr>
          <w:spacing w:val="-4"/>
          <w:sz w:val="24"/>
          <w:vertAlign w:val="baseline"/>
        </w:rPr>
        <w:t>780.</w:t>
      </w:r>
    </w:p>
    <w:p>
      <w:pPr>
        <w:pStyle w:val="BodyText"/>
        <w:spacing w:before="273"/>
        <w:ind w:left="681" w:right="280"/>
        <w:jc w:val="both"/>
      </w:pPr>
      <w:r>
        <w:rPr/>
        <w:t>Feinfeld, D.A., Barqouthi, H., Niaz, Q. and Carvounis, C.P. (2002). Massive and disproportionate elevation of blood urea nitrogen in acute azotemia. </w:t>
      </w:r>
      <w:r>
        <w:rPr>
          <w:i/>
        </w:rPr>
        <w:t>International Urology and Nephrology, </w:t>
      </w:r>
      <w:r>
        <w:rPr/>
        <w:t>34 (1): 143-145.</w:t>
      </w:r>
    </w:p>
    <w:p>
      <w:pPr>
        <w:pStyle w:val="BodyText"/>
        <w:spacing w:before="3"/>
      </w:pPr>
    </w:p>
    <w:p>
      <w:pPr>
        <w:pStyle w:val="BodyText"/>
        <w:spacing w:line="237" w:lineRule="auto"/>
        <w:ind w:left="681" w:right="286"/>
        <w:jc w:val="both"/>
      </w:pPr>
      <w:r>
        <w:rPr/>
        <w:t>File, S. and Pellow, S. (1985). The effect of triazolobenzodiazepines in two animal tests of anxiety and on the hole-board. </w:t>
      </w:r>
      <w:r>
        <w:rPr>
          <w:i/>
        </w:rPr>
        <w:t>British Journal of Pharmacology</w:t>
      </w:r>
      <w:r>
        <w:rPr/>
        <w:t>, 86: 729-735.</w:t>
      </w:r>
    </w:p>
    <w:p>
      <w:pPr>
        <w:pStyle w:val="BodyText"/>
        <w:spacing w:before="1"/>
      </w:pPr>
    </w:p>
    <w:p>
      <w:pPr>
        <w:pStyle w:val="BodyText"/>
        <w:spacing w:line="242" w:lineRule="auto"/>
        <w:ind w:left="681" w:right="274"/>
        <w:jc w:val="both"/>
      </w:pPr>
      <w:r>
        <w:rPr/>
        <w:t>File, S. and Wardill, A.G. (1975). Validity of head-dipping as a measure of exploratory modified hole-board. </w:t>
      </w:r>
      <w:r>
        <w:rPr>
          <w:i/>
        </w:rPr>
        <w:t>Psychopharmacology</w:t>
      </w:r>
      <w:r>
        <w:rPr/>
        <w:t>. 53-59.</w:t>
      </w:r>
    </w:p>
    <w:p>
      <w:pPr>
        <w:pStyle w:val="BodyText"/>
        <w:spacing w:before="273"/>
        <w:ind w:left="681" w:right="272"/>
        <w:jc w:val="both"/>
      </w:pPr>
      <w:r>
        <w:rPr/>
        <w:t>Fleidervish, I.A., Friedman, A. and Gutnick, M.J. (1996). Slow inactivation of Na+ current and slow cumulative spike adaptation in mouse and guinea-pig neocortical neurones in slices. </w:t>
      </w:r>
      <w:r>
        <w:rPr>
          <w:i/>
        </w:rPr>
        <w:t>Journal of Physiology</w:t>
      </w:r>
      <w:r>
        <w:rPr/>
        <w:t>, 493(1): 83–97.</w:t>
      </w:r>
    </w:p>
    <w:p>
      <w:pPr>
        <w:spacing w:after="0"/>
        <w:jc w:val="both"/>
        <w:sectPr>
          <w:pgSz w:w="12240" w:h="15840"/>
          <w:pgMar w:header="0" w:footer="1066" w:top="1360" w:bottom="1260" w:left="1480" w:right="1160"/>
        </w:sectPr>
      </w:pPr>
    </w:p>
    <w:p>
      <w:pPr>
        <w:pStyle w:val="BodyText"/>
        <w:spacing w:line="237" w:lineRule="auto" w:before="74"/>
        <w:ind w:left="681" w:right="283"/>
        <w:jc w:val="both"/>
      </w:pPr>
      <w:r>
        <w:rPr/>
        <w:t>Fujimori, H. (1965). Potentiation</w:t>
      </w:r>
      <w:r>
        <w:rPr>
          <w:spacing w:val="-2"/>
        </w:rPr>
        <w:t> </w:t>
      </w:r>
      <w:r>
        <w:rPr/>
        <w:t>of</w:t>
      </w:r>
      <w:r>
        <w:rPr>
          <w:spacing w:val="-1"/>
        </w:rPr>
        <w:t> </w:t>
      </w:r>
      <w:r>
        <w:rPr/>
        <w:t>barbital</w:t>
      </w:r>
      <w:r>
        <w:rPr>
          <w:spacing w:val="-2"/>
        </w:rPr>
        <w:t> </w:t>
      </w:r>
      <w:r>
        <w:rPr/>
        <w:t>hypnosis as an</w:t>
      </w:r>
      <w:r>
        <w:rPr>
          <w:spacing w:val="-2"/>
        </w:rPr>
        <w:t> </w:t>
      </w:r>
      <w:r>
        <w:rPr/>
        <w:t>evaluation method for central nervous system depressant. </w:t>
      </w:r>
      <w:r>
        <w:rPr>
          <w:i/>
        </w:rPr>
        <w:t>Psychopharmacology</w:t>
      </w:r>
      <w:r>
        <w:rPr/>
        <w:t>, 7: 374-377.</w:t>
      </w:r>
    </w:p>
    <w:p>
      <w:pPr>
        <w:pStyle w:val="BodyText"/>
        <w:spacing w:before="1"/>
      </w:pPr>
    </w:p>
    <w:p>
      <w:pPr>
        <w:pStyle w:val="BodyText"/>
        <w:ind w:left="681" w:right="276"/>
        <w:jc w:val="both"/>
      </w:pPr>
      <w:r>
        <w:rPr/>
        <w:t>Gerber, U. and Gahwiler, B.H. (1994). Modulalation of ionic currents by metabotropic glutamate receptors. </w:t>
      </w:r>
      <w:r>
        <w:rPr>
          <w:i/>
        </w:rPr>
        <w:t>In</w:t>
      </w:r>
      <w:r>
        <w:rPr/>
        <w:t>: Conn, P.J., Patel, J. (Eds). </w:t>
      </w:r>
      <w:r>
        <w:rPr>
          <w:i/>
        </w:rPr>
        <w:t>The Metabotropic Glutamate Receptors</w:t>
      </w:r>
      <w:r>
        <w:rPr/>
        <w:t>. Totowa, N.J. Human Press, pp.125-146.</w:t>
      </w:r>
    </w:p>
    <w:p>
      <w:pPr>
        <w:pStyle w:val="BodyText"/>
        <w:spacing w:before="1"/>
      </w:pPr>
    </w:p>
    <w:p>
      <w:pPr>
        <w:pStyle w:val="BodyText"/>
        <w:spacing w:line="242" w:lineRule="auto"/>
        <w:ind w:left="681" w:right="278"/>
        <w:jc w:val="both"/>
      </w:pPr>
      <w:r>
        <w:rPr/>
        <w:t>Gerlach, A.C.</w:t>
      </w:r>
      <w:r>
        <w:rPr>
          <w:spacing w:val="-1"/>
        </w:rPr>
        <w:t> </w:t>
      </w:r>
      <w:r>
        <w:rPr/>
        <w:t>and Krajewski, J.L.</w:t>
      </w:r>
      <w:r>
        <w:rPr>
          <w:spacing w:val="-1"/>
        </w:rPr>
        <w:t> </w:t>
      </w:r>
      <w:r>
        <w:rPr/>
        <w:t>(2010).</w:t>
      </w:r>
      <w:r>
        <w:rPr>
          <w:spacing w:val="-1"/>
        </w:rPr>
        <w:t> </w:t>
      </w:r>
      <w:r>
        <w:rPr/>
        <w:t>Antiepileptic</w:t>
      </w:r>
      <w:r>
        <w:rPr>
          <w:spacing w:val="-3"/>
        </w:rPr>
        <w:t> </w:t>
      </w:r>
      <w:r>
        <w:rPr/>
        <w:t>drug</w:t>
      </w:r>
      <w:r>
        <w:rPr>
          <w:spacing w:val="-3"/>
        </w:rPr>
        <w:t> </w:t>
      </w:r>
      <w:r>
        <w:rPr/>
        <w:t>discovery</w:t>
      </w:r>
      <w:r>
        <w:rPr>
          <w:spacing w:val="-7"/>
        </w:rPr>
        <w:t> </w:t>
      </w:r>
      <w:r>
        <w:rPr/>
        <w:t>and</w:t>
      </w:r>
      <w:r>
        <w:rPr>
          <w:spacing w:val="-3"/>
        </w:rPr>
        <w:t> </w:t>
      </w:r>
      <w:r>
        <w:rPr/>
        <w:t>development: What have we learned and where are we going? </w:t>
      </w:r>
      <w:r>
        <w:rPr>
          <w:i/>
        </w:rPr>
        <w:t>Pharmaceuticals</w:t>
      </w:r>
      <w:r>
        <w:rPr/>
        <w:t>, 3: 2884-2899.</w:t>
      </w:r>
    </w:p>
    <w:p>
      <w:pPr>
        <w:pStyle w:val="BodyText"/>
        <w:spacing w:before="273"/>
        <w:ind w:left="681" w:right="270"/>
        <w:jc w:val="both"/>
      </w:pPr>
      <w:r>
        <w:rPr/>
        <w:t>Giarsa, J.L., McLean, H. and</w:t>
      </w:r>
      <w:r>
        <w:rPr>
          <w:spacing w:val="-1"/>
        </w:rPr>
        <w:t> </w:t>
      </w:r>
      <w:r>
        <w:rPr/>
        <w:t>Conger, P.</w:t>
      </w:r>
      <w:r>
        <w:rPr>
          <w:spacing w:val="-3"/>
        </w:rPr>
        <w:t> </w:t>
      </w:r>
      <w:r>
        <w:rPr/>
        <w:t>(1995). Postnatal</w:t>
      </w:r>
      <w:r>
        <w:rPr>
          <w:spacing w:val="-5"/>
        </w:rPr>
        <w:t> </w:t>
      </w:r>
      <w:r>
        <w:rPr/>
        <w:t>maturation</w:t>
      </w:r>
      <w:r>
        <w:rPr>
          <w:spacing w:val="-5"/>
        </w:rPr>
        <w:t> </w:t>
      </w:r>
      <w:r>
        <w:rPr/>
        <w:t>of</w:t>
      </w:r>
      <w:r>
        <w:rPr>
          <w:spacing w:val="-8"/>
        </w:rPr>
        <w:t> </w:t>
      </w:r>
      <w:r>
        <w:rPr/>
        <w:t>GABA-A</w:t>
      </w:r>
      <w:r>
        <w:rPr>
          <w:spacing w:val="-6"/>
        </w:rPr>
        <w:t> </w:t>
      </w:r>
      <w:r>
        <w:rPr/>
        <w:t>and</w:t>
      </w:r>
      <w:r>
        <w:rPr>
          <w:spacing w:val="-1"/>
        </w:rPr>
        <w:t> </w:t>
      </w:r>
      <w:r>
        <w:rPr/>
        <w:t>B- mediated inhibition in CA3 hippocampal region in the rat. </w:t>
      </w:r>
      <w:r>
        <w:rPr>
          <w:i/>
        </w:rPr>
        <w:t>Journal of Neurobiology</w:t>
      </w:r>
      <w:r>
        <w:rPr/>
        <w:t>, 26: </w:t>
      </w:r>
      <w:r>
        <w:rPr>
          <w:spacing w:val="-2"/>
        </w:rPr>
        <w:t>339-349.</w:t>
      </w:r>
    </w:p>
    <w:p>
      <w:pPr>
        <w:pStyle w:val="BodyText"/>
      </w:pPr>
    </w:p>
    <w:p>
      <w:pPr>
        <w:pStyle w:val="BodyText"/>
        <w:ind w:left="681" w:right="275"/>
        <w:jc w:val="both"/>
      </w:pPr>
      <w:r>
        <w:rPr/>
        <w:t>Gitto, R., Pagano, B., Citraro, R., Scicchitano, F., DeSarro, G. and Chimirri, A. (2009). Solution phase parallel synthesis and evaluation of anticonvulsant activity of N- substituted-3,4-dihydroisoquinoline-2(1H)-carboxamides. </w:t>
      </w:r>
      <w:r>
        <w:rPr>
          <w:i/>
        </w:rPr>
        <w:t>European Journal of</w:t>
      </w:r>
      <w:r>
        <w:rPr>
          <w:i/>
          <w:spacing w:val="40"/>
        </w:rPr>
        <w:t> </w:t>
      </w:r>
      <w:r>
        <w:rPr>
          <w:i/>
        </w:rPr>
        <w:t>Medicinal Chemistry</w:t>
      </w:r>
      <w:r>
        <w:rPr/>
        <w:t>, 44: 1349-1354.</w:t>
      </w:r>
    </w:p>
    <w:p>
      <w:pPr>
        <w:pStyle w:val="BodyText"/>
        <w:spacing w:before="275"/>
        <w:ind w:left="681" w:right="275"/>
        <w:jc w:val="both"/>
      </w:pPr>
      <w:r>
        <w:rPr/>
        <w:t>Glaum, S.R., Miller, R.J. (1994). Acute regulation of synaptic transmission by metabotropic glutamate receptors. </w:t>
      </w:r>
      <w:r>
        <w:rPr>
          <w:i/>
        </w:rPr>
        <w:t>In</w:t>
      </w:r>
      <w:r>
        <w:rPr/>
        <w:t>: Conn, P.J., Patel, J. (Eds). </w:t>
      </w:r>
      <w:r>
        <w:rPr>
          <w:i/>
        </w:rPr>
        <w:t>The Metabotropic Glutamate Receptors</w:t>
      </w:r>
      <w:r>
        <w:rPr/>
        <w:t>. Totowa, N.J. Humana Press, pp. 147-172.</w:t>
      </w:r>
    </w:p>
    <w:p>
      <w:pPr>
        <w:pStyle w:val="BodyText"/>
      </w:pPr>
    </w:p>
    <w:p>
      <w:pPr>
        <w:spacing w:line="242" w:lineRule="auto" w:before="0"/>
        <w:ind w:left="681" w:right="279" w:firstLine="0"/>
        <w:jc w:val="both"/>
        <w:rPr>
          <w:sz w:val="24"/>
        </w:rPr>
      </w:pPr>
      <w:r>
        <w:rPr>
          <w:sz w:val="24"/>
        </w:rPr>
        <w:t>Goldin AL (2003) Mechanisms of sodium channel inactivation. </w:t>
      </w:r>
      <w:r>
        <w:rPr>
          <w:i/>
          <w:sz w:val="24"/>
        </w:rPr>
        <w:t>Current Opinion in Neurobiology, </w:t>
      </w:r>
      <w:r>
        <w:rPr>
          <w:sz w:val="24"/>
        </w:rPr>
        <w:t>13</w:t>
      </w:r>
      <w:r>
        <w:rPr>
          <w:b/>
          <w:sz w:val="24"/>
        </w:rPr>
        <w:t>:</w:t>
      </w:r>
      <w:r>
        <w:rPr>
          <w:sz w:val="24"/>
        </w:rPr>
        <w:t>284–290.</w:t>
      </w:r>
    </w:p>
    <w:p>
      <w:pPr>
        <w:pStyle w:val="BodyText"/>
        <w:spacing w:before="273"/>
        <w:ind w:left="681"/>
      </w:pPr>
      <w:r>
        <w:rPr/>
        <w:t>Gottesmann,</w:t>
      </w:r>
      <w:r>
        <w:rPr>
          <w:spacing w:val="-1"/>
        </w:rPr>
        <w:t> </w:t>
      </w:r>
      <w:r>
        <w:rPr/>
        <w:t>C.</w:t>
      </w:r>
      <w:r>
        <w:rPr>
          <w:spacing w:val="-1"/>
        </w:rPr>
        <w:t> </w:t>
      </w:r>
      <w:r>
        <w:rPr/>
        <w:t>(2002).</w:t>
      </w:r>
      <w:r>
        <w:rPr>
          <w:spacing w:val="-6"/>
        </w:rPr>
        <w:t> </w:t>
      </w:r>
      <w:r>
        <w:rPr/>
        <w:t>GABA</w:t>
      </w:r>
      <w:r>
        <w:rPr>
          <w:spacing w:val="-3"/>
        </w:rPr>
        <w:t> </w:t>
      </w:r>
      <w:r>
        <w:rPr/>
        <w:t>mechanisms</w:t>
      </w:r>
      <w:r>
        <w:rPr>
          <w:spacing w:val="-5"/>
        </w:rPr>
        <w:t> </w:t>
      </w:r>
      <w:r>
        <w:rPr/>
        <w:t>and</w:t>
      </w:r>
      <w:r>
        <w:rPr>
          <w:spacing w:val="-3"/>
        </w:rPr>
        <w:t> </w:t>
      </w:r>
      <w:r>
        <w:rPr/>
        <w:t>sleep.</w:t>
      </w:r>
      <w:r>
        <w:rPr>
          <w:spacing w:val="6"/>
        </w:rPr>
        <w:t> </w:t>
      </w:r>
      <w:r>
        <w:rPr>
          <w:i/>
        </w:rPr>
        <w:t>Neuroscience, </w:t>
      </w:r>
      <w:r>
        <w:rPr/>
        <w:t>111:</w:t>
      </w:r>
      <w:r>
        <w:rPr>
          <w:spacing w:val="-2"/>
        </w:rPr>
        <w:t> </w:t>
      </w:r>
      <w:r>
        <w:rPr/>
        <w:t>231-</w:t>
      </w:r>
      <w:r>
        <w:rPr>
          <w:spacing w:val="-4"/>
        </w:rPr>
        <w:t>239.</w:t>
      </w:r>
    </w:p>
    <w:p>
      <w:pPr>
        <w:pStyle w:val="BodyText"/>
      </w:pPr>
    </w:p>
    <w:p>
      <w:pPr>
        <w:spacing w:line="240" w:lineRule="auto" w:before="1"/>
        <w:ind w:left="681" w:right="275" w:firstLine="0"/>
        <w:jc w:val="both"/>
        <w:rPr>
          <w:sz w:val="24"/>
        </w:rPr>
      </w:pPr>
      <w:r>
        <w:rPr>
          <w:sz w:val="24"/>
        </w:rPr>
        <w:t>Gupta, Y.K., Shirma, M. and Chaudhary, G. (2001). Antiepileptic activity of </w:t>
      </w:r>
      <w:r>
        <w:rPr>
          <w:i/>
          <w:sz w:val="24"/>
        </w:rPr>
        <w:t>Panax Ginseng </w:t>
      </w:r>
      <w:r>
        <w:rPr>
          <w:sz w:val="24"/>
        </w:rPr>
        <w:t>against pentylenetetrazole-induced kindling in rats. </w:t>
      </w:r>
      <w:r>
        <w:rPr>
          <w:i/>
          <w:sz w:val="24"/>
        </w:rPr>
        <w:t>Indian Journal of Pharmacology, </w:t>
      </w:r>
      <w:r>
        <w:rPr>
          <w:sz w:val="24"/>
        </w:rPr>
        <w:t>45(4): 502-506.</w:t>
      </w:r>
    </w:p>
    <w:p>
      <w:pPr>
        <w:pStyle w:val="BodyText"/>
        <w:spacing w:before="276"/>
        <w:ind w:left="681" w:right="282"/>
        <w:jc w:val="both"/>
      </w:pPr>
      <w:r>
        <w:rPr/>
        <w:t>Hamil, O.P., Marty, A., Neher, E., Sakmann, B. Sigworth, F. (1981). Improved patch clamp technique for high resolution current recordings from cells and cell free membranes. </w:t>
      </w:r>
      <w:r>
        <w:rPr>
          <w:i/>
        </w:rPr>
        <w:t>Pflugers Arch</w:t>
      </w:r>
      <w:r>
        <w:rPr/>
        <w:t>., 391: 85-100.</w:t>
      </w:r>
    </w:p>
    <w:p>
      <w:pPr>
        <w:pStyle w:val="BodyText"/>
      </w:pPr>
    </w:p>
    <w:p>
      <w:pPr>
        <w:pStyle w:val="BodyText"/>
        <w:ind w:left="681" w:right="275"/>
        <w:jc w:val="both"/>
      </w:pPr>
      <w:r>
        <w:rPr/>
        <w:t>Hargus, N.J., Merrick, E.C., Nigam, A., Kalmar, C.L., Baheti, A.R., Bertram, E.H. and Patel, M.K. (2011). Temporal</w:t>
      </w:r>
      <w:r>
        <w:rPr>
          <w:spacing w:val="-5"/>
        </w:rPr>
        <w:t> </w:t>
      </w:r>
      <w:r>
        <w:rPr/>
        <w:t>Lobe Epilepsy Induces Intrinsic Alterations in Na Channel Gating in Layer II Medial Entorhinal Cortex Neurons, </w:t>
      </w:r>
      <w:r>
        <w:rPr>
          <w:i/>
        </w:rPr>
        <w:t>Neurobiology Disorder</w:t>
      </w:r>
      <w:r>
        <w:rPr/>
        <w:t>, 41(2): </w:t>
      </w:r>
      <w:r>
        <w:rPr>
          <w:spacing w:val="-2"/>
        </w:rPr>
        <w:t>361–376.</w:t>
      </w:r>
    </w:p>
    <w:p>
      <w:pPr>
        <w:spacing w:before="274"/>
        <w:ind w:left="681" w:right="0" w:firstLine="0"/>
        <w:jc w:val="left"/>
        <w:rPr>
          <w:i/>
          <w:sz w:val="24"/>
        </w:rPr>
      </w:pPr>
      <w:r>
        <w:rPr>
          <w:sz w:val="24"/>
        </w:rPr>
        <w:t>Harris,</w:t>
      </w:r>
      <w:r>
        <w:rPr>
          <w:spacing w:val="27"/>
          <w:sz w:val="24"/>
        </w:rPr>
        <w:t> </w:t>
      </w:r>
      <w:r>
        <w:rPr>
          <w:sz w:val="24"/>
        </w:rPr>
        <w:t>E.H.</w:t>
      </w:r>
      <w:r>
        <w:rPr>
          <w:spacing w:val="23"/>
          <w:sz w:val="24"/>
        </w:rPr>
        <w:t> </w:t>
      </w:r>
      <w:r>
        <w:rPr>
          <w:sz w:val="24"/>
        </w:rPr>
        <w:t>(2005).</w:t>
      </w:r>
      <w:r>
        <w:rPr>
          <w:spacing w:val="30"/>
          <w:sz w:val="24"/>
        </w:rPr>
        <w:t> </w:t>
      </w:r>
      <w:r>
        <w:rPr>
          <w:sz w:val="24"/>
        </w:rPr>
        <w:t>Elevated</w:t>
      </w:r>
      <w:r>
        <w:rPr>
          <w:spacing w:val="31"/>
          <w:sz w:val="24"/>
        </w:rPr>
        <w:t> </w:t>
      </w:r>
      <w:r>
        <w:rPr>
          <w:sz w:val="24"/>
        </w:rPr>
        <w:t>liver</w:t>
      </w:r>
      <w:r>
        <w:rPr>
          <w:spacing w:val="33"/>
          <w:sz w:val="24"/>
        </w:rPr>
        <w:t> </w:t>
      </w:r>
      <w:r>
        <w:rPr>
          <w:sz w:val="24"/>
        </w:rPr>
        <w:t>function</w:t>
      </w:r>
      <w:r>
        <w:rPr>
          <w:spacing w:val="22"/>
          <w:sz w:val="24"/>
        </w:rPr>
        <w:t> </w:t>
      </w:r>
      <w:r>
        <w:rPr>
          <w:sz w:val="24"/>
        </w:rPr>
        <w:t>tests</w:t>
      </w:r>
      <w:r>
        <w:rPr>
          <w:spacing w:val="25"/>
          <w:sz w:val="24"/>
        </w:rPr>
        <w:t> </w:t>
      </w:r>
      <w:r>
        <w:rPr>
          <w:sz w:val="24"/>
        </w:rPr>
        <w:t>in</w:t>
      </w:r>
      <w:r>
        <w:rPr>
          <w:spacing w:val="22"/>
          <w:sz w:val="24"/>
        </w:rPr>
        <w:t> </w:t>
      </w:r>
      <w:r>
        <w:rPr>
          <w:sz w:val="24"/>
        </w:rPr>
        <w:t>type</w:t>
      </w:r>
      <w:r>
        <w:rPr>
          <w:spacing w:val="27"/>
          <w:sz w:val="24"/>
        </w:rPr>
        <w:t> </w:t>
      </w:r>
      <w:r>
        <w:rPr>
          <w:sz w:val="24"/>
        </w:rPr>
        <w:t>2</w:t>
      </w:r>
      <w:r>
        <w:rPr>
          <w:spacing w:val="26"/>
          <w:sz w:val="24"/>
        </w:rPr>
        <w:t> </w:t>
      </w:r>
      <w:r>
        <w:rPr>
          <w:sz w:val="24"/>
        </w:rPr>
        <w:t>diabetes.</w:t>
      </w:r>
      <w:r>
        <w:rPr>
          <w:spacing w:val="40"/>
          <w:sz w:val="24"/>
        </w:rPr>
        <w:t> </w:t>
      </w:r>
      <w:r>
        <w:rPr>
          <w:i/>
          <w:sz w:val="24"/>
        </w:rPr>
        <w:t>Clinical</w:t>
      </w:r>
      <w:r>
        <w:rPr>
          <w:i/>
          <w:spacing w:val="27"/>
          <w:sz w:val="24"/>
        </w:rPr>
        <w:t> </w:t>
      </w:r>
      <w:r>
        <w:rPr>
          <w:i/>
          <w:spacing w:val="-2"/>
          <w:sz w:val="24"/>
        </w:rPr>
        <w:t>Diabetes,</w:t>
      </w:r>
    </w:p>
    <w:p>
      <w:pPr>
        <w:pStyle w:val="BodyText"/>
        <w:spacing w:before="3"/>
        <w:ind w:left="681"/>
      </w:pPr>
      <w:r>
        <w:rPr/>
        <w:t>23(3):</w:t>
      </w:r>
      <w:r>
        <w:rPr>
          <w:spacing w:val="1"/>
        </w:rPr>
        <w:t> </w:t>
      </w:r>
      <w:r>
        <w:rPr/>
        <w:t>115-</w:t>
      </w:r>
      <w:r>
        <w:rPr>
          <w:spacing w:val="-4"/>
        </w:rPr>
        <w:t>119.</w:t>
      </w:r>
    </w:p>
    <w:p>
      <w:pPr>
        <w:spacing w:after="0"/>
        <w:sectPr>
          <w:pgSz w:w="12240" w:h="15840"/>
          <w:pgMar w:header="0" w:footer="1066" w:top="1360" w:bottom="1260" w:left="1480" w:right="1160"/>
        </w:sectPr>
      </w:pPr>
    </w:p>
    <w:p>
      <w:pPr>
        <w:spacing w:line="240" w:lineRule="auto" w:before="72"/>
        <w:ind w:left="681" w:right="275" w:firstLine="0"/>
        <w:jc w:val="both"/>
        <w:rPr>
          <w:sz w:val="24"/>
        </w:rPr>
      </w:pPr>
      <w:r>
        <w:rPr>
          <w:sz w:val="23"/>
        </w:rPr>
        <w:t>Hau-Jie, Y., Baranauskas, G. and Martina</w:t>
      </w:r>
      <w:r>
        <w:rPr>
          <w:sz w:val="16"/>
        </w:rPr>
        <w:t>, </w:t>
      </w:r>
      <w:r>
        <w:rPr>
          <w:sz w:val="18"/>
        </w:rPr>
        <w:t>M. </w:t>
      </w:r>
      <w:r>
        <w:rPr>
          <w:sz w:val="24"/>
        </w:rPr>
        <w:t>(2010) Flufenamic acid decreases neuronal excitability through modulation of voltage-gated sodium channel gating. </w:t>
      </w:r>
      <w:r>
        <w:rPr>
          <w:i/>
          <w:sz w:val="24"/>
        </w:rPr>
        <w:t>Journal of Physiology</w:t>
      </w:r>
      <w:r>
        <w:rPr>
          <w:sz w:val="24"/>
        </w:rPr>
        <w:t>, 588(20): 3869-3882.</w:t>
      </w:r>
    </w:p>
    <w:p>
      <w:pPr>
        <w:pStyle w:val="BodyText"/>
        <w:spacing w:before="1"/>
      </w:pPr>
    </w:p>
    <w:p>
      <w:pPr>
        <w:pStyle w:val="BodyText"/>
        <w:ind w:left="681" w:right="276"/>
        <w:jc w:val="both"/>
      </w:pPr>
      <w:r>
        <w:rPr/>
        <w:t>Heinemann, S.H., Terlau, H., St¨uhmer, W., Imoto, K. and Numa, S. (1992). Calcium channel characteristics conferred on the sodium channel by single mutations. </w:t>
      </w:r>
      <w:r>
        <w:rPr>
          <w:i/>
        </w:rPr>
        <w:t>Nature,</w:t>
      </w:r>
      <w:r>
        <w:rPr>
          <w:i/>
          <w:spacing w:val="40"/>
        </w:rPr>
        <w:t> </w:t>
      </w:r>
      <w:r>
        <w:rPr/>
        <w:t>356, 441–443.</w:t>
      </w:r>
    </w:p>
    <w:p>
      <w:pPr>
        <w:pStyle w:val="BodyText"/>
        <w:spacing w:before="2"/>
      </w:pPr>
    </w:p>
    <w:p>
      <w:pPr>
        <w:spacing w:line="237" w:lineRule="auto" w:before="0"/>
        <w:ind w:left="681" w:right="275" w:firstLine="0"/>
        <w:jc w:val="both"/>
        <w:rPr>
          <w:sz w:val="24"/>
        </w:rPr>
      </w:pPr>
      <w:r>
        <w:rPr>
          <w:sz w:val="24"/>
        </w:rPr>
        <w:t>Hille, B. (1975). Local anesthetics: hydrophilic and hydrophobic pathways for the drug- receptor reaction. </w:t>
      </w:r>
      <w:r>
        <w:rPr>
          <w:i/>
          <w:sz w:val="24"/>
        </w:rPr>
        <w:t>Journal of General Physiology, </w:t>
      </w:r>
      <w:r>
        <w:rPr>
          <w:sz w:val="24"/>
        </w:rPr>
        <w:t>69</w:t>
      </w:r>
      <w:r>
        <w:rPr>
          <w:b/>
          <w:sz w:val="24"/>
        </w:rPr>
        <w:t>:</w:t>
      </w:r>
      <w:r>
        <w:rPr>
          <w:sz w:val="24"/>
        </w:rPr>
        <w:t>497–515.</w:t>
      </w:r>
    </w:p>
    <w:p>
      <w:pPr>
        <w:pStyle w:val="BodyText"/>
        <w:spacing w:before="1"/>
      </w:pPr>
    </w:p>
    <w:p>
      <w:pPr>
        <w:pStyle w:val="BodyText"/>
        <w:ind w:left="681" w:right="280"/>
        <w:jc w:val="both"/>
      </w:pPr>
      <w:r>
        <w:rPr/>
        <w:t>Hondeghem, L.M. and Katzung, B.G. (1977). Time- and voltage-dependent interactions of antiarrhythmic drugs with cardiac sodium channels. </w:t>
      </w:r>
      <w:r>
        <w:rPr>
          <w:i/>
        </w:rPr>
        <w:t>Biochim Biophys Acta </w:t>
      </w:r>
      <w:r>
        <w:rPr/>
        <w:t>472: 373– </w:t>
      </w:r>
      <w:r>
        <w:rPr>
          <w:spacing w:val="-4"/>
        </w:rPr>
        <w:t>398.</w:t>
      </w:r>
    </w:p>
    <w:p>
      <w:pPr>
        <w:pStyle w:val="BodyText"/>
      </w:pPr>
    </w:p>
    <w:p>
      <w:pPr>
        <w:pStyle w:val="BodyText"/>
        <w:spacing w:before="1"/>
        <w:ind w:left="681" w:right="279"/>
        <w:jc w:val="both"/>
      </w:pPr>
      <w:r>
        <w:rPr/>
        <w:t>Hormuzdi, S.G., Filippov, M.A., Mitropoulou,</w:t>
      </w:r>
      <w:r>
        <w:rPr>
          <w:spacing w:val="-3"/>
        </w:rPr>
        <w:t> </w:t>
      </w:r>
      <w:r>
        <w:rPr/>
        <w:t>G.I., Monyer, H. and</w:t>
      </w:r>
      <w:r>
        <w:rPr>
          <w:spacing w:val="-1"/>
        </w:rPr>
        <w:t> </w:t>
      </w:r>
      <w:r>
        <w:rPr/>
        <w:t>bruzzone, R. (2004). Electrical synapses: a dynamic signalling system that shapes the activity of neuronal networks. </w:t>
      </w:r>
      <w:r>
        <w:rPr>
          <w:i/>
        </w:rPr>
        <w:t>Biochemisrty Biophysics Acta</w:t>
      </w:r>
      <w:r>
        <w:rPr/>
        <w:t>, 1662: 113-137.</w:t>
      </w:r>
    </w:p>
    <w:p>
      <w:pPr>
        <w:pStyle w:val="BodyText"/>
      </w:pPr>
    </w:p>
    <w:p>
      <w:pPr>
        <w:pStyle w:val="BodyText"/>
        <w:spacing w:line="242" w:lineRule="auto"/>
        <w:ind w:left="681" w:right="287"/>
        <w:jc w:val="both"/>
      </w:pPr>
      <w:r>
        <w:rPr/>
        <w:t>Horrom, B.W. and Lynes, T.E. (1962).</w:t>
      </w:r>
      <w:r>
        <w:rPr>
          <w:spacing w:val="-1"/>
        </w:rPr>
        <w:t> </w:t>
      </w:r>
      <w:r>
        <w:rPr/>
        <w:t>The anticonvulsant properties</w:t>
      </w:r>
      <w:r>
        <w:rPr>
          <w:spacing w:val="-1"/>
        </w:rPr>
        <w:t> </w:t>
      </w:r>
      <w:r>
        <w:rPr/>
        <w:t>of</w:t>
      </w:r>
      <w:r>
        <w:rPr>
          <w:spacing w:val="-6"/>
        </w:rPr>
        <w:t> </w:t>
      </w:r>
      <w:r>
        <w:rPr/>
        <w:t>some substituted benzamides. </w:t>
      </w:r>
      <w:r>
        <w:rPr>
          <w:i/>
        </w:rPr>
        <w:t>Federation Proc</w:t>
      </w:r>
      <w:r>
        <w:rPr/>
        <w:t>., 6: 528-532.</w:t>
      </w:r>
    </w:p>
    <w:p>
      <w:pPr>
        <w:pStyle w:val="BodyText"/>
        <w:spacing w:before="274"/>
        <w:ind w:left="681" w:right="281"/>
        <w:jc w:val="both"/>
      </w:pPr>
      <w:r>
        <w:rPr/>
        <w:t>Idris, A.Y. (2008). Synthesis and Anticonvulsant Studies of 3-Anilinopropanamides and their</w:t>
      </w:r>
      <w:r>
        <w:rPr>
          <w:spacing w:val="-2"/>
        </w:rPr>
        <w:t> </w:t>
      </w:r>
      <w:r>
        <w:rPr/>
        <w:t>N-Benzyl</w:t>
      </w:r>
      <w:r>
        <w:rPr>
          <w:spacing w:val="-7"/>
        </w:rPr>
        <w:t> </w:t>
      </w:r>
      <w:r>
        <w:rPr/>
        <w:t>Derivatives.</w:t>
      </w:r>
      <w:r>
        <w:rPr>
          <w:spacing w:val="-1"/>
        </w:rPr>
        <w:t> </w:t>
      </w:r>
      <w:r>
        <w:rPr/>
        <w:t>Unpublished</w:t>
      </w:r>
      <w:r>
        <w:rPr>
          <w:spacing w:val="-3"/>
        </w:rPr>
        <w:t> </w:t>
      </w:r>
      <w:r>
        <w:rPr/>
        <w:t>Dissertation,</w:t>
      </w:r>
      <w:r>
        <w:rPr>
          <w:spacing w:val="-1"/>
        </w:rPr>
        <w:t> </w:t>
      </w:r>
      <w:r>
        <w:rPr/>
        <w:t>Department of</w:t>
      </w:r>
      <w:r>
        <w:rPr>
          <w:spacing w:val="-10"/>
        </w:rPr>
        <w:t> </w:t>
      </w:r>
      <w:r>
        <w:rPr/>
        <w:t>Pharmaceutical</w:t>
      </w:r>
      <w:r>
        <w:rPr>
          <w:spacing w:val="-7"/>
        </w:rPr>
        <w:t> </w:t>
      </w:r>
      <w:r>
        <w:rPr/>
        <w:t>and Medicinal Chemistry, Ahmadu Bello University, Zaria.</w:t>
      </w:r>
    </w:p>
    <w:p>
      <w:pPr>
        <w:spacing w:line="240" w:lineRule="auto" w:before="276"/>
        <w:ind w:left="681" w:right="281" w:firstLine="0"/>
        <w:jc w:val="both"/>
        <w:rPr>
          <w:sz w:val="24"/>
        </w:rPr>
      </w:pPr>
      <w:r>
        <w:rPr>
          <w:sz w:val="24"/>
        </w:rPr>
        <w:t>Idris, A.Y., Haruna, A.K., Sule, M.I., Yaro, A.H.,</w:t>
      </w:r>
      <w:r>
        <w:rPr>
          <w:spacing w:val="-1"/>
          <w:sz w:val="24"/>
        </w:rPr>
        <w:t> </w:t>
      </w:r>
      <w:r>
        <w:rPr>
          <w:sz w:val="24"/>
        </w:rPr>
        <w:t>Sallau, M.S. and Musa, A.M. (2008a). Synthesis and anticonvulsant studies of 3-anisidinopropanamides. </w:t>
      </w:r>
      <w:r>
        <w:rPr>
          <w:i/>
          <w:sz w:val="24"/>
        </w:rPr>
        <w:t>International Journal of Pure and Applied Sciences,</w:t>
      </w:r>
      <w:r>
        <w:rPr>
          <w:sz w:val="24"/>
        </w:rPr>
        <w:t>, 2(3): 132-140.</w:t>
      </w:r>
    </w:p>
    <w:p>
      <w:pPr>
        <w:pStyle w:val="BodyText"/>
      </w:pPr>
    </w:p>
    <w:p>
      <w:pPr>
        <w:spacing w:line="240" w:lineRule="auto" w:before="0"/>
        <w:ind w:left="681" w:right="279" w:firstLine="0"/>
        <w:jc w:val="both"/>
        <w:rPr>
          <w:sz w:val="24"/>
        </w:rPr>
      </w:pPr>
      <w:r>
        <w:rPr>
          <w:sz w:val="24"/>
        </w:rPr>
        <w:t>Idris, A.Y., Haruna, A.K., Sule, M.I., Yaro, A.H., Sallau, M.S. and Musa, A.M. (2008b). Synthesis and anticonvulsant studies of Chloro-3-anilinopropanamides. </w:t>
      </w:r>
      <w:r>
        <w:rPr>
          <w:i/>
          <w:sz w:val="24"/>
        </w:rPr>
        <w:t>Journal of Biological and Environmental Sciences for the Tropics</w:t>
      </w:r>
      <w:r>
        <w:rPr>
          <w:sz w:val="24"/>
        </w:rPr>
        <w:t>, 5(3): 168-176.</w:t>
      </w:r>
    </w:p>
    <w:p>
      <w:pPr>
        <w:pStyle w:val="BodyText"/>
        <w:spacing w:before="1"/>
      </w:pPr>
    </w:p>
    <w:p>
      <w:pPr>
        <w:spacing w:line="240" w:lineRule="auto" w:before="0"/>
        <w:ind w:left="681" w:right="276" w:firstLine="0"/>
        <w:jc w:val="both"/>
        <w:rPr>
          <w:sz w:val="24"/>
        </w:rPr>
      </w:pPr>
      <w:r>
        <w:rPr>
          <w:sz w:val="24"/>
        </w:rPr>
        <w:t>Idris, A.Y., Haruna, A.K., Sule, M.I., Yaro, A.H.,</w:t>
      </w:r>
      <w:r>
        <w:rPr>
          <w:spacing w:val="-1"/>
          <w:sz w:val="24"/>
        </w:rPr>
        <w:t> </w:t>
      </w:r>
      <w:r>
        <w:rPr>
          <w:sz w:val="24"/>
        </w:rPr>
        <w:t>Sallau, M.S. and Musa, A.M. (2008c). Synthesis and anticonvulsant studies of 3-toluidinopropanamides. </w:t>
      </w:r>
      <w:r>
        <w:rPr>
          <w:i/>
          <w:sz w:val="24"/>
        </w:rPr>
        <w:t>Nigerian Journal of Pharmaceutical Sciences</w:t>
      </w:r>
      <w:r>
        <w:rPr>
          <w:sz w:val="24"/>
        </w:rPr>
        <w:t>, 7(1): 93-107.</w:t>
      </w:r>
    </w:p>
    <w:p>
      <w:pPr>
        <w:pStyle w:val="BodyText"/>
      </w:pPr>
    </w:p>
    <w:p>
      <w:pPr>
        <w:pStyle w:val="BodyText"/>
        <w:ind w:left="681" w:right="282"/>
        <w:jc w:val="both"/>
      </w:pPr>
      <w:r>
        <w:rPr/>
        <w:t>Idris, A.Y., Sule, M.I. and Sallau, M.S. (2009). Synthesis and anticonvulsant studies of</w:t>
      </w:r>
      <w:r>
        <w:rPr>
          <w:spacing w:val="40"/>
        </w:rPr>
        <w:t> </w:t>
      </w:r>
      <w:r>
        <w:rPr/>
        <w:t>N-benzyl-3-anisidinopropanamides</w:t>
      </w:r>
      <w:r>
        <w:rPr>
          <w:spacing w:val="-14"/>
        </w:rPr>
        <w:t> </w:t>
      </w:r>
      <w:r>
        <w:rPr/>
        <w:t>(N-benzyl-3-[(methoxyphenyl)amino]propanamides). </w:t>
      </w:r>
      <w:r>
        <w:rPr>
          <w:i/>
        </w:rPr>
        <w:t>Nigerian Journal of Pharmaceutical Sciences</w:t>
      </w:r>
      <w:r>
        <w:rPr/>
        <w:t>, 8(1): 118-127.</w:t>
      </w:r>
    </w:p>
    <w:p>
      <w:pPr>
        <w:pStyle w:val="BodyText"/>
        <w:spacing w:before="2"/>
      </w:pPr>
    </w:p>
    <w:p>
      <w:pPr>
        <w:pStyle w:val="BodyText"/>
        <w:spacing w:line="237" w:lineRule="auto" w:before="1"/>
        <w:ind w:left="681" w:right="278"/>
        <w:jc w:val="both"/>
      </w:pPr>
      <w:r>
        <w:rPr/>
        <w:t>Inan, S.Y. and Buyukafsar, K. (2008). Antiepileptic effects of</w:t>
      </w:r>
      <w:r>
        <w:rPr>
          <w:spacing w:val="-4"/>
        </w:rPr>
        <w:t> </w:t>
      </w:r>
      <w:r>
        <w:rPr/>
        <w:t>two Rho-kinase inhibitors, Y-27632 and fusudil, in mice. </w:t>
      </w:r>
      <w:r>
        <w:rPr>
          <w:i/>
        </w:rPr>
        <w:t>British Journal of Pharmacology</w:t>
      </w:r>
      <w:r>
        <w:rPr/>
        <w:t>, 155: 44-51.</w:t>
      </w:r>
    </w:p>
    <w:p>
      <w:pPr>
        <w:spacing w:after="0" w:line="237" w:lineRule="auto"/>
        <w:jc w:val="both"/>
        <w:sectPr>
          <w:pgSz w:w="12240" w:h="15840"/>
          <w:pgMar w:header="0" w:footer="1066" w:top="1360" w:bottom="1260" w:left="1480" w:right="1160"/>
        </w:sectPr>
      </w:pPr>
    </w:p>
    <w:p>
      <w:pPr>
        <w:pStyle w:val="BodyText"/>
        <w:spacing w:line="237" w:lineRule="auto" w:before="74"/>
        <w:ind w:left="681" w:right="289"/>
        <w:jc w:val="both"/>
      </w:pPr>
      <w:r>
        <w:rPr/>
        <w:t>Jentsch, T.J., Stein, V. Weinreich, F. and Zdebik, A.A. (2002). Molecular structure and physiological function of chloride channels. </w:t>
      </w:r>
      <w:r>
        <w:rPr>
          <w:i/>
        </w:rPr>
        <w:t>Physiology Review</w:t>
      </w:r>
      <w:r>
        <w:rPr/>
        <w:t>, 82: 503–568.</w:t>
      </w:r>
    </w:p>
    <w:p>
      <w:pPr>
        <w:pStyle w:val="BodyText"/>
        <w:spacing w:before="1"/>
      </w:pPr>
    </w:p>
    <w:p>
      <w:pPr>
        <w:pStyle w:val="BodyText"/>
        <w:ind w:left="681"/>
        <w:jc w:val="both"/>
      </w:pPr>
      <w:r>
        <w:rPr/>
        <w:t>Jones,</w:t>
      </w:r>
      <w:r>
        <w:rPr>
          <w:spacing w:val="35"/>
        </w:rPr>
        <w:t> </w:t>
      </w:r>
      <w:r>
        <w:rPr/>
        <w:t>P.J.,</w:t>
      </w:r>
      <w:r>
        <w:rPr>
          <w:spacing w:val="38"/>
        </w:rPr>
        <w:t> </w:t>
      </w:r>
      <w:r>
        <w:rPr/>
        <w:t>Merrick,</w:t>
      </w:r>
      <w:r>
        <w:rPr>
          <w:spacing w:val="38"/>
        </w:rPr>
        <w:t> </w:t>
      </w:r>
      <w:r>
        <w:rPr/>
        <w:t>E.C.,</w:t>
      </w:r>
      <w:r>
        <w:rPr>
          <w:spacing w:val="38"/>
        </w:rPr>
        <w:t> </w:t>
      </w:r>
      <w:r>
        <w:rPr/>
        <w:t>Batts,</w:t>
      </w:r>
      <w:r>
        <w:rPr>
          <w:spacing w:val="33"/>
        </w:rPr>
        <w:t> </w:t>
      </w:r>
      <w:r>
        <w:rPr/>
        <w:t>T.W.</w:t>
      </w:r>
      <w:r>
        <w:rPr>
          <w:spacing w:val="37"/>
        </w:rPr>
        <w:t> </w:t>
      </w:r>
      <w:r>
        <w:rPr/>
        <w:t>Hargus,</w:t>
      </w:r>
      <w:r>
        <w:rPr>
          <w:spacing w:val="33"/>
        </w:rPr>
        <w:t> </w:t>
      </w:r>
      <w:r>
        <w:rPr/>
        <w:t>N.J.,</w:t>
      </w:r>
      <w:r>
        <w:rPr>
          <w:spacing w:val="38"/>
        </w:rPr>
        <w:t> </w:t>
      </w:r>
      <w:r>
        <w:rPr/>
        <w:t>Wang,</w:t>
      </w:r>
      <w:r>
        <w:rPr>
          <w:spacing w:val="38"/>
        </w:rPr>
        <w:t> </w:t>
      </w:r>
      <w:r>
        <w:rPr/>
        <w:t>Y.,</w:t>
      </w:r>
      <w:r>
        <w:rPr>
          <w:spacing w:val="37"/>
        </w:rPr>
        <w:t> </w:t>
      </w:r>
      <w:r>
        <w:rPr/>
        <w:t>Stables,</w:t>
      </w:r>
      <w:r>
        <w:rPr>
          <w:spacing w:val="50"/>
        </w:rPr>
        <w:t> </w:t>
      </w:r>
      <w:r>
        <w:rPr/>
        <w:t>J.P.</w:t>
      </w:r>
      <w:r>
        <w:rPr>
          <w:spacing w:val="38"/>
        </w:rPr>
        <w:t> </w:t>
      </w:r>
      <w:r>
        <w:rPr>
          <w:spacing w:val="-2"/>
        </w:rPr>
        <w:t>Bertram,</w:t>
      </w:r>
    </w:p>
    <w:p>
      <w:pPr>
        <w:spacing w:line="240" w:lineRule="auto" w:before="3"/>
        <w:ind w:left="681" w:right="287" w:firstLine="0"/>
        <w:jc w:val="both"/>
        <w:rPr>
          <w:sz w:val="24"/>
        </w:rPr>
      </w:pPr>
      <w:r>
        <w:rPr>
          <w:sz w:val="24"/>
        </w:rPr>
        <w:t>E.H. Brown, M.L. and Patel, M.K. (2009). Modulation of sodium channel inactivation gating by a novel Lactam: Implications for seizure suppression in chronic Limbic Epilepsy. </w:t>
      </w:r>
      <w:r>
        <w:rPr>
          <w:i/>
          <w:sz w:val="24"/>
        </w:rPr>
        <w:t>Journal of Pharmacology and Experimental Pharmacology, </w:t>
      </w:r>
      <w:r>
        <w:rPr>
          <w:sz w:val="24"/>
        </w:rPr>
        <w:t>328(1): 201-212.</w:t>
      </w:r>
    </w:p>
    <w:p>
      <w:pPr>
        <w:pStyle w:val="BodyText"/>
      </w:pPr>
    </w:p>
    <w:p>
      <w:pPr>
        <w:pStyle w:val="BodyText"/>
        <w:ind w:left="681" w:right="271"/>
        <w:jc w:val="both"/>
      </w:pPr>
      <w:r>
        <w:rPr/>
        <w:t>Jones, P.J., Wang, Y., Smith, M.D., Hargus, N.J., Eidam, H.S. White, S., Kapur, J., Brown, M.L and Patel, M.K. (2007). Hydroxyamide analogs of propofol exhibit state- dependent block of sodium channels in hippocampal neurons: Implications for anticonvulsant</w:t>
      </w:r>
      <w:r>
        <w:rPr>
          <w:spacing w:val="15"/>
        </w:rPr>
        <w:t> </w:t>
      </w:r>
      <w:r>
        <w:rPr/>
        <w:t>activity.</w:t>
      </w:r>
      <w:r>
        <w:rPr>
          <w:spacing w:val="21"/>
        </w:rPr>
        <w:t> </w:t>
      </w:r>
      <w:r>
        <w:rPr>
          <w:i/>
        </w:rPr>
        <w:t>Journal</w:t>
      </w:r>
      <w:r>
        <w:rPr>
          <w:i/>
          <w:spacing w:val="16"/>
        </w:rPr>
        <w:t> </w:t>
      </w:r>
      <w:r>
        <w:rPr>
          <w:i/>
        </w:rPr>
        <w:t>of</w:t>
      </w:r>
      <w:r>
        <w:rPr>
          <w:i/>
          <w:spacing w:val="15"/>
        </w:rPr>
        <w:t> </w:t>
      </w:r>
      <w:r>
        <w:rPr>
          <w:i/>
        </w:rPr>
        <w:t>Pharmacology</w:t>
      </w:r>
      <w:r>
        <w:rPr>
          <w:i/>
          <w:spacing w:val="15"/>
        </w:rPr>
        <w:t> </w:t>
      </w:r>
      <w:r>
        <w:rPr>
          <w:i/>
        </w:rPr>
        <w:t>and</w:t>
      </w:r>
      <w:r>
        <w:rPr>
          <w:i/>
          <w:spacing w:val="11"/>
        </w:rPr>
        <w:t> </w:t>
      </w:r>
      <w:r>
        <w:rPr>
          <w:i/>
        </w:rPr>
        <w:t>Experimental</w:t>
      </w:r>
      <w:r>
        <w:rPr>
          <w:i/>
          <w:spacing w:val="17"/>
        </w:rPr>
        <w:t> </w:t>
      </w:r>
      <w:r>
        <w:rPr>
          <w:i/>
        </w:rPr>
        <w:t>Pharmacology,</w:t>
      </w:r>
      <w:r>
        <w:rPr>
          <w:i/>
          <w:spacing w:val="19"/>
        </w:rPr>
        <w:t> </w:t>
      </w:r>
      <w:r>
        <w:rPr>
          <w:spacing w:val="-5"/>
        </w:rPr>
        <w:t>320</w:t>
      </w:r>
    </w:p>
    <w:p>
      <w:pPr>
        <w:pStyle w:val="BodyText"/>
        <w:spacing w:before="1"/>
        <w:ind w:left="681"/>
        <w:jc w:val="both"/>
      </w:pPr>
      <w:r>
        <w:rPr/>
        <w:t>(2): 828-</w:t>
      </w:r>
      <w:r>
        <w:rPr>
          <w:spacing w:val="-4"/>
        </w:rPr>
        <w:t>836.</w:t>
      </w:r>
    </w:p>
    <w:p>
      <w:pPr>
        <w:pStyle w:val="BodyText"/>
      </w:pPr>
    </w:p>
    <w:p>
      <w:pPr>
        <w:pStyle w:val="BodyText"/>
        <w:ind w:left="681" w:right="272"/>
        <w:jc w:val="both"/>
      </w:pPr>
      <w:r>
        <w:rPr/>
        <w:t>Joshi, S. and Kapur, J. (2012). GABAA Receptor Plasticity During Status Epilepticus. Eds. Noebels, J.L., Avoli, M., Rogawski, M.A., Olsen, R.W. and Delgado-Escueta, A.V., In: </w:t>
      </w:r>
      <w:r>
        <w:rPr>
          <w:i/>
        </w:rPr>
        <w:t>Jasper’s Basic Mechanism of Epilepsies</w:t>
      </w:r>
      <w:r>
        <w:rPr/>
        <w:t>, pp. 1-12.</w:t>
      </w:r>
    </w:p>
    <w:p>
      <w:pPr>
        <w:pStyle w:val="BodyText"/>
      </w:pPr>
    </w:p>
    <w:p>
      <w:pPr>
        <w:pStyle w:val="BodyText"/>
        <w:spacing w:before="1"/>
        <w:ind w:left="681" w:right="273"/>
        <w:jc w:val="both"/>
      </w:pPr>
      <w:r>
        <w:rPr/>
        <w:t>Kang, H., Park, J., Jeong, S., Kim, J., Moon, H., Perez-Reyes, E. and Lee, J. (2006). A molecular determinant of</w:t>
      </w:r>
      <w:r>
        <w:rPr>
          <w:spacing w:val="-8"/>
        </w:rPr>
        <w:t> </w:t>
      </w:r>
      <w:r>
        <w:rPr/>
        <w:t>nickel</w:t>
      </w:r>
      <w:r>
        <w:rPr>
          <w:spacing w:val="-5"/>
        </w:rPr>
        <w:t> </w:t>
      </w:r>
      <w:r>
        <w:rPr/>
        <w:t>inhibition</w:t>
      </w:r>
      <w:r>
        <w:rPr>
          <w:spacing w:val="-1"/>
        </w:rPr>
        <w:t> </w:t>
      </w:r>
      <w:r>
        <w:rPr/>
        <w:t>in</w:t>
      </w:r>
      <w:r>
        <w:rPr>
          <w:spacing w:val="-1"/>
        </w:rPr>
        <w:t> </w:t>
      </w:r>
      <w:r>
        <w:rPr/>
        <w:t>Ca</w:t>
      </w:r>
      <w:r>
        <w:rPr>
          <w:vertAlign w:val="subscript"/>
        </w:rPr>
        <w:t>v</w:t>
      </w:r>
      <w:r>
        <w:rPr>
          <w:vertAlign w:val="baseline"/>
        </w:rPr>
        <w:t> 3.2</w:t>
      </w:r>
      <w:r>
        <w:rPr>
          <w:spacing w:val="-1"/>
          <w:vertAlign w:val="baseline"/>
        </w:rPr>
        <w:t> </w:t>
      </w:r>
      <w:r>
        <w:rPr>
          <w:vertAlign w:val="baseline"/>
        </w:rPr>
        <w:t>T-type</w:t>
      </w:r>
      <w:r>
        <w:rPr>
          <w:spacing w:val="-1"/>
          <w:vertAlign w:val="baseline"/>
        </w:rPr>
        <w:t> </w:t>
      </w:r>
      <w:r>
        <w:rPr>
          <w:vertAlign w:val="baseline"/>
        </w:rPr>
        <w:t>calcium</w:t>
      </w:r>
      <w:r>
        <w:rPr>
          <w:spacing w:val="-5"/>
          <w:vertAlign w:val="baseline"/>
        </w:rPr>
        <w:t> </w:t>
      </w:r>
      <w:r>
        <w:rPr>
          <w:vertAlign w:val="baseline"/>
        </w:rPr>
        <w:t>channels. </w:t>
      </w:r>
      <w:r>
        <w:rPr>
          <w:i/>
          <w:vertAlign w:val="baseline"/>
        </w:rPr>
        <w:t>Journal</w:t>
      </w:r>
      <w:r>
        <w:rPr>
          <w:i/>
          <w:spacing w:val="-1"/>
          <w:vertAlign w:val="baseline"/>
        </w:rPr>
        <w:t> </w:t>
      </w:r>
      <w:r>
        <w:rPr>
          <w:i/>
          <w:vertAlign w:val="baseline"/>
        </w:rPr>
        <w:t>of Biological Chemistry</w:t>
      </w:r>
      <w:r>
        <w:rPr>
          <w:vertAlign w:val="baseline"/>
        </w:rPr>
        <w:t>, 281(8): 4823-4830.</w:t>
      </w:r>
    </w:p>
    <w:p>
      <w:pPr>
        <w:pStyle w:val="BodyText"/>
      </w:pPr>
    </w:p>
    <w:p>
      <w:pPr>
        <w:pStyle w:val="BodyText"/>
        <w:spacing w:line="275" w:lineRule="exact"/>
        <w:ind w:left="681"/>
        <w:jc w:val="both"/>
      </w:pPr>
      <w:r>
        <w:rPr/>
        <w:t>Kaul,</w:t>
      </w:r>
      <w:r>
        <w:rPr>
          <w:spacing w:val="16"/>
        </w:rPr>
        <w:t> </w:t>
      </w:r>
      <w:r>
        <w:rPr/>
        <w:t>P.N.</w:t>
      </w:r>
      <w:r>
        <w:rPr>
          <w:spacing w:val="19"/>
        </w:rPr>
        <w:t> </w:t>
      </w:r>
      <w:r>
        <w:rPr/>
        <w:t>and</w:t>
      </w:r>
      <w:r>
        <w:rPr>
          <w:spacing w:val="18"/>
        </w:rPr>
        <w:t> </w:t>
      </w:r>
      <w:r>
        <w:rPr/>
        <w:t>Kulkarni,</w:t>
      </w:r>
      <w:r>
        <w:rPr>
          <w:spacing w:val="19"/>
        </w:rPr>
        <w:t> </w:t>
      </w:r>
      <w:r>
        <w:rPr/>
        <w:t>S.K.</w:t>
      </w:r>
      <w:r>
        <w:rPr>
          <w:spacing w:val="18"/>
        </w:rPr>
        <w:t> </w:t>
      </w:r>
      <w:r>
        <w:rPr/>
        <w:t>(1978).</w:t>
      </w:r>
      <w:r>
        <w:rPr>
          <w:spacing w:val="19"/>
        </w:rPr>
        <w:t> </w:t>
      </w:r>
      <w:r>
        <w:rPr/>
        <w:t>New</w:t>
      </w:r>
      <w:r>
        <w:rPr>
          <w:spacing w:val="17"/>
        </w:rPr>
        <w:t> </w:t>
      </w:r>
      <w:r>
        <w:rPr/>
        <w:t>drug</w:t>
      </w:r>
      <w:r>
        <w:rPr>
          <w:spacing w:val="12"/>
        </w:rPr>
        <w:t> </w:t>
      </w:r>
      <w:r>
        <w:rPr/>
        <w:t>metabolism</w:t>
      </w:r>
      <w:r>
        <w:rPr>
          <w:spacing w:val="17"/>
        </w:rPr>
        <w:t> </w:t>
      </w:r>
      <w:r>
        <w:rPr/>
        <w:t>inhibitor</w:t>
      </w:r>
      <w:r>
        <w:rPr>
          <w:spacing w:val="14"/>
        </w:rPr>
        <w:t> </w:t>
      </w:r>
      <w:r>
        <w:rPr/>
        <w:t>of</w:t>
      </w:r>
      <w:r>
        <w:rPr>
          <w:spacing w:val="14"/>
        </w:rPr>
        <w:t> </w:t>
      </w:r>
      <w:r>
        <w:rPr/>
        <w:t>marine</w:t>
      </w:r>
      <w:r>
        <w:rPr>
          <w:spacing w:val="17"/>
        </w:rPr>
        <w:t> </w:t>
      </w:r>
      <w:r>
        <w:rPr>
          <w:spacing w:val="-2"/>
        </w:rPr>
        <w:t>origin.</w:t>
      </w:r>
    </w:p>
    <w:p>
      <w:pPr>
        <w:spacing w:line="275" w:lineRule="exact" w:before="0"/>
        <w:ind w:left="681" w:right="0" w:firstLine="0"/>
        <w:jc w:val="both"/>
        <w:rPr>
          <w:sz w:val="24"/>
        </w:rPr>
      </w:pPr>
      <w:r>
        <w:rPr>
          <w:i/>
          <w:sz w:val="24"/>
        </w:rPr>
        <w:t>Journal</w:t>
      </w:r>
      <w:r>
        <w:rPr>
          <w:i/>
          <w:spacing w:val="-2"/>
          <w:sz w:val="24"/>
        </w:rPr>
        <w:t> </w:t>
      </w:r>
      <w:r>
        <w:rPr>
          <w:i/>
          <w:sz w:val="24"/>
        </w:rPr>
        <w:t>of</w:t>
      </w:r>
      <w:r>
        <w:rPr>
          <w:i/>
          <w:spacing w:val="-1"/>
          <w:sz w:val="24"/>
        </w:rPr>
        <w:t> </w:t>
      </w:r>
      <w:r>
        <w:rPr>
          <w:i/>
          <w:sz w:val="24"/>
        </w:rPr>
        <w:t>Pharmaceutical</w:t>
      </w:r>
      <w:r>
        <w:rPr>
          <w:i/>
          <w:spacing w:val="-1"/>
          <w:sz w:val="24"/>
        </w:rPr>
        <w:t> </w:t>
      </w:r>
      <w:r>
        <w:rPr>
          <w:i/>
          <w:sz w:val="24"/>
        </w:rPr>
        <w:t>Sciences</w:t>
      </w:r>
      <w:r>
        <w:rPr>
          <w:sz w:val="24"/>
        </w:rPr>
        <w:t>,</w:t>
      </w:r>
      <w:r>
        <w:rPr>
          <w:spacing w:val="1"/>
          <w:sz w:val="24"/>
        </w:rPr>
        <w:t> </w:t>
      </w:r>
      <w:r>
        <w:rPr>
          <w:sz w:val="24"/>
        </w:rPr>
        <w:t>67:</w:t>
      </w:r>
      <w:r>
        <w:rPr>
          <w:spacing w:val="-1"/>
          <w:sz w:val="24"/>
        </w:rPr>
        <w:t> </w:t>
      </w:r>
      <w:r>
        <w:rPr>
          <w:sz w:val="24"/>
        </w:rPr>
        <w:t>1293-</w:t>
      </w:r>
      <w:r>
        <w:rPr>
          <w:spacing w:val="-4"/>
          <w:sz w:val="24"/>
        </w:rPr>
        <w:t>1296.</w:t>
      </w:r>
    </w:p>
    <w:p>
      <w:pPr>
        <w:pStyle w:val="BodyText"/>
      </w:pPr>
    </w:p>
    <w:p>
      <w:pPr>
        <w:pStyle w:val="BodyText"/>
        <w:spacing w:line="242" w:lineRule="auto"/>
        <w:ind w:left="681" w:right="288"/>
        <w:jc w:val="both"/>
      </w:pPr>
      <w:r>
        <w:rPr/>
        <w:t>Kayal-Brooks, A.R., Raol,Y.H. and Russek, S.J. (2009). Alteration of Epileptogenesis Genes. </w:t>
      </w:r>
      <w:r>
        <w:rPr>
          <w:i/>
        </w:rPr>
        <w:t>Neurotherapeutics</w:t>
      </w:r>
      <w:r>
        <w:rPr/>
        <w:t>, 6(2): 312-318.</w:t>
      </w:r>
    </w:p>
    <w:p>
      <w:pPr>
        <w:pStyle w:val="BodyText"/>
      </w:pPr>
    </w:p>
    <w:p>
      <w:pPr>
        <w:pStyle w:val="BodyText"/>
        <w:spacing w:line="237" w:lineRule="auto"/>
        <w:ind w:left="681" w:right="289"/>
        <w:jc w:val="both"/>
      </w:pPr>
      <w:r>
        <w:rPr/>
        <w:t>Keating MT &amp; Sanguinetti MC (2001). Molecular and cellular mechanisms of cardiac arrhythmias. </w:t>
      </w:r>
      <w:r>
        <w:rPr>
          <w:i/>
        </w:rPr>
        <w:t>Cell, </w:t>
      </w:r>
      <w:r>
        <w:rPr/>
        <w:t>104, 569–580.</w:t>
      </w:r>
    </w:p>
    <w:p>
      <w:pPr>
        <w:pStyle w:val="BodyText"/>
      </w:pPr>
    </w:p>
    <w:p>
      <w:pPr>
        <w:pStyle w:val="BodyText"/>
        <w:spacing w:before="1"/>
        <w:ind w:left="681" w:right="280"/>
        <w:jc w:val="both"/>
      </w:pPr>
      <w:r>
        <w:rPr/>
        <w:t>Kemp, W. (1991). Applications of Infrared Spectroscopy- Identification of Functional Groups. </w:t>
      </w:r>
      <w:r>
        <w:rPr>
          <w:i/>
        </w:rPr>
        <w:t>In: Organic Spectroscopy, </w:t>
      </w:r>
      <w:r>
        <w:rPr/>
        <w:t>3</w:t>
      </w:r>
      <w:r>
        <w:rPr>
          <w:vertAlign w:val="superscript"/>
        </w:rPr>
        <w:t>rd</w:t>
      </w:r>
      <w:r>
        <w:rPr>
          <w:vertAlign w:val="baseline"/>
        </w:rPr>
        <w:t> Ed., McMillan Press LTD, Houndmills and London,</w:t>
      </w:r>
      <w:r>
        <w:rPr>
          <w:spacing w:val="40"/>
          <w:vertAlign w:val="baseline"/>
        </w:rPr>
        <w:t> </w:t>
      </w:r>
      <w:r>
        <w:rPr>
          <w:vertAlign w:val="baseline"/>
        </w:rPr>
        <w:t>pp. 56-87.</w:t>
      </w:r>
    </w:p>
    <w:p>
      <w:pPr>
        <w:pStyle w:val="BodyText"/>
      </w:pPr>
    </w:p>
    <w:p>
      <w:pPr>
        <w:pStyle w:val="BodyText"/>
        <w:ind w:left="681" w:right="276"/>
        <w:jc w:val="both"/>
      </w:pPr>
      <w:r>
        <w:rPr/>
        <w:t>Klitgaard, H. and Pitkanen, A. (2003). Antiepileptogenesis, neuroprotection, and disease modification in the treatment of epilepsy: focus on levetiracetam. </w:t>
      </w:r>
      <w:r>
        <w:rPr>
          <w:i/>
        </w:rPr>
        <w:t>Epileptic Disorder</w:t>
      </w:r>
      <w:r>
        <w:rPr/>
        <w:t>, 5(suppl.1): 9-16.</w:t>
      </w:r>
    </w:p>
    <w:p>
      <w:pPr>
        <w:pStyle w:val="BodyText"/>
      </w:pPr>
    </w:p>
    <w:p>
      <w:pPr>
        <w:pStyle w:val="BodyText"/>
        <w:ind w:left="681" w:right="275"/>
        <w:jc w:val="both"/>
      </w:pPr>
      <w:r>
        <w:rPr/>
        <w:t>Krall, R.L., Penry, J.K., White, B.G., Kupferberg, H.J. and Swinyard, E.A. (1978). Antiepileptic drug development: II. Anticonvulsant drug screening. </w:t>
      </w:r>
      <w:r>
        <w:rPr>
          <w:i/>
        </w:rPr>
        <w:t>Epilepsia</w:t>
      </w:r>
      <w:r>
        <w:rPr/>
        <w:t>, 19: 409- </w:t>
      </w:r>
      <w:r>
        <w:rPr>
          <w:spacing w:val="-4"/>
        </w:rPr>
        <w:t>428.</w:t>
      </w:r>
    </w:p>
    <w:p>
      <w:pPr>
        <w:pStyle w:val="BodyText"/>
        <w:spacing w:before="1"/>
      </w:pPr>
    </w:p>
    <w:p>
      <w:pPr>
        <w:pStyle w:val="BodyText"/>
        <w:spacing w:line="242" w:lineRule="auto"/>
        <w:ind w:left="681" w:right="271"/>
        <w:jc w:val="both"/>
      </w:pPr>
      <w:r>
        <w:rPr/>
        <w:t>Kuo, C.C. and Bean, B.P. (1994). Slow binding of phenytoin to inactivated sodium channels in rat hippocampal neurons. </w:t>
      </w:r>
      <w:r>
        <w:rPr>
          <w:i/>
        </w:rPr>
        <w:t>Molecular Pharmacology</w:t>
      </w:r>
      <w:r>
        <w:rPr/>
        <w:t>, 46: 716–725.</w:t>
      </w:r>
    </w:p>
    <w:p>
      <w:pPr>
        <w:spacing w:after="0" w:line="242" w:lineRule="auto"/>
        <w:jc w:val="both"/>
        <w:sectPr>
          <w:pgSz w:w="12240" w:h="15840"/>
          <w:pgMar w:header="0" w:footer="1066" w:top="1360" w:bottom="1260" w:left="1480" w:right="1160"/>
        </w:sectPr>
      </w:pPr>
    </w:p>
    <w:p>
      <w:pPr>
        <w:spacing w:line="237" w:lineRule="auto" w:before="74"/>
        <w:ind w:left="681" w:right="290" w:firstLine="0"/>
        <w:jc w:val="both"/>
        <w:rPr>
          <w:sz w:val="24"/>
        </w:rPr>
      </w:pPr>
      <w:r>
        <w:rPr>
          <w:sz w:val="24"/>
        </w:rPr>
        <w:t>Kuo, C.C. and Lu, I. (1997). Characterization</w:t>
      </w:r>
      <w:r>
        <w:rPr>
          <w:spacing w:val="-2"/>
          <w:sz w:val="24"/>
        </w:rPr>
        <w:t> </w:t>
      </w:r>
      <w:r>
        <w:rPr>
          <w:sz w:val="24"/>
        </w:rPr>
        <w:t>of</w:t>
      </w:r>
      <w:r>
        <w:rPr>
          <w:spacing w:val="-5"/>
          <w:sz w:val="24"/>
        </w:rPr>
        <w:t> </w:t>
      </w:r>
      <w:r>
        <w:rPr>
          <w:sz w:val="24"/>
        </w:rPr>
        <w:t>Lamotrigine Inhibition</w:t>
      </w:r>
      <w:r>
        <w:rPr>
          <w:spacing w:val="-2"/>
          <w:sz w:val="24"/>
        </w:rPr>
        <w:t> </w:t>
      </w:r>
      <w:r>
        <w:rPr>
          <w:sz w:val="24"/>
        </w:rPr>
        <w:t>of</w:t>
      </w:r>
      <w:r>
        <w:rPr>
          <w:spacing w:val="-5"/>
          <w:sz w:val="24"/>
        </w:rPr>
        <w:t> </w:t>
      </w:r>
      <w:r>
        <w:rPr>
          <w:sz w:val="24"/>
        </w:rPr>
        <w:t>Na+ Channels in Rat Hippocampal Neurons. </w:t>
      </w:r>
      <w:r>
        <w:rPr>
          <w:i/>
          <w:sz w:val="24"/>
        </w:rPr>
        <w:t>British Journal of Pharmacology, </w:t>
      </w:r>
      <w:r>
        <w:rPr>
          <w:sz w:val="24"/>
        </w:rPr>
        <w:t>121: 1231-1238.</w:t>
      </w:r>
    </w:p>
    <w:p>
      <w:pPr>
        <w:pStyle w:val="BodyText"/>
        <w:spacing w:before="1"/>
      </w:pPr>
    </w:p>
    <w:p>
      <w:pPr>
        <w:pStyle w:val="BodyText"/>
        <w:ind w:left="681" w:right="282"/>
        <w:jc w:val="both"/>
      </w:pPr>
      <w:r>
        <w:rPr/>
        <w:t>Kuo, C.C., Chen, R.S., Lu L. and Chen R.C. (1997). Carbamazepine inhibition of neuronal Na currents: quantitative distinction from phenytoin and possible therapeutic implications. </w:t>
      </w:r>
      <w:r>
        <w:rPr>
          <w:i/>
        </w:rPr>
        <w:t>Molecular Pharmacology</w:t>
      </w:r>
      <w:r>
        <w:rPr/>
        <w:t>, 51:1077–1083.</w:t>
      </w:r>
    </w:p>
    <w:p>
      <w:pPr>
        <w:pStyle w:val="BodyText"/>
        <w:spacing w:before="1"/>
      </w:pPr>
    </w:p>
    <w:p>
      <w:pPr>
        <w:pStyle w:val="BodyText"/>
        <w:spacing w:line="242" w:lineRule="auto"/>
        <w:ind w:left="681" w:right="287"/>
        <w:jc w:val="both"/>
      </w:pPr>
      <w:r>
        <w:rPr/>
        <w:t>Kupferberg, H.J. (1989). Antiepileptic drug development program: A cooperative effort of government and industry. </w:t>
      </w:r>
      <w:r>
        <w:rPr>
          <w:i/>
        </w:rPr>
        <w:t>Epilepsia</w:t>
      </w:r>
      <w:r>
        <w:rPr/>
        <w:t>, 30(suppl. 1), S51-S56.</w:t>
      </w:r>
    </w:p>
    <w:p>
      <w:pPr>
        <w:pStyle w:val="BodyText"/>
        <w:spacing w:before="273"/>
        <w:ind w:left="681" w:right="275"/>
        <w:jc w:val="both"/>
      </w:pPr>
      <w:r>
        <w:rPr/>
        <w:t>Lang, D.G., Wang, C.M. and Cooper, B.A. (1993) Lamotrigine, Phenytoin and Carbamazepine interactions on the sodium current present in N4TG1 mouse neuroblastoma cells. </w:t>
      </w:r>
      <w:r>
        <w:rPr>
          <w:i/>
        </w:rPr>
        <w:t>of Pharmacology and Experimental Pharmacology</w:t>
      </w:r>
      <w:r>
        <w:rPr/>
        <w:t>, 266(2): 829- </w:t>
      </w:r>
      <w:r>
        <w:rPr>
          <w:spacing w:val="-4"/>
        </w:rPr>
        <w:t>835.</w:t>
      </w:r>
    </w:p>
    <w:p>
      <w:pPr>
        <w:spacing w:line="240" w:lineRule="auto" w:before="274"/>
        <w:ind w:left="681" w:right="275" w:firstLine="0"/>
        <w:jc w:val="both"/>
        <w:rPr>
          <w:sz w:val="24"/>
        </w:rPr>
      </w:pPr>
      <w:r>
        <w:rPr>
          <w:sz w:val="24"/>
        </w:rPr>
        <w:t>Lang, D.G., Wang, C.M. and Cooper, B.A. (1993). Lamotrigine, Phenytoin and Carbamazepine Interactions on the Sodium Current Present in N4TG1 Mouse Neuroblastoma Cells. </w:t>
      </w:r>
      <w:r>
        <w:rPr>
          <w:i/>
          <w:sz w:val="24"/>
        </w:rPr>
        <w:t>Journal of Pharmacology and Experimental Therpeutics</w:t>
      </w:r>
      <w:r>
        <w:rPr>
          <w:sz w:val="24"/>
        </w:rPr>
        <w:t>, 266(2): </w:t>
      </w:r>
      <w:r>
        <w:rPr>
          <w:spacing w:val="-2"/>
          <w:sz w:val="24"/>
        </w:rPr>
        <w:t>829-835.</w:t>
      </w:r>
    </w:p>
    <w:p>
      <w:pPr>
        <w:pStyle w:val="BodyText"/>
        <w:spacing w:before="5"/>
      </w:pPr>
    </w:p>
    <w:p>
      <w:pPr>
        <w:pStyle w:val="BodyText"/>
        <w:spacing w:line="237" w:lineRule="auto"/>
        <w:ind w:left="681" w:right="287"/>
        <w:jc w:val="both"/>
      </w:pPr>
      <w:r>
        <w:rPr/>
        <w:t>Larson, M.D. (1969). An analysis of the action of strychnine on the recurrent IPSP and amino acid induced inhibitions in the cat spinal cord. </w:t>
      </w:r>
      <w:r>
        <w:rPr>
          <w:i/>
        </w:rPr>
        <w:t>Brain Research</w:t>
      </w:r>
      <w:r>
        <w:rPr/>
        <w:t>, 15: 185-200.</w:t>
      </w:r>
    </w:p>
    <w:p>
      <w:pPr>
        <w:pStyle w:val="BodyText"/>
        <w:spacing w:before="1"/>
      </w:pPr>
    </w:p>
    <w:p>
      <w:pPr>
        <w:pStyle w:val="BodyText"/>
        <w:spacing w:before="1"/>
        <w:ind w:left="681" w:right="276"/>
        <w:jc w:val="both"/>
      </w:pPr>
      <w:r>
        <w:rPr/>
        <w:t>Laurie, D.J., Wisden, W., Seeburg, P.H. (1992). The distribution of thirteen GABA</w:t>
      </w:r>
      <w:r>
        <w:rPr>
          <w:vertAlign w:val="subscript"/>
        </w:rPr>
        <w:t>A</w:t>
      </w:r>
      <w:r>
        <w:rPr>
          <w:vertAlign w:val="baseline"/>
        </w:rPr>
        <w:t> receptor sub-unit mRNAs in the rat brain. Iii. Embryonic and postnatal development</w:t>
      </w:r>
      <w:r>
        <w:rPr>
          <w:i/>
          <w:vertAlign w:val="baseline"/>
        </w:rPr>
        <w:t>. Journal of Neuroscience</w:t>
      </w:r>
      <w:r>
        <w:rPr>
          <w:vertAlign w:val="baseline"/>
        </w:rPr>
        <w:t>, 12: 4151-4172.</w:t>
      </w:r>
    </w:p>
    <w:p>
      <w:pPr>
        <w:pStyle w:val="BodyText"/>
      </w:pPr>
    </w:p>
    <w:p>
      <w:pPr>
        <w:spacing w:line="242" w:lineRule="auto" w:before="0"/>
        <w:ind w:left="681" w:right="276" w:firstLine="0"/>
        <w:jc w:val="both"/>
        <w:rPr>
          <w:sz w:val="24"/>
        </w:rPr>
      </w:pPr>
      <w:r>
        <w:rPr>
          <w:sz w:val="24"/>
        </w:rPr>
        <w:t>Levitan, I.B. and Kaczmarek, L.K. (2002). </w:t>
      </w:r>
      <w:r>
        <w:rPr>
          <w:i/>
          <w:sz w:val="24"/>
        </w:rPr>
        <w:t>The Neuron: Cell and Molecular Biology</w:t>
      </w:r>
      <w:r>
        <w:rPr>
          <w:sz w:val="24"/>
        </w:rPr>
        <w:t>, 3</w:t>
      </w:r>
      <w:r>
        <w:rPr>
          <w:sz w:val="24"/>
          <w:vertAlign w:val="superscript"/>
        </w:rPr>
        <w:t>rd</w:t>
      </w:r>
      <w:r>
        <w:rPr>
          <w:sz w:val="24"/>
          <w:vertAlign w:val="baseline"/>
        </w:rPr>
        <w:t> Ed. Oxford University Press, New York, pp. 45-139.</w:t>
      </w:r>
    </w:p>
    <w:p>
      <w:pPr>
        <w:pStyle w:val="BodyText"/>
        <w:spacing w:before="273"/>
        <w:ind w:left="681" w:right="282"/>
        <w:jc w:val="both"/>
      </w:pPr>
      <w:r>
        <w:rPr/>
        <w:t>Lipkind, G.M. and Fozzard, H.A. (2010). Molecular Model of Anticonvulsant Drug Binding to the Voltage-Gated Sodium Channel Inner Pore. </w:t>
      </w:r>
      <w:r>
        <w:rPr>
          <w:i/>
        </w:rPr>
        <w:t>Molecular Pharmacology, </w:t>
      </w:r>
      <w:r>
        <w:rPr/>
        <w:t>78(4): 631-638.</w:t>
      </w:r>
    </w:p>
    <w:p>
      <w:pPr>
        <w:pStyle w:val="BodyText"/>
        <w:spacing w:before="3"/>
      </w:pPr>
    </w:p>
    <w:p>
      <w:pPr>
        <w:pStyle w:val="BodyText"/>
        <w:spacing w:line="237" w:lineRule="auto"/>
        <w:ind w:left="681" w:right="285"/>
        <w:jc w:val="both"/>
      </w:pPr>
      <w:r>
        <w:rPr/>
        <w:t>Lorke, D.A. (1983). A new approach to practical acute toxicity testing. </w:t>
      </w:r>
      <w:r>
        <w:rPr>
          <w:i/>
        </w:rPr>
        <w:t>Archives of Toxicology</w:t>
      </w:r>
      <w:r>
        <w:rPr/>
        <w:t>, 54 (4): 275-287.</w:t>
      </w:r>
    </w:p>
    <w:p>
      <w:pPr>
        <w:pStyle w:val="BodyText"/>
        <w:spacing w:before="1"/>
      </w:pPr>
    </w:p>
    <w:p>
      <w:pPr>
        <w:pStyle w:val="BodyText"/>
        <w:spacing w:line="242" w:lineRule="auto"/>
        <w:ind w:left="681" w:right="290"/>
        <w:jc w:val="both"/>
      </w:pPr>
      <w:r>
        <w:rPr/>
        <w:t>Loscher, W. and Meldrum, B. (1984). Evaluation of anticonvulsant drugs in genetic animal models of epilepsy. </w:t>
      </w:r>
      <w:r>
        <w:rPr>
          <w:i/>
        </w:rPr>
        <w:t>Fed. Proc., </w:t>
      </w:r>
      <w:r>
        <w:rPr/>
        <w:t>43(2): 276-284.</w:t>
      </w:r>
    </w:p>
    <w:p>
      <w:pPr>
        <w:pStyle w:val="BodyText"/>
        <w:spacing w:before="273"/>
        <w:ind w:left="681" w:right="272"/>
        <w:jc w:val="both"/>
      </w:pPr>
      <w:r>
        <w:rPr/>
        <w:t>Loscher, W., Honack, D., Fassbender, C.P. and Nolting, B. (1991). The role of</w:t>
      </w:r>
      <w:r>
        <w:rPr>
          <w:spacing w:val="-4"/>
        </w:rPr>
        <w:t> </w:t>
      </w:r>
      <w:r>
        <w:rPr/>
        <w:t>technical, biological and pharmacological factors in the laboratory evaluation of L-type calcium current by propofol in cortical neurons: implications for its antiepileptic activity. </w:t>
      </w:r>
      <w:r>
        <w:rPr>
          <w:i/>
        </w:rPr>
        <w:t>Epilepsia, </w:t>
      </w:r>
      <w:r>
        <w:rPr/>
        <w:t>46:624–635.</w:t>
      </w:r>
    </w:p>
    <w:p>
      <w:pPr>
        <w:spacing w:after="0"/>
        <w:jc w:val="both"/>
        <w:sectPr>
          <w:pgSz w:w="12240" w:h="15840"/>
          <w:pgMar w:header="0" w:footer="1066" w:top="1360" w:bottom="1260" w:left="1480" w:right="1160"/>
        </w:sectPr>
      </w:pPr>
    </w:p>
    <w:p>
      <w:pPr>
        <w:pStyle w:val="BodyText"/>
        <w:spacing w:before="72"/>
        <w:ind w:left="681" w:right="274"/>
        <w:jc w:val="both"/>
      </w:pPr>
      <w:r>
        <w:rPr/>
        <w:t>Lowestein, D.H. (2001). Seizures and Epilepsy In: (Braunwald, E., Fauci, A.S., Kasper, D.L.,</w:t>
      </w:r>
      <w:r>
        <w:rPr>
          <w:spacing w:val="-1"/>
        </w:rPr>
        <w:t> </w:t>
      </w:r>
      <w:r>
        <w:rPr/>
        <w:t>Hauser,</w:t>
      </w:r>
      <w:r>
        <w:rPr>
          <w:spacing w:val="-6"/>
        </w:rPr>
        <w:t> </w:t>
      </w:r>
      <w:r>
        <w:rPr/>
        <w:t>S.L.,</w:t>
      </w:r>
      <w:r>
        <w:rPr>
          <w:spacing w:val="-1"/>
        </w:rPr>
        <w:t> </w:t>
      </w:r>
      <w:r>
        <w:rPr/>
        <w:t>Longo,</w:t>
      </w:r>
      <w:r>
        <w:rPr>
          <w:spacing w:val="-6"/>
        </w:rPr>
        <w:t> </w:t>
      </w:r>
      <w:r>
        <w:rPr/>
        <w:t>D.L.,</w:t>
      </w:r>
      <w:r>
        <w:rPr>
          <w:spacing w:val="-1"/>
        </w:rPr>
        <w:t> </w:t>
      </w:r>
      <w:r>
        <w:rPr/>
        <w:t>and</w:t>
      </w:r>
      <w:r>
        <w:rPr>
          <w:spacing w:val="-3"/>
        </w:rPr>
        <w:t> </w:t>
      </w:r>
      <w:r>
        <w:rPr/>
        <w:t>Jameson,</w:t>
      </w:r>
      <w:r>
        <w:rPr>
          <w:spacing w:val="-1"/>
        </w:rPr>
        <w:t> </w:t>
      </w:r>
      <w:r>
        <w:rPr/>
        <w:t>J.L.</w:t>
      </w:r>
      <w:r>
        <w:rPr>
          <w:spacing w:val="-1"/>
        </w:rPr>
        <w:t> </w:t>
      </w:r>
      <w:r>
        <w:rPr/>
        <w:t>(Eds) Harrison’s</w:t>
      </w:r>
      <w:r>
        <w:rPr>
          <w:spacing w:val="-6"/>
        </w:rPr>
        <w:t> </w:t>
      </w:r>
      <w:r>
        <w:rPr/>
        <w:t>Principles</w:t>
      </w:r>
      <w:r>
        <w:rPr>
          <w:spacing w:val="-6"/>
        </w:rPr>
        <w:t> </w:t>
      </w:r>
      <w:r>
        <w:rPr/>
        <w:t>of</w:t>
      </w:r>
      <w:r>
        <w:rPr>
          <w:spacing w:val="-10"/>
        </w:rPr>
        <w:t> </w:t>
      </w:r>
      <w:r>
        <w:rPr/>
        <w:t>Internal Medicine 15</w:t>
      </w:r>
      <w:r>
        <w:rPr>
          <w:vertAlign w:val="superscript"/>
        </w:rPr>
        <w:t>th</w:t>
      </w:r>
      <w:r>
        <w:rPr>
          <w:vertAlign w:val="baseline"/>
        </w:rPr>
        <w:t> edition McGraw-Hill medical publishing division part 14, section 2, 360.</w:t>
      </w:r>
    </w:p>
    <w:p>
      <w:pPr>
        <w:pStyle w:val="BodyText"/>
        <w:spacing w:before="1"/>
      </w:pPr>
    </w:p>
    <w:p>
      <w:pPr>
        <w:spacing w:before="0"/>
        <w:ind w:left="681" w:right="0" w:firstLine="0"/>
        <w:jc w:val="both"/>
        <w:rPr>
          <w:sz w:val="24"/>
        </w:rPr>
      </w:pPr>
      <w:r>
        <w:rPr>
          <w:sz w:val="24"/>
        </w:rPr>
        <w:t>Malawska,</w:t>
      </w:r>
      <w:r>
        <w:rPr>
          <w:spacing w:val="-4"/>
          <w:sz w:val="24"/>
        </w:rPr>
        <w:t> </w:t>
      </w:r>
      <w:r>
        <w:rPr>
          <w:sz w:val="24"/>
        </w:rPr>
        <w:t>B.</w:t>
      </w:r>
      <w:r>
        <w:rPr>
          <w:spacing w:val="-1"/>
          <w:sz w:val="24"/>
        </w:rPr>
        <w:t> </w:t>
      </w:r>
      <w:r>
        <w:rPr>
          <w:sz w:val="24"/>
        </w:rPr>
        <w:t>(2005).</w:t>
      </w:r>
      <w:r>
        <w:rPr>
          <w:spacing w:val="-6"/>
          <w:sz w:val="24"/>
        </w:rPr>
        <w:t> </w:t>
      </w:r>
      <w:r>
        <w:rPr>
          <w:sz w:val="24"/>
        </w:rPr>
        <w:t>Anticonvulsant</w:t>
      </w:r>
      <w:r>
        <w:rPr>
          <w:spacing w:val="1"/>
          <w:sz w:val="24"/>
        </w:rPr>
        <w:t> </w:t>
      </w:r>
      <w:r>
        <w:rPr>
          <w:sz w:val="24"/>
        </w:rPr>
        <w:t>Agents.</w:t>
      </w:r>
      <w:r>
        <w:rPr>
          <w:spacing w:val="4"/>
          <w:sz w:val="24"/>
        </w:rPr>
        <w:t> </w:t>
      </w:r>
      <w:r>
        <w:rPr>
          <w:i/>
          <w:sz w:val="24"/>
        </w:rPr>
        <w:t>Topics</w:t>
      </w:r>
      <w:r>
        <w:rPr>
          <w:i/>
          <w:spacing w:val="-5"/>
          <w:sz w:val="24"/>
        </w:rPr>
        <w:t> </w:t>
      </w:r>
      <w:r>
        <w:rPr>
          <w:i/>
          <w:sz w:val="24"/>
        </w:rPr>
        <w:t>in</w:t>
      </w:r>
      <w:r>
        <w:rPr>
          <w:i/>
          <w:spacing w:val="-3"/>
          <w:sz w:val="24"/>
        </w:rPr>
        <w:t> </w:t>
      </w:r>
      <w:r>
        <w:rPr>
          <w:i/>
          <w:sz w:val="24"/>
        </w:rPr>
        <w:t>Medicinal</w:t>
      </w:r>
      <w:r>
        <w:rPr>
          <w:i/>
          <w:spacing w:val="-4"/>
          <w:sz w:val="24"/>
        </w:rPr>
        <w:t> </w:t>
      </w:r>
      <w:r>
        <w:rPr>
          <w:i/>
          <w:sz w:val="24"/>
        </w:rPr>
        <w:t>Chemistry,</w:t>
      </w:r>
      <w:r>
        <w:rPr>
          <w:i/>
          <w:spacing w:val="2"/>
          <w:sz w:val="24"/>
        </w:rPr>
        <w:t> </w:t>
      </w:r>
      <w:r>
        <w:rPr>
          <w:sz w:val="24"/>
        </w:rPr>
        <w:t>5:</w:t>
      </w:r>
      <w:r>
        <w:rPr>
          <w:spacing w:val="-3"/>
          <w:sz w:val="24"/>
        </w:rPr>
        <w:t> </w:t>
      </w:r>
      <w:r>
        <w:rPr>
          <w:sz w:val="24"/>
        </w:rPr>
        <w:t>69-</w:t>
      </w:r>
      <w:r>
        <w:rPr>
          <w:spacing w:val="-5"/>
          <w:sz w:val="24"/>
        </w:rPr>
        <w:t>85.</w:t>
      </w:r>
    </w:p>
    <w:p>
      <w:pPr>
        <w:pStyle w:val="BodyText"/>
        <w:spacing w:before="2"/>
      </w:pPr>
    </w:p>
    <w:p>
      <w:pPr>
        <w:pStyle w:val="BodyText"/>
        <w:spacing w:line="237" w:lineRule="auto"/>
        <w:ind w:left="681" w:right="283"/>
        <w:jc w:val="both"/>
      </w:pPr>
      <w:r>
        <w:rPr/>
        <w:t>Marsh, W.H. (1965). Automated and manual direct methods for the determination of blood urea. </w:t>
      </w:r>
      <w:r>
        <w:rPr>
          <w:i/>
        </w:rPr>
        <w:t>Clinical Chemistry</w:t>
      </w:r>
      <w:r>
        <w:rPr/>
        <w:t>, 2: 624-625.</w:t>
      </w:r>
    </w:p>
    <w:p>
      <w:pPr>
        <w:pStyle w:val="BodyText"/>
        <w:spacing w:before="1"/>
      </w:pPr>
    </w:p>
    <w:p>
      <w:pPr>
        <w:pStyle w:val="BodyText"/>
        <w:spacing w:line="242" w:lineRule="auto"/>
        <w:ind w:left="681" w:right="292"/>
        <w:jc w:val="both"/>
      </w:pPr>
      <w:r>
        <w:rPr/>
        <w:t>Martella, G., De Persis, C., Bonsi, P., Natoli, S., Cuomo, D., Bernardi, G., Calabresi, P., and Pisani, A. (2005). Inhibition of persistent sodium current fraction and voltage-gated</w:t>
      </w:r>
    </w:p>
    <w:p>
      <w:pPr>
        <w:spacing w:before="273"/>
        <w:ind w:left="681" w:right="0" w:firstLine="0"/>
        <w:jc w:val="both"/>
        <w:rPr>
          <w:sz w:val="24"/>
        </w:rPr>
      </w:pPr>
      <w:r>
        <w:rPr>
          <w:sz w:val="24"/>
        </w:rPr>
        <w:t>Matsumura,</w:t>
      </w:r>
      <w:r>
        <w:rPr>
          <w:spacing w:val="-1"/>
          <w:sz w:val="24"/>
        </w:rPr>
        <w:t> </w:t>
      </w:r>
      <w:r>
        <w:rPr>
          <w:sz w:val="24"/>
        </w:rPr>
        <w:t>F.</w:t>
      </w:r>
      <w:r>
        <w:rPr>
          <w:spacing w:val="1"/>
          <w:sz w:val="24"/>
        </w:rPr>
        <w:t> </w:t>
      </w:r>
      <w:r>
        <w:rPr>
          <w:sz w:val="24"/>
        </w:rPr>
        <w:t>(1975).</w:t>
      </w:r>
      <w:r>
        <w:rPr>
          <w:spacing w:val="4"/>
          <w:sz w:val="24"/>
        </w:rPr>
        <w:t> </w:t>
      </w:r>
      <w:r>
        <w:rPr>
          <w:i/>
          <w:sz w:val="24"/>
        </w:rPr>
        <w:t>Toxicology</w:t>
      </w:r>
      <w:r>
        <w:rPr>
          <w:i/>
          <w:spacing w:val="-6"/>
          <w:sz w:val="24"/>
        </w:rPr>
        <w:t> </w:t>
      </w:r>
      <w:r>
        <w:rPr>
          <w:i/>
          <w:sz w:val="24"/>
        </w:rPr>
        <w:t>of</w:t>
      </w:r>
      <w:r>
        <w:rPr>
          <w:i/>
          <w:spacing w:val="-1"/>
          <w:sz w:val="24"/>
        </w:rPr>
        <w:t> </w:t>
      </w:r>
      <w:r>
        <w:rPr>
          <w:i/>
          <w:sz w:val="24"/>
        </w:rPr>
        <w:t>Insecticides</w:t>
      </w:r>
      <w:r>
        <w:rPr>
          <w:sz w:val="24"/>
        </w:rPr>
        <w:t>.</w:t>
      </w:r>
      <w:r>
        <w:rPr>
          <w:spacing w:val="1"/>
          <w:sz w:val="24"/>
        </w:rPr>
        <w:t> </w:t>
      </w:r>
      <w:r>
        <w:rPr>
          <w:sz w:val="24"/>
        </w:rPr>
        <w:t>Plenum</w:t>
      </w:r>
      <w:r>
        <w:rPr>
          <w:spacing w:val="-9"/>
          <w:sz w:val="24"/>
        </w:rPr>
        <w:t> </w:t>
      </w:r>
      <w:r>
        <w:rPr>
          <w:sz w:val="24"/>
        </w:rPr>
        <w:t>Press,</w:t>
      </w:r>
      <w:r>
        <w:rPr>
          <w:spacing w:val="1"/>
          <w:sz w:val="24"/>
        </w:rPr>
        <w:t> </w:t>
      </w:r>
      <w:r>
        <w:rPr>
          <w:sz w:val="24"/>
        </w:rPr>
        <w:t>New</w:t>
      </w:r>
      <w:r>
        <w:rPr>
          <w:spacing w:val="-1"/>
          <w:sz w:val="24"/>
        </w:rPr>
        <w:t> </w:t>
      </w:r>
      <w:r>
        <w:rPr>
          <w:sz w:val="24"/>
        </w:rPr>
        <w:t>York,</w:t>
      </w:r>
      <w:r>
        <w:rPr>
          <w:spacing w:val="-4"/>
          <w:sz w:val="24"/>
        </w:rPr>
        <w:t> </w:t>
      </w:r>
      <w:r>
        <w:rPr>
          <w:sz w:val="24"/>
        </w:rPr>
        <w:t>p.</w:t>
      </w:r>
      <w:r>
        <w:rPr>
          <w:spacing w:val="-3"/>
          <w:sz w:val="24"/>
        </w:rPr>
        <w:t> </w:t>
      </w:r>
      <w:r>
        <w:rPr>
          <w:spacing w:val="-4"/>
          <w:sz w:val="24"/>
        </w:rPr>
        <w:t>263.</w:t>
      </w:r>
    </w:p>
    <w:p>
      <w:pPr>
        <w:pStyle w:val="BodyText"/>
        <w:spacing w:before="2"/>
      </w:pPr>
    </w:p>
    <w:p>
      <w:pPr>
        <w:pStyle w:val="BodyText"/>
        <w:spacing w:line="237" w:lineRule="auto" w:before="1"/>
        <w:ind w:left="681" w:right="280"/>
        <w:jc w:val="both"/>
      </w:pPr>
      <w:r>
        <w:rPr/>
        <w:t>Mbuba, C.K. and Newton, C.R. (2009). Packages of</w:t>
      </w:r>
      <w:r>
        <w:rPr>
          <w:spacing w:val="-5"/>
        </w:rPr>
        <w:t> </w:t>
      </w:r>
      <w:r>
        <w:rPr/>
        <w:t>care for epilepsy in low and middle- income countries. </w:t>
      </w:r>
      <w:r>
        <w:rPr>
          <w:i/>
        </w:rPr>
        <w:t>PLos Medicine</w:t>
      </w:r>
      <w:r>
        <w:rPr/>
        <w:t>, 6(10): 1-7.</w:t>
      </w:r>
    </w:p>
    <w:p>
      <w:pPr>
        <w:pStyle w:val="BodyText"/>
        <w:spacing w:before="1"/>
      </w:pPr>
    </w:p>
    <w:p>
      <w:pPr>
        <w:pStyle w:val="BodyText"/>
        <w:ind w:left="681" w:right="275"/>
        <w:jc w:val="both"/>
      </w:pPr>
      <w:r>
        <w:rPr/>
        <w:t>McNamara, J.O. (1996). Drugs effective in the management of epilepsies. In: Goodman and</w:t>
      </w:r>
      <w:r>
        <w:rPr>
          <w:spacing w:val="-5"/>
        </w:rPr>
        <w:t> </w:t>
      </w:r>
      <w:r>
        <w:rPr/>
        <w:t>Gilman’s.</w:t>
      </w:r>
      <w:r>
        <w:rPr>
          <w:spacing w:val="-1"/>
        </w:rPr>
        <w:t> </w:t>
      </w:r>
      <w:r>
        <w:rPr>
          <w:i/>
        </w:rPr>
        <w:t>The</w:t>
      </w:r>
      <w:r>
        <w:rPr>
          <w:i/>
          <w:spacing w:val="-6"/>
        </w:rPr>
        <w:t> </w:t>
      </w:r>
      <w:r>
        <w:rPr>
          <w:i/>
        </w:rPr>
        <w:t>pharmacological</w:t>
      </w:r>
      <w:r>
        <w:rPr>
          <w:i/>
          <w:spacing w:val="-5"/>
        </w:rPr>
        <w:t> </w:t>
      </w:r>
      <w:r>
        <w:rPr>
          <w:i/>
        </w:rPr>
        <w:t>Basis</w:t>
      </w:r>
      <w:r>
        <w:rPr>
          <w:i/>
          <w:spacing w:val="-4"/>
        </w:rPr>
        <w:t> </w:t>
      </w:r>
      <w:r>
        <w:rPr>
          <w:i/>
        </w:rPr>
        <w:t>of</w:t>
      </w:r>
      <w:r>
        <w:rPr>
          <w:i/>
          <w:spacing w:val="-5"/>
        </w:rPr>
        <w:t> </w:t>
      </w:r>
      <w:r>
        <w:rPr>
          <w:i/>
        </w:rPr>
        <w:t>Therapeutics</w:t>
      </w:r>
      <w:r>
        <w:rPr/>
        <w:t>.</w:t>
      </w:r>
      <w:r>
        <w:rPr>
          <w:spacing w:val="-3"/>
        </w:rPr>
        <w:t> </w:t>
      </w:r>
      <w:r>
        <w:rPr/>
        <w:t>Hardman,</w:t>
      </w:r>
      <w:r>
        <w:rPr>
          <w:spacing w:val="-3"/>
        </w:rPr>
        <w:t> </w:t>
      </w:r>
      <w:r>
        <w:rPr/>
        <w:t>J.G.,</w:t>
      </w:r>
      <w:r>
        <w:rPr>
          <w:spacing w:val="-7"/>
        </w:rPr>
        <w:t> </w:t>
      </w:r>
      <w:r>
        <w:rPr/>
        <w:t>Limbird,</w:t>
      </w:r>
      <w:r>
        <w:rPr>
          <w:spacing w:val="-3"/>
        </w:rPr>
        <w:t> </w:t>
      </w:r>
      <w:r>
        <w:rPr/>
        <w:t>L.E., Molinoff, P.B., Ruddon, R.W. and Gilman, A.G. (Eds). McGraw-Hill Co. Inc. pp 461- </w:t>
      </w:r>
      <w:r>
        <w:rPr>
          <w:spacing w:val="-4"/>
        </w:rPr>
        <w:t>486.</w:t>
      </w:r>
    </w:p>
    <w:p>
      <w:pPr>
        <w:pStyle w:val="BodyText"/>
        <w:spacing w:before="3"/>
      </w:pPr>
    </w:p>
    <w:p>
      <w:pPr>
        <w:pStyle w:val="BodyText"/>
        <w:spacing w:line="275" w:lineRule="exact"/>
        <w:ind w:left="681"/>
        <w:jc w:val="both"/>
      </w:pPr>
      <w:r>
        <w:rPr/>
        <w:t>McNamara,</w:t>
      </w:r>
      <w:r>
        <w:rPr>
          <w:spacing w:val="19"/>
        </w:rPr>
        <w:t> </w:t>
      </w:r>
      <w:r>
        <w:rPr/>
        <w:t>J.O.</w:t>
      </w:r>
      <w:r>
        <w:rPr>
          <w:spacing w:val="22"/>
        </w:rPr>
        <w:t> </w:t>
      </w:r>
      <w:r>
        <w:rPr/>
        <w:t>(2001).</w:t>
      </w:r>
      <w:r>
        <w:rPr>
          <w:spacing w:val="21"/>
        </w:rPr>
        <w:t> </w:t>
      </w:r>
      <w:r>
        <w:rPr/>
        <w:t>Drugs</w:t>
      </w:r>
      <w:r>
        <w:rPr>
          <w:spacing w:val="18"/>
        </w:rPr>
        <w:t> </w:t>
      </w:r>
      <w:r>
        <w:rPr/>
        <w:t>effective</w:t>
      </w:r>
      <w:r>
        <w:rPr>
          <w:spacing w:val="24"/>
        </w:rPr>
        <w:t> </w:t>
      </w:r>
      <w:r>
        <w:rPr/>
        <w:t>in</w:t>
      </w:r>
      <w:r>
        <w:rPr>
          <w:spacing w:val="20"/>
        </w:rPr>
        <w:t> </w:t>
      </w:r>
      <w:r>
        <w:rPr/>
        <w:t>the</w:t>
      </w:r>
      <w:r>
        <w:rPr>
          <w:spacing w:val="23"/>
        </w:rPr>
        <w:t> </w:t>
      </w:r>
      <w:r>
        <w:rPr/>
        <w:t>therapy</w:t>
      </w:r>
      <w:r>
        <w:rPr>
          <w:spacing w:val="10"/>
        </w:rPr>
        <w:t> </w:t>
      </w:r>
      <w:r>
        <w:rPr/>
        <w:t>of</w:t>
      </w:r>
      <w:r>
        <w:rPr>
          <w:spacing w:val="12"/>
        </w:rPr>
        <w:t> </w:t>
      </w:r>
      <w:r>
        <w:rPr/>
        <w:t>the</w:t>
      </w:r>
      <w:r>
        <w:rPr>
          <w:spacing w:val="18"/>
        </w:rPr>
        <w:t> </w:t>
      </w:r>
      <w:r>
        <w:rPr/>
        <w:t>epilepsies.</w:t>
      </w:r>
      <w:r>
        <w:rPr>
          <w:spacing w:val="22"/>
        </w:rPr>
        <w:t> </w:t>
      </w:r>
      <w:r>
        <w:rPr/>
        <w:t>In:</w:t>
      </w:r>
      <w:r>
        <w:rPr>
          <w:spacing w:val="71"/>
          <w:w w:val="150"/>
        </w:rPr>
        <w:t> </w:t>
      </w:r>
      <w:r>
        <w:rPr>
          <w:spacing w:val="-2"/>
        </w:rPr>
        <w:t>Gilman’s,</w:t>
      </w:r>
    </w:p>
    <w:p>
      <w:pPr>
        <w:spacing w:line="275" w:lineRule="exact" w:before="0"/>
        <w:ind w:left="681" w:right="0" w:firstLine="0"/>
        <w:jc w:val="left"/>
        <w:rPr>
          <w:sz w:val="24"/>
        </w:rPr>
      </w:pPr>
      <w:r>
        <w:rPr>
          <w:sz w:val="24"/>
        </w:rPr>
        <w:t>G.</w:t>
      </w:r>
      <w:r>
        <w:rPr>
          <w:spacing w:val="-2"/>
          <w:sz w:val="24"/>
        </w:rPr>
        <w:t> </w:t>
      </w:r>
      <w:r>
        <w:rPr>
          <w:sz w:val="24"/>
        </w:rPr>
        <w:t>(Ed),</w:t>
      </w:r>
      <w:r>
        <w:rPr>
          <w:spacing w:val="3"/>
          <w:sz w:val="24"/>
        </w:rPr>
        <w:t> </w:t>
      </w:r>
      <w:r>
        <w:rPr>
          <w:i/>
          <w:sz w:val="24"/>
        </w:rPr>
        <w:t>The</w:t>
      </w:r>
      <w:r>
        <w:rPr>
          <w:i/>
          <w:spacing w:val="-6"/>
          <w:sz w:val="24"/>
        </w:rPr>
        <w:t> </w:t>
      </w:r>
      <w:r>
        <w:rPr>
          <w:i/>
          <w:sz w:val="24"/>
        </w:rPr>
        <w:t>Pharmacological</w:t>
      </w:r>
      <w:r>
        <w:rPr>
          <w:i/>
          <w:spacing w:val="-1"/>
          <w:sz w:val="24"/>
        </w:rPr>
        <w:t> </w:t>
      </w:r>
      <w:r>
        <w:rPr>
          <w:i/>
          <w:sz w:val="24"/>
        </w:rPr>
        <w:t>Basis</w:t>
      </w:r>
      <w:r>
        <w:rPr>
          <w:i/>
          <w:spacing w:val="-2"/>
          <w:sz w:val="24"/>
        </w:rPr>
        <w:t> </w:t>
      </w:r>
      <w:r>
        <w:rPr>
          <w:i/>
          <w:sz w:val="24"/>
        </w:rPr>
        <w:t>of Therapeutics</w:t>
      </w:r>
      <w:r>
        <w:rPr>
          <w:sz w:val="24"/>
        </w:rPr>
        <w:t>,</w:t>
      </w:r>
      <w:r>
        <w:rPr>
          <w:spacing w:val="1"/>
          <w:sz w:val="24"/>
        </w:rPr>
        <w:t> </w:t>
      </w:r>
      <w:r>
        <w:rPr>
          <w:sz w:val="24"/>
        </w:rPr>
        <w:t>pp.</w:t>
      </w:r>
      <w:r>
        <w:rPr>
          <w:spacing w:val="2"/>
          <w:sz w:val="24"/>
        </w:rPr>
        <w:t> </w:t>
      </w:r>
      <w:r>
        <w:rPr>
          <w:sz w:val="24"/>
        </w:rPr>
        <w:t>521</w:t>
      </w:r>
      <w:r>
        <w:rPr>
          <w:spacing w:val="-4"/>
          <w:sz w:val="24"/>
        </w:rPr>
        <w:t> </w:t>
      </w:r>
      <w:r>
        <w:rPr>
          <w:sz w:val="24"/>
        </w:rPr>
        <w:t>– </w:t>
      </w:r>
      <w:r>
        <w:rPr>
          <w:spacing w:val="-4"/>
          <w:sz w:val="24"/>
        </w:rPr>
        <w:t>523.</w:t>
      </w:r>
    </w:p>
    <w:p>
      <w:pPr>
        <w:pStyle w:val="BodyText"/>
      </w:pPr>
    </w:p>
    <w:p>
      <w:pPr>
        <w:spacing w:line="240" w:lineRule="auto" w:before="0"/>
        <w:ind w:left="681" w:right="278" w:firstLine="0"/>
        <w:jc w:val="both"/>
        <w:rPr>
          <w:sz w:val="24"/>
        </w:rPr>
      </w:pPr>
      <w:r>
        <w:rPr>
          <w:sz w:val="24"/>
        </w:rPr>
        <w:t>McNamara, J.O. (2006) Pharmacotherapy of the epilepsies, in </w:t>
      </w:r>
      <w:r>
        <w:rPr>
          <w:i/>
          <w:sz w:val="24"/>
        </w:rPr>
        <w:t>Goodman &amp; Gilman’s Pharmacological Basis of Therapeutics</w:t>
      </w:r>
      <w:r>
        <w:rPr>
          <w:sz w:val="24"/>
        </w:rPr>
        <w:t>, 11th ed (Brtunton LL, Lazo JS, Parker KL eds) pp 501–526, McGraw-Hill, New York.</w:t>
      </w:r>
    </w:p>
    <w:p>
      <w:pPr>
        <w:pStyle w:val="BodyText"/>
      </w:pPr>
    </w:p>
    <w:p>
      <w:pPr>
        <w:spacing w:line="240" w:lineRule="auto" w:before="1"/>
        <w:ind w:left="681" w:right="271" w:firstLine="0"/>
        <w:jc w:val="both"/>
        <w:rPr>
          <w:sz w:val="24"/>
        </w:rPr>
      </w:pPr>
      <w:r>
        <w:rPr>
          <w:sz w:val="24"/>
        </w:rPr>
        <w:t>Miller, L.C. and Tainter, M.L. (1994). Estimation of ED</w:t>
      </w:r>
      <w:r>
        <w:rPr>
          <w:sz w:val="24"/>
          <w:vertAlign w:val="subscript"/>
        </w:rPr>
        <w:t>50</w:t>
      </w:r>
      <w:r>
        <w:rPr>
          <w:sz w:val="24"/>
          <w:vertAlign w:val="baseline"/>
        </w:rPr>
        <w:t> and its error by log. Probit graph paper. </w:t>
      </w:r>
      <w:r>
        <w:rPr>
          <w:i/>
          <w:sz w:val="24"/>
          <w:vertAlign w:val="baseline"/>
        </w:rPr>
        <w:t>Proceedings of the Royal Society for Experimental Biology and Medicine</w:t>
      </w:r>
      <w:r>
        <w:rPr>
          <w:sz w:val="24"/>
          <w:vertAlign w:val="baseline"/>
        </w:rPr>
        <w:t>, 57: 261-264.</w:t>
      </w:r>
    </w:p>
    <w:p>
      <w:pPr>
        <w:spacing w:line="240" w:lineRule="auto" w:before="276"/>
        <w:ind w:left="681" w:right="280" w:firstLine="0"/>
        <w:jc w:val="both"/>
        <w:rPr>
          <w:sz w:val="24"/>
        </w:rPr>
      </w:pPr>
      <w:r>
        <w:rPr>
          <w:sz w:val="24"/>
        </w:rPr>
        <w:t>Nagakannan, P., Shivasharan, B.D. Veerapur, V.P. and Thppeswamy, B.S. (2011). Sedative and antiepileptic effects of </w:t>
      </w:r>
      <w:r>
        <w:rPr>
          <w:i/>
          <w:sz w:val="24"/>
        </w:rPr>
        <w:t>Anthocephalus cadamba </w:t>
      </w:r>
      <w:r>
        <w:rPr>
          <w:sz w:val="24"/>
        </w:rPr>
        <w:t>Roxb. in mice and rats. </w:t>
      </w:r>
      <w:r>
        <w:rPr>
          <w:i/>
          <w:sz w:val="24"/>
        </w:rPr>
        <w:t>Indian Journal of Pharmacology</w:t>
      </w:r>
      <w:r>
        <w:rPr>
          <w:sz w:val="24"/>
        </w:rPr>
        <w:t>, 43(6): 699-702.</w:t>
      </w:r>
    </w:p>
    <w:p>
      <w:pPr>
        <w:pStyle w:val="BodyText"/>
      </w:pPr>
    </w:p>
    <w:p>
      <w:pPr>
        <w:pStyle w:val="BodyText"/>
        <w:spacing w:line="242" w:lineRule="auto"/>
        <w:ind w:left="681" w:right="283"/>
        <w:jc w:val="both"/>
      </w:pPr>
      <w:r>
        <w:rPr/>
        <w:t>Nakese, T., Naus, C.C. (2004). Gap junctions and neurological disorders of the central nervous system. </w:t>
      </w:r>
      <w:r>
        <w:rPr>
          <w:i/>
        </w:rPr>
        <w:t>Biochemistry Biophysics Acta</w:t>
      </w:r>
      <w:r>
        <w:rPr/>
        <w:t>, 1662: 149-158.</w:t>
      </w:r>
    </w:p>
    <w:p>
      <w:pPr>
        <w:pStyle w:val="BodyText"/>
      </w:pPr>
    </w:p>
    <w:p>
      <w:pPr>
        <w:spacing w:line="237" w:lineRule="auto" w:before="0"/>
        <w:ind w:left="681" w:right="276" w:firstLine="0"/>
        <w:jc w:val="both"/>
        <w:rPr>
          <w:sz w:val="24"/>
        </w:rPr>
      </w:pPr>
      <w:r>
        <w:rPr>
          <w:sz w:val="24"/>
        </w:rPr>
        <w:t>Nestler, E.J., Hyman, S.E. and Malenka, R.C. (2009). The electrical properties of</w:t>
      </w:r>
      <w:r>
        <w:rPr>
          <w:spacing w:val="40"/>
          <w:sz w:val="24"/>
        </w:rPr>
        <w:t> </w:t>
      </w:r>
      <w:r>
        <w:rPr>
          <w:sz w:val="24"/>
        </w:rPr>
        <w:t>neurons.</w:t>
      </w:r>
      <w:r>
        <w:rPr>
          <w:spacing w:val="28"/>
          <w:sz w:val="24"/>
        </w:rPr>
        <w:t> </w:t>
      </w:r>
      <w:r>
        <w:rPr>
          <w:sz w:val="24"/>
        </w:rPr>
        <w:t>In:</w:t>
      </w:r>
      <w:r>
        <w:rPr>
          <w:spacing w:val="30"/>
          <w:sz w:val="24"/>
        </w:rPr>
        <w:t> </w:t>
      </w:r>
      <w:r>
        <w:rPr>
          <w:i/>
          <w:sz w:val="24"/>
        </w:rPr>
        <w:t>Molecular</w:t>
      </w:r>
      <w:r>
        <w:rPr>
          <w:i/>
          <w:spacing w:val="32"/>
          <w:sz w:val="24"/>
        </w:rPr>
        <w:t> </w:t>
      </w:r>
      <w:r>
        <w:rPr>
          <w:i/>
          <w:sz w:val="24"/>
        </w:rPr>
        <w:t>Neuropharmaacology,</w:t>
      </w:r>
      <w:r>
        <w:rPr>
          <w:i/>
          <w:spacing w:val="29"/>
          <w:sz w:val="24"/>
        </w:rPr>
        <w:t> </w:t>
      </w:r>
      <w:r>
        <w:rPr>
          <w:i/>
          <w:sz w:val="24"/>
        </w:rPr>
        <w:t>a</w:t>
      </w:r>
      <w:r>
        <w:rPr>
          <w:i/>
          <w:spacing w:val="32"/>
          <w:sz w:val="24"/>
        </w:rPr>
        <w:t> </w:t>
      </w:r>
      <w:r>
        <w:rPr>
          <w:i/>
          <w:sz w:val="24"/>
        </w:rPr>
        <w:t>Foundation</w:t>
      </w:r>
      <w:r>
        <w:rPr>
          <w:i/>
          <w:spacing w:val="28"/>
          <w:sz w:val="24"/>
        </w:rPr>
        <w:t> </w:t>
      </w:r>
      <w:r>
        <w:rPr>
          <w:i/>
          <w:sz w:val="24"/>
        </w:rPr>
        <w:t>for</w:t>
      </w:r>
      <w:r>
        <w:rPr>
          <w:i/>
          <w:spacing w:val="25"/>
          <w:sz w:val="24"/>
        </w:rPr>
        <w:t> </w:t>
      </w:r>
      <w:r>
        <w:rPr>
          <w:i/>
          <w:sz w:val="24"/>
        </w:rPr>
        <w:t>Clinical</w:t>
      </w:r>
      <w:r>
        <w:rPr>
          <w:i/>
          <w:spacing w:val="28"/>
          <w:sz w:val="24"/>
        </w:rPr>
        <w:t> </w:t>
      </w:r>
      <w:r>
        <w:rPr>
          <w:i/>
          <w:spacing w:val="-2"/>
          <w:sz w:val="24"/>
        </w:rPr>
        <w:t>Neuroscience</w:t>
      </w:r>
      <w:r>
        <w:rPr>
          <w:spacing w:val="-2"/>
          <w:sz w:val="24"/>
        </w:rPr>
        <w:t>,</w:t>
      </w:r>
    </w:p>
    <w:p>
      <w:pPr>
        <w:pStyle w:val="BodyText"/>
        <w:spacing w:before="3"/>
        <w:ind w:left="681"/>
      </w:pPr>
      <w:r>
        <w:rPr/>
        <w:t>pp.</w:t>
      </w:r>
      <w:r>
        <w:rPr>
          <w:spacing w:val="2"/>
        </w:rPr>
        <w:t> </w:t>
      </w:r>
      <w:r>
        <w:rPr/>
        <w:t>24-48;</w:t>
      </w:r>
      <w:r>
        <w:rPr>
          <w:spacing w:val="-3"/>
        </w:rPr>
        <w:t> </w:t>
      </w:r>
      <w:r>
        <w:rPr/>
        <w:t>p. </w:t>
      </w:r>
      <w:r>
        <w:rPr>
          <w:spacing w:val="-4"/>
        </w:rPr>
        <w:t>367.</w:t>
      </w:r>
    </w:p>
    <w:p>
      <w:pPr>
        <w:spacing w:after="0"/>
        <w:sectPr>
          <w:pgSz w:w="12240" w:h="15840"/>
          <w:pgMar w:header="0" w:footer="1066" w:top="1360" w:bottom="1260" w:left="1480" w:right="1160"/>
        </w:sectPr>
      </w:pPr>
    </w:p>
    <w:p>
      <w:pPr>
        <w:spacing w:line="240" w:lineRule="auto" w:before="72"/>
        <w:ind w:left="681" w:right="277" w:firstLine="0"/>
        <w:jc w:val="both"/>
        <w:rPr>
          <w:sz w:val="24"/>
        </w:rPr>
      </w:pPr>
      <w:r>
        <w:rPr>
          <w:sz w:val="24"/>
        </w:rPr>
        <w:t>N’Gouemo, P., Nguemby-bina, C., Baldy-moulinier, M. (1994). Some neuropharmacological effects of an ethanolic extract of </w:t>
      </w:r>
      <w:r>
        <w:rPr>
          <w:i/>
          <w:sz w:val="24"/>
        </w:rPr>
        <w:t>Maprounea Africana </w:t>
      </w:r>
      <w:r>
        <w:rPr>
          <w:sz w:val="24"/>
        </w:rPr>
        <w:t>in rodents. </w:t>
      </w:r>
      <w:r>
        <w:rPr>
          <w:i/>
          <w:sz w:val="24"/>
        </w:rPr>
        <w:t>Journal of Ethnopharmacology</w:t>
      </w:r>
      <w:r>
        <w:rPr>
          <w:sz w:val="24"/>
        </w:rPr>
        <w:t>, 43: 161-166.</w:t>
      </w:r>
    </w:p>
    <w:p>
      <w:pPr>
        <w:pStyle w:val="BodyText"/>
        <w:spacing w:before="1"/>
      </w:pPr>
    </w:p>
    <w:p>
      <w:pPr>
        <w:spacing w:line="240" w:lineRule="auto" w:before="0"/>
        <w:ind w:left="681" w:right="280" w:firstLine="0"/>
        <w:jc w:val="both"/>
        <w:rPr>
          <w:sz w:val="24"/>
        </w:rPr>
      </w:pPr>
      <w:r>
        <w:rPr>
          <w:sz w:val="24"/>
        </w:rPr>
        <w:t>Nicholas,</w:t>
      </w:r>
      <w:r>
        <w:rPr>
          <w:spacing w:val="-1"/>
          <w:sz w:val="24"/>
        </w:rPr>
        <w:t> </w:t>
      </w:r>
      <w:r>
        <w:rPr>
          <w:sz w:val="24"/>
        </w:rPr>
        <w:t>D.P.,</w:t>
      </w:r>
      <w:r>
        <w:rPr>
          <w:spacing w:val="-1"/>
          <w:sz w:val="24"/>
        </w:rPr>
        <w:t> </w:t>
      </w:r>
      <w:r>
        <w:rPr>
          <w:sz w:val="24"/>
        </w:rPr>
        <w:t>Peter,</w:t>
      </w:r>
      <w:r>
        <w:rPr>
          <w:spacing w:val="-1"/>
          <w:sz w:val="24"/>
        </w:rPr>
        <w:t> </w:t>
      </w:r>
      <w:r>
        <w:rPr>
          <w:sz w:val="24"/>
        </w:rPr>
        <w:t>T.M.,</w:t>
      </w:r>
      <w:r>
        <w:rPr>
          <w:spacing w:val="-1"/>
          <w:sz w:val="24"/>
        </w:rPr>
        <w:t> </w:t>
      </w:r>
      <w:r>
        <w:rPr>
          <w:sz w:val="24"/>
        </w:rPr>
        <w:t>Kenneth, A.S.</w:t>
      </w:r>
      <w:r>
        <w:rPr>
          <w:spacing w:val="-1"/>
          <w:sz w:val="24"/>
        </w:rPr>
        <w:t> </w:t>
      </w:r>
      <w:r>
        <w:rPr>
          <w:sz w:val="24"/>
        </w:rPr>
        <w:t>and Stephen,</w:t>
      </w:r>
      <w:r>
        <w:rPr>
          <w:spacing w:val="-1"/>
          <w:sz w:val="24"/>
        </w:rPr>
        <w:t> </w:t>
      </w:r>
      <w:r>
        <w:rPr>
          <w:sz w:val="24"/>
        </w:rPr>
        <w:t>D.H.</w:t>
      </w:r>
      <w:r>
        <w:rPr>
          <w:spacing w:val="-2"/>
          <w:sz w:val="24"/>
        </w:rPr>
        <w:t> </w:t>
      </w:r>
      <w:r>
        <w:rPr>
          <w:sz w:val="24"/>
        </w:rPr>
        <w:t>(2002).</w:t>
      </w:r>
      <w:r>
        <w:rPr>
          <w:spacing w:val="-1"/>
          <w:sz w:val="24"/>
        </w:rPr>
        <w:t> </w:t>
      </w:r>
      <w:r>
        <w:rPr>
          <w:sz w:val="24"/>
        </w:rPr>
        <w:t>Recent advances</w:t>
      </w:r>
      <w:r>
        <w:rPr>
          <w:spacing w:val="-1"/>
          <w:sz w:val="24"/>
        </w:rPr>
        <w:t> </w:t>
      </w:r>
      <w:r>
        <w:rPr>
          <w:sz w:val="24"/>
        </w:rPr>
        <w:t>in the modulation</w:t>
      </w:r>
      <w:r>
        <w:rPr>
          <w:spacing w:val="-2"/>
          <w:sz w:val="24"/>
        </w:rPr>
        <w:t> </w:t>
      </w:r>
      <w:r>
        <w:rPr>
          <w:sz w:val="24"/>
        </w:rPr>
        <w:t>of</w:t>
      </w:r>
      <w:r>
        <w:rPr>
          <w:spacing w:val="-1"/>
          <w:sz w:val="24"/>
        </w:rPr>
        <w:t> </w:t>
      </w:r>
      <w:r>
        <w:rPr>
          <w:sz w:val="24"/>
        </w:rPr>
        <w:t>voltage-gated ion</w:t>
      </w:r>
      <w:r>
        <w:rPr>
          <w:spacing w:val="-2"/>
          <w:sz w:val="24"/>
        </w:rPr>
        <w:t> </w:t>
      </w:r>
      <w:r>
        <w:rPr>
          <w:sz w:val="24"/>
        </w:rPr>
        <w:t>channels for the treatment of</w:t>
      </w:r>
      <w:r>
        <w:rPr>
          <w:spacing w:val="-5"/>
          <w:sz w:val="24"/>
        </w:rPr>
        <w:t> </w:t>
      </w:r>
      <w:r>
        <w:rPr>
          <w:sz w:val="24"/>
        </w:rPr>
        <w:t>epilepsy. </w:t>
      </w:r>
      <w:r>
        <w:rPr>
          <w:i/>
          <w:sz w:val="24"/>
        </w:rPr>
        <w:t>Current Drug Targets-CNS and Neurological Disorders</w:t>
      </w:r>
      <w:r>
        <w:rPr>
          <w:sz w:val="24"/>
        </w:rPr>
        <w:t>, 1: 81-104.</w:t>
      </w:r>
    </w:p>
    <w:p>
      <w:pPr>
        <w:pStyle w:val="BodyText"/>
        <w:spacing w:before="2"/>
      </w:pPr>
    </w:p>
    <w:p>
      <w:pPr>
        <w:spacing w:line="237" w:lineRule="auto" w:before="0"/>
        <w:ind w:left="681" w:right="279" w:firstLine="0"/>
        <w:jc w:val="both"/>
        <w:rPr>
          <w:sz w:val="24"/>
        </w:rPr>
      </w:pPr>
      <w:r>
        <w:rPr>
          <w:sz w:val="24"/>
        </w:rPr>
        <w:t>OECD (1995). Repeated Dose 28-day Oral Toxicity Study in Rodents. </w:t>
      </w:r>
      <w:r>
        <w:rPr>
          <w:i/>
          <w:sz w:val="24"/>
        </w:rPr>
        <w:t>OECD guideline for testing of chemical</w:t>
      </w:r>
      <w:r>
        <w:rPr>
          <w:sz w:val="24"/>
        </w:rPr>
        <w:t>, 407: 1-8.</w:t>
      </w:r>
    </w:p>
    <w:p>
      <w:pPr>
        <w:pStyle w:val="BodyText"/>
        <w:spacing w:before="1"/>
      </w:pPr>
    </w:p>
    <w:p>
      <w:pPr>
        <w:spacing w:line="242" w:lineRule="auto" w:before="0"/>
        <w:ind w:left="681" w:right="285" w:firstLine="0"/>
        <w:jc w:val="both"/>
        <w:rPr>
          <w:sz w:val="24"/>
        </w:rPr>
      </w:pPr>
      <w:r>
        <w:rPr>
          <w:sz w:val="24"/>
        </w:rPr>
        <w:t>Ogunrin, A.O. (2006). Epilepsy in Nigeria – A review of etiology, epidemiology and management. </w:t>
      </w:r>
      <w:r>
        <w:rPr>
          <w:i/>
          <w:sz w:val="24"/>
        </w:rPr>
        <w:t>Benin Journal of Postgraduate Medicine</w:t>
      </w:r>
      <w:r>
        <w:rPr>
          <w:sz w:val="24"/>
        </w:rPr>
        <w:t>, 8(1): 27-51.</w:t>
      </w:r>
    </w:p>
    <w:p>
      <w:pPr>
        <w:spacing w:line="240" w:lineRule="auto" w:before="273"/>
        <w:ind w:left="681" w:right="275" w:firstLine="0"/>
        <w:jc w:val="both"/>
        <w:rPr>
          <w:sz w:val="24"/>
        </w:rPr>
      </w:pPr>
      <w:r>
        <w:rPr>
          <w:sz w:val="24"/>
        </w:rPr>
        <w:t>Osuide,</w:t>
      </w:r>
      <w:r>
        <w:rPr>
          <w:spacing w:val="-1"/>
          <w:sz w:val="24"/>
        </w:rPr>
        <w:t> </w:t>
      </w:r>
      <w:r>
        <w:rPr>
          <w:sz w:val="24"/>
        </w:rPr>
        <w:t>G.E.</w:t>
      </w:r>
      <w:r>
        <w:rPr>
          <w:spacing w:val="-1"/>
          <w:sz w:val="24"/>
        </w:rPr>
        <w:t> </w:t>
      </w:r>
      <w:r>
        <w:rPr>
          <w:sz w:val="24"/>
        </w:rPr>
        <w:t>and</w:t>
      </w:r>
      <w:r>
        <w:rPr>
          <w:spacing w:val="-3"/>
          <w:sz w:val="24"/>
        </w:rPr>
        <w:t> </w:t>
      </w:r>
      <w:r>
        <w:rPr>
          <w:sz w:val="24"/>
        </w:rPr>
        <w:t>Wambebe,</w:t>
      </w:r>
      <w:r>
        <w:rPr>
          <w:spacing w:val="-1"/>
          <w:sz w:val="24"/>
        </w:rPr>
        <w:t> </w:t>
      </w:r>
      <w:r>
        <w:rPr>
          <w:sz w:val="24"/>
        </w:rPr>
        <w:t>C.</w:t>
      </w:r>
      <w:r>
        <w:rPr>
          <w:spacing w:val="-1"/>
          <w:sz w:val="24"/>
        </w:rPr>
        <w:t> </w:t>
      </w:r>
      <w:r>
        <w:rPr>
          <w:sz w:val="24"/>
        </w:rPr>
        <w:t>(1979).</w:t>
      </w:r>
      <w:r>
        <w:rPr>
          <w:spacing w:val="-6"/>
          <w:sz w:val="24"/>
        </w:rPr>
        <w:t> </w:t>
      </w:r>
      <w:r>
        <w:rPr>
          <w:sz w:val="24"/>
        </w:rPr>
        <w:t>The influence</w:t>
      </w:r>
      <w:r>
        <w:rPr>
          <w:spacing w:val="-4"/>
          <w:sz w:val="24"/>
        </w:rPr>
        <w:t> </w:t>
      </w:r>
      <w:r>
        <w:rPr>
          <w:sz w:val="24"/>
        </w:rPr>
        <w:t>of</w:t>
      </w:r>
      <w:r>
        <w:rPr>
          <w:spacing w:val="-6"/>
          <w:sz w:val="24"/>
        </w:rPr>
        <w:t> </w:t>
      </w:r>
      <w:r>
        <w:rPr>
          <w:sz w:val="24"/>
        </w:rPr>
        <w:t>intraperitoneally</w:t>
      </w:r>
      <w:r>
        <w:rPr>
          <w:spacing w:val="-8"/>
          <w:sz w:val="24"/>
        </w:rPr>
        <w:t> </w:t>
      </w:r>
      <w:r>
        <w:rPr>
          <w:sz w:val="24"/>
        </w:rPr>
        <w:t>administered</w:t>
      </w:r>
      <w:r>
        <w:rPr>
          <w:spacing w:val="-3"/>
          <w:sz w:val="24"/>
        </w:rPr>
        <w:t> </w:t>
      </w:r>
      <w:r>
        <w:rPr>
          <w:sz w:val="24"/>
        </w:rPr>
        <w:t>6- hydrodopamine on electroshock seizure in chicks and rats. </w:t>
      </w:r>
      <w:r>
        <w:rPr>
          <w:i/>
          <w:sz w:val="24"/>
        </w:rPr>
        <w:t>Clinical and Experimental Pharmacology and physiology</w:t>
      </w:r>
      <w:r>
        <w:rPr>
          <w:sz w:val="24"/>
        </w:rPr>
        <w:t>, 6: 367-372.</w:t>
      </w:r>
    </w:p>
    <w:p>
      <w:pPr>
        <w:pStyle w:val="BodyText"/>
        <w:spacing w:before="3"/>
      </w:pPr>
    </w:p>
    <w:p>
      <w:pPr>
        <w:pStyle w:val="BodyText"/>
        <w:spacing w:line="237" w:lineRule="auto"/>
        <w:ind w:left="681" w:right="274"/>
        <w:jc w:val="both"/>
      </w:pPr>
      <w:r>
        <w:rPr/>
        <w:t>Ozbek, H., Ozturk, M., Ozturk, A., Ceylan, E. and Yener, Z. (2004). Determination of Lethal</w:t>
      </w:r>
      <w:r>
        <w:rPr>
          <w:spacing w:val="-4"/>
        </w:rPr>
        <w:t> </w:t>
      </w:r>
      <w:r>
        <w:rPr/>
        <w:t>Doses</w:t>
      </w:r>
      <w:r>
        <w:rPr>
          <w:spacing w:val="-1"/>
        </w:rPr>
        <w:t> </w:t>
      </w:r>
      <w:r>
        <w:rPr/>
        <w:t>of</w:t>
      </w:r>
      <w:r>
        <w:rPr>
          <w:spacing w:val="-7"/>
        </w:rPr>
        <w:t> </w:t>
      </w:r>
      <w:r>
        <w:rPr/>
        <w:t>Volatile and</w:t>
      </w:r>
      <w:r>
        <w:rPr>
          <w:spacing w:val="2"/>
        </w:rPr>
        <w:t> </w:t>
      </w:r>
      <w:r>
        <w:rPr/>
        <w:t>Fixed</w:t>
      </w:r>
      <w:r>
        <w:rPr>
          <w:spacing w:val="1"/>
        </w:rPr>
        <w:t> </w:t>
      </w:r>
      <w:r>
        <w:rPr/>
        <w:t>Oils</w:t>
      </w:r>
      <w:r>
        <w:rPr>
          <w:spacing w:val="-1"/>
        </w:rPr>
        <w:t> </w:t>
      </w:r>
      <w:r>
        <w:rPr/>
        <w:t>of</w:t>
      </w:r>
      <w:r>
        <w:rPr>
          <w:spacing w:val="-7"/>
        </w:rPr>
        <w:t> </w:t>
      </w:r>
      <w:r>
        <w:rPr/>
        <w:t>Several</w:t>
      </w:r>
      <w:r>
        <w:rPr>
          <w:spacing w:val="-3"/>
        </w:rPr>
        <w:t> </w:t>
      </w:r>
      <w:r>
        <w:rPr/>
        <w:t>Plants.</w:t>
      </w:r>
      <w:r>
        <w:rPr>
          <w:spacing w:val="12"/>
        </w:rPr>
        <w:t> </w:t>
      </w:r>
      <w:r>
        <w:rPr>
          <w:i/>
        </w:rPr>
        <w:t>Eastern</w:t>
      </w:r>
      <w:r>
        <w:rPr>
          <w:i/>
          <w:spacing w:val="1"/>
        </w:rPr>
        <w:t> </w:t>
      </w:r>
      <w:r>
        <w:rPr>
          <w:i/>
        </w:rPr>
        <w:t>Journal</w:t>
      </w:r>
      <w:r>
        <w:rPr>
          <w:i/>
          <w:spacing w:val="1"/>
        </w:rPr>
        <w:t> </w:t>
      </w:r>
      <w:r>
        <w:rPr>
          <w:i/>
        </w:rPr>
        <w:t>of</w:t>
      </w:r>
      <w:r>
        <w:rPr>
          <w:i/>
          <w:spacing w:val="1"/>
        </w:rPr>
        <w:t> </w:t>
      </w:r>
      <w:r>
        <w:rPr>
          <w:i/>
        </w:rPr>
        <w:t>Medicine</w:t>
      </w:r>
      <w:r>
        <w:rPr/>
        <w:t>,</w:t>
      </w:r>
      <w:r>
        <w:rPr>
          <w:spacing w:val="-1"/>
        </w:rPr>
        <w:t> </w:t>
      </w:r>
      <w:r>
        <w:rPr>
          <w:spacing w:val="-10"/>
        </w:rPr>
        <w:t>9</w:t>
      </w:r>
    </w:p>
    <w:p>
      <w:pPr>
        <w:pStyle w:val="BodyText"/>
        <w:spacing w:before="4"/>
        <w:ind w:left="681"/>
        <w:jc w:val="both"/>
      </w:pPr>
      <w:r>
        <w:rPr/>
        <w:t>(1): 04-</w:t>
      </w:r>
      <w:r>
        <w:rPr>
          <w:spacing w:val="-5"/>
        </w:rPr>
        <w:t>06.</w:t>
      </w:r>
    </w:p>
    <w:p>
      <w:pPr>
        <w:pStyle w:val="BodyText"/>
        <w:spacing w:before="2"/>
      </w:pPr>
    </w:p>
    <w:p>
      <w:pPr>
        <w:spacing w:line="237" w:lineRule="auto" w:before="0"/>
        <w:ind w:left="681" w:right="279" w:firstLine="0"/>
        <w:jc w:val="both"/>
        <w:rPr>
          <w:sz w:val="24"/>
        </w:rPr>
      </w:pPr>
      <w:r>
        <w:rPr>
          <w:sz w:val="24"/>
        </w:rPr>
        <w:t>Pasquale,</w:t>
      </w:r>
      <w:r>
        <w:rPr>
          <w:spacing w:val="-1"/>
          <w:sz w:val="24"/>
        </w:rPr>
        <w:t> </w:t>
      </w:r>
      <w:r>
        <w:rPr>
          <w:sz w:val="24"/>
        </w:rPr>
        <w:t>S.</w:t>
      </w:r>
      <w:r>
        <w:rPr>
          <w:spacing w:val="-1"/>
          <w:sz w:val="24"/>
        </w:rPr>
        <w:t> </w:t>
      </w:r>
      <w:r>
        <w:rPr>
          <w:sz w:val="24"/>
        </w:rPr>
        <w:t>and</w:t>
      </w:r>
      <w:r>
        <w:rPr>
          <w:spacing w:val="-3"/>
          <w:sz w:val="24"/>
        </w:rPr>
        <w:t> </w:t>
      </w:r>
      <w:r>
        <w:rPr>
          <w:sz w:val="24"/>
        </w:rPr>
        <w:t>Salvatore,</w:t>
      </w:r>
      <w:r>
        <w:rPr>
          <w:spacing w:val="-1"/>
          <w:sz w:val="24"/>
        </w:rPr>
        <w:t> </w:t>
      </w:r>
      <w:r>
        <w:rPr>
          <w:sz w:val="24"/>
        </w:rPr>
        <w:t>S.</w:t>
      </w:r>
      <w:r>
        <w:rPr>
          <w:spacing w:val="-1"/>
          <w:sz w:val="24"/>
        </w:rPr>
        <w:t> </w:t>
      </w:r>
      <w:r>
        <w:rPr>
          <w:sz w:val="24"/>
        </w:rPr>
        <w:t>(2009).</w:t>
      </w:r>
      <w:r>
        <w:rPr>
          <w:spacing w:val="-1"/>
          <w:sz w:val="24"/>
        </w:rPr>
        <w:t> </w:t>
      </w:r>
      <w:r>
        <w:rPr>
          <w:sz w:val="24"/>
        </w:rPr>
        <w:t>New</w:t>
      </w:r>
      <w:r>
        <w:rPr>
          <w:spacing w:val="-4"/>
          <w:sz w:val="24"/>
        </w:rPr>
        <w:t> </w:t>
      </w:r>
      <w:r>
        <w:rPr>
          <w:sz w:val="24"/>
        </w:rPr>
        <w:t>and investigational</w:t>
      </w:r>
      <w:r>
        <w:rPr>
          <w:spacing w:val="-7"/>
          <w:sz w:val="24"/>
        </w:rPr>
        <w:t> </w:t>
      </w:r>
      <w:r>
        <w:rPr>
          <w:sz w:val="24"/>
        </w:rPr>
        <w:t>antiepileptic</w:t>
      </w:r>
      <w:r>
        <w:rPr>
          <w:spacing w:val="-4"/>
          <w:sz w:val="24"/>
        </w:rPr>
        <w:t> </w:t>
      </w:r>
      <w:r>
        <w:rPr>
          <w:sz w:val="24"/>
        </w:rPr>
        <w:t>drugs. </w:t>
      </w:r>
      <w:r>
        <w:rPr>
          <w:i/>
          <w:sz w:val="24"/>
        </w:rPr>
        <w:t>Expert Opinion Investigational Drugs</w:t>
      </w:r>
      <w:r>
        <w:rPr>
          <w:sz w:val="24"/>
        </w:rPr>
        <w:t>, 18(12): 1875-1884.</w:t>
      </w:r>
    </w:p>
    <w:p>
      <w:pPr>
        <w:pStyle w:val="BodyText"/>
        <w:spacing w:before="1"/>
      </w:pPr>
    </w:p>
    <w:p>
      <w:pPr>
        <w:pStyle w:val="BodyText"/>
        <w:spacing w:line="242" w:lineRule="auto"/>
        <w:ind w:left="681" w:right="283"/>
        <w:jc w:val="both"/>
      </w:pPr>
      <w:r>
        <w:rPr/>
        <w:t>Payandeh J, Scheuer, T, Zheng, N. and Catterall, W.A. (2011). The crystal structure of a voltage-gated sodium channel. </w:t>
      </w:r>
      <w:r>
        <w:rPr>
          <w:i/>
        </w:rPr>
        <w:t>Nature, </w:t>
      </w:r>
      <w:r>
        <w:rPr/>
        <w:t>475, 353–358.</w:t>
      </w:r>
    </w:p>
    <w:p>
      <w:pPr>
        <w:pStyle w:val="BodyText"/>
      </w:pPr>
    </w:p>
    <w:p>
      <w:pPr>
        <w:pStyle w:val="BodyText"/>
        <w:spacing w:line="237" w:lineRule="auto"/>
        <w:ind w:left="681" w:right="281"/>
        <w:jc w:val="both"/>
      </w:pPr>
      <w:r>
        <w:rPr/>
        <w:t>Paz, J.T., Bryant, A.S., Peng, K., Fenno, L.,</w:t>
      </w:r>
      <w:r>
        <w:rPr>
          <w:spacing w:val="40"/>
        </w:rPr>
        <w:t> </w:t>
      </w:r>
      <w:r>
        <w:rPr/>
        <w:t>Yizhar, O., Frankel, W.N., Deisseroth</w:t>
      </w:r>
      <w:r>
        <w:rPr>
          <w:b/>
        </w:rPr>
        <w:t>, </w:t>
      </w:r>
      <w:r>
        <w:rPr/>
        <w:t>K. and</w:t>
      </w:r>
      <w:r>
        <w:rPr>
          <w:spacing w:val="6"/>
        </w:rPr>
        <w:t> </w:t>
      </w:r>
      <w:r>
        <w:rPr/>
        <w:t>Huguenard</w:t>
      </w:r>
      <w:r>
        <w:rPr>
          <w:spacing w:val="8"/>
        </w:rPr>
        <w:t> </w:t>
      </w:r>
      <w:r>
        <w:rPr/>
        <w:t>J.R.</w:t>
      </w:r>
      <w:r>
        <w:rPr>
          <w:spacing w:val="10"/>
        </w:rPr>
        <w:t> </w:t>
      </w:r>
      <w:r>
        <w:rPr/>
        <w:t>(2011).</w:t>
      </w:r>
      <w:r>
        <w:rPr>
          <w:spacing w:val="11"/>
        </w:rPr>
        <w:t> </w:t>
      </w:r>
      <w:r>
        <w:rPr/>
        <w:t>A</w:t>
      </w:r>
      <w:r>
        <w:rPr>
          <w:spacing w:val="3"/>
        </w:rPr>
        <w:t> </w:t>
      </w:r>
      <w:r>
        <w:rPr/>
        <w:t>new</w:t>
      </w:r>
      <w:r>
        <w:rPr>
          <w:spacing w:val="13"/>
        </w:rPr>
        <w:t> </w:t>
      </w:r>
      <w:r>
        <w:rPr/>
        <w:t>mode</w:t>
      </w:r>
      <w:r>
        <w:rPr>
          <w:spacing w:val="7"/>
        </w:rPr>
        <w:t> </w:t>
      </w:r>
      <w:r>
        <w:rPr/>
        <w:t>of</w:t>
      </w:r>
      <w:r>
        <w:rPr>
          <w:spacing w:val="1"/>
        </w:rPr>
        <w:t> </w:t>
      </w:r>
      <w:r>
        <w:rPr/>
        <w:t>corticothalamic</w:t>
      </w:r>
      <w:r>
        <w:rPr>
          <w:spacing w:val="7"/>
        </w:rPr>
        <w:t> </w:t>
      </w:r>
      <w:r>
        <w:rPr/>
        <w:t>transmission</w:t>
      </w:r>
      <w:r>
        <w:rPr>
          <w:spacing w:val="4"/>
        </w:rPr>
        <w:t> </w:t>
      </w:r>
      <w:r>
        <w:rPr/>
        <w:t>revealed</w:t>
      </w:r>
      <w:r>
        <w:rPr>
          <w:spacing w:val="13"/>
        </w:rPr>
        <w:t> </w:t>
      </w:r>
      <w:r>
        <w:rPr/>
        <w:t>in</w:t>
      </w:r>
      <w:r>
        <w:rPr>
          <w:spacing w:val="4"/>
        </w:rPr>
        <w:t> </w:t>
      </w:r>
      <w:r>
        <w:rPr>
          <w:spacing w:val="-5"/>
        </w:rPr>
        <w:t>the</w:t>
      </w:r>
    </w:p>
    <w:p>
      <w:pPr>
        <w:spacing w:line="152" w:lineRule="exact" w:before="0"/>
        <w:ind w:left="1252" w:right="0" w:firstLine="0"/>
        <w:jc w:val="left"/>
        <w:rPr>
          <w:sz w:val="16"/>
        </w:rPr>
      </w:pPr>
      <w:r>
        <w:rPr>
          <w:spacing w:val="-5"/>
          <w:sz w:val="16"/>
        </w:rPr>
        <w:t>−/−</w:t>
      </w:r>
    </w:p>
    <w:p>
      <w:pPr>
        <w:tabs>
          <w:tab w:pos="1520" w:val="left" w:leader="none"/>
        </w:tabs>
        <w:spacing w:before="0"/>
        <w:ind w:left="681" w:right="0" w:firstLine="0"/>
        <w:jc w:val="left"/>
        <w:rPr>
          <w:sz w:val="24"/>
        </w:rPr>
      </w:pPr>
      <w:r>
        <w:rPr>
          <w:i/>
          <w:spacing w:val="-2"/>
          <w:sz w:val="24"/>
        </w:rPr>
        <w:t>Gria4</w:t>
      </w:r>
      <w:r>
        <w:rPr>
          <w:i/>
          <w:sz w:val="24"/>
        </w:rPr>
        <w:tab/>
      </w:r>
      <w:r>
        <w:rPr>
          <w:sz w:val="24"/>
        </w:rPr>
        <w:t>model</w:t>
      </w:r>
      <w:r>
        <w:rPr>
          <w:spacing w:val="-10"/>
          <w:sz w:val="24"/>
        </w:rPr>
        <w:t> </w:t>
      </w:r>
      <w:r>
        <w:rPr>
          <w:sz w:val="24"/>
        </w:rPr>
        <w:t>of</w:t>
      </w:r>
      <w:r>
        <w:rPr>
          <w:spacing w:val="-8"/>
          <w:sz w:val="24"/>
        </w:rPr>
        <w:t> </w:t>
      </w:r>
      <w:r>
        <w:rPr>
          <w:sz w:val="24"/>
        </w:rPr>
        <w:t>absence</w:t>
      </w:r>
      <w:r>
        <w:rPr>
          <w:spacing w:val="-1"/>
          <w:sz w:val="24"/>
        </w:rPr>
        <w:t> </w:t>
      </w:r>
      <w:r>
        <w:rPr>
          <w:sz w:val="24"/>
        </w:rPr>
        <w:t>epilepsy.</w:t>
      </w:r>
      <w:r>
        <w:rPr>
          <w:spacing w:val="5"/>
          <w:sz w:val="24"/>
        </w:rPr>
        <w:t> </w:t>
      </w:r>
      <w:r>
        <w:rPr>
          <w:i/>
          <w:sz w:val="24"/>
        </w:rPr>
        <w:t>Nature</w:t>
      </w:r>
      <w:r>
        <w:rPr>
          <w:i/>
          <w:spacing w:val="-1"/>
          <w:sz w:val="24"/>
        </w:rPr>
        <w:t> </w:t>
      </w:r>
      <w:r>
        <w:rPr>
          <w:i/>
          <w:sz w:val="24"/>
        </w:rPr>
        <w:t>Neuroscience,</w:t>
      </w:r>
      <w:r>
        <w:rPr>
          <w:i/>
          <w:spacing w:val="2"/>
          <w:sz w:val="24"/>
        </w:rPr>
        <w:t> </w:t>
      </w:r>
      <w:r>
        <w:rPr>
          <w:sz w:val="24"/>
        </w:rPr>
        <w:t>14(9): 1167-</w:t>
      </w:r>
      <w:r>
        <w:rPr>
          <w:spacing w:val="-2"/>
          <w:sz w:val="24"/>
        </w:rPr>
        <w:t>1175.</w:t>
      </w:r>
    </w:p>
    <w:p>
      <w:pPr>
        <w:pStyle w:val="BodyText"/>
      </w:pPr>
    </w:p>
    <w:p>
      <w:pPr>
        <w:pStyle w:val="BodyText"/>
        <w:ind w:left="681" w:right="284"/>
        <w:jc w:val="both"/>
      </w:pPr>
      <w:r>
        <w:rPr/>
        <w:t>Paz, J.T., Davidson, T.J., Frechette, E.S., Delord, B., Parada, I., Peng, K., Deisseroth K. and Huguenard, J.R. (2012). Closed-loop optogenetic control of thalamus as a tool for interrupting seizures after cortical injury. </w:t>
      </w:r>
      <w:r>
        <w:rPr>
          <w:i/>
        </w:rPr>
        <w:t>Nature Neuroscience,</w:t>
      </w:r>
      <w:r>
        <w:rPr/>
        <w:t>1-10.</w:t>
      </w:r>
    </w:p>
    <w:p>
      <w:pPr>
        <w:pStyle w:val="BodyText"/>
        <w:spacing w:before="1"/>
      </w:pPr>
    </w:p>
    <w:p>
      <w:pPr>
        <w:pStyle w:val="BodyText"/>
        <w:ind w:left="681" w:right="291"/>
        <w:jc w:val="both"/>
      </w:pPr>
      <w:r>
        <w:rPr/>
        <w:t>Pedersen M.E., Vestergaard, H.T., Hansen, S.L. Bah, S., Diallo, D. and Jager, A.K. (2009). Pharmacological screening of Malian medicinal plants used against epilepsy and convulsions. </w:t>
      </w:r>
      <w:r>
        <w:rPr>
          <w:i/>
        </w:rPr>
        <w:t>Journal of Ethnopharmacology, </w:t>
      </w:r>
      <w:r>
        <w:rPr/>
        <w:t>121: 472-475.</w:t>
      </w:r>
    </w:p>
    <w:p>
      <w:pPr>
        <w:pStyle w:val="BodyText"/>
      </w:pPr>
    </w:p>
    <w:p>
      <w:pPr>
        <w:pStyle w:val="BodyText"/>
        <w:spacing w:line="242" w:lineRule="auto" w:before="1"/>
        <w:ind w:left="681" w:right="287"/>
        <w:jc w:val="both"/>
      </w:pPr>
      <w:r>
        <w:rPr/>
        <w:t>Perez, R.M., Perez, J.A., Garcia L.M., Sossa, H.M. (1998). Neuropharmacological activity of solanum nigrum fruit. </w:t>
      </w:r>
      <w:r>
        <w:rPr>
          <w:i/>
        </w:rPr>
        <w:t>Journal of ethnopharmacology</w:t>
      </w:r>
      <w:r>
        <w:rPr/>
        <w:t>, 62: 43-48.</w:t>
      </w:r>
    </w:p>
    <w:p>
      <w:pPr>
        <w:pStyle w:val="BodyText"/>
        <w:spacing w:line="237" w:lineRule="auto" w:before="275"/>
        <w:ind w:left="681" w:right="292"/>
        <w:jc w:val="both"/>
      </w:pPr>
      <w:r>
        <w:rPr/>
        <w:t>Pevarello,</w:t>
      </w:r>
      <w:r>
        <w:rPr>
          <w:spacing w:val="-2"/>
        </w:rPr>
        <w:t> </w:t>
      </w:r>
      <w:r>
        <w:rPr/>
        <w:t>P.,</w:t>
      </w:r>
      <w:r>
        <w:rPr>
          <w:spacing w:val="-2"/>
        </w:rPr>
        <w:t> </w:t>
      </w:r>
      <w:r>
        <w:rPr/>
        <w:t>Bonsignori, A.,</w:t>
      </w:r>
      <w:r>
        <w:rPr>
          <w:spacing w:val="-2"/>
        </w:rPr>
        <w:t> </w:t>
      </w:r>
      <w:r>
        <w:rPr/>
        <w:t>Dostert,</w:t>
      </w:r>
      <w:r>
        <w:rPr>
          <w:spacing w:val="-2"/>
        </w:rPr>
        <w:t> </w:t>
      </w:r>
      <w:r>
        <w:rPr/>
        <w:t>P.,</w:t>
      </w:r>
      <w:r>
        <w:rPr>
          <w:spacing w:val="-2"/>
        </w:rPr>
        <w:t> </w:t>
      </w:r>
      <w:r>
        <w:rPr/>
        <w:t>Heidempergher,</w:t>
      </w:r>
      <w:r>
        <w:rPr>
          <w:spacing w:val="-2"/>
        </w:rPr>
        <w:t> </w:t>
      </w:r>
      <w:r>
        <w:rPr/>
        <w:t>F.,</w:t>
      </w:r>
      <w:r>
        <w:rPr>
          <w:spacing w:val="-2"/>
        </w:rPr>
        <w:t> </w:t>
      </w:r>
      <w:r>
        <w:rPr/>
        <w:t>Pinciroli, V.,</w:t>
      </w:r>
      <w:r>
        <w:rPr>
          <w:spacing w:val="-2"/>
        </w:rPr>
        <w:t> </w:t>
      </w:r>
      <w:r>
        <w:rPr/>
        <w:t>Colombo,</w:t>
      </w:r>
      <w:r>
        <w:rPr>
          <w:spacing w:val="-2"/>
        </w:rPr>
        <w:t> </w:t>
      </w:r>
      <w:r>
        <w:rPr/>
        <w:t>M., McArthur, R.A.,</w:t>
      </w:r>
      <w:r>
        <w:rPr>
          <w:spacing w:val="1"/>
        </w:rPr>
        <w:t> </w:t>
      </w:r>
      <w:r>
        <w:rPr/>
        <w:t>Salvati,</w:t>
      </w:r>
      <w:r>
        <w:rPr>
          <w:spacing w:val="1"/>
        </w:rPr>
        <w:t> </w:t>
      </w:r>
      <w:r>
        <w:rPr/>
        <w:t>P.,</w:t>
      </w:r>
      <w:r>
        <w:rPr>
          <w:spacing w:val="1"/>
        </w:rPr>
        <w:t> </w:t>
      </w:r>
      <w:r>
        <w:rPr/>
        <w:t>Post, C.,</w:t>
      </w:r>
      <w:r>
        <w:rPr>
          <w:spacing w:val="1"/>
        </w:rPr>
        <w:t> </w:t>
      </w:r>
      <w:r>
        <w:rPr/>
        <w:t>Fariello,</w:t>
      </w:r>
      <w:r>
        <w:rPr>
          <w:spacing w:val="1"/>
        </w:rPr>
        <w:t> </w:t>
      </w:r>
      <w:r>
        <w:rPr/>
        <w:t>R.G. and</w:t>
      </w:r>
      <w:r>
        <w:rPr>
          <w:spacing w:val="3"/>
        </w:rPr>
        <w:t> </w:t>
      </w:r>
      <w:r>
        <w:rPr/>
        <w:t>Varasi,</w:t>
      </w:r>
      <w:r>
        <w:rPr>
          <w:spacing w:val="5"/>
        </w:rPr>
        <w:t> </w:t>
      </w:r>
      <w:r>
        <w:rPr/>
        <w:t>M.</w:t>
      </w:r>
      <w:r>
        <w:rPr>
          <w:spacing w:val="1"/>
        </w:rPr>
        <w:t> </w:t>
      </w:r>
      <w:r>
        <w:rPr/>
        <w:t>(1998).</w:t>
      </w:r>
      <w:r>
        <w:rPr>
          <w:spacing w:val="1"/>
        </w:rPr>
        <w:t> </w:t>
      </w:r>
      <w:r>
        <w:rPr/>
        <w:t>Synthesis</w:t>
      </w:r>
      <w:r>
        <w:rPr>
          <w:spacing w:val="1"/>
        </w:rPr>
        <w:t> </w:t>
      </w:r>
      <w:r>
        <w:rPr>
          <w:spacing w:val="-5"/>
        </w:rPr>
        <w:t>and</w:t>
      </w:r>
    </w:p>
    <w:p>
      <w:pPr>
        <w:spacing w:after="0" w:line="237" w:lineRule="auto"/>
        <w:jc w:val="both"/>
        <w:sectPr>
          <w:pgSz w:w="12240" w:h="15840"/>
          <w:pgMar w:header="0" w:footer="1066" w:top="1360" w:bottom="1260" w:left="1480" w:right="1160"/>
        </w:sectPr>
      </w:pPr>
    </w:p>
    <w:p>
      <w:pPr>
        <w:pStyle w:val="BodyText"/>
        <w:spacing w:line="275" w:lineRule="exact" w:before="72"/>
        <w:ind w:left="681"/>
      </w:pPr>
      <w:r>
        <w:rPr/>
        <w:t>anticonvulsant</w:t>
      </w:r>
      <w:r>
        <w:rPr>
          <w:spacing w:val="45"/>
        </w:rPr>
        <w:t> </w:t>
      </w:r>
      <w:r>
        <w:rPr/>
        <w:t>activity</w:t>
      </w:r>
      <w:r>
        <w:rPr>
          <w:spacing w:val="38"/>
        </w:rPr>
        <w:t> </w:t>
      </w:r>
      <w:r>
        <w:rPr/>
        <w:t>of</w:t>
      </w:r>
      <w:r>
        <w:rPr>
          <w:spacing w:val="40"/>
        </w:rPr>
        <w:t> </w:t>
      </w:r>
      <w:r>
        <w:rPr/>
        <w:t>a</w:t>
      </w:r>
      <w:r>
        <w:rPr>
          <w:spacing w:val="46"/>
        </w:rPr>
        <w:t> </w:t>
      </w:r>
      <w:r>
        <w:rPr/>
        <w:t>new</w:t>
      </w:r>
      <w:r>
        <w:rPr>
          <w:spacing w:val="42"/>
        </w:rPr>
        <w:t> </w:t>
      </w:r>
      <w:r>
        <w:rPr/>
        <w:t>class</w:t>
      </w:r>
      <w:r>
        <w:rPr>
          <w:spacing w:val="44"/>
        </w:rPr>
        <w:t> </w:t>
      </w:r>
      <w:r>
        <w:rPr/>
        <w:t>of</w:t>
      </w:r>
      <w:r>
        <w:rPr>
          <w:spacing w:val="35"/>
        </w:rPr>
        <w:t> </w:t>
      </w:r>
      <w:r>
        <w:rPr/>
        <w:t>2-[(arylalkyl)amino]</w:t>
      </w:r>
      <w:r>
        <w:rPr>
          <w:spacing w:val="44"/>
        </w:rPr>
        <w:t> </w:t>
      </w:r>
      <w:r>
        <w:rPr/>
        <w:t>alkanamide</w:t>
      </w:r>
      <w:r>
        <w:rPr>
          <w:spacing w:val="42"/>
        </w:rPr>
        <w:t> </w:t>
      </w:r>
      <w:r>
        <w:rPr>
          <w:spacing w:val="-2"/>
        </w:rPr>
        <w:t>derivatives.</w:t>
      </w:r>
    </w:p>
    <w:p>
      <w:pPr>
        <w:spacing w:line="275" w:lineRule="exact" w:before="0"/>
        <w:ind w:left="681" w:right="0" w:firstLine="0"/>
        <w:jc w:val="left"/>
        <w:rPr>
          <w:sz w:val="24"/>
        </w:rPr>
      </w:pPr>
      <w:r>
        <w:rPr>
          <w:i/>
          <w:sz w:val="24"/>
        </w:rPr>
        <w:t>Journal of Medicinal Chemistry</w:t>
      </w:r>
      <w:r>
        <w:rPr>
          <w:sz w:val="24"/>
        </w:rPr>
        <w:t>,</w:t>
      </w:r>
      <w:r>
        <w:rPr>
          <w:spacing w:val="2"/>
          <w:sz w:val="24"/>
        </w:rPr>
        <w:t> </w:t>
      </w:r>
      <w:r>
        <w:rPr>
          <w:sz w:val="24"/>
        </w:rPr>
        <w:t>41:</w:t>
      </w:r>
      <w:r>
        <w:rPr>
          <w:spacing w:val="-4"/>
          <w:sz w:val="24"/>
        </w:rPr>
        <w:t> </w:t>
      </w:r>
      <w:r>
        <w:rPr>
          <w:sz w:val="24"/>
        </w:rPr>
        <w:t>579-</w:t>
      </w:r>
      <w:r>
        <w:rPr>
          <w:spacing w:val="-4"/>
          <w:sz w:val="24"/>
        </w:rPr>
        <w:t>590.</w:t>
      </w:r>
    </w:p>
    <w:p>
      <w:pPr>
        <w:pStyle w:val="BodyText"/>
      </w:pPr>
    </w:p>
    <w:p>
      <w:pPr>
        <w:pStyle w:val="BodyText"/>
        <w:spacing w:line="242" w:lineRule="auto"/>
        <w:ind w:left="681" w:right="280"/>
        <w:jc w:val="both"/>
      </w:pPr>
      <w:r>
        <w:rPr/>
        <w:t>Porter, R.J., Cereghino, J.J. and Gladding, G.D. (1984). Antiepileptic drug development program. </w:t>
      </w:r>
      <w:r>
        <w:rPr>
          <w:i/>
        </w:rPr>
        <w:t>Cleve Clinical, </w:t>
      </w:r>
      <w:r>
        <w:rPr/>
        <w:t>51: 293-305).</w:t>
      </w:r>
    </w:p>
    <w:p>
      <w:pPr>
        <w:pStyle w:val="BodyText"/>
        <w:ind w:left="681" w:right="280"/>
        <w:jc w:val="both"/>
      </w:pPr>
      <w:r>
        <w:rPr/>
        <w:t>Rajabzadeh, A., Bideskan, A.E., Fazel, A., Sankian, M., Rafatpanah, H. and Haghir, H. (2012). The effect of</w:t>
      </w:r>
      <w:r>
        <w:rPr>
          <w:spacing w:val="-3"/>
        </w:rPr>
        <w:t> </w:t>
      </w:r>
      <w:r>
        <w:rPr/>
        <w:t>PTZ-induced epileptic seizures on hippocampal</w:t>
      </w:r>
      <w:r>
        <w:rPr>
          <w:spacing w:val="-5"/>
        </w:rPr>
        <w:t> </w:t>
      </w:r>
      <w:r>
        <w:rPr/>
        <w:t>expression of PSA- NCAM in offspring born to kindled rats. </w:t>
      </w:r>
      <w:r>
        <w:rPr>
          <w:i/>
        </w:rPr>
        <w:t>Journal of Biomedical Science, </w:t>
      </w:r>
      <w:r>
        <w:rPr/>
        <w:t>19(1): 56-64.</w:t>
      </w:r>
    </w:p>
    <w:p>
      <w:pPr>
        <w:pStyle w:val="BodyText"/>
        <w:spacing w:line="242" w:lineRule="auto" w:before="271"/>
        <w:ind w:left="681" w:right="276"/>
        <w:jc w:val="both"/>
      </w:pPr>
      <w:r>
        <w:rPr/>
        <w:t>Rang, H.P., Dale, M.M., Ritter, J.M. and Moore, P.K. (2003). </w:t>
      </w:r>
      <w:r>
        <w:rPr>
          <w:i/>
        </w:rPr>
        <w:t>Pharmacology</w:t>
      </w:r>
      <w:r>
        <w:rPr/>
        <w:t>, 5</w:t>
      </w:r>
      <w:r>
        <w:rPr>
          <w:vertAlign w:val="superscript"/>
        </w:rPr>
        <w:t>th</w:t>
      </w:r>
      <w:r>
        <w:rPr>
          <w:vertAlign w:val="baseline"/>
        </w:rPr>
        <w:t> ed. Philadelphia: Churchil Livingstone, Elsevier Science Ltd.</w:t>
      </w:r>
    </w:p>
    <w:p>
      <w:pPr>
        <w:pStyle w:val="BodyText"/>
      </w:pPr>
    </w:p>
    <w:p>
      <w:pPr>
        <w:pStyle w:val="BodyText"/>
        <w:spacing w:line="237" w:lineRule="auto"/>
        <w:ind w:left="681" w:right="276"/>
        <w:jc w:val="both"/>
      </w:pPr>
      <w:r>
        <w:rPr/>
        <w:t>Rang, H.P., Dale, M.M., Ritter, J.M. and Moore, P.K. (2007). </w:t>
      </w:r>
      <w:r>
        <w:rPr>
          <w:i/>
        </w:rPr>
        <w:t>Pharmacology</w:t>
      </w:r>
      <w:r>
        <w:rPr/>
        <w:t>, 6</w:t>
      </w:r>
      <w:r>
        <w:rPr>
          <w:vertAlign w:val="superscript"/>
        </w:rPr>
        <w:t>th</w:t>
      </w:r>
      <w:r>
        <w:rPr>
          <w:vertAlign w:val="baseline"/>
        </w:rPr>
        <w:t> ed. Philadelphia: Churchil Livingstone, Elsevier Science Ltd. pp.575-587.</w:t>
      </w:r>
    </w:p>
    <w:p>
      <w:pPr>
        <w:pStyle w:val="BodyText"/>
        <w:spacing w:before="1"/>
      </w:pPr>
    </w:p>
    <w:p>
      <w:pPr>
        <w:pStyle w:val="BodyText"/>
        <w:ind w:left="681" w:right="273"/>
        <w:jc w:val="both"/>
      </w:pPr>
      <w:r>
        <w:rPr/>
        <w:t>Raza, M., Shaheen, F., Choudhary, M.I., Suria, A., Attaur-Rahman, Sombati, S. and DeLorenzo, R.J. (2001). Anticonvulsant activities of the FS-1 subfraction isolated from roots of Delphinium denudatum</w:t>
      </w:r>
      <w:r>
        <w:rPr>
          <w:i/>
        </w:rPr>
        <w:t>. Phytotherapy Research</w:t>
      </w:r>
      <w:r>
        <w:rPr/>
        <w:t>, 15: 426-430.</w:t>
      </w:r>
    </w:p>
    <w:p>
      <w:pPr>
        <w:pStyle w:val="BodyText"/>
      </w:pPr>
    </w:p>
    <w:p>
      <w:pPr>
        <w:spacing w:line="242" w:lineRule="auto" w:before="1"/>
        <w:ind w:left="681" w:right="273" w:firstLine="0"/>
        <w:jc w:val="both"/>
        <w:rPr>
          <w:sz w:val="24"/>
        </w:rPr>
      </w:pPr>
      <w:r>
        <w:rPr>
          <w:sz w:val="24"/>
        </w:rPr>
        <w:t>Rehni, A.K. and Singh, N. (2009). Reversal of PTZ-induced seizure activity in mice by nickel chloride. </w:t>
      </w:r>
      <w:r>
        <w:rPr>
          <w:i/>
          <w:sz w:val="24"/>
        </w:rPr>
        <w:t>Indian Journal of Pharmacology</w:t>
      </w:r>
      <w:r>
        <w:rPr>
          <w:sz w:val="24"/>
        </w:rPr>
        <w:t>, 41(1): 15-18.</w:t>
      </w:r>
    </w:p>
    <w:p>
      <w:pPr>
        <w:pStyle w:val="BodyText"/>
        <w:spacing w:before="273"/>
        <w:ind w:left="681" w:right="283"/>
        <w:jc w:val="both"/>
      </w:pPr>
      <w:r>
        <w:rPr/>
        <w:t>Reichling, D.B., Kyrozis, A., Wang, J. and Macdermott, A.B. (1994). Mechanisms of GABA and glycine depolarization-induced calcium transients in rat dorsal horn neurons. </w:t>
      </w:r>
      <w:r>
        <w:rPr>
          <w:i/>
        </w:rPr>
        <w:t>Journal of Physiology, </w:t>
      </w:r>
      <w:r>
        <w:rPr/>
        <w:t>476: 411–421.</w:t>
      </w:r>
    </w:p>
    <w:p>
      <w:pPr>
        <w:pStyle w:val="BodyText"/>
      </w:pPr>
    </w:p>
    <w:p>
      <w:pPr>
        <w:pStyle w:val="BodyText"/>
        <w:spacing w:line="275" w:lineRule="exact"/>
        <w:ind w:left="738"/>
      </w:pPr>
      <w:r>
        <w:rPr/>
        <w:t>Rho, J.M.</w:t>
      </w:r>
      <w:r>
        <w:rPr>
          <w:spacing w:val="3"/>
        </w:rPr>
        <w:t> </w:t>
      </w:r>
      <w:r>
        <w:rPr/>
        <w:t>and</w:t>
      </w:r>
      <w:r>
        <w:rPr>
          <w:spacing w:val="5"/>
        </w:rPr>
        <w:t> </w:t>
      </w:r>
      <w:r>
        <w:rPr/>
        <w:t>Sankar,</w:t>
      </w:r>
      <w:r>
        <w:rPr>
          <w:spacing w:val="3"/>
        </w:rPr>
        <w:t> </w:t>
      </w:r>
      <w:r>
        <w:rPr/>
        <w:t>R.</w:t>
      </w:r>
      <w:r>
        <w:rPr>
          <w:spacing w:val="3"/>
        </w:rPr>
        <w:t> </w:t>
      </w:r>
      <w:r>
        <w:rPr/>
        <w:t>(1999).</w:t>
      </w:r>
      <w:r>
        <w:rPr>
          <w:spacing w:val="3"/>
        </w:rPr>
        <w:t> </w:t>
      </w:r>
      <w:r>
        <w:rPr/>
        <w:t>The pharmacological</w:t>
      </w:r>
      <w:r>
        <w:rPr>
          <w:spacing w:val="1"/>
        </w:rPr>
        <w:t> </w:t>
      </w:r>
      <w:r>
        <w:rPr/>
        <w:t>basis</w:t>
      </w:r>
      <w:r>
        <w:rPr>
          <w:spacing w:val="3"/>
        </w:rPr>
        <w:t> </w:t>
      </w:r>
      <w:r>
        <w:rPr/>
        <w:t>of</w:t>
      </w:r>
      <w:r>
        <w:rPr>
          <w:spacing w:val="-6"/>
        </w:rPr>
        <w:t> </w:t>
      </w:r>
      <w:r>
        <w:rPr/>
        <w:t>antiepileptic</w:t>
      </w:r>
      <w:r>
        <w:rPr>
          <w:spacing w:val="3"/>
        </w:rPr>
        <w:t> </w:t>
      </w:r>
      <w:r>
        <w:rPr/>
        <w:t>drug</w:t>
      </w:r>
      <w:r>
        <w:rPr>
          <w:spacing w:val="2"/>
        </w:rPr>
        <w:t> </w:t>
      </w:r>
      <w:r>
        <w:rPr>
          <w:spacing w:val="-2"/>
        </w:rPr>
        <w:t>action.</w:t>
      </w:r>
    </w:p>
    <w:p>
      <w:pPr>
        <w:spacing w:line="275" w:lineRule="exact" w:before="0"/>
        <w:ind w:left="681" w:right="0" w:firstLine="0"/>
        <w:jc w:val="left"/>
        <w:rPr>
          <w:sz w:val="24"/>
        </w:rPr>
      </w:pPr>
      <w:r>
        <w:rPr>
          <w:i/>
          <w:sz w:val="24"/>
        </w:rPr>
        <w:t>Epilepsia</w:t>
      </w:r>
      <w:r>
        <w:rPr>
          <w:sz w:val="24"/>
        </w:rPr>
        <w:t>,</w:t>
      </w:r>
      <w:r>
        <w:rPr>
          <w:spacing w:val="4"/>
          <w:sz w:val="24"/>
        </w:rPr>
        <w:t> </w:t>
      </w:r>
      <w:r>
        <w:rPr>
          <w:sz w:val="24"/>
        </w:rPr>
        <w:t>40:</w:t>
      </w:r>
      <w:r>
        <w:rPr>
          <w:spacing w:val="-3"/>
          <w:sz w:val="24"/>
        </w:rPr>
        <w:t> </w:t>
      </w:r>
      <w:r>
        <w:rPr>
          <w:sz w:val="24"/>
        </w:rPr>
        <w:t>1471-</w:t>
      </w:r>
      <w:r>
        <w:rPr>
          <w:spacing w:val="-2"/>
          <w:sz w:val="24"/>
        </w:rPr>
        <w:t>1483.</w:t>
      </w:r>
    </w:p>
    <w:p>
      <w:pPr>
        <w:pStyle w:val="BodyText"/>
      </w:pPr>
    </w:p>
    <w:p>
      <w:pPr>
        <w:pStyle w:val="BodyText"/>
        <w:ind w:left="681" w:right="271"/>
        <w:jc w:val="both"/>
      </w:pPr>
      <w:r>
        <w:rPr/>
        <w:t>Rivera, M., Patel, M.K. and Zuliani, V. (2012). Inhibition of NaV1.6 sodium channel currents by a novel series of 1,4-disubstituted-triazole derivatives obtained via copper- catalyzed click chemistry. </w:t>
      </w:r>
      <w:r>
        <w:rPr>
          <w:i/>
        </w:rPr>
        <w:t>Bioorganic and Medicinal Chemistry</w:t>
      </w:r>
      <w:r>
        <w:rPr/>
        <w:t>, 22: 6401-6404.</w:t>
      </w:r>
    </w:p>
    <w:p>
      <w:pPr>
        <w:pStyle w:val="BodyText"/>
      </w:pPr>
    </w:p>
    <w:p>
      <w:pPr>
        <w:pStyle w:val="BodyText"/>
        <w:spacing w:line="242" w:lineRule="auto"/>
        <w:ind w:left="681" w:right="280"/>
        <w:jc w:val="both"/>
      </w:pPr>
      <w:r>
        <w:rPr/>
        <w:t>Rivera, C., Voipio, J. and Payne, J.A. (1999). The K/Cl co-transporter KCC2 renders GABA hyperpolarizing during neuronal maturation. </w:t>
      </w:r>
      <w:r>
        <w:rPr>
          <w:i/>
        </w:rPr>
        <w:t>Nature</w:t>
      </w:r>
      <w:r>
        <w:rPr/>
        <w:t>, 397: 251-255.</w:t>
      </w:r>
    </w:p>
    <w:p>
      <w:pPr>
        <w:pStyle w:val="BodyText"/>
        <w:spacing w:before="274"/>
        <w:ind w:left="681" w:right="277"/>
        <w:jc w:val="both"/>
      </w:pPr>
      <w:r>
        <w:rPr/>
        <w:t>Robertson, D.W., Leander, J.T., Lawson, R., Beedle, E.E., Clark, C.R., Potts, B.D. and Parli, C.J. (1987). Discovery</w:t>
      </w:r>
      <w:r>
        <w:rPr>
          <w:spacing w:val="-2"/>
        </w:rPr>
        <w:t> </w:t>
      </w:r>
      <w:r>
        <w:rPr/>
        <w:t>and anticonvulsant activity</w:t>
      </w:r>
      <w:r>
        <w:rPr>
          <w:spacing w:val="-2"/>
        </w:rPr>
        <w:t> </w:t>
      </w:r>
      <w:r>
        <w:rPr/>
        <w:t>of</w:t>
      </w:r>
      <w:r>
        <w:rPr>
          <w:spacing w:val="-5"/>
        </w:rPr>
        <w:t> </w:t>
      </w:r>
      <w:r>
        <w:rPr/>
        <w:t>the potent metabolic inhibitor 4-amino-N-(2,6-dimethylphenyl)-3,5-dimethylbenzamide. </w:t>
      </w:r>
      <w:r>
        <w:rPr>
          <w:i/>
        </w:rPr>
        <w:t>Journal of Medicinal Chemistry</w:t>
      </w:r>
      <w:r>
        <w:rPr/>
        <w:t>, 30(10):1742-1746.</w:t>
      </w:r>
    </w:p>
    <w:p>
      <w:pPr>
        <w:spacing w:line="242" w:lineRule="auto" w:before="274"/>
        <w:ind w:left="681" w:right="278" w:firstLine="0"/>
        <w:jc w:val="both"/>
        <w:rPr>
          <w:sz w:val="24"/>
        </w:rPr>
      </w:pPr>
      <w:r>
        <w:rPr>
          <w:sz w:val="24"/>
        </w:rPr>
        <w:t>Rogawski MA and Loscher W (2004) The neurobiology of antiepileptic drugs. </w:t>
      </w:r>
      <w:r>
        <w:rPr>
          <w:i/>
          <w:sz w:val="24"/>
        </w:rPr>
        <w:t>Nature Review Neuroscience, </w:t>
      </w:r>
      <w:r>
        <w:rPr>
          <w:sz w:val="24"/>
        </w:rPr>
        <w:t>5</w:t>
      </w:r>
      <w:r>
        <w:rPr>
          <w:b/>
          <w:sz w:val="24"/>
        </w:rPr>
        <w:t>:</w:t>
      </w:r>
      <w:r>
        <w:rPr>
          <w:sz w:val="24"/>
        </w:rPr>
        <w:t>553–564.</w:t>
      </w:r>
    </w:p>
    <w:p>
      <w:pPr>
        <w:spacing w:after="0" w:line="242" w:lineRule="auto"/>
        <w:jc w:val="both"/>
        <w:rPr>
          <w:sz w:val="24"/>
        </w:rPr>
        <w:sectPr>
          <w:pgSz w:w="12240" w:h="15840"/>
          <w:pgMar w:header="0" w:footer="1066" w:top="1360" w:bottom="1260" w:left="1480" w:right="1160"/>
        </w:sectPr>
      </w:pPr>
    </w:p>
    <w:p>
      <w:pPr>
        <w:pStyle w:val="BodyText"/>
        <w:spacing w:before="72"/>
        <w:ind w:left="681" w:right="276"/>
        <w:jc w:val="both"/>
      </w:pPr>
      <w:r>
        <w:rPr/>
        <w:t>Rogawski, M.A. and Porter</w:t>
      </w:r>
      <w:r>
        <w:rPr>
          <w:b/>
        </w:rPr>
        <w:t>, </w:t>
      </w:r>
      <w:r>
        <w:rPr/>
        <w:t>R.J. (1990). Antiepileptic drugs: Pharmacological mechanisms and clinical efficacy with consideration of promising developmental stage compounds. </w:t>
      </w:r>
      <w:r>
        <w:rPr>
          <w:i/>
        </w:rPr>
        <w:t>Pharmacology Review</w:t>
      </w:r>
      <w:r>
        <w:rPr/>
        <w:t>, 42: 223-286.</w:t>
      </w:r>
    </w:p>
    <w:p>
      <w:pPr>
        <w:pStyle w:val="BodyText"/>
        <w:spacing w:before="1"/>
      </w:pPr>
    </w:p>
    <w:p>
      <w:pPr>
        <w:spacing w:line="240" w:lineRule="auto" w:before="0"/>
        <w:ind w:left="681" w:right="274" w:firstLine="0"/>
        <w:jc w:val="both"/>
        <w:rPr>
          <w:sz w:val="24"/>
        </w:rPr>
      </w:pPr>
      <w:r>
        <w:rPr>
          <w:sz w:val="24"/>
        </w:rPr>
        <w:t>Roger, J.P. and Brians, S.M. (2004). Antiseizure Drugs. </w:t>
      </w:r>
      <w:r>
        <w:rPr>
          <w:i/>
          <w:sz w:val="24"/>
        </w:rPr>
        <w:t>In</w:t>
      </w:r>
      <w:r>
        <w:rPr>
          <w:sz w:val="24"/>
        </w:rPr>
        <w:t>: Katzung, B.G, (Ed). </w:t>
      </w:r>
      <w:r>
        <w:rPr>
          <w:i/>
          <w:sz w:val="24"/>
        </w:rPr>
        <w:t>Basic and Clinical Evaluation of New Drugs</w:t>
      </w:r>
      <w:r>
        <w:rPr>
          <w:sz w:val="24"/>
        </w:rPr>
        <w:t>, Lange Medical Books/ McGraw-Hill Medical Publishing Division.</w:t>
      </w:r>
    </w:p>
    <w:p>
      <w:pPr>
        <w:pStyle w:val="BodyText"/>
        <w:spacing w:line="242" w:lineRule="auto"/>
        <w:ind w:left="681" w:right="292"/>
        <w:jc w:val="both"/>
      </w:pPr>
      <w:r>
        <w:rPr/>
        <w:t>Russel, M.S. and Frances, E.J. (2001).</w:t>
      </w:r>
      <w:r>
        <w:rPr>
          <w:spacing w:val="40"/>
        </w:rPr>
        <w:t> </w:t>
      </w:r>
      <w:r>
        <w:rPr/>
        <w:t>Maturstional</w:t>
      </w:r>
      <w:r>
        <w:rPr>
          <w:spacing w:val="-7"/>
        </w:rPr>
        <w:t> </w:t>
      </w:r>
      <w:r>
        <w:rPr/>
        <w:t>aspects of</w:t>
      </w:r>
      <w:r>
        <w:rPr>
          <w:spacing w:val="-5"/>
        </w:rPr>
        <w:t> </w:t>
      </w:r>
      <w:r>
        <w:rPr/>
        <w:t>epilepsy mechanisms and consequences for the immature brain. </w:t>
      </w:r>
      <w:r>
        <w:rPr>
          <w:i/>
        </w:rPr>
        <w:t>Epilepsia</w:t>
      </w:r>
      <w:r>
        <w:rPr/>
        <w:t>, 42(5): 577-585.</w:t>
      </w:r>
    </w:p>
    <w:p>
      <w:pPr>
        <w:pStyle w:val="BodyText"/>
        <w:spacing w:before="271"/>
        <w:ind w:left="681" w:right="269"/>
        <w:jc w:val="both"/>
      </w:pPr>
      <w:r>
        <w:rPr/>
        <w:t>Sandrini, M. Marrama, D., Vergoni, A.V. and Bertolini, A. (1992). Repeated administration of triiodothyronine enhances the susceptibility of rats to isoniazid- and picrotoxin-induceed seizures. </w:t>
      </w:r>
      <w:r>
        <w:rPr>
          <w:i/>
        </w:rPr>
        <w:t>Life Science</w:t>
      </w:r>
      <w:r>
        <w:rPr/>
        <w:t>, 51: 765-770.</w:t>
      </w:r>
    </w:p>
    <w:p>
      <w:pPr>
        <w:pStyle w:val="BodyText"/>
        <w:spacing w:before="2"/>
      </w:pPr>
    </w:p>
    <w:p>
      <w:pPr>
        <w:pStyle w:val="BodyText"/>
        <w:spacing w:line="237" w:lineRule="auto"/>
        <w:ind w:left="681" w:right="278"/>
        <w:jc w:val="both"/>
      </w:pPr>
      <w:r>
        <w:rPr/>
        <w:t>Schlam, O.W., Jain, N.C. and Caroll, E.J. (1975). Veterinary haematotology, 3</w:t>
      </w:r>
      <w:r>
        <w:rPr>
          <w:vertAlign w:val="superscript"/>
        </w:rPr>
        <w:t>rd</w:t>
      </w:r>
      <w:r>
        <w:rPr>
          <w:vertAlign w:val="baseline"/>
        </w:rPr>
        <w:t> ed. Lea and Tebiger Publishers, Philadelphia, 207-209.</w:t>
      </w:r>
    </w:p>
    <w:p>
      <w:pPr>
        <w:pStyle w:val="BodyText"/>
        <w:spacing w:before="1"/>
      </w:pPr>
    </w:p>
    <w:p>
      <w:pPr>
        <w:pStyle w:val="BodyText"/>
        <w:spacing w:before="1"/>
        <w:ind w:left="681" w:right="275"/>
        <w:jc w:val="both"/>
      </w:pPr>
      <w:r>
        <w:rPr/>
        <w:t>Shindikar, A.V., Khan, F. and Viswanathan, C.L. (2006). Design, synthesis and invivo anticonvulsant screening in mice of novel phenylacetamides. </w:t>
      </w:r>
      <w:r>
        <w:rPr>
          <w:i/>
        </w:rPr>
        <w:t>European Journal of Medicinal Chemistry</w:t>
      </w:r>
      <w:r>
        <w:rPr/>
        <w:t>, 41: 786-792.</w:t>
      </w:r>
    </w:p>
    <w:p>
      <w:pPr>
        <w:pStyle w:val="BodyText"/>
      </w:pPr>
    </w:p>
    <w:p>
      <w:pPr>
        <w:pStyle w:val="BodyText"/>
        <w:ind w:left="681" w:right="280"/>
        <w:jc w:val="both"/>
      </w:pPr>
      <w:r>
        <w:rPr/>
        <w:t>Siddiqui,</w:t>
      </w:r>
      <w:r>
        <w:rPr>
          <w:spacing w:val="-2"/>
        </w:rPr>
        <w:t> </w:t>
      </w:r>
      <w:r>
        <w:rPr/>
        <w:t>N.,</w:t>
      </w:r>
      <w:r>
        <w:rPr>
          <w:spacing w:val="-2"/>
        </w:rPr>
        <w:t> </w:t>
      </w:r>
      <w:r>
        <w:rPr/>
        <w:t>Rana,</w:t>
      </w:r>
      <w:r>
        <w:rPr>
          <w:spacing w:val="-2"/>
        </w:rPr>
        <w:t> </w:t>
      </w:r>
      <w:r>
        <w:rPr/>
        <w:t>A.,</w:t>
      </w:r>
      <w:r>
        <w:rPr>
          <w:spacing w:val="-2"/>
        </w:rPr>
        <w:t> </w:t>
      </w:r>
      <w:r>
        <w:rPr/>
        <w:t>Khan,</w:t>
      </w:r>
      <w:r>
        <w:rPr>
          <w:spacing w:val="-2"/>
        </w:rPr>
        <w:t> </w:t>
      </w:r>
      <w:r>
        <w:rPr/>
        <w:t>S.A.,</w:t>
      </w:r>
      <w:r>
        <w:rPr>
          <w:spacing w:val="-2"/>
        </w:rPr>
        <w:t> </w:t>
      </w:r>
      <w:r>
        <w:rPr/>
        <w:t>Haque,</w:t>
      </w:r>
      <w:r>
        <w:rPr>
          <w:spacing w:val="-2"/>
        </w:rPr>
        <w:t> </w:t>
      </w:r>
      <w:r>
        <w:rPr/>
        <w:t>S.E.,</w:t>
      </w:r>
      <w:r>
        <w:rPr>
          <w:spacing w:val="-2"/>
        </w:rPr>
        <w:t> </w:t>
      </w:r>
      <w:r>
        <w:rPr/>
        <w:t>Arshad,</w:t>
      </w:r>
      <w:r>
        <w:rPr>
          <w:spacing w:val="-2"/>
        </w:rPr>
        <w:t> </w:t>
      </w:r>
      <w:r>
        <w:rPr/>
        <w:t>M.F.,</w:t>
      </w:r>
      <w:r>
        <w:rPr>
          <w:spacing w:val="-2"/>
        </w:rPr>
        <w:t> </w:t>
      </w:r>
      <w:r>
        <w:rPr/>
        <w:t>Ahmed,</w:t>
      </w:r>
      <w:r>
        <w:rPr>
          <w:spacing w:val="-2"/>
        </w:rPr>
        <w:t> </w:t>
      </w:r>
      <w:r>
        <w:rPr/>
        <w:t>S.</w:t>
      </w:r>
      <w:r>
        <w:rPr>
          <w:spacing w:val="-2"/>
        </w:rPr>
        <w:t> </w:t>
      </w:r>
      <w:r>
        <w:rPr/>
        <w:t>and</w:t>
      </w:r>
      <w:r>
        <w:rPr>
          <w:spacing w:val="-4"/>
        </w:rPr>
        <w:t> </w:t>
      </w:r>
      <w:r>
        <w:rPr/>
        <w:t>Ahsan, W. (2009). Synthesis and preliminary screening of benzothiazol-2-yl thiadiazole derivatives for anticonvulsant activity. </w:t>
      </w:r>
      <w:r>
        <w:rPr>
          <w:i/>
        </w:rPr>
        <w:t>Acta Pharma</w:t>
      </w:r>
      <w:r>
        <w:rPr/>
        <w:t>, 59: 441-451.</w:t>
      </w:r>
    </w:p>
    <w:p>
      <w:pPr>
        <w:pStyle w:val="BodyText"/>
      </w:pPr>
    </w:p>
    <w:p>
      <w:pPr>
        <w:pStyle w:val="BodyText"/>
        <w:spacing w:line="242" w:lineRule="auto"/>
        <w:ind w:left="681" w:right="288"/>
        <w:jc w:val="both"/>
      </w:pPr>
      <w:r>
        <w:rPr/>
        <w:t>Sigma Diagnostic (1985). Transaminase (ALT/GPT) and (AST/GOT). Procedure No. </w:t>
      </w:r>
      <w:r>
        <w:rPr>
          <w:spacing w:val="-4"/>
        </w:rPr>
        <w:t>505.</w:t>
      </w:r>
    </w:p>
    <w:p>
      <w:pPr>
        <w:pStyle w:val="BodyText"/>
      </w:pPr>
    </w:p>
    <w:p>
      <w:pPr>
        <w:pStyle w:val="BodyText"/>
        <w:spacing w:line="237" w:lineRule="auto"/>
        <w:ind w:left="681" w:right="283"/>
        <w:jc w:val="both"/>
      </w:pPr>
      <w:r>
        <w:rPr/>
        <w:t>Sigma Diagnostic (1987). ALP Optimised Alkaline Phosphatase. Procedure No. DG </w:t>
      </w:r>
      <w:r>
        <w:rPr>
          <w:spacing w:val="-2"/>
        </w:rPr>
        <w:t>1245.</w:t>
      </w:r>
    </w:p>
    <w:p>
      <w:pPr>
        <w:pStyle w:val="BodyText"/>
        <w:spacing w:before="1"/>
      </w:pPr>
    </w:p>
    <w:p>
      <w:pPr>
        <w:spacing w:line="242" w:lineRule="auto" w:before="0"/>
        <w:ind w:left="681" w:right="291" w:firstLine="0"/>
        <w:jc w:val="both"/>
        <w:rPr>
          <w:sz w:val="24"/>
        </w:rPr>
      </w:pPr>
      <w:r>
        <w:rPr>
          <w:sz w:val="24"/>
        </w:rPr>
        <w:t>Singh, D. and Goel, R.K. (2010). Proconvulsant potential of cyproheptadine in experimental animal models. </w:t>
      </w:r>
      <w:r>
        <w:rPr>
          <w:i/>
          <w:sz w:val="24"/>
        </w:rPr>
        <w:t>Fundamental and Clinical Pharmacology</w:t>
      </w:r>
      <w:r>
        <w:rPr>
          <w:sz w:val="24"/>
        </w:rPr>
        <w:t>, 24(4): 451-455.</w:t>
      </w:r>
    </w:p>
    <w:p>
      <w:pPr>
        <w:pStyle w:val="BodyText"/>
        <w:spacing w:before="273"/>
        <w:ind w:left="681" w:right="275"/>
        <w:jc w:val="both"/>
      </w:pPr>
      <w:r>
        <w:rPr/>
        <w:t>Sokolov,</w:t>
      </w:r>
      <w:r>
        <w:rPr>
          <w:spacing w:val="-1"/>
        </w:rPr>
        <w:t> </w:t>
      </w:r>
      <w:r>
        <w:rPr/>
        <w:t>S.,</w:t>
      </w:r>
      <w:r>
        <w:rPr>
          <w:spacing w:val="-1"/>
        </w:rPr>
        <w:t> </w:t>
      </w:r>
      <w:r>
        <w:rPr/>
        <w:t>Scheuer,</w:t>
      </w:r>
      <w:r>
        <w:rPr>
          <w:spacing w:val="-1"/>
        </w:rPr>
        <w:t> </w:t>
      </w:r>
      <w:r>
        <w:rPr/>
        <w:t>T.</w:t>
      </w:r>
      <w:r>
        <w:rPr>
          <w:spacing w:val="-1"/>
        </w:rPr>
        <w:t> </w:t>
      </w:r>
      <w:r>
        <w:rPr/>
        <w:t>and Catterall, W.A.</w:t>
      </w:r>
      <w:r>
        <w:rPr>
          <w:spacing w:val="-1"/>
        </w:rPr>
        <w:t> </w:t>
      </w:r>
      <w:r>
        <w:rPr/>
        <w:t>(2008).</w:t>
      </w:r>
      <w:r>
        <w:rPr>
          <w:spacing w:val="-1"/>
        </w:rPr>
        <w:t> </w:t>
      </w:r>
      <w:r>
        <w:rPr/>
        <w:t>Depolarization-activated</w:t>
      </w:r>
      <w:r>
        <w:rPr>
          <w:spacing w:val="-3"/>
        </w:rPr>
        <w:t> </w:t>
      </w:r>
      <w:r>
        <w:rPr/>
        <w:t>gating</w:t>
      </w:r>
      <w:r>
        <w:rPr>
          <w:spacing w:val="-3"/>
        </w:rPr>
        <w:t> </w:t>
      </w:r>
      <w:r>
        <w:rPr/>
        <w:t>pore current conducted by mutant sodium channels in potassium-sensitive normokalemic periodic paralysis. </w:t>
      </w:r>
      <w:r>
        <w:rPr>
          <w:i/>
        </w:rPr>
        <w:t>Proc Natl Acad Sci USA </w:t>
      </w:r>
      <w:r>
        <w:rPr/>
        <w:t>105, 19980–19985.</w:t>
      </w:r>
    </w:p>
    <w:p>
      <w:pPr>
        <w:pStyle w:val="BodyText"/>
      </w:pPr>
    </w:p>
    <w:p>
      <w:pPr>
        <w:pStyle w:val="BodyText"/>
        <w:ind w:left="681" w:right="279"/>
        <w:jc w:val="both"/>
      </w:pPr>
      <w:r>
        <w:rPr/>
        <w:t>Soulimani, R., Younus, C., Jamouni-Idrissi, S.,Bousa, D., Khalonki, F. and Haila, A. (2001). Behavioral and pharmacological study of Papaver rhoeas L. in mice. </w:t>
      </w:r>
      <w:r>
        <w:rPr>
          <w:i/>
        </w:rPr>
        <w:t>Journal of Ethnopharmacology, </w:t>
      </w:r>
      <w:r>
        <w:rPr/>
        <w:t>74: 265-274.</w:t>
      </w:r>
    </w:p>
    <w:p>
      <w:pPr>
        <w:pStyle w:val="BodyText"/>
        <w:spacing w:before="1"/>
      </w:pPr>
    </w:p>
    <w:p>
      <w:pPr>
        <w:pStyle w:val="BodyText"/>
        <w:ind w:left="681" w:right="266"/>
        <w:jc w:val="both"/>
      </w:pPr>
      <w:r>
        <w:rPr/>
        <w:t>Spampanato, J., Escayg, A., Meisler, M.H.</w:t>
      </w:r>
      <w:r>
        <w:rPr>
          <w:spacing w:val="-1"/>
        </w:rPr>
        <w:t> </w:t>
      </w:r>
      <w:r>
        <w:rPr/>
        <w:t>and</w:t>
      </w:r>
      <w:r>
        <w:rPr>
          <w:spacing w:val="-2"/>
        </w:rPr>
        <w:t> </w:t>
      </w:r>
      <w:r>
        <w:rPr/>
        <w:t>Goldin, A.L. (2001). Functional</w:t>
      </w:r>
      <w:r>
        <w:rPr>
          <w:spacing w:val="-7"/>
        </w:rPr>
        <w:t> </w:t>
      </w:r>
      <w:r>
        <w:rPr/>
        <w:t>effects</w:t>
      </w:r>
      <w:r>
        <w:rPr>
          <w:spacing w:val="-2"/>
        </w:rPr>
        <w:t> </w:t>
      </w:r>
      <w:r>
        <w:rPr/>
        <w:t>of two voltage-gated sodium channel mutations that cause generalized epilepsy with febrile seizures plus type 2. </w:t>
      </w:r>
      <w:r>
        <w:rPr>
          <w:i/>
        </w:rPr>
        <w:t>Journal of</w:t>
      </w:r>
      <w:r>
        <w:rPr>
          <w:i/>
          <w:spacing w:val="40"/>
        </w:rPr>
        <w:t> </w:t>
      </w:r>
      <w:r>
        <w:rPr>
          <w:i/>
        </w:rPr>
        <w:t>Neuroscencei </w:t>
      </w:r>
      <w:r>
        <w:rPr/>
        <w:t>21</w:t>
      </w:r>
      <w:r>
        <w:rPr>
          <w:b/>
        </w:rPr>
        <w:t>:</w:t>
      </w:r>
      <w:r>
        <w:rPr/>
        <w:t>7481–7490.</w:t>
      </w:r>
    </w:p>
    <w:p>
      <w:pPr>
        <w:spacing w:after="0"/>
        <w:jc w:val="both"/>
        <w:sectPr>
          <w:pgSz w:w="12240" w:h="15840"/>
          <w:pgMar w:header="0" w:footer="1066" w:top="1360" w:bottom="1260" w:left="1480" w:right="1160"/>
        </w:sectPr>
      </w:pPr>
    </w:p>
    <w:p>
      <w:pPr>
        <w:pStyle w:val="BodyText"/>
        <w:spacing w:before="72"/>
        <w:ind w:left="681" w:right="282"/>
        <w:jc w:val="both"/>
      </w:pPr>
      <w:r>
        <w:rPr/>
        <w:t>Stables, J.P. and Kupferberg, H.J. (1997). The NIH anticonvulsant drug development (ADD) program: preclinical anticonvulsant screening project. In: Avanzini, G., Regesta, G., Tanganelli, I. and Avoli, M. (Eds). </w:t>
      </w:r>
      <w:r>
        <w:rPr>
          <w:i/>
        </w:rPr>
        <w:t>Molecular and Cellular Target for antiepileptic drugs</w:t>
      </w:r>
      <w:r>
        <w:rPr/>
        <w:t>. John Libbey and Company Ltd. pp. 191-198.</w:t>
      </w:r>
    </w:p>
    <w:p>
      <w:pPr>
        <w:pStyle w:val="BodyText"/>
        <w:spacing w:before="274"/>
        <w:ind w:left="681"/>
        <w:jc w:val="both"/>
      </w:pPr>
      <w:r>
        <w:rPr/>
        <w:t>Stanley,</w:t>
      </w:r>
      <w:r>
        <w:rPr>
          <w:spacing w:val="12"/>
        </w:rPr>
        <w:t> </w:t>
      </w:r>
      <w:r>
        <w:rPr/>
        <w:t>J.L.,</w:t>
      </w:r>
      <w:r>
        <w:rPr>
          <w:spacing w:val="9"/>
        </w:rPr>
        <w:t> </w:t>
      </w:r>
      <w:r>
        <w:rPr/>
        <w:t>Lincoln,</w:t>
      </w:r>
      <w:r>
        <w:rPr>
          <w:spacing w:val="14"/>
        </w:rPr>
        <w:t> </w:t>
      </w:r>
      <w:r>
        <w:rPr/>
        <w:t>R.J.,</w:t>
      </w:r>
      <w:r>
        <w:rPr>
          <w:spacing w:val="10"/>
        </w:rPr>
        <w:t> </w:t>
      </w:r>
      <w:r>
        <w:rPr/>
        <w:t>Brown,</w:t>
      </w:r>
      <w:r>
        <w:rPr>
          <w:spacing w:val="9"/>
        </w:rPr>
        <w:t> </w:t>
      </w:r>
      <w:r>
        <w:rPr/>
        <w:t>I.A.,</w:t>
      </w:r>
      <w:r>
        <w:rPr>
          <w:spacing w:val="10"/>
        </w:rPr>
        <w:t> </w:t>
      </w:r>
      <w:r>
        <w:rPr/>
        <w:t>McDonald,</w:t>
      </w:r>
      <w:r>
        <w:rPr>
          <w:spacing w:val="9"/>
        </w:rPr>
        <w:t> </w:t>
      </w:r>
      <w:r>
        <w:rPr/>
        <w:t>L.M.,</w:t>
      </w:r>
      <w:r>
        <w:rPr>
          <w:spacing w:val="9"/>
        </w:rPr>
        <w:t> </w:t>
      </w:r>
      <w:r>
        <w:rPr/>
        <w:t>Dawson,</w:t>
      </w:r>
      <w:r>
        <w:rPr>
          <w:spacing w:val="10"/>
        </w:rPr>
        <w:t> </w:t>
      </w:r>
      <w:r>
        <w:rPr/>
        <w:t>G.R.</w:t>
      </w:r>
      <w:r>
        <w:rPr>
          <w:spacing w:val="9"/>
        </w:rPr>
        <w:t> </w:t>
      </w:r>
      <w:r>
        <w:rPr/>
        <w:t>and</w:t>
      </w:r>
      <w:r>
        <w:rPr>
          <w:spacing w:val="13"/>
        </w:rPr>
        <w:t> </w:t>
      </w:r>
      <w:r>
        <w:rPr>
          <w:spacing w:val="-2"/>
        </w:rPr>
        <w:t>Reynolds,</w:t>
      </w:r>
    </w:p>
    <w:p>
      <w:pPr>
        <w:pStyle w:val="BodyText"/>
        <w:spacing w:before="3"/>
        <w:ind w:left="681" w:right="279"/>
        <w:jc w:val="both"/>
      </w:pPr>
      <w:r>
        <w:rPr/>
        <w:t>D.S. (2005). The mouse beam walking assay offers improved sensitivity over the mouse rotarod</w:t>
      </w:r>
      <w:r>
        <w:rPr>
          <w:spacing w:val="-4"/>
        </w:rPr>
        <w:t> </w:t>
      </w:r>
      <w:r>
        <w:rPr/>
        <w:t>in</w:t>
      </w:r>
      <w:r>
        <w:rPr>
          <w:spacing w:val="-8"/>
        </w:rPr>
        <w:t> </w:t>
      </w:r>
      <w:r>
        <w:rPr/>
        <w:t>determining motor</w:t>
      </w:r>
      <w:r>
        <w:rPr>
          <w:spacing w:val="-3"/>
        </w:rPr>
        <w:t> </w:t>
      </w:r>
      <w:r>
        <w:rPr/>
        <w:t>coordination</w:t>
      </w:r>
      <w:r>
        <w:rPr>
          <w:spacing w:val="-8"/>
        </w:rPr>
        <w:t> </w:t>
      </w:r>
      <w:r>
        <w:rPr/>
        <w:t>deficits</w:t>
      </w:r>
      <w:r>
        <w:rPr>
          <w:spacing w:val="-2"/>
        </w:rPr>
        <w:t> </w:t>
      </w:r>
      <w:r>
        <w:rPr/>
        <w:t>induced by</w:t>
      </w:r>
      <w:r>
        <w:rPr>
          <w:spacing w:val="-4"/>
        </w:rPr>
        <w:t> </w:t>
      </w:r>
      <w:r>
        <w:rPr/>
        <w:t>benzodiazepine. </w:t>
      </w:r>
      <w:r>
        <w:rPr>
          <w:i/>
        </w:rPr>
        <w:t>Journal</w:t>
      </w:r>
      <w:r>
        <w:rPr>
          <w:i/>
          <w:spacing w:val="-4"/>
        </w:rPr>
        <w:t> </w:t>
      </w:r>
      <w:r>
        <w:rPr>
          <w:i/>
        </w:rPr>
        <w:t>of Psychopharmacology</w:t>
      </w:r>
      <w:r>
        <w:rPr/>
        <w:t>, 19(3): 221-227).</w:t>
      </w:r>
    </w:p>
    <w:p>
      <w:pPr>
        <w:pStyle w:val="BodyText"/>
        <w:spacing w:before="2"/>
      </w:pPr>
    </w:p>
    <w:p>
      <w:pPr>
        <w:spacing w:line="237" w:lineRule="auto" w:before="0"/>
        <w:ind w:left="681" w:right="274" w:firstLine="0"/>
        <w:jc w:val="both"/>
        <w:rPr>
          <w:sz w:val="24"/>
        </w:rPr>
      </w:pPr>
      <w:r>
        <w:rPr>
          <w:sz w:val="24"/>
        </w:rPr>
        <w:t>Steve, E. and Marcel, J.D.G (2009). Subtype-selective Targetting of Voltage-gated Sodium Channels. </w:t>
      </w:r>
      <w:r>
        <w:rPr>
          <w:i/>
          <w:sz w:val="24"/>
        </w:rPr>
        <w:t>British Journal of Pharmacology, </w:t>
      </w:r>
      <w:r>
        <w:rPr>
          <w:sz w:val="24"/>
        </w:rPr>
        <w:t>158: 1413-1425.</w:t>
      </w:r>
    </w:p>
    <w:p>
      <w:pPr>
        <w:pStyle w:val="BodyText"/>
        <w:spacing w:before="1"/>
      </w:pPr>
    </w:p>
    <w:p>
      <w:pPr>
        <w:pStyle w:val="BodyText"/>
        <w:spacing w:line="242" w:lineRule="auto"/>
        <w:ind w:left="681" w:right="292"/>
        <w:jc w:val="both"/>
      </w:pPr>
      <w:r>
        <w:rPr/>
        <w:t>Swann, J.W., Pierson, M.G. and Smith, K.L. (1999). Developmental neuroplasticity:</w:t>
      </w:r>
      <w:r>
        <w:rPr>
          <w:spacing w:val="40"/>
        </w:rPr>
        <w:t> </w:t>
      </w:r>
      <w:r>
        <w:rPr/>
        <w:t>roles in early life seizures and chronic epilepsy. </w:t>
      </w:r>
      <w:r>
        <w:rPr>
          <w:i/>
        </w:rPr>
        <w:t>Advance Neurology, </w:t>
      </w:r>
      <w:r>
        <w:rPr/>
        <w:t>79: 203-216.</w:t>
      </w:r>
    </w:p>
    <w:p>
      <w:pPr>
        <w:pStyle w:val="BodyText"/>
      </w:pPr>
    </w:p>
    <w:p>
      <w:pPr>
        <w:pStyle w:val="BodyText"/>
        <w:spacing w:line="237" w:lineRule="auto"/>
        <w:ind w:left="681" w:right="282"/>
        <w:jc w:val="both"/>
      </w:pPr>
      <w:r>
        <w:rPr/>
        <w:t>Swinyard, E.A. (1969). Laboratory evaluation of antiepileptic drugs. Reviews of Laboratory methods. </w:t>
      </w:r>
      <w:r>
        <w:rPr>
          <w:i/>
        </w:rPr>
        <w:t>Epilepsia</w:t>
      </w:r>
      <w:r>
        <w:rPr/>
        <w:t>, 10: 107-119.</w:t>
      </w:r>
    </w:p>
    <w:p>
      <w:pPr>
        <w:pStyle w:val="BodyText"/>
        <w:spacing w:before="1"/>
      </w:pPr>
    </w:p>
    <w:p>
      <w:pPr>
        <w:pStyle w:val="BodyText"/>
        <w:ind w:left="681" w:right="276"/>
        <w:jc w:val="both"/>
      </w:pPr>
      <w:r>
        <w:rPr/>
        <w:t>Swinyard, E.A. (1972). Electrically induced convulsions. </w:t>
      </w:r>
      <w:r>
        <w:rPr>
          <w:i/>
        </w:rPr>
        <w:t>In</w:t>
      </w:r>
      <w:r>
        <w:rPr/>
        <w:t>: Purpura, D.P., Penry, J.K., Tower,</w:t>
      </w:r>
      <w:r>
        <w:rPr>
          <w:spacing w:val="-2"/>
        </w:rPr>
        <w:t> </w:t>
      </w:r>
      <w:r>
        <w:rPr/>
        <w:t>D.B.,</w:t>
      </w:r>
      <w:r>
        <w:rPr>
          <w:spacing w:val="-2"/>
        </w:rPr>
        <w:t> </w:t>
      </w:r>
      <w:r>
        <w:rPr/>
        <w:t>Woodbury,</w:t>
      </w:r>
      <w:r>
        <w:rPr>
          <w:spacing w:val="-2"/>
        </w:rPr>
        <w:t> </w:t>
      </w:r>
      <w:r>
        <w:rPr/>
        <w:t>D.M.</w:t>
      </w:r>
      <w:r>
        <w:rPr>
          <w:spacing w:val="-2"/>
        </w:rPr>
        <w:t> </w:t>
      </w:r>
      <w:r>
        <w:rPr/>
        <w:t>and</w:t>
      </w:r>
      <w:r>
        <w:rPr>
          <w:spacing w:val="-1"/>
        </w:rPr>
        <w:t> </w:t>
      </w:r>
      <w:r>
        <w:rPr/>
        <w:t>Walter,</w:t>
      </w:r>
      <w:r>
        <w:rPr>
          <w:spacing w:val="-2"/>
        </w:rPr>
        <w:t> </w:t>
      </w:r>
      <w:r>
        <w:rPr/>
        <w:t>R.D.</w:t>
      </w:r>
      <w:r>
        <w:rPr>
          <w:spacing w:val="-3"/>
        </w:rPr>
        <w:t> </w:t>
      </w:r>
      <w:r>
        <w:rPr/>
        <w:t>(Eds). </w:t>
      </w:r>
      <w:r>
        <w:rPr>
          <w:i/>
        </w:rPr>
        <w:t>Experimental</w:t>
      </w:r>
      <w:r>
        <w:rPr>
          <w:i/>
          <w:spacing w:val="-4"/>
        </w:rPr>
        <w:t> </w:t>
      </w:r>
      <w:r>
        <w:rPr>
          <w:i/>
        </w:rPr>
        <w:t>Models</w:t>
      </w:r>
      <w:r>
        <w:rPr>
          <w:i/>
          <w:spacing w:val="-6"/>
        </w:rPr>
        <w:t> </w:t>
      </w:r>
      <w:r>
        <w:rPr>
          <w:i/>
        </w:rPr>
        <w:t>of Epilepsy</w:t>
      </w:r>
      <w:r>
        <w:rPr/>
        <w:t>. A manual for the laboratory worker, Raven press: New York, pp. 433-458.</w:t>
      </w:r>
    </w:p>
    <w:p>
      <w:pPr>
        <w:pStyle w:val="BodyText"/>
      </w:pPr>
    </w:p>
    <w:p>
      <w:pPr>
        <w:pStyle w:val="BodyText"/>
        <w:spacing w:line="242" w:lineRule="auto" w:before="1"/>
        <w:ind w:left="681" w:right="286"/>
        <w:jc w:val="both"/>
      </w:pPr>
      <w:r>
        <w:rPr/>
        <w:t>Swinyard, E.A. and Kupberg, H.J. (1985). Antiepileptic drugs: detection, quantification and evaluation. </w:t>
      </w:r>
      <w:r>
        <w:rPr>
          <w:i/>
        </w:rPr>
        <w:t>Fed proc. </w:t>
      </w:r>
      <w:r>
        <w:rPr/>
        <w:t>44: 39-43.</w:t>
      </w:r>
    </w:p>
    <w:p>
      <w:pPr>
        <w:pStyle w:val="BodyText"/>
        <w:spacing w:before="273"/>
        <w:ind w:left="681" w:right="282"/>
        <w:jc w:val="both"/>
      </w:pPr>
      <w:r>
        <w:rPr/>
        <w:t>Swinyard, E.A., Woodhead, J.H., White, H.S. and Franklin, M.R. (1989). General principles: experimental selection, quantification and evaluation of anticonvulsants. In: </w:t>
      </w:r>
      <w:r>
        <w:rPr>
          <w:i/>
        </w:rPr>
        <w:t>Antiepileptic</w:t>
      </w:r>
      <w:r>
        <w:rPr>
          <w:i/>
          <w:spacing w:val="-1"/>
        </w:rPr>
        <w:t> </w:t>
      </w:r>
      <w:r>
        <w:rPr>
          <w:i/>
        </w:rPr>
        <w:t>Drugs</w:t>
      </w:r>
      <w:r>
        <w:rPr/>
        <w:t>, Third</w:t>
      </w:r>
      <w:r>
        <w:rPr>
          <w:spacing w:val="-1"/>
        </w:rPr>
        <w:t> </w:t>
      </w:r>
      <w:r>
        <w:rPr/>
        <w:t>Edition, Levy, H., Mattson, R.H., Melrum, B., Penry, J.K. and Dreifuss, F.E. (eds.), New York, Raven Press, pp. 85-102.</w:t>
      </w:r>
    </w:p>
    <w:p>
      <w:pPr>
        <w:pStyle w:val="BodyText"/>
        <w:spacing w:before="274"/>
        <w:ind w:left="681" w:right="280"/>
        <w:jc w:val="both"/>
      </w:pPr>
      <w:r>
        <w:rPr/>
        <w:t>Takeda, H., Tsugi, M.,Matsumiya, T. (1998). Changes in head dipping behaviour in the hole-board test reflect the anxiogenic and/or anxiolytic state in mice. </w:t>
      </w:r>
      <w:r>
        <w:rPr>
          <w:i/>
        </w:rPr>
        <w:t>Europe Journal of Pharmacology</w:t>
      </w:r>
      <w:r>
        <w:rPr/>
        <w:t>, 350: 21-29.</w:t>
      </w:r>
    </w:p>
    <w:p>
      <w:pPr>
        <w:pStyle w:val="BodyText"/>
      </w:pPr>
    </w:p>
    <w:p>
      <w:pPr>
        <w:pStyle w:val="BodyText"/>
        <w:ind w:left="681" w:right="282"/>
        <w:jc w:val="both"/>
      </w:pPr>
      <w:r>
        <w:rPr/>
        <w:t>Takemiya, T., Suzuki, K. Sugiura, H. Yasuda, S., Yamagata, K. and Kawakami, Y. (2003). Inducible brain COX-2 facilitates the recurrence of hippocampal seizures in mouse rapid kindling. </w:t>
      </w:r>
      <w:r>
        <w:rPr>
          <w:i/>
        </w:rPr>
        <w:t>Prostaglandin other Lipid Mediator</w:t>
      </w:r>
      <w:r>
        <w:rPr/>
        <w:t>, 71: 205-216.</w:t>
      </w:r>
    </w:p>
    <w:p>
      <w:pPr>
        <w:pStyle w:val="BodyText"/>
      </w:pPr>
    </w:p>
    <w:p>
      <w:pPr>
        <w:pStyle w:val="BodyText"/>
        <w:spacing w:line="242" w:lineRule="auto"/>
        <w:ind w:left="681" w:right="285"/>
        <w:jc w:val="both"/>
      </w:pPr>
      <w:r>
        <w:rPr/>
        <w:t>Takeuchi, A. and Takeuchi, N. (1969). A study of the action of picrotoxin on the inhibitory neuromuscular junction of the crayfish. </w:t>
      </w:r>
      <w:r>
        <w:rPr>
          <w:i/>
        </w:rPr>
        <w:t>Journal of Physiology</w:t>
      </w:r>
      <w:r>
        <w:rPr/>
        <w:t>, 205: 377-391.</w:t>
      </w:r>
    </w:p>
    <w:p>
      <w:pPr>
        <w:pStyle w:val="BodyText"/>
        <w:spacing w:before="274"/>
        <w:ind w:left="681" w:right="278"/>
        <w:jc w:val="both"/>
      </w:pPr>
      <w:r>
        <w:rPr/>
        <w:t>Tarnawa I, Bo¨lcskei H, and Kocsis P (2007) Blockers of voltage-gated sodium channels for the treatment of central nervous system diseases. </w:t>
      </w:r>
      <w:r>
        <w:rPr>
          <w:i/>
        </w:rPr>
        <w:t>Recent Pat CNS Drug Discovery </w:t>
      </w:r>
      <w:r>
        <w:rPr>
          <w:spacing w:val="-2"/>
        </w:rPr>
        <w:t>2</w:t>
      </w:r>
      <w:r>
        <w:rPr>
          <w:b/>
          <w:spacing w:val="-2"/>
        </w:rPr>
        <w:t>:</w:t>
      </w:r>
      <w:r>
        <w:rPr>
          <w:spacing w:val="-2"/>
        </w:rPr>
        <w:t>57–78.</w:t>
      </w:r>
    </w:p>
    <w:p>
      <w:pPr>
        <w:spacing w:after="0"/>
        <w:jc w:val="both"/>
        <w:sectPr>
          <w:pgSz w:w="12240" w:h="15840"/>
          <w:pgMar w:header="0" w:footer="1066" w:top="1360" w:bottom="1260" w:left="1480" w:right="1160"/>
        </w:sectPr>
      </w:pPr>
    </w:p>
    <w:p>
      <w:pPr>
        <w:pStyle w:val="BodyText"/>
        <w:spacing w:line="237" w:lineRule="auto" w:before="74"/>
        <w:ind w:left="681" w:right="284"/>
        <w:jc w:val="both"/>
      </w:pPr>
      <w:r>
        <w:rPr/>
        <w:t>Tasso, S.M., Bruno-Blanch, L.E. and Estiú, G.L. (2001).</w:t>
      </w:r>
      <w:r>
        <w:rPr>
          <w:spacing w:val="40"/>
        </w:rPr>
        <w:t> </w:t>
      </w:r>
      <w:r>
        <w:rPr/>
        <w:t>Pharmacophore model for antiepileptic drugs acting on sodium channels. </w:t>
      </w:r>
      <w:r>
        <w:rPr>
          <w:i/>
        </w:rPr>
        <w:t>Journal of Molecular Model, </w:t>
      </w:r>
      <w:r>
        <w:rPr/>
        <w:t>7:231–239.</w:t>
      </w:r>
    </w:p>
    <w:p>
      <w:pPr>
        <w:pStyle w:val="BodyText"/>
        <w:spacing w:before="1"/>
      </w:pPr>
    </w:p>
    <w:p>
      <w:pPr>
        <w:pStyle w:val="BodyText"/>
        <w:ind w:left="681" w:right="275"/>
        <w:jc w:val="both"/>
      </w:pPr>
      <w:r>
        <w:rPr/>
        <w:t>Taylor, C.P. (1995). Gabapentin: mechanism of action. In: </w:t>
      </w:r>
      <w:r>
        <w:rPr>
          <w:i/>
        </w:rPr>
        <w:t>Antiepileptic Drugs</w:t>
      </w:r>
      <w:r>
        <w:rPr/>
        <w:t>, 4</w:t>
      </w:r>
      <w:r>
        <w:rPr>
          <w:vertAlign w:val="superscript"/>
        </w:rPr>
        <w:t>th</w:t>
      </w:r>
      <w:r>
        <w:rPr>
          <w:vertAlign w:val="baseline"/>
        </w:rPr>
        <w:t> ed. Levy, R.H., Mattson, R.H. and Meldrum, B.S. (eds). Raven Press, New York, pp. 829- </w:t>
      </w:r>
      <w:r>
        <w:rPr>
          <w:spacing w:val="-4"/>
          <w:vertAlign w:val="baseline"/>
        </w:rPr>
        <w:t>841.</w:t>
      </w:r>
    </w:p>
    <w:p>
      <w:pPr>
        <w:pStyle w:val="BodyText"/>
        <w:spacing w:before="1"/>
      </w:pPr>
    </w:p>
    <w:p>
      <w:pPr>
        <w:pStyle w:val="BodyText"/>
        <w:ind w:left="681" w:right="273"/>
        <w:jc w:val="both"/>
      </w:pPr>
      <w:r>
        <w:rPr/>
        <w:t>Terrenoire</w:t>
      </w:r>
      <w:r>
        <w:rPr>
          <w:spacing w:val="-2"/>
        </w:rPr>
        <w:t> </w:t>
      </w:r>
      <w:r>
        <w:rPr/>
        <w:t>C, Simhaee</w:t>
      </w:r>
      <w:r>
        <w:rPr>
          <w:spacing w:val="-2"/>
        </w:rPr>
        <w:t> </w:t>
      </w:r>
      <w:r>
        <w:rPr/>
        <w:t>D and Kass</w:t>
      </w:r>
      <w:r>
        <w:rPr>
          <w:spacing w:val="-3"/>
        </w:rPr>
        <w:t> </w:t>
      </w:r>
      <w:r>
        <w:rPr/>
        <w:t>RS</w:t>
      </w:r>
      <w:r>
        <w:rPr>
          <w:spacing w:val="-1"/>
        </w:rPr>
        <w:t> </w:t>
      </w:r>
      <w:r>
        <w:rPr/>
        <w:t>(2007). Role</w:t>
      </w:r>
      <w:r>
        <w:rPr>
          <w:spacing w:val="-2"/>
        </w:rPr>
        <w:t> </w:t>
      </w:r>
      <w:r>
        <w:rPr/>
        <w:t>of</w:t>
      </w:r>
      <w:r>
        <w:rPr>
          <w:spacing w:val="-1"/>
        </w:rPr>
        <w:t> </w:t>
      </w:r>
      <w:r>
        <w:rPr/>
        <w:t>sodium</w:t>
      </w:r>
      <w:r>
        <w:rPr>
          <w:spacing w:val="-1"/>
        </w:rPr>
        <w:t> </w:t>
      </w:r>
      <w:r>
        <w:rPr/>
        <w:t>channels in</w:t>
      </w:r>
      <w:r>
        <w:rPr>
          <w:spacing w:val="-1"/>
        </w:rPr>
        <w:t> </w:t>
      </w:r>
      <w:r>
        <w:rPr/>
        <w:t>propagation</w:t>
      </w:r>
      <w:r>
        <w:rPr>
          <w:spacing w:val="-1"/>
        </w:rPr>
        <w:t> </w:t>
      </w:r>
      <w:r>
        <w:rPr/>
        <w:t>in heart muscle: how subtle genetic alterations result in major arrhythmic disorders. </w:t>
      </w:r>
      <w:r>
        <w:rPr>
          <w:i/>
        </w:rPr>
        <w:t>J Cardiovascular Electrophysology, </w:t>
      </w:r>
      <w:r>
        <w:rPr/>
        <w:t>18, 900–905.</w:t>
      </w:r>
    </w:p>
    <w:p>
      <w:pPr>
        <w:pStyle w:val="BodyText"/>
      </w:pPr>
    </w:p>
    <w:p>
      <w:pPr>
        <w:pStyle w:val="BodyText"/>
        <w:spacing w:line="242" w:lineRule="auto"/>
        <w:ind w:left="681" w:right="280"/>
        <w:jc w:val="both"/>
      </w:pPr>
      <w:r>
        <w:rPr/>
        <w:t>Tobler, I., Koff, C., Deboer, T. and Rudolph, U. (2001). Diazepam-induced changes in sleep: Role of the α1 GABA</w:t>
      </w:r>
      <w:r>
        <w:rPr>
          <w:vertAlign w:val="subscript"/>
        </w:rPr>
        <w:t>A</w:t>
      </w:r>
      <w:r>
        <w:rPr>
          <w:vertAlign w:val="baseline"/>
        </w:rPr>
        <w:t> receptor subtype. </w:t>
      </w:r>
      <w:r>
        <w:rPr>
          <w:i/>
          <w:vertAlign w:val="baseline"/>
        </w:rPr>
        <w:t>PNAS</w:t>
      </w:r>
      <w:r>
        <w:rPr>
          <w:vertAlign w:val="baseline"/>
        </w:rPr>
        <w:t>, 98(11): 6464-6469.</w:t>
      </w:r>
    </w:p>
    <w:p>
      <w:pPr>
        <w:pStyle w:val="BodyText"/>
        <w:spacing w:before="273"/>
        <w:ind w:left="681" w:right="279"/>
        <w:jc w:val="both"/>
      </w:pPr>
      <w:r>
        <w:rPr/>
        <w:t>Todorovic, S.M. and Lingle, C.J. (1998). Pharmacological properties of T-type Ca</w:t>
      </w:r>
      <w:r>
        <w:rPr>
          <w:vertAlign w:val="superscript"/>
        </w:rPr>
        <w:t>+2</w:t>
      </w:r>
      <w:r>
        <w:rPr>
          <w:vertAlign w:val="baseline"/>
        </w:rPr>
        <w:t> current in adult rat sensory neurons: Effect of anticonvulsant and anesthetic agents. </w:t>
      </w:r>
      <w:r>
        <w:rPr>
          <w:i/>
          <w:vertAlign w:val="baseline"/>
        </w:rPr>
        <w:t>Journal of Neurophysiology</w:t>
      </w:r>
      <w:r>
        <w:rPr>
          <w:vertAlign w:val="baseline"/>
        </w:rPr>
        <w:t>, 79: 240-252.</w:t>
      </w:r>
    </w:p>
    <w:p>
      <w:pPr>
        <w:pStyle w:val="BodyText"/>
        <w:spacing w:before="1"/>
      </w:pPr>
    </w:p>
    <w:p>
      <w:pPr>
        <w:pStyle w:val="BodyText"/>
        <w:ind w:left="681" w:right="292"/>
        <w:jc w:val="both"/>
      </w:pPr>
      <w:r>
        <w:rPr/>
        <w:t>Tu,</w:t>
      </w:r>
      <w:r>
        <w:rPr>
          <w:spacing w:val="-1"/>
        </w:rPr>
        <w:t> </w:t>
      </w:r>
      <w:r>
        <w:rPr/>
        <w:t>B.,</w:t>
      </w:r>
      <w:r>
        <w:rPr>
          <w:spacing w:val="-1"/>
        </w:rPr>
        <w:t> </w:t>
      </w:r>
      <w:r>
        <w:rPr/>
        <w:t>Timofeeva,</w:t>
      </w:r>
      <w:r>
        <w:rPr>
          <w:spacing w:val="-1"/>
        </w:rPr>
        <w:t> </w:t>
      </w:r>
      <w:r>
        <w:rPr/>
        <w:t>O.,</w:t>
      </w:r>
      <w:r>
        <w:rPr>
          <w:spacing w:val="-1"/>
        </w:rPr>
        <w:t> </w:t>
      </w:r>
      <w:r>
        <w:rPr/>
        <w:t>Jiao,</w:t>
      </w:r>
      <w:r>
        <w:rPr>
          <w:spacing w:val="-1"/>
        </w:rPr>
        <w:t> </w:t>
      </w:r>
      <w:r>
        <w:rPr/>
        <w:t>Y.,</w:t>
      </w:r>
      <w:r>
        <w:rPr>
          <w:spacing w:val="-1"/>
        </w:rPr>
        <w:t> </w:t>
      </w:r>
      <w:r>
        <w:rPr/>
        <w:t>Nadler,</w:t>
      </w:r>
      <w:r>
        <w:rPr>
          <w:spacing w:val="-1"/>
        </w:rPr>
        <w:t> </w:t>
      </w:r>
      <w:r>
        <w:rPr/>
        <w:t>J.V.</w:t>
      </w:r>
      <w:r>
        <w:rPr>
          <w:spacing w:val="-2"/>
        </w:rPr>
        <w:t> </w:t>
      </w:r>
      <w:r>
        <w:rPr/>
        <w:t>(2005).</w:t>
      </w:r>
      <w:r>
        <w:rPr>
          <w:spacing w:val="-1"/>
        </w:rPr>
        <w:t> </w:t>
      </w:r>
      <w:r>
        <w:rPr/>
        <w:t>Spontaneous</w:t>
      </w:r>
      <w:r>
        <w:rPr>
          <w:spacing w:val="-5"/>
        </w:rPr>
        <w:t> </w:t>
      </w:r>
      <w:r>
        <w:rPr/>
        <w:t>release</w:t>
      </w:r>
      <w:r>
        <w:rPr>
          <w:spacing w:val="-4"/>
        </w:rPr>
        <w:t> </w:t>
      </w:r>
      <w:r>
        <w:rPr/>
        <w:t>of</w:t>
      </w:r>
      <w:r>
        <w:rPr>
          <w:spacing w:val="-2"/>
        </w:rPr>
        <w:t> </w:t>
      </w:r>
      <w:r>
        <w:rPr/>
        <w:t>neuropeptide Y tonically inhibits recurrent mossy fiber synaptic transmission in epileptic brain.</w:t>
      </w:r>
      <w:r>
        <w:rPr>
          <w:spacing w:val="40"/>
        </w:rPr>
        <w:t> </w:t>
      </w:r>
      <w:r>
        <w:rPr>
          <w:i/>
        </w:rPr>
        <w:t>Journal of Neuroscience</w:t>
      </w:r>
      <w:r>
        <w:rPr/>
        <w:t>, 25: 1718-1729.</w:t>
      </w:r>
    </w:p>
    <w:p>
      <w:pPr>
        <w:pStyle w:val="BodyText"/>
      </w:pPr>
    </w:p>
    <w:p>
      <w:pPr>
        <w:pStyle w:val="BodyText"/>
        <w:spacing w:before="1"/>
        <w:ind w:left="681" w:right="280"/>
        <w:jc w:val="both"/>
      </w:pPr>
      <w:r>
        <w:rPr/>
        <w:t>Unverferth, K., Engel, J., Hofgen, N., Rostock, A., Gunther, R., Lankau, H.J., Menzer, M., Rolfs, A., Liebscher, J., Muller, B. and Hofmann, H.J. (1998). Synthesis, anticonvulsant activity,</w:t>
      </w:r>
      <w:r>
        <w:rPr>
          <w:spacing w:val="-1"/>
        </w:rPr>
        <w:t> </w:t>
      </w:r>
      <w:r>
        <w:rPr/>
        <w:t>and</w:t>
      </w:r>
      <w:r>
        <w:rPr>
          <w:spacing w:val="-3"/>
        </w:rPr>
        <w:t> </w:t>
      </w:r>
      <w:r>
        <w:rPr/>
        <w:t>structure-activity</w:t>
      </w:r>
      <w:r>
        <w:rPr>
          <w:spacing w:val="-7"/>
        </w:rPr>
        <w:t> </w:t>
      </w:r>
      <w:r>
        <w:rPr/>
        <w:t>relationships</w:t>
      </w:r>
      <w:r>
        <w:rPr>
          <w:spacing w:val="-4"/>
        </w:rPr>
        <w:t> </w:t>
      </w:r>
      <w:r>
        <w:rPr/>
        <w:t>of</w:t>
      </w:r>
      <w:r>
        <w:rPr>
          <w:spacing w:val="-5"/>
        </w:rPr>
        <w:t> </w:t>
      </w:r>
      <w:r>
        <w:rPr/>
        <w:t>sodium</w:t>
      </w:r>
      <w:r>
        <w:rPr>
          <w:spacing w:val="-7"/>
        </w:rPr>
        <w:t> </w:t>
      </w:r>
      <w:r>
        <w:rPr/>
        <w:t>channel</w:t>
      </w:r>
      <w:r>
        <w:rPr>
          <w:spacing w:val="-3"/>
        </w:rPr>
        <w:t> </w:t>
      </w:r>
      <w:r>
        <w:rPr/>
        <w:t>blocking</w:t>
      </w:r>
      <w:r>
        <w:rPr>
          <w:spacing w:val="-3"/>
        </w:rPr>
        <w:t> </w:t>
      </w:r>
      <w:r>
        <w:rPr/>
        <w:t>3- aminopyrroles. </w:t>
      </w:r>
      <w:r>
        <w:rPr>
          <w:i/>
        </w:rPr>
        <w:t>Journal of Medicinal Chemistry</w:t>
      </w:r>
      <w:r>
        <w:rPr/>
        <w:t>, 41: 63-73.</w:t>
      </w:r>
    </w:p>
    <w:p>
      <w:pPr>
        <w:pStyle w:val="BodyText"/>
        <w:spacing w:before="273"/>
        <w:ind w:left="681" w:right="270"/>
        <w:jc w:val="both"/>
      </w:pPr>
      <w:r>
        <w:rPr/>
        <w:t>Vamecq, J., Bac, P., Herrenknecht, C., Maurois, P., Delcourt, P. and Stables J.P. (2000). Synthesis and anticonvulsant and neurotoxic properties of substituted N-phenyl derivatives of</w:t>
      </w:r>
      <w:r>
        <w:rPr>
          <w:spacing w:val="-4"/>
        </w:rPr>
        <w:t> </w:t>
      </w:r>
      <w:r>
        <w:rPr/>
        <w:t>the</w:t>
      </w:r>
      <w:r>
        <w:rPr>
          <w:spacing w:val="-2"/>
        </w:rPr>
        <w:t> </w:t>
      </w:r>
      <w:r>
        <w:rPr/>
        <w:t>phthalimide</w:t>
      </w:r>
      <w:r>
        <w:rPr>
          <w:spacing w:val="-2"/>
        </w:rPr>
        <w:t> </w:t>
      </w:r>
      <w:r>
        <w:rPr/>
        <w:t>pharmacophore. </w:t>
      </w:r>
      <w:r>
        <w:rPr>
          <w:i/>
        </w:rPr>
        <w:t>Journal</w:t>
      </w:r>
      <w:r>
        <w:rPr>
          <w:i/>
          <w:spacing w:val="-1"/>
        </w:rPr>
        <w:t> </w:t>
      </w:r>
      <w:r>
        <w:rPr>
          <w:i/>
        </w:rPr>
        <w:t>ofMedicinal</w:t>
      </w:r>
      <w:r>
        <w:rPr>
          <w:i/>
          <w:spacing w:val="-1"/>
        </w:rPr>
        <w:t> </w:t>
      </w:r>
      <w:r>
        <w:rPr>
          <w:i/>
        </w:rPr>
        <w:t>Chemistry, </w:t>
      </w:r>
      <w:r>
        <w:rPr/>
        <w:t>43:</w:t>
      </w:r>
      <w:r>
        <w:rPr>
          <w:spacing w:val="-1"/>
        </w:rPr>
        <w:t> </w:t>
      </w:r>
      <w:r>
        <w:rPr/>
        <w:t>1311- </w:t>
      </w:r>
      <w:r>
        <w:rPr>
          <w:spacing w:val="-2"/>
        </w:rPr>
        <w:t>1319.</w:t>
      </w:r>
    </w:p>
    <w:p>
      <w:pPr>
        <w:pStyle w:val="BodyText"/>
        <w:spacing w:before="3"/>
      </w:pPr>
    </w:p>
    <w:p>
      <w:pPr>
        <w:pStyle w:val="BodyText"/>
        <w:ind w:left="681" w:right="273"/>
        <w:jc w:val="both"/>
      </w:pPr>
      <w:r>
        <w:rPr/>
        <w:t>Vamecq, J., Lambert, D., Poupaert, J.H., Masereel, B. and Stables, J.P. (1998). Anticonvulsant activity</w:t>
      </w:r>
      <w:r>
        <w:rPr>
          <w:spacing w:val="-11"/>
        </w:rPr>
        <w:t> </w:t>
      </w:r>
      <w:r>
        <w:rPr/>
        <w:t>and interactions</w:t>
      </w:r>
      <w:r>
        <w:rPr>
          <w:spacing w:val="-4"/>
        </w:rPr>
        <w:t> </w:t>
      </w:r>
      <w:r>
        <w:rPr/>
        <w:t>with</w:t>
      </w:r>
      <w:r>
        <w:rPr>
          <w:spacing w:val="-2"/>
        </w:rPr>
        <w:t> </w:t>
      </w:r>
      <w:r>
        <w:rPr/>
        <w:t>neuronal</w:t>
      </w:r>
      <w:r>
        <w:rPr>
          <w:spacing w:val="-7"/>
        </w:rPr>
        <w:t> </w:t>
      </w:r>
      <w:r>
        <w:rPr/>
        <w:t>voltage-dependent sodium</w:t>
      </w:r>
      <w:r>
        <w:rPr>
          <w:spacing w:val="-7"/>
        </w:rPr>
        <w:t> </w:t>
      </w:r>
      <w:r>
        <w:rPr/>
        <w:t>channel of analogues of ameltolide. </w:t>
      </w:r>
      <w:r>
        <w:rPr>
          <w:i/>
        </w:rPr>
        <w:t>Journal of Medicinal Chemistry</w:t>
      </w:r>
      <w:r>
        <w:rPr/>
        <w:t>, 41: 3307-3313.</w:t>
      </w:r>
    </w:p>
    <w:p>
      <w:pPr>
        <w:pStyle w:val="BodyText"/>
        <w:spacing w:before="1"/>
      </w:pPr>
    </w:p>
    <w:p>
      <w:pPr>
        <w:pStyle w:val="BodyText"/>
        <w:ind w:left="681" w:right="279"/>
        <w:jc w:val="both"/>
      </w:pPr>
      <w:r>
        <w:rPr/>
        <w:t>Van Luijtelaar, G., Wiaderna, D., Elants, C. and Scheenen, W. (2000). Opposite effects</w:t>
      </w:r>
      <w:r>
        <w:rPr>
          <w:spacing w:val="40"/>
        </w:rPr>
        <w:t> </w:t>
      </w:r>
      <w:r>
        <w:rPr/>
        <w:t>of</w:t>
      </w:r>
      <w:r>
        <w:rPr>
          <w:spacing w:val="-9"/>
        </w:rPr>
        <w:t> </w:t>
      </w:r>
      <w:r>
        <w:rPr/>
        <w:t>T- and</w:t>
      </w:r>
      <w:r>
        <w:rPr>
          <w:spacing w:val="-1"/>
        </w:rPr>
        <w:t> </w:t>
      </w:r>
      <w:r>
        <w:rPr/>
        <w:t>L-type</w:t>
      </w:r>
      <w:r>
        <w:rPr>
          <w:spacing w:val="-2"/>
        </w:rPr>
        <w:t> </w:t>
      </w:r>
      <w:r>
        <w:rPr/>
        <w:t>Ca</w:t>
      </w:r>
      <w:r>
        <w:rPr>
          <w:vertAlign w:val="superscript"/>
        </w:rPr>
        <w:t>+2</w:t>
      </w:r>
      <w:r>
        <w:rPr>
          <w:vertAlign w:val="baseline"/>
        </w:rPr>
        <w:t> channels</w:t>
      </w:r>
      <w:r>
        <w:rPr>
          <w:spacing w:val="40"/>
          <w:vertAlign w:val="baseline"/>
        </w:rPr>
        <w:t> </w:t>
      </w:r>
      <w:r>
        <w:rPr>
          <w:vertAlign w:val="baseline"/>
        </w:rPr>
        <w:t>blockers</w:t>
      </w:r>
      <w:r>
        <w:rPr>
          <w:spacing w:val="40"/>
          <w:vertAlign w:val="baseline"/>
        </w:rPr>
        <w:t> </w:t>
      </w:r>
      <w:r>
        <w:rPr>
          <w:vertAlign w:val="baseline"/>
        </w:rPr>
        <w:t>in</w:t>
      </w:r>
      <w:r>
        <w:rPr>
          <w:spacing w:val="40"/>
          <w:vertAlign w:val="baseline"/>
        </w:rPr>
        <w:t> </w:t>
      </w:r>
      <w:r>
        <w:rPr>
          <w:vertAlign w:val="baseline"/>
        </w:rPr>
        <w:t>generalized</w:t>
      </w:r>
      <w:r>
        <w:rPr>
          <w:spacing w:val="40"/>
          <w:vertAlign w:val="baseline"/>
        </w:rPr>
        <w:t> </w:t>
      </w:r>
      <w:r>
        <w:rPr>
          <w:vertAlign w:val="baseline"/>
        </w:rPr>
        <w:t>absence</w:t>
      </w:r>
      <w:r>
        <w:rPr>
          <w:spacing w:val="40"/>
          <w:vertAlign w:val="baseline"/>
        </w:rPr>
        <w:t> </w:t>
      </w:r>
      <w:r>
        <w:rPr>
          <w:vertAlign w:val="baseline"/>
        </w:rPr>
        <w:t>epilepsy.</w:t>
      </w:r>
      <w:r>
        <w:rPr>
          <w:spacing w:val="40"/>
          <w:vertAlign w:val="baseline"/>
        </w:rPr>
        <w:t> </w:t>
      </w:r>
      <w:r>
        <w:rPr>
          <w:i/>
          <w:vertAlign w:val="baseline"/>
        </w:rPr>
        <w:t>European Journal of Pharmacology</w:t>
      </w:r>
      <w:r>
        <w:rPr>
          <w:vertAlign w:val="baseline"/>
        </w:rPr>
        <w:t>, 406: 381-389.</w:t>
      </w:r>
    </w:p>
    <w:p>
      <w:pPr>
        <w:pStyle w:val="BodyText"/>
      </w:pPr>
    </w:p>
    <w:p>
      <w:pPr>
        <w:pStyle w:val="BodyText"/>
        <w:ind w:left="681" w:right="273"/>
        <w:jc w:val="both"/>
      </w:pPr>
      <w:r>
        <w:rPr/>
        <w:t>Velisek, L., Kusa, R., Kulovana, M. and Mares, P. (1999). Excitatory amino acid antagonists and Pentylenetetrazole-induced seizures during ontogenesis 1. The effects of 2-amino-7-phosphonoheptanoate. </w:t>
      </w:r>
      <w:r>
        <w:rPr>
          <w:i/>
        </w:rPr>
        <w:t>Life Sciences</w:t>
      </w:r>
      <w:r>
        <w:rPr/>
        <w:t>, 46:1349-1357.</w:t>
      </w:r>
    </w:p>
    <w:p>
      <w:pPr>
        <w:spacing w:after="0"/>
        <w:jc w:val="both"/>
        <w:sectPr>
          <w:pgSz w:w="12240" w:h="15840"/>
          <w:pgMar w:header="0" w:footer="1066" w:top="1360" w:bottom="1260" w:left="1480" w:right="1160"/>
        </w:sectPr>
      </w:pPr>
    </w:p>
    <w:p>
      <w:pPr>
        <w:pStyle w:val="BodyText"/>
        <w:spacing w:before="72"/>
        <w:ind w:left="681" w:right="270"/>
        <w:jc w:val="both"/>
      </w:pPr>
      <w:r>
        <w:rPr/>
        <w:t>Venance SL, Cannon SC, Fialho D, Fontaine B, Hanna MG, Ptacek LJ, Tristani-Firouzi M, Tawil R &amp; Griggs RC (2006). The primary periodic paralyses: diagnosis,</w:t>
      </w:r>
      <w:r>
        <w:rPr>
          <w:spacing w:val="40"/>
        </w:rPr>
        <w:t> </w:t>
      </w:r>
      <w:r>
        <w:rPr/>
        <w:t>pathogenesis and treatment. </w:t>
      </w:r>
      <w:r>
        <w:rPr>
          <w:i/>
        </w:rPr>
        <w:t>Brain, </w:t>
      </w:r>
      <w:r>
        <w:rPr/>
        <w:t>129, 8–17.</w:t>
      </w:r>
    </w:p>
    <w:p>
      <w:pPr>
        <w:pStyle w:val="BodyText"/>
        <w:spacing w:before="1"/>
      </w:pPr>
    </w:p>
    <w:p>
      <w:pPr>
        <w:pStyle w:val="BodyText"/>
        <w:ind w:left="681" w:right="276"/>
        <w:jc w:val="both"/>
      </w:pPr>
      <w:r>
        <w:rPr/>
        <w:t>Wambebe, C. (1985). Influence of some agents that affect 5-HT metabolism and</w:t>
      </w:r>
      <w:r>
        <w:rPr>
          <w:spacing w:val="40"/>
        </w:rPr>
        <w:t> </w:t>
      </w:r>
      <w:r>
        <w:rPr/>
        <w:t>receptors and nitrazepam-induced sleep in mice. </w:t>
      </w:r>
      <w:r>
        <w:rPr>
          <w:i/>
        </w:rPr>
        <w:t>British Journal of Pharmacology</w:t>
      </w:r>
      <w:r>
        <w:rPr/>
        <w:t>, </w:t>
      </w:r>
      <w:r>
        <w:rPr>
          <w:spacing w:val="-2"/>
        </w:rPr>
        <w:t>84:185-191.</w:t>
      </w:r>
    </w:p>
    <w:p>
      <w:pPr>
        <w:pStyle w:val="BodyText"/>
      </w:pPr>
    </w:p>
    <w:p>
      <w:pPr>
        <w:pStyle w:val="BodyText"/>
        <w:ind w:left="681" w:right="278"/>
        <w:jc w:val="both"/>
      </w:pPr>
      <w:r>
        <w:rPr/>
        <w:t>Wang, J., Yarov-Yarovoy, V., Kahn, R., Gordon, D., Gurevitz, M., Scheuer, T. and Catterall, W.A. (2011). Mapping the receptor site for </w:t>
      </w:r>
      <w:r>
        <w:rPr>
          <w:i/>
        </w:rPr>
        <w:t>α</w:t>
      </w:r>
      <w:r>
        <w:rPr/>
        <w:t>-scorpion</w:t>
      </w:r>
      <w:r>
        <w:rPr>
          <w:spacing w:val="-2"/>
        </w:rPr>
        <w:t> </w:t>
      </w:r>
      <w:r>
        <w:rPr/>
        <w:t>toxins on</w:t>
      </w:r>
      <w:r>
        <w:rPr>
          <w:spacing w:val="-2"/>
        </w:rPr>
        <w:t> </w:t>
      </w:r>
      <w:r>
        <w:rPr/>
        <w:t>a Na+ channel voltage sensor. </w:t>
      </w:r>
      <w:r>
        <w:rPr>
          <w:i/>
        </w:rPr>
        <w:t>Proc Natl Acad Sci U S A </w:t>
      </w:r>
      <w:r>
        <w:rPr/>
        <w:t>108, 15426–15431.</w:t>
      </w:r>
    </w:p>
    <w:p>
      <w:pPr>
        <w:pStyle w:val="BodyText"/>
      </w:pPr>
    </w:p>
    <w:p>
      <w:pPr>
        <w:pStyle w:val="BodyText"/>
        <w:ind w:left="681" w:right="280"/>
        <w:jc w:val="both"/>
      </w:pPr>
      <w:r>
        <w:rPr/>
        <w:t>Wasterlain, C.G. and Mazarati, A.M. (1997). Neuromodulators and second messengers. </w:t>
      </w:r>
      <w:r>
        <w:rPr>
          <w:i/>
        </w:rPr>
        <w:t>In</w:t>
      </w:r>
      <w:r>
        <w:rPr/>
        <w:t>: Engel, J.Jr., Pedley, T.A. (Eds). </w:t>
      </w:r>
      <w:r>
        <w:rPr>
          <w:i/>
        </w:rPr>
        <w:t>Epilepsy: a comprehensive</w:t>
      </w:r>
      <w:r>
        <w:rPr>
          <w:i/>
          <w:spacing w:val="40"/>
        </w:rPr>
        <w:t> </w:t>
      </w:r>
      <w:r>
        <w:rPr>
          <w:i/>
        </w:rPr>
        <w:t>textbook</w:t>
      </w:r>
      <w:r>
        <w:rPr/>
        <w:t>. Philadelphia: Lippincott-Raven, pp. 277-289.</w:t>
      </w:r>
    </w:p>
    <w:p>
      <w:pPr>
        <w:pStyle w:val="BodyText"/>
        <w:spacing w:before="3"/>
      </w:pPr>
    </w:p>
    <w:p>
      <w:pPr>
        <w:pStyle w:val="BodyText"/>
        <w:spacing w:line="237" w:lineRule="auto"/>
        <w:ind w:left="681" w:right="278"/>
        <w:jc w:val="both"/>
      </w:pPr>
      <w:r>
        <w:rPr/>
        <w:t>White, H.S. (1997). New mechanisms for antiepileptic drugs II. In: </w:t>
      </w:r>
      <w:r>
        <w:rPr>
          <w:i/>
        </w:rPr>
        <w:t>Epilepsies</w:t>
      </w:r>
      <w:r>
        <w:rPr/>
        <w:t>. Porter, R. and Chadwick, D. (Eds). Butterworth Heinimann, Boston, pp. 1-30.</w:t>
      </w:r>
    </w:p>
    <w:p>
      <w:pPr>
        <w:pStyle w:val="BodyText"/>
        <w:spacing w:before="1"/>
      </w:pPr>
    </w:p>
    <w:p>
      <w:pPr>
        <w:pStyle w:val="BodyText"/>
        <w:ind w:left="681" w:right="277"/>
        <w:jc w:val="both"/>
      </w:pPr>
      <w:r>
        <w:rPr/>
        <w:t>White, H.S., Wolf, H.H., Woodhead, J.H., Kupferberg, H.J. (1998). The National</w:t>
      </w:r>
      <w:r>
        <w:rPr>
          <w:spacing w:val="40"/>
        </w:rPr>
        <w:t> </w:t>
      </w:r>
      <w:r>
        <w:rPr/>
        <w:t>Institute of Health anticonvulsant drug development programm: Screening for efficacy. </w:t>
      </w:r>
      <w:r>
        <w:rPr>
          <w:i/>
        </w:rPr>
        <w:t>In</w:t>
      </w:r>
      <w:r>
        <w:rPr/>
        <w:t>: French, J., Leppik, I.E. and Dichter, M.A. (Eds). </w:t>
      </w:r>
      <w:r>
        <w:rPr>
          <w:i/>
        </w:rPr>
        <w:t>Antiepileptic Drug Development. Advances in Neurology</w:t>
      </w:r>
      <w:r>
        <w:rPr/>
        <w:t>. Lippincott-Raven publishing; Philadelphia; pp. 29-39.</w:t>
      </w:r>
    </w:p>
    <w:p>
      <w:pPr>
        <w:pStyle w:val="BodyText"/>
        <w:spacing w:before="5"/>
      </w:pPr>
    </w:p>
    <w:p>
      <w:pPr>
        <w:pStyle w:val="BodyText"/>
        <w:spacing w:line="237" w:lineRule="auto"/>
        <w:ind w:left="681" w:right="286"/>
        <w:jc w:val="both"/>
      </w:pPr>
      <w:r>
        <w:rPr/>
        <w:t>WHO (1992). Research guidelines for evaluating the safety and efficacy of herbal medicine. WHO regional office for Western Pacific Manila, Philippine, p.38.</w:t>
      </w:r>
    </w:p>
    <w:p>
      <w:pPr>
        <w:pStyle w:val="BodyText"/>
        <w:spacing w:before="1"/>
      </w:pPr>
    </w:p>
    <w:p>
      <w:pPr>
        <w:pStyle w:val="BodyText"/>
        <w:ind w:left="681"/>
        <w:jc w:val="both"/>
      </w:pPr>
      <w:r>
        <w:rPr/>
        <w:t>Wickenden,</w:t>
      </w:r>
      <w:r>
        <w:rPr>
          <w:spacing w:val="59"/>
        </w:rPr>
        <w:t>  </w:t>
      </w:r>
      <w:r>
        <w:rPr/>
        <w:t>A.D.</w:t>
      </w:r>
      <w:r>
        <w:rPr>
          <w:spacing w:val="62"/>
        </w:rPr>
        <w:t>  </w:t>
      </w:r>
      <w:r>
        <w:rPr/>
        <w:t>(2002).</w:t>
      </w:r>
      <w:r>
        <w:rPr>
          <w:spacing w:val="62"/>
        </w:rPr>
        <w:t>  </w:t>
      </w:r>
      <w:r>
        <w:rPr/>
        <w:t>Potassium</w:t>
      </w:r>
      <w:r>
        <w:rPr>
          <w:spacing w:val="59"/>
        </w:rPr>
        <w:t>  </w:t>
      </w:r>
      <w:r>
        <w:rPr/>
        <w:t>channels</w:t>
      </w:r>
      <w:r>
        <w:rPr>
          <w:spacing w:val="60"/>
        </w:rPr>
        <w:t>  </w:t>
      </w:r>
      <w:r>
        <w:rPr/>
        <w:t>as</w:t>
      </w:r>
      <w:r>
        <w:rPr>
          <w:spacing w:val="61"/>
        </w:rPr>
        <w:t>  </w:t>
      </w:r>
      <w:r>
        <w:rPr/>
        <w:t>antiepileptic</w:t>
      </w:r>
      <w:r>
        <w:rPr>
          <w:spacing w:val="61"/>
        </w:rPr>
        <w:t>  </w:t>
      </w:r>
      <w:r>
        <w:rPr/>
        <w:t>drug</w:t>
      </w:r>
      <w:r>
        <w:rPr>
          <w:spacing w:val="61"/>
        </w:rPr>
        <w:t>  </w:t>
      </w:r>
      <w:r>
        <w:rPr>
          <w:spacing w:val="-2"/>
        </w:rPr>
        <w:t>targets.</w:t>
      </w:r>
    </w:p>
    <w:p>
      <w:pPr>
        <w:spacing w:before="3"/>
        <w:ind w:left="681" w:right="0" w:firstLine="0"/>
        <w:jc w:val="both"/>
        <w:rPr>
          <w:sz w:val="24"/>
        </w:rPr>
      </w:pPr>
      <w:r>
        <w:rPr>
          <w:i/>
          <w:sz w:val="24"/>
        </w:rPr>
        <w:t>Neuropharmacology</w:t>
      </w:r>
      <w:r>
        <w:rPr>
          <w:sz w:val="24"/>
        </w:rPr>
        <w:t>,</w:t>
      </w:r>
      <w:r>
        <w:rPr>
          <w:spacing w:val="1"/>
          <w:sz w:val="24"/>
        </w:rPr>
        <w:t> </w:t>
      </w:r>
      <w:r>
        <w:rPr>
          <w:sz w:val="24"/>
        </w:rPr>
        <w:t>43:</w:t>
      </w:r>
      <w:r>
        <w:rPr>
          <w:spacing w:val="1"/>
          <w:sz w:val="24"/>
        </w:rPr>
        <w:t> </w:t>
      </w:r>
      <w:r>
        <w:rPr>
          <w:sz w:val="24"/>
        </w:rPr>
        <w:t>1055-</w:t>
      </w:r>
      <w:r>
        <w:rPr>
          <w:spacing w:val="-2"/>
          <w:sz w:val="24"/>
        </w:rPr>
        <w:t>1060.</w:t>
      </w:r>
    </w:p>
    <w:p>
      <w:pPr>
        <w:pStyle w:val="BodyText"/>
        <w:spacing w:before="2"/>
      </w:pPr>
    </w:p>
    <w:p>
      <w:pPr>
        <w:pStyle w:val="BodyText"/>
        <w:spacing w:line="237" w:lineRule="auto"/>
        <w:ind w:left="681" w:right="287"/>
        <w:jc w:val="both"/>
      </w:pPr>
      <w:r>
        <w:rPr/>
        <w:t>Wong, R.K., Bianchi, R. and Taylor, G.W. (1999). Role of metabotropic receptors in epilepsy. </w:t>
      </w:r>
      <w:r>
        <w:rPr>
          <w:i/>
        </w:rPr>
        <w:t>Advance Neurology</w:t>
      </w:r>
      <w:r>
        <w:rPr/>
        <w:t>, 79: 685-698.</w:t>
      </w:r>
    </w:p>
    <w:p>
      <w:pPr>
        <w:pStyle w:val="BodyText"/>
        <w:spacing w:before="1"/>
      </w:pPr>
    </w:p>
    <w:p>
      <w:pPr>
        <w:pStyle w:val="BodyText"/>
        <w:spacing w:line="242" w:lineRule="auto"/>
        <w:ind w:left="681" w:right="275"/>
        <w:jc w:val="both"/>
      </w:pPr>
      <w:r>
        <w:rPr/>
        <w:t>Yamaguchi, S.I. and Rogawski, M.A. (1992). Effects of anticonvulsant drugs on 4- aminopyridine-induced seizures in mice. </w:t>
      </w:r>
      <w:r>
        <w:rPr>
          <w:i/>
        </w:rPr>
        <w:t>Epilepsy Research</w:t>
      </w:r>
      <w:r>
        <w:rPr/>
        <w:t>, 11: 9-16.</w:t>
      </w:r>
    </w:p>
    <w:p>
      <w:pPr>
        <w:pStyle w:val="BodyText"/>
        <w:spacing w:before="274"/>
        <w:ind w:left="681" w:right="280"/>
        <w:jc w:val="both"/>
      </w:pPr>
      <w:r>
        <w:rPr/>
        <w:t>Yarov-Yarovoy V., Baker, D. and Catterall, W.A. (2006). Voltage sensor conformations in the open and closed states in ROSETTA structural models of K+ channels. </w:t>
      </w:r>
      <w:r>
        <w:rPr>
          <w:i/>
        </w:rPr>
        <w:t>Proc Natl Acad Sci U S A </w:t>
      </w:r>
      <w:r>
        <w:rPr/>
        <w:t>103, 7292–7297.</w:t>
      </w:r>
    </w:p>
    <w:p>
      <w:pPr>
        <w:pStyle w:val="BodyText"/>
      </w:pPr>
    </w:p>
    <w:p>
      <w:pPr>
        <w:pStyle w:val="BodyText"/>
        <w:ind w:left="681" w:right="283"/>
        <w:jc w:val="both"/>
      </w:pPr>
      <w:r>
        <w:rPr/>
        <w:t>Yau, J. (2013). Anticonvulsant and Antitumour Properties of Carissa Edulis (VAHL) Root Bark</w:t>
      </w:r>
      <w:r>
        <w:rPr>
          <w:spacing w:val="-3"/>
        </w:rPr>
        <w:t> </w:t>
      </w:r>
      <w:r>
        <w:rPr/>
        <w:t>Extracts</w:t>
      </w:r>
      <w:r>
        <w:rPr>
          <w:spacing w:val="-1"/>
        </w:rPr>
        <w:t> </w:t>
      </w:r>
      <w:r>
        <w:rPr/>
        <w:t>in Laboratory</w:t>
      </w:r>
      <w:r>
        <w:rPr>
          <w:spacing w:val="-3"/>
        </w:rPr>
        <w:t> </w:t>
      </w:r>
      <w:r>
        <w:rPr/>
        <w:t>Animals. Unpublished PhD Dissertation in</w:t>
      </w:r>
      <w:r>
        <w:rPr>
          <w:spacing w:val="-3"/>
        </w:rPr>
        <w:t> </w:t>
      </w:r>
      <w:r>
        <w:rPr/>
        <w:t>Department of Pharmacology and Therapeutics, Ahmadu Bello University, Zaria.</w:t>
      </w:r>
    </w:p>
    <w:p>
      <w:pPr>
        <w:spacing w:after="0"/>
        <w:jc w:val="both"/>
        <w:sectPr>
          <w:pgSz w:w="12240" w:h="15840"/>
          <w:pgMar w:header="0" w:footer="1066" w:top="1360" w:bottom="1260" w:left="1480" w:right="1160"/>
        </w:sectPr>
      </w:pPr>
    </w:p>
    <w:p>
      <w:pPr>
        <w:pStyle w:val="BodyText"/>
        <w:spacing w:before="72"/>
        <w:ind w:left="681" w:right="280"/>
        <w:jc w:val="both"/>
      </w:pPr>
      <w:r>
        <w:rPr/>
        <w:t>Yeh, J.Z. and Teneick, R.E. (1987). Molecular and Structural Basis of Resting and Use- Dependent Block of Sodium Current Defined Using Disopyramide Analogues. </w:t>
      </w:r>
      <w:r>
        <w:rPr>
          <w:i/>
        </w:rPr>
        <w:t>Biophysics, </w:t>
      </w:r>
      <w:r>
        <w:rPr/>
        <w:t>51: 123-135.</w:t>
      </w:r>
    </w:p>
    <w:p>
      <w:pPr>
        <w:pStyle w:val="BodyText"/>
        <w:spacing w:before="1"/>
      </w:pPr>
    </w:p>
    <w:p>
      <w:pPr>
        <w:pStyle w:val="BodyText"/>
        <w:ind w:left="681" w:right="268"/>
        <w:jc w:val="both"/>
      </w:pPr>
      <w:r>
        <w:rPr/>
        <w:t>Yerima, M. (2013): Antihyperglycemic Activity of the Methanol Stem-Bark Extract of </w:t>
      </w:r>
      <w:r>
        <w:rPr>
          <w:i/>
        </w:rPr>
        <w:t>Tamarindus Indica </w:t>
      </w:r>
      <w:r>
        <w:rPr/>
        <w:t>L. (Caesalpiniaceae) on Experimentally Induced Hyperglycemic Wistar Rats. Unpublished Dissertation, Department of Pharmacology and Therapeutics, Ahmadu Bello University, Zaria.</w:t>
      </w:r>
    </w:p>
    <w:p>
      <w:pPr>
        <w:pStyle w:val="BodyText"/>
        <w:spacing w:before="273"/>
        <w:ind w:left="681" w:right="283"/>
        <w:jc w:val="both"/>
      </w:pPr>
      <w:r>
        <w:rPr/>
        <w:t>Yusuf,</w:t>
      </w:r>
      <w:r>
        <w:rPr>
          <w:spacing w:val="-2"/>
        </w:rPr>
        <w:t> </w:t>
      </w:r>
      <w:r>
        <w:rPr/>
        <w:t>R.,</w:t>
      </w:r>
      <w:r>
        <w:rPr>
          <w:spacing w:val="-2"/>
        </w:rPr>
        <w:t> </w:t>
      </w:r>
      <w:r>
        <w:rPr/>
        <w:t>Aliyu,</w:t>
      </w:r>
      <w:r>
        <w:rPr>
          <w:spacing w:val="-2"/>
        </w:rPr>
        <w:t> </w:t>
      </w:r>
      <w:r>
        <w:rPr/>
        <w:t>I.S.,</w:t>
      </w:r>
      <w:r>
        <w:rPr>
          <w:spacing w:val="-6"/>
        </w:rPr>
        <w:t> </w:t>
      </w:r>
      <w:r>
        <w:rPr/>
        <w:t>Anaja,</w:t>
      </w:r>
      <w:r>
        <w:rPr>
          <w:spacing w:val="-2"/>
        </w:rPr>
        <w:t> </w:t>
      </w:r>
      <w:r>
        <w:rPr/>
        <w:t>P.O.</w:t>
      </w:r>
      <w:r>
        <w:rPr>
          <w:spacing w:val="-6"/>
        </w:rPr>
        <w:t> </w:t>
      </w:r>
      <w:r>
        <w:rPr/>
        <w:t>and</w:t>
      </w:r>
      <w:r>
        <w:rPr>
          <w:spacing w:val="-4"/>
        </w:rPr>
        <w:t> </w:t>
      </w:r>
      <w:r>
        <w:rPr/>
        <w:t>Muktar,</w:t>
      </w:r>
      <w:r>
        <w:rPr>
          <w:spacing w:val="-6"/>
        </w:rPr>
        <w:t> </w:t>
      </w:r>
      <w:r>
        <w:rPr/>
        <w:t>H.M.</w:t>
      </w:r>
      <w:r>
        <w:rPr>
          <w:spacing w:val="-2"/>
        </w:rPr>
        <w:t> </w:t>
      </w:r>
      <w:r>
        <w:rPr/>
        <w:t>(2010).</w:t>
      </w:r>
      <w:r>
        <w:rPr>
          <w:spacing w:val="-2"/>
        </w:rPr>
        <w:t> </w:t>
      </w:r>
      <w:r>
        <w:rPr/>
        <w:t>Serum</w:t>
      </w:r>
      <w:r>
        <w:rPr>
          <w:spacing w:val="-12"/>
        </w:rPr>
        <w:t> </w:t>
      </w:r>
      <w:r>
        <w:rPr/>
        <w:t>electrolytes,</w:t>
      </w:r>
      <w:r>
        <w:rPr>
          <w:spacing w:val="-2"/>
        </w:rPr>
        <w:t> </w:t>
      </w:r>
      <w:r>
        <w:rPr/>
        <w:t>calcium, phosphate and uric acid in HIV/AIDS patients on HAART in a tertiary hospital in Northern Nigeria. </w:t>
      </w:r>
      <w:r>
        <w:rPr>
          <w:i/>
        </w:rPr>
        <w:t>Nigerian Journal of Pharmaceutical Sciences</w:t>
      </w:r>
      <w:r>
        <w:rPr/>
        <w:t>, 9(1): 101-108.</w:t>
      </w:r>
    </w:p>
    <w:p>
      <w:pPr>
        <w:pStyle w:val="BodyText"/>
        <w:spacing w:before="1"/>
      </w:pPr>
    </w:p>
    <w:p>
      <w:pPr>
        <w:pStyle w:val="BodyText"/>
        <w:ind w:left="681" w:right="280"/>
        <w:jc w:val="both"/>
      </w:pPr>
      <w:r>
        <w:rPr/>
        <w:t>Zhang, X.F., Hu, X.T. and White, F.J. (1998). Whole-cell plasticity in cocaine withdrawal: reduced sodium currents in nucleus accumbens neurons. </w:t>
      </w:r>
      <w:r>
        <w:rPr>
          <w:i/>
        </w:rPr>
        <w:t>Journal of Neuroscience</w:t>
      </w:r>
      <w:r>
        <w:rPr/>
        <w:t>, 18: 488–498.</w:t>
      </w:r>
    </w:p>
    <w:p>
      <w:pPr>
        <w:pStyle w:val="BodyText"/>
      </w:pPr>
    </w:p>
    <w:p>
      <w:pPr>
        <w:pStyle w:val="BodyText"/>
        <w:spacing w:before="1"/>
        <w:ind w:left="681" w:right="271"/>
        <w:jc w:val="both"/>
      </w:pPr>
      <w:r>
        <w:rPr/>
        <w:t>Zhang, J.Z., Yarov-Yarovoy, V., Scheuer, T., Karbat, I., Cohen</w:t>
      </w:r>
      <w:r>
        <w:rPr>
          <w:spacing w:val="-7"/>
        </w:rPr>
        <w:t> </w:t>
      </w:r>
      <w:r>
        <w:rPr/>
        <w:t>L, Gordon</w:t>
      </w:r>
      <w:r>
        <w:rPr>
          <w:spacing w:val="-7"/>
        </w:rPr>
        <w:t> </w:t>
      </w:r>
      <w:r>
        <w:rPr/>
        <w:t>D,</w:t>
      </w:r>
      <w:r>
        <w:rPr>
          <w:spacing w:val="-1"/>
        </w:rPr>
        <w:t> </w:t>
      </w:r>
      <w:r>
        <w:rPr/>
        <w:t>Gurevitz</w:t>
      </w:r>
      <w:r>
        <w:rPr>
          <w:spacing w:val="-3"/>
        </w:rPr>
        <w:t> </w:t>
      </w:r>
      <w:r>
        <w:rPr/>
        <w:t>M and CatterallWA</w:t>
      </w:r>
      <w:r>
        <w:rPr>
          <w:spacing w:val="-2"/>
        </w:rPr>
        <w:t> </w:t>
      </w:r>
      <w:r>
        <w:rPr/>
        <w:t>(2011). Structure-function</w:t>
      </w:r>
      <w:r>
        <w:rPr>
          <w:spacing w:val="-1"/>
        </w:rPr>
        <w:t> </w:t>
      </w:r>
      <w:r>
        <w:rPr/>
        <w:t>map</w:t>
      </w:r>
      <w:r>
        <w:rPr>
          <w:spacing w:val="-1"/>
        </w:rPr>
        <w:t> </w:t>
      </w:r>
      <w:r>
        <w:rPr/>
        <w:t>of</w:t>
      </w:r>
      <w:r>
        <w:rPr>
          <w:spacing w:val="-4"/>
        </w:rPr>
        <w:t> </w:t>
      </w:r>
      <w:r>
        <w:rPr/>
        <w:t>the</w:t>
      </w:r>
      <w:r>
        <w:rPr>
          <w:spacing w:val="-2"/>
        </w:rPr>
        <w:t> </w:t>
      </w:r>
      <w:r>
        <w:rPr/>
        <w:t>receptor</w:t>
      </w:r>
      <w:r>
        <w:rPr>
          <w:spacing w:val="-1"/>
        </w:rPr>
        <w:t> </w:t>
      </w:r>
      <w:r>
        <w:rPr/>
        <w:t>site for </w:t>
      </w:r>
      <w:r>
        <w:rPr>
          <w:i/>
        </w:rPr>
        <w:t>β</w:t>
      </w:r>
      <w:r>
        <w:rPr/>
        <w:t>-scorpion</w:t>
      </w:r>
      <w:r>
        <w:rPr>
          <w:spacing w:val="-6"/>
        </w:rPr>
        <w:t> </w:t>
      </w:r>
      <w:r>
        <w:rPr/>
        <w:t>toxins in domain II of voltage-gated sodium channels. </w:t>
      </w:r>
      <w:r>
        <w:rPr>
          <w:i/>
        </w:rPr>
        <w:t>Journal of Biology and Chemistry, </w:t>
      </w:r>
      <w:r>
        <w:rPr/>
        <w:t>286, </w:t>
      </w:r>
      <w:r>
        <w:rPr>
          <w:spacing w:val="-2"/>
        </w:rPr>
        <w:t>33641–33651.</w:t>
      </w:r>
    </w:p>
    <w:p>
      <w:pPr>
        <w:pStyle w:val="BodyText"/>
        <w:spacing w:before="2"/>
      </w:pPr>
    </w:p>
    <w:p>
      <w:pPr>
        <w:pStyle w:val="BodyText"/>
        <w:spacing w:before="1"/>
        <w:ind w:left="681" w:right="281"/>
        <w:jc w:val="both"/>
      </w:pPr>
      <w:r>
        <w:rPr/>
        <w:t>Zhang, N., Wei, W., Mody, I. and Houser, C.R.(2007). Altered localization</w:t>
      </w:r>
      <w:r>
        <w:rPr>
          <w:spacing w:val="-3"/>
        </w:rPr>
        <w:t> </w:t>
      </w:r>
      <w:r>
        <w:rPr/>
        <w:t>of</w:t>
      </w:r>
      <w:r>
        <w:rPr>
          <w:spacing w:val="-5"/>
        </w:rPr>
        <w:t> </w:t>
      </w:r>
      <w:r>
        <w:rPr/>
        <w:t>GABA(A) receptor subunits on dentate granule cell dendrites influences tonic and phasic inhibition in a mouse model of epilepsy. </w:t>
      </w:r>
      <w:r>
        <w:rPr>
          <w:i/>
        </w:rPr>
        <w:t>Journal of</w:t>
      </w:r>
      <w:r>
        <w:rPr>
          <w:i/>
          <w:spacing w:val="40"/>
        </w:rPr>
        <w:t> </w:t>
      </w:r>
      <w:r>
        <w:rPr>
          <w:i/>
        </w:rPr>
        <w:t>Neurosciece,</w:t>
      </w:r>
      <w:r>
        <w:rPr/>
        <w:t>27(28): 7520-7531.</w:t>
      </w:r>
    </w:p>
    <w:p>
      <w:pPr>
        <w:pStyle w:val="BodyText"/>
        <w:spacing w:before="276"/>
        <w:ind w:left="681" w:right="272"/>
        <w:jc w:val="both"/>
      </w:pPr>
      <w:r>
        <w:rPr/>
        <w:t>Zhou, Y., Morais-Cabral, J.H., Kaufman, A. and MacKinnon, R. (2001). Chemistry of</w:t>
      </w:r>
      <w:r>
        <w:rPr>
          <w:spacing w:val="40"/>
        </w:rPr>
        <w:t> </w:t>
      </w:r>
      <w:r>
        <w:rPr/>
        <w:t>ion coordination and hydration revealed by a potassium channel-Fab complex at 2.0 A resolution. </w:t>
      </w:r>
      <w:r>
        <w:rPr>
          <w:i/>
        </w:rPr>
        <w:t>Nature, </w:t>
      </w:r>
      <w:r>
        <w:rPr/>
        <w:t>414: 43–48.</w:t>
      </w:r>
    </w:p>
    <w:p>
      <w:pPr>
        <w:spacing w:after="0"/>
        <w:jc w:val="both"/>
        <w:sectPr>
          <w:pgSz w:w="12240" w:h="15840"/>
          <w:pgMar w:header="0" w:footer="1066" w:top="1360" w:bottom="1260" w:left="1480" w:right="1160"/>
        </w:sectPr>
      </w:pPr>
    </w:p>
    <w:p>
      <w:pPr>
        <w:pStyle w:val="Heading2"/>
        <w:spacing w:line="480" w:lineRule="auto" w:before="77"/>
        <w:jc w:val="left"/>
      </w:pPr>
      <w:r>
        <w:rPr/>
        <w:t>APPENDIX</w:t>
      </w:r>
      <w:r>
        <w:rPr>
          <w:spacing w:val="40"/>
        </w:rPr>
        <w:t> </w:t>
      </w:r>
      <w:r>
        <w:rPr/>
        <w:t>A:</w:t>
      </w:r>
      <w:r>
        <w:rPr>
          <w:spacing w:val="40"/>
        </w:rPr>
        <w:t> </w:t>
      </w:r>
      <w:r>
        <w:rPr/>
        <w:t>Determination</w:t>
      </w:r>
      <w:r>
        <w:rPr>
          <w:spacing w:val="40"/>
        </w:rPr>
        <w:t> </w:t>
      </w:r>
      <w:r>
        <w:rPr/>
        <w:t>of</w:t>
      </w:r>
      <w:r>
        <w:rPr>
          <w:spacing w:val="38"/>
        </w:rPr>
        <w:t> </w:t>
      </w:r>
      <w:r>
        <w:rPr/>
        <w:t>TD</w:t>
      </w:r>
      <w:r>
        <w:rPr>
          <w:vertAlign w:val="subscript"/>
        </w:rPr>
        <w:t>50</w:t>
      </w:r>
      <w:r>
        <w:rPr>
          <w:vertAlign w:val="baseline"/>
        </w:rPr>
        <w:t> for</w:t>
      </w:r>
      <w:r>
        <w:rPr>
          <w:spacing w:val="35"/>
          <w:vertAlign w:val="baseline"/>
        </w:rPr>
        <w:t> </w:t>
      </w:r>
      <w:r>
        <w:rPr>
          <w:vertAlign w:val="baseline"/>
        </w:rPr>
        <w:t>DCP23</w:t>
      </w:r>
      <w:r>
        <w:rPr>
          <w:spacing w:val="40"/>
          <w:vertAlign w:val="baseline"/>
        </w:rPr>
        <w:t> </w:t>
      </w:r>
      <w:r>
        <w:rPr>
          <w:vertAlign w:val="baseline"/>
        </w:rPr>
        <w:t>Using</w:t>
      </w:r>
      <w:r>
        <w:rPr>
          <w:spacing w:val="40"/>
          <w:vertAlign w:val="baseline"/>
        </w:rPr>
        <w:t> </w:t>
      </w:r>
      <w:r>
        <w:rPr>
          <w:vertAlign w:val="baseline"/>
        </w:rPr>
        <w:t>Walking</w:t>
      </w:r>
      <w:r>
        <w:rPr>
          <w:spacing w:val="40"/>
          <w:vertAlign w:val="baseline"/>
        </w:rPr>
        <w:t> </w:t>
      </w:r>
      <w:r>
        <w:rPr>
          <w:vertAlign w:val="baseline"/>
        </w:rPr>
        <w:t>Beam</w:t>
      </w:r>
      <w:r>
        <w:rPr>
          <w:spacing w:val="38"/>
          <w:vertAlign w:val="baseline"/>
        </w:rPr>
        <w:t> </w:t>
      </w:r>
      <w:r>
        <w:rPr>
          <w:vertAlign w:val="baseline"/>
        </w:rPr>
        <w:t>Test</w:t>
      </w:r>
      <w:r>
        <w:rPr>
          <w:spacing w:val="40"/>
          <w:vertAlign w:val="baseline"/>
        </w:rPr>
        <w:t> </w:t>
      </w:r>
      <w:r>
        <w:rPr>
          <w:vertAlign w:val="baseline"/>
        </w:rPr>
        <w:t>for Motor Coordination Deficit</w:t>
      </w:r>
    </w:p>
    <w:p>
      <w:pPr>
        <w:spacing w:before="274"/>
        <w:ind w:left="681" w:right="0" w:firstLine="0"/>
        <w:jc w:val="left"/>
        <w:rPr>
          <w:b/>
          <w:sz w:val="24"/>
        </w:rPr>
      </w:pPr>
      <w:r>
        <w:rPr/>
        <mc:AlternateContent>
          <mc:Choice Requires="wps">
            <w:drawing>
              <wp:anchor distT="0" distB="0" distL="0" distR="0" allowOverlap="1" layoutInCell="1" locked="0" behindDoc="0" simplePos="0" relativeHeight="15807488">
                <wp:simplePos x="0" y="0"/>
                <wp:positionH relativeFrom="page">
                  <wp:posOffset>1413878</wp:posOffset>
                </wp:positionH>
                <wp:positionV relativeFrom="paragraph">
                  <wp:posOffset>2027275</wp:posOffset>
                </wp:positionV>
                <wp:extent cx="5063490" cy="3898900"/>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5063490" cy="3898900"/>
                          <a:chExt cx="5063490" cy="3898900"/>
                        </a:xfrm>
                      </wpg:grpSpPr>
                      <wps:wsp>
                        <wps:cNvPr id="320" name="Graphic 320"/>
                        <wps:cNvSpPr/>
                        <wps:spPr>
                          <a:xfrm>
                            <a:off x="6793" y="6793"/>
                            <a:ext cx="5050155" cy="3885565"/>
                          </a:xfrm>
                          <a:custGeom>
                            <a:avLst/>
                            <a:gdLst/>
                            <a:ahLst/>
                            <a:cxnLst/>
                            <a:rect l="l" t="t" r="r" b="b"/>
                            <a:pathLst>
                              <a:path w="5050155" h="3885565">
                                <a:moveTo>
                                  <a:pt x="0" y="3885204"/>
                                </a:moveTo>
                                <a:lnTo>
                                  <a:pt x="5049632" y="3885204"/>
                                </a:lnTo>
                                <a:lnTo>
                                  <a:pt x="5049632" y="0"/>
                                </a:lnTo>
                                <a:lnTo>
                                  <a:pt x="0" y="0"/>
                                </a:lnTo>
                                <a:lnTo>
                                  <a:pt x="0" y="3885204"/>
                                </a:lnTo>
                                <a:close/>
                              </a:path>
                            </a:pathLst>
                          </a:custGeom>
                          <a:ln w="12713">
                            <a:solidFill>
                              <a:srgbClr val="808080"/>
                            </a:solidFill>
                            <a:prstDash val="solid"/>
                          </a:ln>
                        </wps:spPr>
                        <wps:bodyPr wrap="square" lIns="0" tIns="0" rIns="0" bIns="0" rtlCol="0">
                          <a:prstTxWarp prst="textNoShape">
                            <a:avLst/>
                          </a:prstTxWarp>
                          <a:noAutofit/>
                        </wps:bodyPr>
                      </wps:wsp>
                      <wps:wsp>
                        <wps:cNvPr id="321" name="Graphic 321"/>
                        <wps:cNvSpPr/>
                        <wps:spPr>
                          <a:xfrm>
                            <a:off x="478472" y="394924"/>
                            <a:ext cx="4373245" cy="2522220"/>
                          </a:xfrm>
                          <a:custGeom>
                            <a:avLst/>
                            <a:gdLst/>
                            <a:ahLst/>
                            <a:cxnLst/>
                            <a:rect l="l" t="t" r="r" b="b"/>
                            <a:pathLst>
                              <a:path w="4373245" h="2522220">
                                <a:moveTo>
                                  <a:pt x="0" y="2522119"/>
                                </a:moveTo>
                                <a:lnTo>
                                  <a:pt x="4373177" y="2522119"/>
                                </a:lnTo>
                              </a:path>
                              <a:path w="4373245" h="2522220">
                                <a:moveTo>
                                  <a:pt x="0" y="2448584"/>
                                </a:moveTo>
                                <a:lnTo>
                                  <a:pt x="4373177" y="2448584"/>
                                </a:lnTo>
                              </a:path>
                              <a:path w="4373245" h="2522220">
                                <a:moveTo>
                                  <a:pt x="0" y="2360926"/>
                                </a:moveTo>
                                <a:lnTo>
                                  <a:pt x="4373177" y="2360926"/>
                                </a:lnTo>
                              </a:path>
                              <a:path w="4373245" h="2522220">
                                <a:moveTo>
                                  <a:pt x="0" y="2287390"/>
                                </a:moveTo>
                                <a:lnTo>
                                  <a:pt x="4373177" y="2287390"/>
                                </a:lnTo>
                              </a:path>
                              <a:path w="4373245" h="2522220">
                                <a:moveTo>
                                  <a:pt x="0" y="2140806"/>
                                </a:moveTo>
                                <a:lnTo>
                                  <a:pt x="4373177" y="2140806"/>
                                </a:lnTo>
                              </a:path>
                              <a:path w="4373245" h="2522220">
                                <a:moveTo>
                                  <a:pt x="0" y="2067758"/>
                                </a:moveTo>
                                <a:lnTo>
                                  <a:pt x="4373177" y="2067758"/>
                                </a:lnTo>
                              </a:path>
                              <a:path w="4373245" h="2522220">
                                <a:moveTo>
                                  <a:pt x="0" y="1979613"/>
                                </a:moveTo>
                                <a:lnTo>
                                  <a:pt x="4373177" y="1979613"/>
                                </a:lnTo>
                              </a:path>
                              <a:path w="4373245" h="2522220">
                                <a:moveTo>
                                  <a:pt x="0" y="1906077"/>
                                </a:moveTo>
                                <a:lnTo>
                                  <a:pt x="4373177" y="1906077"/>
                                </a:lnTo>
                              </a:path>
                              <a:path w="4373245" h="2522220">
                                <a:moveTo>
                                  <a:pt x="0" y="1759493"/>
                                </a:moveTo>
                                <a:lnTo>
                                  <a:pt x="4373177" y="1759493"/>
                                </a:lnTo>
                              </a:path>
                              <a:path w="4373245" h="2522220">
                                <a:moveTo>
                                  <a:pt x="0" y="1686445"/>
                                </a:moveTo>
                                <a:lnTo>
                                  <a:pt x="4373177" y="1686445"/>
                                </a:lnTo>
                              </a:path>
                              <a:path w="4373245" h="2522220">
                                <a:moveTo>
                                  <a:pt x="0" y="1598300"/>
                                </a:moveTo>
                                <a:lnTo>
                                  <a:pt x="4373177" y="1598300"/>
                                </a:lnTo>
                              </a:path>
                              <a:path w="4373245" h="2522220">
                                <a:moveTo>
                                  <a:pt x="0" y="1525251"/>
                                </a:moveTo>
                                <a:lnTo>
                                  <a:pt x="4373177" y="1525251"/>
                                </a:lnTo>
                              </a:path>
                              <a:path w="4373245" h="2522220">
                                <a:moveTo>
                                  <a:pt x="0" y="1378765"/>
                                </a:moveTo>
                                <a:lnTo>
                                  <a:pt x="4373177" y="1378765"/>
                                </a:lnTo>
                              </a:path>
                              <a:path w="4373245" h="2522220">
                                <a:moveTo>
                                  <a:pt x="0" y="1305132"/>
                                </a:moveTo>
                                <a:lnTo>
                                  <a:pt x="4373177" y="1305132"/>
                                </a:lnTo>
                              </a:path>
                              <a:path w="4373245" h="2522220">
                                <a:moveTo>
                                  <a:pt x="0" y="1217084"/>
                                </a:moveTo>
                                <a:lnTo>
                                  <a:pt x="4373177" y="1217084"/>
                                </a:lnTo>
                              </a:path>
                              <a:path w="4373245" h="2522220">
                                <a:moveTo>
                                  <a:pt x="0" y="1144036"/>
                                </a:moveTo>
                                <a:lnTo>
                                  <a:pt x="4373177" y="1144036"/>
                                </a:lnTo>
                              </a:path>
                              <a:path w="4373245" h="2522220">
                                <a:moveTo>
                                  <a:pt x="0" y="997355"/>
                                </a:moveTo>
                                <a:lnTo>
                                  <a:pt x="4373177" y="997355"/>
                                </a:lnTo>
                              </a:path>
                              <a:path w="4373245" h="2522220">
                                <a:moveTo>
                                  <a:pt x="0" y="923722"/>
                                </a:moveTo>
                                <a:lnTo>
                                  <a:pt x="4373177" y="923722"/>
                                </a:lnTo>
                              </a:path>
                              <a:path w="4373245" h="2522220">
                                <a:moveTo>
                                  <a:pt x="0" y="836064"/>
                                </a:moveTo>
                                <a:lnTo>
                                  <a:pt x="4373177" y="836064"/>
                                </a:lnTo>
                              </a:path>
                              <a:path w="4373245" h="2522220">
                                <a:moveTo>
                                  <a:pt x="0" y="762625"/>
                                </a:moveTo>
                                <a:lnTo>
                                  <a:pt x="4373177" y="762625"/>
                                </a:lnTo>
                              </a:path>
                              <a:path w="4373245" h="2522220">
                                <a:moveTo>
                                  <a:pt x="0" y="615944"/>
                                </a:moveTo>
                                <a:lnTo>
                                  <a:pt x="4373177" y="615944"/>
                                </a:lnTo>
                              </a:path>
                              <a:path w="4373245" h="2522220">
                                <a:moveTo>
                                  <a:pt x="0" y="542506"/>
                                </a:moveTo>
                                <a:lnTo>
                                  <a:pt x="4373177" y="542506"/>
                                </a:lnTo>
                              </a:path>
                              <a:path w="4373245" h="2522220">
                                <a:moveTo>
                                  <a:pt x="0" y="454848"/>
                                </a:moveTo>
                                <a:lnTo>
                                  <a:pt x="4373177" y="454848"/>
                                </a:lnTo>
                              </a:path>
                              <a:path w="4373245" h="2522220">
                                <a:moveTo>
                                  <a:pt x="0" y="381215"/>
                                </a:moveTo>
                                <a:lnTo>
                                  <a:pt x="4373177" y="381215"/>
                                </a:lnTo>
                              </a:path>
                              <a:path w="4373245" h="2522220">
                                <a:moveTo>
                                  <a:pt x="0" y="234729"/>
                                </a:moveTo>
                                <a:lnTo>
                                  <a:pt x="4373177" y="234729"/>
                                </a:lnTo>
                              </a:path>
                              <a:path w="4373245" h="2522220">
                                <a:moveTo>
                                  <a:pt x="0" y="161680"/>
                                </a:moveTo>
                                <a:lnTo>
                                  <a:pt x="4373177" y="161680"/>
                                </a:lnTo>
                              </a:path>
                              <a:path w="4373245" h="2522220">
                                <a:moveTo>
                                  <a:pt x="0" y="73632"/>
                                </a:moveTo>
                                <a:lnTo>
                                  <a:pt x="4373177" y="73632"/>
                                </a:lnTo>
                              </a:path>
                              <a:path w="4373245" h="2522220">
                                <a:moveTo>
                                  <a:pt x="0" y="0"/>
                                </a:moveTo>
                                <a:lnTo>
                                  <a:pt x="4373177" y="0"/>
                                </a:lnTo>
                              </a:path>
                            </a:pathLst>
                          </a:custGeom>
                          <a:ln w="12059">
                            <a:solidFill>
                              <a:srgbClr val="C0C0C0"/>
                            </a:solidFill>
                            <a:prstDash val="solid"/>
                          </a:ln>
                        </wps:spPr>
                        <wps:bodyPr wrap="square" lIns="0" tIns="0" rIns="0" bIns="0" rtlCol="0">
                          <a:prstTxWarp prst="textNoShape">
                            <a:avLst/>
                          </a:prstTxWarp>
                          <a:noAutofit/>
                        </wps:bodyPr>
                      </wps:wsp>
                      <wps:wsp>
                        <wps:cNvPr id="322" name="Graphic 322"/>
                        <wps:cNvSpPr/>
                        <wps:spPr>
                          <a:xfrm>
                            <a:off x="478472" y="321875"/>
                            <a:ext cx="4373245" cy="2287905"/>
                          </a:xfrm>
                          <a:custGeom>
                            <a:avLst/>
                            <a:gdLst/>
                            <a:ahLst/>
                            <a:cxnLst/>
                            <a:rect l="l" t="t" r="r" b="b"/>
                            <a:pathLst>
                              <a:path w="4373245" h="2287905">
                                <a:moveTo>
                                  <a:pt x="0" y="2287390"/>
                                </a:moveTo>
                                <a:lnTo>
                                  <a:pt x="4373177" y="2287390"/>
                                </a:lnTo>
                              </a:path>
                              <a:path w="4373245" h="2287905">
                                <a:moveTo>
                                  <a:pt x="0" y="1906077"/>
                                </a:moveTo>
                                <a:lnTo>
                                  <a:pt x="4373177" y="1906077"/>
                                </a:lnTo>
                              </a:path>
                              <a:path w="4373245" h="2287905">
                                <a:moveTo>
                                  <a:pt x="0" y="1524862"/>
                                </a:moveTo>
                                <a:lnTo>
                                  <a:pt x="4373177" y="1524862"/>
                                </a:lnTo>
                              </a:path>
                              <a:path w="4373245" h="2287905">
                                <a:moveTo>
                                  <a:pt x="0" y="1143451"/>
                                </a:moveTo>
                                <a:lnTo>
                                  <a:pt x="4373177" y="1143451"/>
                                </a:lnTo>
                              </a:path>
                              <a:path w="4373245" h="2287905">
                                <a:moveTo>
                                  <a:pt x="0" y="762041"/>
                                </a:moveTo>
                                <a:lnTo>
                                  <a:pt x="4373177" y="762041"/>
                                </a:lnTo>
                              </a:path>
                              <a:path w="4373245" h="2287905">
                                <a:moveTo>
                                  <a:pt x="0" y="381215"/>
                                </a:moveTo>
                                <a:lnTo>
                                  <a:pt x="4373177" y="381215"/>
                                </a:lnTo>
                              </a:path>
                              <a:path w="4373245" h="2287905">
                                <a:moveTo>
                                  <a:pt x="0" y="0"/>
                                </a:moveTo>
                                <a:lnTo>
                                  <a:pt x="4373177" y="0"/>
                                </a:lnTo>
                              </a:path>
                            </a:pathLst>
                          </a:custGeom>
                          <a:ln w="12059">
                            <a:solidFill>
                              <a:srgbClr val="808080"/>
                            </a:solidFill>
                            <a:prstDash val="solid"/>
                          </a:ln>
                        </wps:spPr>
                        <wps:bodyPr wrap="square" lIns="0" tIns="0" rIns="0" bIns="0" rtlCol="0">
                          <a:prstTxWarp prst="textNoShape">
                            <a:avLst/>
                          </a:prstTxWarp>
                          <a:noAutofit/>
                        </wps:bodyPr>
                      </wps:wsp>
                      <wps:wsp>
                        <wps:cNvPr id="323" name="Graphic 323"/>
                        <wps:cNvSpPr/>
                        <wps:spPr>
                          <a:xfrm>
                            <a:off x="649963" y="321875"/>
                            <a:ext cx="4039870" cy="2653665"/>
                          </a:xfrm>
                          <a:custGeom>
                            <a:avLst/>
                            <a:gdLst/>
                            <a:ahLst/>
                            <a:cxnLst/>
                            <a:rect l="l" t="t" r="r" b="b"/>
                            <a:pathLst>
                              <a:path w="4039870" h="2653665">
                                <a:moveTo>
                                  <a:pt x="0" y="0"/>
                                </a:moveTo>
                                <a:lnTo>
                                  <a:pt x="0" y="2653607"/>
                                </a:lnTo>
                              </a:path>
                              <a:path w="4039870" h="2653665">
                                <a:moveTo>
                                  <a:pt x="181000" y="0"/>
                                </a:moveTo>
                                <a:lnTo>
                                  <a:pt x="181000" y="2653607"/>
                                </a:lnTo>
                              </a:path>
                              <a:path w="4039870" h="2653665">
                                <a:moveTo>
                                  <a:pt x="352491" y="0"/>
                                </a:moveTo>
                                <a:lnTo>
                                  <a:pt x="352491" y="2653607"/>
                                </a:lnTo>
                              </a:path>
                              <a:path w="4039870" h="2653665">
                                <a:moveTo>
                                  <a:pt x="533492" y="0"/>
                                </a:moveTo>
                                <a:lnTo>
                                  <a:pt x="533492" y="2653607"/>
                                </a:lnTo>
                              </a:path>
                              <a:path w="4039870" h="2653665">
                                <a:moveTo>
                                  <a:pt x="876474" y="0"/>
                                </a:moveTo>
                                <a:lnTo>
                                  <a:pt x="876474" y="2653607"/>
                                </a:lnTo>
                              </a:path>
                              <a:path w="4039870" h="2653665">
                                <a:moveTo>
                                  <a:pt x="1057538" y="0"/>
                                </a:moveTo>
                                <a:lnTo>
                                  <a:pt x="1057538" y="2653607"/>
                                </a:lnTo>
                              </a:path>
                              <a:path w="4039870" h="2653665">
                                <a:moveTo>
                                  <a:pt x="1228965" y="0"/>
                                </a:moveTo>
                                <a:lnTo>
                                  <a:pt x="1228965" y="2653607"/>
                                </a:lnTo>
                              </a:path>
                              <a:path w="4039870" h="2653665">
                                <a:moveTo>
                                  <a:pt x="1410029" y="0"/>
                                </a:moveTo>
                                <a:lnTo>
                                  <a:pt x="1410029" y="2653607"/>
                                </a:lnTo>
                              </a:path>
                              <a:path w="4039870" h="2653665">
                                <a:moveTo>
                                  <a:pt x="1753011" y="0"/>
                                </a:moveTo>
                                <a:lnTo>
                                  <a:pt x="1753011" y="2653607"/>
                                </a:lnTo>
                              </a:path>
                              <a:path w="4039870" h="2653665">
                                <a:moveTo>
                                  <a:pt x="1933948" y="0"/>
                                </a:moveTo>
                                <a:lnTo>
                                  <a:pt x="1933948" y="2653607"/>
                                </a:lnTo>
                              </a:path>
                              <a:path w="4039870" h="2653665">
                                <a:moveTo>
                                  <a:pt x="2105503" y="0"/>
                                </a:moveTo>
                                <a:lnTo>
                                  <a:pt x="2105503" y="2653607"/>
                                </a:lnTo>
                              </a:path>
                              <a:path w="4039870" h="2653665">
                                <a:moveTo>
                                  <a:pt x="2286440" y="0"/>
                                </a:moveTo>
                                <a:lnTo>
                                  <a:pt x="2286440" y="2653607"/>
                                </a:lnTo>
                              </a:path>
                              <a:path w="4039870" h="2653665">
                                <a:moveTo>
                                  <a:pt x="2629422" y="0"/>
                                </a:moveTo>
                                <a:lnTo>
                                  <a:pt x="2629422" y="2653607"/>
                                </a:lnTo>
                              </a:path>
                              <a:path w="4039870" h="2653665">
                                <a:moveTo>
                                  <a:pt x="2810739" y="0"/>
                                </a:moveTo>
                                <a:lnTo>
                                  <a:pt x="2810739" y="2653607"/>
                                </a:lnTo>
                              </a:path>
                              <a:path w="4039870" h="2653665">
                                <a:moveTo>
                                  <a:pt x="2982294" y="0"/>
                                </a:moveTo>
                                <a:lnTo>
                                  <a:pt x="2982294" y="2653607"/>
                                </a:lnTo>
                              </a:path>
                              <a:path w="4039870" h="2653665">
                                <a:moveTo>
                                  <a:pt x="3163231" y="0"/>
                                </a:moveTo>
                                <a:lnTo>
                                  <a:pt x="3163231" y="2653607"/>
                                </a:lnTo>
                              </a:path>
                              <a:path w="4039870" h="2653665">
                                <a:moveTo>
                                  <a:pt x="3506213" y="0"/>
                                </a:moveTo>
                                <a:lnTo>
                                  <a:pt x="3506213" y="2653607"/>
                                </a:lnTo>
                              </a:path>
                              <a:path w="4039870" h="2653665">
                                <a:moveTo>
                                  <a:pt x="3687150" y="0"/>
                                </a:moveTo>
                                <a:lnTo>
                                  <a:pt x="3687150" y="2653607"/>
                                </a:lnTo>
                              </a:path>
                              <a:path w="4039870" h="2653665">
                                <a:moveTo>
                                  <a:pt x="3858705" y="0"/>
                                </a:moveTo>
                                <a:lnTo>
                                  <a:pt x="3858705" y="2653607"/>
                                </a:lnTo>
                              </a:path>
                              <a:path w="4039870" h="2653665">
                                <a:moveTo>
                                  <a:pt x="4039769" y="0"/>
                                </a:moveTo>
                                <a:lnTo>
                                  <a:pt x="4039769" y="2653607"/>
                                </a:lnTo>
                              </a:path>
                            </a:pathLst>
                          </a:custGeom>
                          <a:ln w="12059">
                            <a:solidFill>
                              <a:srgbClr val="C0C0C0"/>
                            </a:solidFill>
                            <a:prstDash val="solid"/>
                          </a:ln>
                        </wps:spPr>
                        <wps:bodyPr wrap="square" lIns="0" tIns="0" rIns="0" bIns="0" rtlCol="0">
                          <a:prstTxWarp prst="textNoShape">
                            <a:avLst/>
                          </a:prstTxWarp>
                          <a:noAutofit/>
                        </wps:bodyPr>
                      </wps:wsp>
                      <wps:wsp>
                        <wps:cNvPr id="324" name="Graphic 324"/>
                        <wps:cNvSpPr/>
                        <wps:spPr>
                          <a:xfrm>
                            <a:off x="1355010" y="321875"/>
                            <a:ext cx="3506470" cy="2653665"/>
                          </a:xfrm>
                          <a:custGeom>
                            <a:avLst/>
                            <a:gdLst/>
                            <a:ahLst/>
                            <a:cxnLst/>
                            <a:rect l="l" t="t" r="r" b="b"/>
                            <a:pathLst>
                              <a:path w="3506470" h="2653665">
                                <a:moveTo>
                                  <a:pt x="0" y="0"/>
                                </a:moveTo>
                                <a:lnTo>
                                  <a:pt x="0" y="2653607"/>
                                </a:lnTo>
                              </a:path>
                              <a:path w="3506470" h="2653665">
                                <a:moveTo>
                                  <a:pt x="876410" y="0"/>
                                </a:moveTo>
                                <a:lnTo>
                                  <a:pt x="876410" y="2653607"/>
                                </a:lnTo>
                              </a:path>
                              <a:path w="3506470" h="2653665">
                                <a:moveTo>
                                  <a:pt x="1752948" y="0"/>
                                </a:moveTo>
                                <a:lnTo>
                                  <a:pt x="1752948" y="2653607"/>
                                </a:lnTo>
                              </a:path>
                              <a:path w="3506470" h="2653665">
                                <a:moveTo>
                                  <a:pt x="2629739" y="0"/>
                                </a:moveTo>
                                <a:lnTo>
                                  <a:pt x="2629739" y="2653607"/>
                                </a:lnTo>
                              </a:path>
                              <a:path w="3506470" h="2653665">
                                <a:moveTo>
                                  <a:pt x="3506150" y="0"/>
                                </a:moveTo>
                                <a:lnTo>
                                  <a:pt x="3506150" y="2653607"/>
                                </a:lnTo>
                              </a:path>
                            </a:pathLst>
                          </a:custGeom>
                          <a:ln w="12059">
                            <a:solidFill>
                              <a:srgbClr val="808080"/>
                            </a:solidFill>
                            <a:prstDash val="solid"/>
                          </a:ln>
                        </wps:spPr>
                        <wps:bodyPr wrap="square" lIns="0" tIns="0" rIns="0" bIns="0" rtlCol="0">
                          <a:prstTxWarp prst="textNoShape">
                            <a:avLst/>
                          </a:prstTxWarp>
                          <a:noAutofit/>
                        </wps:bodyPr>
                      </wps:wsp>
                      <wps:wsp>
                        <wps:cNvPr id="325" name="Graphic 325"/>
                        <wps:cNvSpPr/>
                        <wps:spPr>
                          <a:xfrm>
                            <a:off x="440434" y="321875"/>
                            <a:ext cx="4420870" cy="2727325"/>
                          </a:xfrm>
                          <a:custGeom>
                            <a:avLst/>
                            <a:gdLst/>
                            <a:ahLst/>
                            <a:cxnLst/>
                            <a:rect l="l" t="t" r="r" b="b"/>
                            <a:pathLst>
                              <a:path w="4420870" h="2727325">
                                <a:moveTo>
                                  <a:pt x="38038" y="0"/>
                                </a:moveTo>
                                <a:lnTo>
                                  <a:pt x="38038" y="2653607"/>
                                </a:lnTo>
                              </a:path>
                              <a:path w="4420870" h="2727325">
                                <a:moveTo>
                                  <a:pt x="0" y="2668703"/>
                                </a:moveTo>
                                <a:lnTo>
                                  <a:pt x="28528" y="2668703"/>
                                </a:lnTo>
                              </a:path>
                              <a:path w="4420870" h="2727325">
                                <a:moveTo>
                                  <a:pt x="0" y="2287390"/>
                                </a:moveTo>
                                <a:lnTo>
                                  <a:pt x="28528" y="2287390"/>
                                </a:lnTo>
                              </a:path>
                              <a:path w="4420870" h="2727325">
                                <a:moveTo>
                                  <a:pt x="0" y="1906077"/>
                                </a:moveTo>
                                <a:lnTo>
                                  <a:pt x="28528" y="1906077"/>
                                </a:lnTo>
                              </a:path>
                              <a:path w="4420870" h="2727325">
                                <a:moveTo>
                                  <a:pt x="0" y="1524862"/>
                                </a:moveTo>
                                <a:lnTo>
                                  <a:pt x="28528" y="1524862"/>
                                </a:lnTo>
                              </a:path>
                              <a:path w="4420870" h="2727325">
                                <a:moveTo>
                                  <a:pt x="0" y="1143451"/>
                                </a:moveTo>
                                <a:lnTo>
                                  <a:pt x="28528" y="1143451"/>
                                </a:lnTo>
                              </a:path>
                              <a:path w="4420870" h="2727325">
                                <a:moveTo>
                                  <a:pt x="0" y="762041"/>
                                </a:moveTo>
                                <a:lnTo>
                                  <a:pt x="28528" y="762041"/>
                                </a:lnTo>
                              </a:path>
                              <a:path w="4420870" h="2727325">
                                <a:moveTo>
                                  <a:pt x="0" y="381215"/>
                                </a:moveTo>
                                <a:lnTo>
                                  <a:pt x="28528" y="381215"/>
                                </a:lnTo>
                              </a:path>
                              <a:path w="4420870" h="2727325">
                                <a:moveTo>
                                  <a:pt x="0" y="0"/>
                                </a:moveTo>
                                <a:lnTo>
                                  <a:pt x="28528" y="0"/>
                                </a:lnTo>
                              </a:path>
                              <a:path w="4420870" h="2727325">
                                <a:moveTo>
                                  <a:pt x="38038" y="2668703"/>
                                </a:moveTo>
                                <a:lnTo>
                                  <a:pt x="4411216" y="2668703"/>
                                </a:lnTo>
                              </a:path>
                              <a:path w="4420870" h="2727325">
                                <a:moveTo>
                                  <a:pt x="38038" y="2727142"/>
                                </a:moveTo>
                                <a:lnTo>
                                  <a:pt x="38038" y="2683313"/>
                                </a:lnTo>
                              </a:path>
                              <a:path w="4420870" h="2727325">
                                <a:moveTo>
                                  <a:pt x="914576" y="2727142"/>
                                </a:moveTo>
                                <a:lnTo>
                                  <a:pt x="914576" y="2683313"/>
                                </a:lnTo>
                              </a:path>
                              <a:path w="4420870" h="2727325">
                                <a:moveTo>
                                  <a:pt x="1790986" y="2727142"/>
                                </a:moveTo>
                                <a:lnTo>
                                  <a:pt x="1790986" y="2683313"/>
                                </a:lnTo>
                              </a:path>
                              <a:path w="4420870" h="2727325">
                                <a:moveTo>
                                  <a:pt x="2667524" y="2727142"/>
                                </a:moveTo>
                                <a:lnTo>
                                  <a:pt x="2667524" y="2683313"/>
                                </a:lnTo>
                              </a:path>
                              <a:path w="4420870" h="2727325">
                                <a:moveTo>
                                  <a:pt x="3544315" y="2727142"/>
                                </a:moveTo>
                                <a:lnTo>
                                  <a:pt x="3544315" y="2683313"/>
                                </a:lnTo>
                              </a:path>
                              <a:path w="4420870" h="2727325">
                                <a:moveTo>
                                  <a:pt x="4420726" y="2727142"/>
                                </a:moveTo>
                                <a:lnTo>
                                  <a:pt x="4420726" y="2683313"/>
                                </a:lnTo>
                              </a:path>
                            </a:pathLst>
                          </a:custGeom>
                          <a:ln w="12059">
                            <a:solidFill>
                              <a:srgbClr val="808080"/>
                            </a:solidFill>
                            <a:prstDash val="solid"/>
                          </a:ln>
                        </wps:spPr>
                        <wps:bodyPr wrap="square" lIns="0" tIns="0" rIns="0" bIns="0" rtlCol="0">
                          <a:prstTxWarp prst="textNoShape">
                            <a:avLst/>
                          </a:prstTxWarp>
                          <a:noAutofit/>
                        </wps:bodyPr>
                      </wps:wsp>
                      <pic:pic>
                        <pic:nvPicPr>
                          <pic:cNvPr id="326" name="Image 326"/>
                          <pic:cNvPicPr/>
                        </pic:nvPicPr>
                        <pic:blipFill>
                          <a:blip r:embed="rId36" cstate="print"/>
                          <a:stretch>
                            <a:fillRect/>
                          </a:stretch>
                        </pic:blipFill>
                        <pic:spPr>
                          <a:xfrm>
                            <a:off x="3406873" y="1679419"/>
                            <a:ext cx="107406" cy="158737"/>
                          </a:xfrm>
                          <a:prstGeom prst="rect">
                            <a:avLst/>
                          </a:prstGeom>
                        </pic:spPr>
                      </pic:pic>
                      <pic:pic>
                        <pic:nvPicPr>
                          <pic:cNvPr id="327" name="Image 327"/>
                          <pic:cNvPicPr/>
                        </pic:nvPicPr>
                        <pic:blipFill>
                          <a:blip r:embed="rId37" cstate="print"/>
                          <a:stretch>
                            <a:fillRect/>
                          </a:stretch>
                        </pic:blipFill>
                        <pic:spPr>
                          <a:xfrm>
                            <a:off x="3721326" y="1400860"/>
                            <a:ext cx="107406" cy="158737"/>
                          </a:xfrm>
                          <a:prstGeom prst="rect">
                            <a:avLst/>
                          </a:prstGeom>
                        </pic:spPr>
                      </pic:pic>
                      <pic:pic>
                        <pic:nvPicPr>
                          <pic:cNvPr id="328" name="Image 328"/>
                          <pic:cNvPicPr/>
                        </pic:nvPicPr>
                        <pic:blipFill>
                          <a:blip r:embed="rId38" cstate="print"/>
                          <a:stretch>
                            <a:fillRect/>
                          </a:stretch>
                        </pic:blipFill>
                        <pic:spPr>
                          <a:xfrm>
                            <a:off x="3930791" y="1004839"/>
                            <a:ext cx="107536" cy="158740"/>
                          </a:xfrm>
                          <a:prstGeom prst="rect">
                            <a:avLst/>
                          </a:prstGeom>
                        </pic:spPr>
                      </pic:pic>
                      <pic:pic>
                        <pic:nvPicPr>
                          <pic:cNvPr id="329" name="Image 329"/>
                          <pic:cNvPicPr/>
                        </pic:nvPicPr>
                        <pic:blipFill>
                          <a:blip r:embed="rId39" cstate="print"/>
                          <a:stretch>
                            <a:fillRect/>
                          </a:stretch>
                        </pic:blipFill>
                        <pic:spPr>
                          <a:xfrm>
                            <a:off x="4245245" y="374286"/>
                            <a:ext cx="107406" cy="158737"/>
                          </a:xfrm>
                          <a:prstGeom prst="rect">
                            <a:avLst/>
                          </a:prstGeom>
                        </pic:spPr>
                      </pic:pic>
                      <wps:wsp>
                        <wps:cNvPr id="330" name="Graphic 330"/>
                        <wps:cNvSpPr/>
                        <wps:spPr>
                          <a:xfrm>
                            <a:off x="3460703" y="556604"/>
                            <a:ext cx="828675" cy="1290320"/>
                          </a:xfrm>
                          <a:custGeom>
                            <a:avLst/>
                            <a:gdLst/>
                            <a:ahLst/>
                            <a:cxnLst/>
                            <a:rect l="l" t="t" r="r" b="b"/>
                            <a:pathLst>
                              <a:path w="828675" h="1290320">
                                <a:moveTo>
                                  <a:pt x="0" y="1290133"/>
                                </a:moveTo>
                                <a:lnTo>
                                  <a:pt x="828608" y="0"/>
                                </a:lnTo>
                              </a:path>
                            </a:pathLst>
                          </a:custGeom>
                          <a:ln w="10999">
                            <a:solidFill>
                              <a:srgbClr val="000000"/>
                            </a:solidFill>
                            <a:prstDash val="solid"/>
                          </a:ln>
                        </wps:spPr>
                        <wps:bodyPr wrap="square" lIns="0" tIns="0" rIns="0" bIns="0" rtlCol="0">
                          <a:prstTxWarp prst="textNoShape">
                            <a:avLst/>
                          </a:prstTxWarp>
                          <a:noAutofit/>
                        </wps:bodyPr>
                      </wps:wsp>
                      <wps:wsp>
                        <wps:cNvPr id="331" name="Graphic 331"/>
                        <wps:cNvSpPr/>
                        <wps:spPr>
                          <a:xfrm>
                            <a:off x="6793" y="6793"/>
                            <a:ext cx="5050155" cy="3885565"/>
                          </a:xfrm>
                          <a:custGeom>
                            <a:avLst/>
                            <a:gdLst/>
                            <a:ahLst/>
                            <a:cxnLst/>
                            <a:rect l="l" t="t" r="r" b="b"/>
                            <a:pathLst>
                              <a:path w="5050155" h="3885565">
                                <a:moveTo>
                                  <a:pt x="0" y="3885204"/>
                                </a:moveTo>
                                <a:lnTo>
                                  <a:pt x="5049632" y="3885204"/>
                                </a:lnTo>
                                <a:lnTo>
                                  <a:pt x="5049632" y="0"/>
                                </a:lnTo>
                                <a:lnTo>
                                  <a:pt x="0" y="0"/>
                                </a:lnTo>
                                <a:lnTo>
                                  <a:pt x="0" y="3885204"/>
                                </a:lnTo>
                                <a:close/>
                              </a:path>
                            </a:pathLst>
                          </a:custGeom>
                          <a:ln w="12713">
                            <a:solidFill>
                              <a:srgbClr val="808080"/>
                            </a:solidFill>
                            <a:prstDash val="solid"/>
                          </a:ln>
                        </wps:spPr>
                        <wps:bodyPr wrap="square" lIns="0" tIns="0" rIns="0" bIns="0" rtlCol="0">
                          <a:prstTxWarp prst="textNoShape">
                            <a:avLst/>
                          </a:prstTxWarp>
                          <a:noAutofit/>
                        </wps:bodyPr>
                      </wps:wsp>
                      <wps:wsp>
                        <wps:cNvPr id="332" name="Textbox 332"/>
                        <wps:cNvSpPr txBox="1"/>
                        <wps:spPr>
                          <a:xfrm>
                            <a:off x="311736" y="230102"/>
                            <a:ext cx="75565" cy="2859405"/>
                          </a:xfrm>
                          <a:prstGeom prst="rect">
                            <a:avLst/>
                          </a:prstGeom>
                        </wps:spPr>
                        <wps:txbx>
                          <w:txbxContent>
                            <w:p>
                              <w:pPr>
                                <w:spacing w:line="305" w:lineRule="exact" w:before="0"/>
                                <w:ind w:left="0" w:right="0" w:firstLine="0"/>
                                <w:jc w:val="left"/>
                                <w:rPr>
                                  <w:rFonts w:ascii="Calibri"/>
                                  <w:sz w:val="30"/>
                                </w:rPr>
                              </w:pPr>
                              <w:r>
                                <w:rPr>
                                  <w:rFonts w:ascii="Calibri"/>
                                  <w:spacing w:val="-10"/>
                                  <w:w w:val="75"/>
                                  <w:sz w:val="30"/>
                                </w:rPr>
                                <w:t>7</w:t>
                              </w:r>
                            </w:p>
                            <w:p>
                              <w:pPr>
                                <w:spacing w:before="234"/>
                                <w:ind w:left="0" w:right="0" w:firstLine="0"/>
                                <w:jc w:val="left"/>
                                <w:rPr>
                                  <w:rFonts w:ascii="Calibri"/>
                                  <w:sz w:val="30"/>
                                </w:rPr>
                              </w:pPr>
                              <w:r>
                                <w:rPr>
                                  <w:rFonts w:ascii="Calibri"/>
                                  <w:spacing w:val="-10"/>
                                  <w:w w:val="75"/>
                                  <w:sz w:val="30"/>
                                </w:rPr>
                                <w:t>6</w:t>
                              </w:r>
                            </w:p>
                            <w:p>
                              <w:pPr>
                                <w:spacing w:before="235"/>
                                <w:ind w:left="0" w:right="0" w:firstLine="0"/>
                                <w:jc w:val="left"/>
                                <w:rPr>
                                  <w:rFonts w:ascii="Calibri"/>
                                  <w:sz w:val="30"/>
                                </w:rPr>
                              </w:pPr>
                              <w:r>
                                <w:rPr>
                                  <w:rFonts w:ascii="Calibri"/>
                                  <w:spacing w:val="-10"/>
                                  <w:w w:val="75"/>
                                  <w:sz w:val="30"/>
                                </w:rPr>
                                <w:t>5</w:t>
                              </w:r>
                            </w:p>
                            <w:p>
                              <w:pPr>
                                <w:spacing w:before="234"/>
                                <w:ind w:left="0" w:right="0" w:firstLine="0"/>
                                <w:jc w:val="left"/>
                                <w:rPr>
                                  <w:rFonts w:ascii="Calibri"/>
                                  <w:sz w:val="30"/>
                                </w:rPr>
                              </w:pPr>
                              <w:r>
                                <w:rPr>
                                  <w:rFonts w:ascii="Calibri"/>
                                  <w:spacing w:val="-10"/>
                                  <w:w w:val="75"/>
                                  <w:sz w:val="30"/>
                                </w:rPr>
                                <w:t>4</w:t>
                              </w:r>
                            </w:p>
                            <w:p>
                              <w:pPr>
                                <w:spacing w:before="234"/>
                                <w:ind w:left="0" w:right="0" w:firstLine="0"/>
                                <w:jc w:val="left"/>
                                <w:rPr>
                                  <w:rFonts w:ascii="Calibri"/>
                                  <w:sz w:val="30"/>
                                </w:rPr>
                              </w:pPr>
                              <w:r>
                                <w:rPr>
                                  <w:rFonts w:ascii="Calibri"/>
                                  <w:spacing w:val="-10"/>
                                  <w:w w:val="75"/>
                                  <w:sz w:val="30"/>
                                </w:rPr>
                                <w:t>3</w:t>
                              </w:r>
                            </w:p>
                            <w:p>
                              <w:pPr>
                                <w:spacing w:before="233"/>
                                <w:ind w:left="0" w:right="0" w:firstLine="0"/>
                                <w:jc w:val="left"/>
                                <w:rPr>
                                  <w:rFonts w:ascii="Calibri"/>
                                  <w:sz w:val="30"/>
                                </w:rPr>
                              </w:pPr>
                              <w:r>
                                <w:rPr>
                                  <w:rFonts w:ascii="Calibri"/>
                                  <w:spacing w:val="-10"/>
                                  <w:w w:val="75"/>
                                  <w:sz w:val="30"/>
                                </w:rPr>
                                <w:t>2</w:t>
                              </w:r>
                            </w:p>
                            <w:p>
                              <w:pPr>
                                <w:spacing w:before="235"/>
                                <w:ind w:left="0" w:right="0" w:firstLine="0"/>
                                <w:jc w:val="left"/>
                                <w:rPr>
                                  <w:rFonts w:ascii="Calibri"/>
                                  <w:sz w:val="30"/>
                                </w:rPr>
                              </w:pPr>
                              <w:r>
                                <w:rPr>
                                  <w:rFonts w:ascii="Calibri"/>
                                  <w:spacing w:val="-10"/>
                                  <w:w w:val="75"/>
                                  <w:sz w:val="30"/>
                                </w:rPr>
                                <w:t>1</w:t>
                              </w:r>
                            </w:p>
                            <w:p>
                              <w:pPr>
                                <w:spacing w:line="361" w:lineRule="exact" w:before="234"/>
                                <w:ind w:left="0" w:right="0" w:firstLine="0"/>
                                <w:jc w:val="left"/>
                                <w:rPr>
                                  <w:rFonts w:ascii="Calibri"/>
                                  <w:sz w:val="30"/>
                                </w:rPr>
                              </w:pPr>
                              <w:r>
                                <w:rPr>
                                  <w:rFonts w:ascii="Calibri"/>
                                  <w:spacing w:val="-10"/>
                                  <w:w w:val="75"/>
                                  <w:sz w:val="30"/>
                                </w:rPr>
                                <w:t>0</w:t>
                              </w:r>
                            </w:p>
                          </w:txbxContent>
                        </wps:txbx>
                        <wps:bodyPr wrap="square" lIns="0" tIns="0" rIns="0" bIns="0" rtlCol="0">
                          <a:noAutofit/>
                        </wps:bodyPr>
                      </wps:wsp>
                      <wps:wsp>
                        <wps:cNvPr id="333" name="Textbox 333"/>
                        <wps:cNvSpPr txBox="1"/>
                        <wps:spPr>
                          <a:xfrm>
                            <a:off x="445189" y="3177462"/>
                            <a:ext cx="75565" cy="190500"/>
                          </a:xfrm>
                          <a:prstGeom prst="rect">
                            <a:avLst/>
                          </a:prstGeom>
                        </wps:spPr>
                        <wps:txbx>
                          <w:txbxContent>
                            <w:p>
                              <w:pPr>
                                <w:spacing w:line="300" w:lineRule="exact" w:before="0"/>
                                <w:ind w:left="0" w:right="0" w:firstLine="0"/>
                                <w:jc w:val="left"/>
                                <w:rPr>
                                  <w:rFonts w:ascii="Calibri"/>
                                  <w:sz w:val="30"/>
                                </w:rPr>
                              </w:pPr>
                              <w:r>
                                <w:rPr>
                                  <w:rFonts w:ascii="Calibri"/>
                                  <w:spacing w:val="-10"/>
                                  <w:w w:val="75"/>
                                  <w:sz w:val="30"/>
                                </w:rPr>
                                <w:t>0</w:t>
                              </w:r>
                            </w:p>
                          </w:txbxContent>
                        </wps:txbx>
                        <wps:bodyPr wrap="square" lIns="0" tIns="0" rIns="0" bIns="0" rtlCol="0">
                          <a:noAutofit/>
                        </wps:bodyPr>
                      </wps:wsp>
                      <wps:wsp>
                        <wps:cNvPr id="334" name="Textbox 334"/>
                        <wps:cNvSpPr txBox="1"/>
                        <wps:spPr>
                          <a:xfrm>
                            <a:off x="1264605" y="3177462"/>
                            <a:ext cx="180340" cy="190500"/>
                          </a:xfrm>
                          <a:prstGeom prst="rect">
                            <a:avLst/>
                          </a:prstGeom>
                        </wps:spPr>
                        <wps:txbx>
                          <w:txbxContent>
                            <w:p>
                              <w:pPr>
                                <w:spacing w:line="300" w:lineRule="exact" w:before="0"/>
                                <w:ind w:left="0" w:right="0" w:firstLine="0"/>
                                <w:jc w:val="left"/>
                                <w:rPr>
                                  <w:rFonts w:ascii="Calibri"/>
                                  <w:sz w:val="30"/>
                                </w:rPr>
                              </w:pPr>
                              <w:r>
                                <w:rPr>
                                  <w:rFonts w:ascii="Calibri"/>
                                  <w:spacing w:val="-5"/>
                                  <w:w w:val="70"/>
                                  <w:sz w:val="30"/>
                                </w:rPr>
                                <w:t>0.5</w:t>
                              </w:r>
                            </w:p>
                          </w:txbxContent>
                        </wps:txbx>
                        <wps:bodyPr wrap="square" lIns="0" tIns="0" rIns="0" bIns="0" rtlCol="0">
                          <a:noAutofit/>
                        </wps:bodyPr>
                      </wps:wsp>
                      <wps:wsp>
                        <wps:cNvPr id="335" name="Textbox 335"/>
                        <wps:cNvSpPr txBox="1"/>
                        <wps:spPr>
                          <a:xfrm>
                            <a:off x="2198200" y="3177462"/>
                            <a:ext cx="75565" cy="190500"/>
                          </a:xfrm>
                          <a:prstGeom prst="rect">
                            <a:avLst/>
                          </a:prstGeom>
                        </wps:spPr>
                        <wps:txbx>
                          <w:txbxContent>
                            <w:p>
                              <w:pPr>
                                <w:spacing w:line="300" w:lineRule="exact" w:before="0"/>
                                <w:ind w:left="0" w:right="0" w:firstLine="0"/>
                                <w:jc w:val="left"/>
                                <w:rPr>
                                  <w:rFonts w:ascii="Calibri"/>
                                  <w:sz w:val="30"/>
                                </w:rPr>
                              </w:pPr>
                              <w:r>
                                <w:rPr>
                                  <w:rFonts w:ascii="Calibri"/>
                                  <w:spacing w:val="-10"/>
                                  <w:w w:val="75"/>
                                  <w:sz w:val="30"/>
                                </w:rPr>
                                <w:t>1</w:t>
                              </w:r>
                            </w:p>
                          </w:txbxContent>
                        </wps:txbx>
                        <wps:bodyPr wrap="square" lIns="0" tIns="0" rIns="0" bIns="0" rtlCol="0">
                          <a:noAutofit/>
                        </wps:bodyPr>
                      </wps:wsp>
                      <wps:wsp>
                        <wps:cNvPr id="336" name="Textbox 336"/>
                        <wps:cNvSpPr txBox="1"/>
                        <wps:spPr>
                          <a:xfrm>
                            <a:off x="3017553" y="3177462"/>
                            <a:ext cx="180340" cy="190500"/>
                          </a:xfrm>
                          <a:prstGeom prst="rect">
                            <a:avLst/>
                          </a:prstGeom>
                        </wps:spPr>
                        <wps:txbx>
                          <w:txbxContent>
                            <w:p>
                              <w:pPr>
                                <w:spacing w:line="300" w:lineRule="exact" w:before="0"/>
                                <w:ind w:left="0" w:right="0" w:firstLine="0"/>
                                <w:jc w:val="left"/>
                                <w:rPr>
                                  <w:rFonts w:ascii="Calibri"/>
                                  <w:sz w:val="30"/>
                                </w:rPr>
                              </w:pPr>
                              <w:r>
                                <w:rPr>
                                  <w:rFonts w:ascii="Calibri"/>
                                  <w:spacing w:val="-5"/>
                                  <w:w w:val="70"/>
                                  <w:sz w:val="30"/>
                                </w:rPr>
                                <w:t>1.5</w:t>
                              </w:r>
                            </w:p>
                          </w:txbxContent>
                        </wps:txbx>
                        <wps:bodyPr wrap="square" lIns="0" tIns="0" rIns="0" bIns="0" rtlCol="0">
                          <a:noAutofit/>
                        </wps:bodyPr>
                      </wps:wsp>
                      <wps:wsp>
                        <wps:cNvPr id="337" name="Textbox 337"/>
                        <wps:cNvSpPr txBox="1"/>
                        <wps:spPr>
                          <a:xfrm>
                            <a:off x="3951148" y="3177462"/>
                            <a:ext cx="75565" cy="190500"/>
                          </a:xfrm>
                          <a:prstGeom prst="rect">
                            <a:avLst/>
                          </a:prstGeom>
                        </wps:spPr>
                        <wps:txbx>
                          <w:txbxContent>
                            <w:p>
                              <w:pPr>
                                <w:spacing w:line="300" w:lineRule="exact" w:before="0"/>
                                <w:ind w:left="0" w:right="0" w:firstLine="0"/>
                                <w:jc w:val="left"/>
                                <w:rPr>
                                  <w:rFonts w:ascii="Calibri"/>
                                  <w:sz w:val="30"/>
                                </w:rPr>
                              </w:pPr>
                              <w:r>
                                <w:rPr>
                                  <w:rFonts w:ascii="Calibri"/>
                                  <w:spacing w:val="-10"/>
                                  <w:w w:val="75"/>
                                  <w:sz w:val="30"/>
                                </w:rPr>
                                <w:t>2</w:t>
                              </w:r>
                            </w:p>
                          </w:txbxContent>
                        </wps:txbx>
                        <wps:bodyPr wrap="square" lIns="0" tIns="0" rIns="0" bIns="0" rtlCol="0">
                          <a:noAutofit/>
                        </wps:bodyPr>
                      </wps:wsp>
                      <wps:wsp>
                        <wps:cNvPr id="338" name="Textbox 338"/>
                        <wps:cNvSpPr txBox="1"/>
                        <wps:spPr>
                          <a:xfrm>
                            <a:off x="4770501" y="3177462"/>
                            <a:ext cx="180340" cy="190500"/>
                          </a:xfrm>
                          <a:prstGeom prst="rect">
                            <a:avLst/>
                          </a:prstGeom>
                        </wps:spPr>
                        <wps:txbx>
                          <w:txbxContent>
                            <w:p>
                              <w:pPr>
                                <w:spacing w:line="300" w:lineRule="exact" w:before="0"/>
                                <w:ind w:left="0" w:right="0" w:firstLine="0"/>
                                <w:jc w:val="left"/>
                                <w:rPr>
                                  <w:rFonts w:ascii="Calibri"/>
                                  <w:sz w:val="30"/>
                                </w:rPr>
                              </w:pPr>
                              <w:r>
                                <w:rPr>
                                  <w:rFonts w:ascii="Calibri"/>
                                  <w:spacing w:val="-5"/>
                                  <w:w w:val="70"/>
                                  <w:sz w:val="30"/>
                                </w:rPr>
                                <w:t>2.5</w:t>
                              </w:r>
                            </w:p>
                          </w:txbxContent>
                        </wps:txbx>
                        <wps:bodyPr wrap="square" lIns="0" tIns="0" rIns="0" bIns="0" rtlCol="0">
                          <a:noAutofit/>
                        </wps:bodyPr>
                      </wps:wsp>
                      <wps:wsp>
                        <wps:cNvPr id="339" name="Textbox 339"/>
                        <wps:cNvSpPr txBox="1"/>
                        <wps:spPr>
                          <a:xfrm>
                            <a:off x="2379137" y="3631823"/>
                            <a:ext cx="560070" cy="190500"/>
                          </a:xfrm>
                          <a:prstGeom prst="rect">
                            <a:avLst/>
                          </a:prstGeom>
                        </wps:spPr>
                        <wps:txbx>
                          <w:txbxContent>
                            <w:p>
                              <w:pPr>
                                <w:spacing w:line="300" w:lineRule="exact" w:before="0"/>
                                <w:ind w:left="0" w:right="0" w:firstLine="0"/>
                                <w:jc w:val="left"/>
                                <w:rPr>
                                  <w:rFonts w:ascii="Calibri"/>
                                  <w:b/>
                                  <w:sz w:val="30"/>
                                </w:rPr>
                              </w:pPr>
                              <w:r>
                                <w:rPr>
                                  <w:rFonts w:ascii="Calibri"/>
                                  <w:b/>
                                  <w:w w:val="70"/>
                                  <w:sz w:val="30"/>
                                </w:rPr>
                                <w:t>L</w:t>
                              </w:r>
                              <w:r>
                                <w:rPr>
                                  <w:rFonts w:ascii="Calibri"/>
                                  <w:b/>
                                  <w:spacing w:val="-11"/>
                                  <w:w w:val="70"/>
                                  <w:sz w:val="30"/>
                                </w:rPr>
                                <w:t> </w:t>
                              </w:r>
                              <w:r>
                                <w:rPr>
                                  <w:rFonts w:ascii="Calibri"/>
                                  <w:b/>
                                  <w:w w:val="70"/>
                                  <w:sz w:val="30"/>
                                </w:rPr>
                                <w:t>og</w:t>
                              </w:r>
                              <w:r>
                                <w:rPr>
                                  <w:rFonts w:ascii="Calibri"/>
                                  <w:b/>
                                  <w:spacing w:val="11"/>
                                  <w:sz w:val="30"/>
                                </w:rPr>
                                <w:t> </w:t>
                              </w:r>
                              <w:r>
                                <w:rPr>
                                  <w:rFonts w:ascii="Calibri"/>
                                  <w:b/>
                                  <w:spacing w:val="5"/>
                                  <w:w w:val="65"/>
                                  <w:sz w:val="30"/>
                                </w:rPr>
                                <w:t>Dose</w:t>
                              </w:r>
                            </w:p>
                          </w:txbxContent>
                        </wps:txbx>
                        <wps:bodyPr wrap="square" lIns="0" tIns="0" rIns="0" bIns="0" rtlCol="0">
                          <a:noAutofit/>
                        </wps:bodyPr>
                      </wps:wsp>
                    </wpg:wgp>
                  </a:graphicData>
                </a:graphic>
              </wp:anchor>
            </w:drawing>
          </mc:Choice>
          <mc:Fallback>
            <w:pict>
              <v:group style="position:absolute;margin-left:111.329041pt;margin-top:159.627975pt;width:398.7pt;height:307pt;mso-position-horizontal-relative:page;mso-position-vertical-relative:paragraph;z-index:15807488" id="docshapegroup215" coordorigin="2227,3193" coordsize="7974,6140">
                <v:rect style="position:absolute;left:2237;top:3203;width:7953;height:6119" id="docshape216" filled="false" stroked="true" strokeweight="1.001042pt" strokecolor="#808080">
                  <v:stroke dashstyle="solid"/>
                </v:rect>
                <v:shape style="position:absolute;left:2980;top:3814;width:6887;height:3972" id="docshape217" coordorigin="2980,3814" coordsize="6887,3972" path="m2980,7786l9867,7786m2980,7671l9867,7671m2980,7532l9867,7532m2980,7417l9867,7417m2980,7186l9867,7186m2980,7071l9867,7071m2980,6932l9867,6932m2980,6816l9867,6816m2980,6585l9867,6585m2980,6470l9867,6470m2980,6331l9867,6331m2980,6216l9867,6216m2980,5986l9867,5986m2980,5870l9867,5870m2980,5731l9867,5731m2980,5616l9867,5616m2980,5385l9867,5385m2980,5269l9867,5269m2980,5131l9867,5131m2980,5015l9867,5015m2980,4784l9867,4784m2980,4669l9867,4669m2980,4531l9867,4531m2980,4415l9867,4415m2980,4184l9867,4184m2980,4069l9867,4069m2980,3930l9867,3930m2980,3814l9867,3814e" filled="false" stroked="true" strokeweight=".949581pt" strokecolor="#c0c0c0">
                  <v:path arrowok="t"/>
                  <v:stroke dashstyle="solid"/>
                </v:shape>
                <v:shape style="position:absolute;left:2980;top:3699;width:6887;height:3603" id="docshape218" coordorigin="2980,3699" coordsize="6887,3603" path="m2980,7302l9867,7302m2980,6701l9867,6701m2980,6101l9867,6101m2980,5500l9867,5500m2980,4900l9867,4900m2980,4300l9867,4300m2980,3699l9867,3699e" filled="false" stroked="true" strokeweight=".949581pt" strokecolor="#808080">
                  <v:path arrowok="t"/>
                  <v:stroke dashstyle="solid"/>
                </v:shape>
                <v:shape style="position:absolute;left:3250;top:3699;width:6362;height:4179" id="docshape219" coordorigin="3250,3699" coordsize="6362,4179" path="m3250,3699l3250,7878m3535,3699l3535,7878m3805,3699l3805,7878m4090,3699l4090,7878m4630,3699l4630,7878m4916,3699l4916,7878m5186,3699l5186,7878m5471,3699l5471,7878m6011,3699l6011,7878m6296,3699l6296,7878m6566,3699l6566,7878m6851,3699l6851,7878m7391,3699l7391,7878m7677,3699l7677,7878m7947,3699l7947,7878m8232,3699l8232,7878m8772,3699l8772,7878m9057,3699l9057,7878m9327,3699l9327,7878m9612,3699l9612,7878e" filled="false" stroked="true" strokeweight=".949581pt" strokecolor="#c0c0c0">
                  <v:path arrowok="t"/>
                  <v:stroke dashstyle="solid"/>
                </v:shape>
                <v:shape style="position:absolute;left:4360;top:3699;width:5522;height:4179" id="docshape220" coordorigin="4360,3699" coordsize="5522,4179" path="m4360,3699l4360,7878m5741,3699l5741,7878m7121,3699l7121,7878m8502,3699l8502,7878m9882,3699l9882,7878e" filled="false" stroked="true" strokeweight=".949581pt" strokecolor="#808080">
                  <v:path arrowok="t"/>
                  <v:stroke dashstyle="solid"/>
                </v:shape>
                <v:shape style="position:absolute;left:2920;top:3699;width:6962;height:4295" id="docshape221" coordorigin="2920,3699" coordsize="6962,4295" path="m2980,3699l2980,7878m2920,7902l2965,7902m2920,7302l2965,7302m2920,6701l2965,6701m2920,6101l2965,6101m2920,5500l2965,5500m2920,4900l2965,4900m2920,4300l2965,4300m2920,3699l2965,3699m2980,7902l9867,7902m2980,7994l2980,7925m4360,7994l4360,7925m5741,7994l5741,7925m7121,7994l7121,7925m8502,7994l8502,7925m9882,7994l9882,7925e" filled="false" stroked="true" strokeweight=".949581pt" strokecolor="#808080">
                  <v:path arrowok="t"/>
                  <v:stroke dashstyle="solid"/>
                </v:shape>
                <v:shape style="position:absolute;left:7591;top:5837;width:170;height:250" type="#_x0000_t75" id="docshape222" stroked="false">
                  <v:imagedata r:id="rId36" o:title=""/>
                </v:shape>
                <v:shape style="position:absolute;left:8086;top:5398;width:170;height:250" type="#_x0000_t75" id="docshape223" stroked="false">
                  <v:imagedata r:id="rId37" o:title=""/>
                </v:shape>
                <v:shape style="position:absolute;left:8416;top:4774;width:170;height:250" type="#_x0000_t75" id="docshape224" stroked="false">
                  <v:imagedata r:id="rId38" o:title=""/>
                </v:shape>
                <v:shape style="position:absolute;left:8912;top:3781;width:170;height:250" type="#_x0000_t75" id="docshape225" stroked="false">
                  <v:imagedata r:id="rId39" o:title=""/>
                </v:shape>
                <v:line style="position:absolute" from="7677,6101" to="8981,4069" stroked="true" strokeweight=".866068pt" strokecolor="#000000">
                  <v:stroke dashstyle="solid"/>
                </v:line>
                <v:rect style="position:absolute;left:2237;top:3203;width:7953;height:6119" id="docshape226" filled="false" stroked="true" strokeweight="1.001042pt" strokecolor="#808080">
                  <v:stroke dashstyle="solid"/>
                </v:rect>
                <v:shape style="position:absolute;left:2717;top:3554;width:119;height:4503" type="#_x0000_t202" id="docshape227" filled="false" stroked="false">
                  <v:textbox inset="0,0,0,0">
                    <w:txbxContent>
                      <w:p>
                        <w:pPr>
                          <w:spacing w:line="305" w:lineRule="exact" w:before="0"/>
                          <w:ind w:left="0" w:right="0" w:firstLine="0"/>
                          <w:jc w:val="left"/>
                          <w:rPr>
                            <w:rFonts w:ascii="Calibri"/>
                            <w:sz w:val="30"/>
                          </w:rPr>
                        </w:pPr>
                        <w:r>
                          <w:rPr>
                            <w:rFonts w:ascii="Calibri"/>
                            <w:spacing w:val="-10"/>
                            <w:w w:val="75"/>
                            <w:sz w:val="30"/>
                          </w:rPr>
                          <w:t>7</w:t>
                        </w:r>
                      </w:p>
                      <w:p>
                        <w:pPr>
                          <w:spacing w:before="234"/>
                          <w:ind w:left="0" w:right="0" w:firstLine="0"/>
                          <w:jc w:val="left"/>
                          <w:rPr>
                            <w:rFonts w:ascii="Calibri"/>
                            <w:sz w:val="30"/>
                          </w:rPr>
                        </w:pPr>
                        <w:r>
                          <w:rPr>
                            <w:rFonts w:ascii="Calibri"/>
                            <w:spacing w:val="-10"/>
                            <w:w w:val="75"/>
                            <w:sz w:val="30"/>
                          </w:rPr>
                          <w:t>6</w:t>
                        </w:r>
                      </w:p>
                      <w:p>
                        <w:pPr>
                          <w:spacing w:before="235"/>
                          <w:ind w:left="0" w:right="0" w:firstLine="0"/>
                          <w:jc w:val="left"/>
                          <w:rPr>
                            <w:rFonts w:ascii="Calibri"/>
                            <w:sz w:val="30"/>
                          </w:rPr>
                        </w:pPr>
                        <w:r>
                          <w:rPr>
                            <w:rFonts w:ascii="Calibri"/>
                            <w:spacing w:val="-10"/>
                            <w:w w:val="75"/>
                            <w:sz w:val="30"/>
                          </w:rPr>
                          <w:t>5</w:t>
                        </w:r>
                      </w:p>
                      <w:p>
                        <w:pPr>
                          <w:spacing w:before="234"/>
                          <w:ind w:left="0" w:right="0" w:firstLine="0"/>
                          <w:jc w:val="left"/>
                          <w:rPr>
                            <w:rFonts w:ascii="Calibri"/>
                            <w:sz w:val="30"/>
                          </w:rPr>
                        </w:pPr>
                        <w:r>
                          <w:rPr>
                            <w:rFonts w:ascii="Calibri"/>
                            <w:spacing w:val="-10"/>
                            <w:w w:val="75"/>
                            <w:sz w:val="30"/>
                          </w:rPr>
                          <w:t>4</w:t>
                        </w:r>
                      </w:p>
                      <w:p>
                        <w:pPr>
                          <w:spacing w:before="234"/>
                          <w:ind w:left="0" w:right="0" w:firstLine="0"/>
                          <w:jc w:val="left"/>
                          <w:rPr>
                            <w:rFonts w:ascii="Calibri"/>
                            <w:sz w:val="30"/>
                          </w:rPr>
                        </w:pPr>
                        <w:r>
                          <w:rPr>
                            <w:rFonts w:ascii="Calibri"/>
                            <w:spacing w:val="-10"/>
                            <w:w w:val="75"/>
                            <w:sz w:val="30"/>
                          </w:rPr>
                          <w:t>3</w:t>
                        </w:r>
                      </w:p>
                      <w:p>
                        <w:pPr>
                          <w:spacing w:before="233"/>
                          <w:ind w:left="0" w:right="0" w:firstLine="0"/>
                          <w:jc w:val="left"/>
                          <w:rPr>
                            <w:rFonts w:ascii="Calibri"/>
                            <w:sz w:val="30"/>
                          </w:rPr>
                        </w:pPr>
                        <w:r>
                          <w:rPr>
                            <w:rFonts w:ascii="Calibri"/>
                            <w:spacing w:val="-10"/>
                            <w:w w:val="75"/>
                            <w:sz w:val="30"/>
                          </w:rPr>
                          <w:t>2</w:t>
                        </w:r>
                      </w:p>
                      <w:p>
                        <w:pPr>
                          <w:spacing w:before="235"/>
                          <w:ind w:left="0" w:right="0" w:firstLine="0"/>
                          <w:jc w:val="left"/>
                          <w:rPr>
                            <w:rFonts w:ascii="Calibri"/>
                            <w:sz w:val="30"/>
                          </w:rPr>
                        </w:pPr>
                        <w:r>
                          <w:rPr>
                            <w:rFonts w:ascii="Calibri"/>
                            <w:spacing w:val="-10"/>
                            <w:w w:val="75"/>
                            <w:sz w:val="30"/>
                          </w:rPr>
                          <w:t>1</w:t>
                        </w:r>
                      </w:p>
                      <w:p>
                        <w:pPr>
                          <w:spacing w:line="361" w:lineRule="exact" w:before="234"/>
                          <w:ind w:left="0" w:right="0" w:firstLine="0"/>
                          <w:jc w:val="left"/>
                          <w:rPr>
                            <w:rFonts w:ascii="Calibri"/>
                            <w:sz w:val="30"/>
                          </w:rPr>
                        </w:pPr>
                        <w:r>
                          <w:rPr>
                            <w:rFonts w:ascii="Calibri"/>
                            <w:spacing w:val="-10"/>
                            <w:w w:val="75"/>
                            <w:sz w:val="30"/>
                          </w:rPr>
                          <w:t>0</w:t>
                        </w:r>
                      </w:p>
                    </w:txbxContent>
                  </v:textbox>
                  <w10:wrap type="none"/>
                </v:shape>
                <v:shape style="position:absolute;left:2927;top:8196;width:119;height:300" type="#_x0000_t202" id="docshape228" filled="false" stroked="false">
                  <v:textbox inset="0,0,0,0">
                    <w:txbxContent>
                      <w:p>
                        <w:pPr>
                          <w:spacing w:line="300" w:lineRule="exact" w:before="0"/>
                          <w:ind w:left="0" w:right="0" w:firstLine="0"/>
                          <w:jc w:val="left"/>
                          <w:rPr>
                            <w:rFonts w:ascii="Calibri"/>
                            <w:sz w:val="30"/>
                          </w:rPr>
                        </w:pPr>
                        <w:r>
                          <w:rPr>
                            <w:rFonts w:ascii="Calibri"/>
                            <w:spacing w:val="-10"/>
                            <w:w w:val="75"/>
                            <w:sz w:val="30"/>
                          </w:rPr>
                          <w:t>0</w:t>
                        </w:r>
                      </w:p>
                    </w:txbxContent>
                  </v:textbox>
                  <w10:wrap type="none"/>
                </v:shape>
                <v:shape style="position:absolute;left:4218;top:8196;width:284;height:300" type="#_x0000_t202" id="docshape229" filled="false" stroked="false">
                  <v:textbox inset="0,0,0,0">
                    <w:txbxContent>
                      <w:p>
                        <w:pPr>
                          <w:spacing w:line="300" w:lineRule="exact" w:before="0"/>
                          <w:ind w:left="0" w:right="0" w:firstLine="0"/>
                          <w:jc w:val="left"/>
                          <w:rPr>
                            <w:rFonts w:ascii="Calibri"/>
                            <w:sz w:val="30"/>
                          </w:rPr>
                        </w:pPr>
                        <w:r>
                          <w:rPr>
                            <w:rFonts w:ascii="Calibri"/>
                            <w:spacing w:val="-5"/>
                            <w:w w:val="70"/>
                            <w:sz w:val="30"/>
                          </w:rPr>
                          <w:t>0.5</w:t>
                        </w:r>
                      </w:p>
                    </w:txbxContent>
                  </v:textbox>
                  <w10:wrap type="none"/>
                </v:shape>
                <v:shape style="position:absolute;left:5688;top:8196;width:119;height:300" type="#_x0000_t202" id="docshape230" filled="false" stroked="false">
                  <v:textbox inset="0,0,0,0">
                    <w:txbxContent>
                      <w:p>
                        <w:pPr>
                          <w:spacing w:line="300" w:lineRule="exact" w:before="0"/>
                          <w:ind w:left="0" w:right="0" w:firstLine="0"/>
                          <w:jc w:val="left"/>
                          <w:rPr>
                            <w:rFonts w:ascii="Calibri"/>
                            <w:sz w:val="30"/>
                          </w:rPr>
                        </w:pPr>
                        <w:r>
                          <w:rPr>
                            <w:rFonts w:ascii="Calibri"/>
                            <w:spacing w:val="-10"/>
                            <w:w w:val="75"/>
                            <w:sz w:val="30"/>
                          </w:rPr>
                          <w:t>1</w:t>
                        </w:r>
                      </w:p>
                    </w:txbxContent>
                  </v:textbox>
                  <w10:wrap type="none"/>
                </v:shape>
                <v:shape style="position:absolute;left:6978;top:8196;width:284;height:300" type="#_x0000_t202" id="docshape231" filled="false" stroked="false">
                  <v:textbox inset="0,0,0,0">
                    <w:txbxContent>
                      <w:p>
                        <w:pPr>
                          <w:spacing w:line="300" w:lineRule="exact" w:before="0"/>
                          <w:ind w:left="0" w:right="0" w:firstLine="0"/>
                          <w:jc w:val="left"/>
                          <w:rPr>
                            <w:rFonts w:ascii="Calibri"/>
                            <w:sz w:val="30"/>
                          </w:rPr>
                        </w:pPr>
                        <w:r>
                          <w:rPr>
                            <w:rFonts w:ascii="Calibri"/>
                            <w:spacing w:val="-5"/>
                            <w:w w:val="70"/>
                            <w:sz w:val="30"/>
                          </w:rPr>
                          <w:t>1.5</w:t>
                        </w:r>
                      </w:p>
                    </w:txbxContent>
                  </v:textbox>
                  <w10:wrap type="none"/>
                </v:shape>
                <v:shape style="position:absolute;left:8448;top:8196;width:119;height:300" type="#_x0000_t202" id="docshape232" filled="false" stroked="false">
                  <v:textbox inset="0,0,0,0">
                    <w:txbxContent>
                      <w:p>
                        <w:pPr>
                          <w:spacing w:line="300" w:lineRule="exact" w:before="0"/>
                          <w:ind w:left="0" w:right="0" w:firstLine="0"/>
                          <w:jc w:val="left"/>
                          <w:rPr>
                            <w:rFonts w:ascii="Calibri"/>
                            <w:sz w:val="30"/>
                          </w:rPr>
                        </w:pPr>
                        <w:r>
                          <w:rPr>
                            <w:rFonts w:ascii="Calibri"/>
                            <w:spacing w:val="-10"/>
                            <w:w w:val="75"/>
                            <w:sz w:val="30"/>
                          </w:rPr>
                          <w:t>2</w:t>
                        </w:r>
                      </w:p>
                    </w:txbxContent>
                  </v:textbox>
                  <w10:wrap type="none"/>
                </v:shape>
                <v:shape style="position:absolute;left:9739;top:8196;width:284;height:300" type="#_x0000_t202" id="docshape233" filled="false" stroked="false">
                  <v:textbox inset="0,0,0,0">
                    <w:txbxContent>
                      <w:p>
                        <w:pPr>
                          <w:spacing w:line="300" w:lineRule="exact" w:before="0"/>
                          <w:ind w:left="0" w:right="0" w:firstLine="0"/>
                          <w:jc w:val="left"/>
                          <w:rPr>
                            <w:rFonts w:ascii="Calibri"/>
                            <w:sz w:val="30"/>
                          </w:rPr>
                        </w:pPr>
                        <w:r>
                          <w:rPr>
                            <w:rFonts w:ascii="Calibri"/>
                            <w:spacing w:val="-5"/>
                            <w:w w:val="70"/>
                            <w:sz w:val="30"/>
                          </w:rPr>
                          <w:t>2.5</w:t>
                        </w:r>
                      </w:p>
                    </w:txbxContent>
                  </v:textbox>
                  <w10:wrap type="none"/>
                </v:shape>
                <v:shape style="position:absolute;left:5973;top:8911;width:882;height:300" type="#_x0000_t202" id="docshape234" filled="false" stroked="false">
                  <v:textbox inset="0,0,0,0">
                    <w:txbxContent>
                      <w:p>
                        <w:pPr>
                          <w:spacing w:line="300" w:lineRule="exact" w:before="0"/>
                          <w:ind w:left="0" w:right="0" w:firstLine="0"/>
                          <w:jc w:val="left"/>
                          <w:rPr>
                            <w:rFonts w:ascii="Calibri"/>
                            <w:b/>
                            <w:sz w:val="30"/>
                          </w:rPr>
                        </w:pPr>
                        <w:r>
                          <w:rPr>
                            <w:rFonts w:ascii="Calibri"/>
                            <w:b/>
                            <w:w w:val="70"/>
                            <w:sz w:val="30"/>
                          </w:rPr>
                          <w:t>L</w:t>
                        </w:r>
                        <w:r>
                          <w:rPr>
                            <w:rFonts w:ascii="Calibri"/>
                            <w:b/>
                            <w:spacing w:val="-11"/>
                            <w:w w:val="70"/>
                            <w:sz w:val="30"/>
                          </w:rPr>
                          <w:t> </w:t>
                        </w:r>
                        <w:r>
                          <w:rPr>
                            <w:rFonts w:ascii="Calibri"/>
                            <w:b/>
                            <w:w w:val="70"/>
                            <w:sz w:val="30"/>
                          </w:rPr>
                          <w:t>og</w:t>
                        </w:r>
                        <w:r>
                          <w:rPr>
                            <w:rFonts w:ascii="Calibri"/>
                            <w:b/>
                            <w:spacing w:val="11"/>
                            <w:sz w:val="30"/>
                          </w:rPr>
                          <w:t> </w:t>
                        </w:r>
                        <w:r>
                          <w:rPr>
                            <w:rFonts w:ascii="Calibri"/>
                            <w:b/>
                            <w:spacing w:val="5"/>
                            <w:w w:val="65"/>
                            <w:sz w:val="30"/>
                          </w:rPr>
                          <w:t>Dose</w:t>
                        </w:r>
                      </w:p>
                    </w:txbxContent>
                  </v:textbox>
                  <w10:wrap type="none"/>
                </v:shape>
                <w10:wrap type="none"/>
              </v:group>
            </w:pict>
          </mc:Fallback>
        </mc:AlternateContent>
      </w:r>
      <w:r>
        <w:rPr>
          <w:b/>
          <w:sz w:val="24"/>
        </w:rPr>
        <w:t>Log</w:t>
      </w:r>
      <w:r>
        <w:rPr>
          <w:b/>
          <w:spacing w:val="-2"/>
          <w:sz w:val="24"/>
        </w:rPr>
        <w:t> </w:t>
      </w:r>
      <w:r>
        <w:rPr>
          <w:b/>
          <w:sz w:val="24"/>
        </w:rPr>
        <w:t>Dose</w:t>
      </w:r>
      <w:r>
        <w:rPr>
          <w:b/>
          <w:spacing w:val="-2"/>
          <w:sz w:val="24"/>
        </w:rPr>
        <w:t> </w:t>
      </w:r>
      <w:r>
        <w:rPr>
          <w:b/>
          <w:sz w:val="24"/>
        </w:rPr>
        <w:t>– Probit</w:t>
      </w:r>
      <w:r>
        <w:rPr>
          <w:b/>
          <w:spacing w:val="2"/>
          <w:sz w:val="24"/>
        </w:rPr>
        <w:t> </w:t>
      </w:r>
      <w:r>
        <w:rPr>
          <w:b/>
          <w:sz w:val="24"/>
        </w:rPr>
        <w:t>Values</w:t>
      </w:r>
      <w:r>
        <w:rPr>
          <w:b/>
          <w:spacing w:val="-2"/>
          <w:sz w:val="24"/>
        </w:rPr>
        <w:t> </w:t>
      </w:r>
      <w:r>
        <w:rPr>
          <w:b/>
          <w:sz w:val="24"/>
        </w:rPr>
        <w:t>for</w:t>
      </w:r>
      <w:r>
        <w:rPr>
          <w:b/>
          <w:spacing w:val="-7"/>
          <w:sz w:val="24"/>
        </w:rPr>
        <w:t> </w:t>
      </w:r>
      <w:r>
        <w:rPr>
          <w:b/>
          <w:sz w:val="24"/>
        </w:rPr>
        <w:t>TD</w:t>
      </w:r>
      <w:r>
        <w:rPr>
          <w:b/>
          <w:sz w:val="24"/>
          <w:vertAlign w:val="subscript"/>
        </w:rPr>
        <w:t>50</w:t>
      </w:r>
      <w:r>
        <w:rPr>
          <w:b/>
          <w:spacing w:val="-20"/>
          <w:sz w:val="24"/>
          <w:vertAlign w:val="baseline"/>
        </w:rPr>
        <w:t> </w:t>
      </w:r>
      <w:r>
        <w:rPr>
          <w:b/>
          <w:sz w:val="24"/>
          <w:vertAlign w:val="baseline"/>
        </w:rPr>
        <w:t>of</w:t>
      </w:r>
      <w:r>
        <w:rPr>
          <w:b/>
          <w:spacing w:val="-3"/>
          <w:sz w:val="24"/>
          <w:vertAlign w:val="baseline"/>
        </w:rPr>
        <w:t> </w:t>
      </w:r>
      <w:r>
        <w:rPr>
          <w:b/>
          <w:spacing w:val="-4"/>
          <w:sz w:val="24"/>
          <w:vertAlign w:val="baseline"/>
        </w:rPr>
        <w:t>DCP23</w:t>
      </w:r>
    </w:p>
    <w:p>
      <w:pPr>
        <w:pStyle w:val="BodyText"/>
        <w:spacing w:before="109"/>
        <w:rPr>
          <w:b/>
          <w:sz w:val="20"/>
        </w:rPr>
      </w:pPr>
    </w:p>
    <w:tbl>
      <w:tblPr>
        <w:tblW w:w="0" w:type="auto"/>
        <w:jc w:val="left"/>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0"/>
        <w:gridCol w:w="1038"/>
      </w:tblGrid>
      <w:tr>
        <w:trPr>
          <w:trHeight w:val="252" w:hRule="atLeast"/>
        </w:trPr>
        <w:tc>
          <w:tcPr>
            <w:tcW w:w="1220" w:type="dxa"/>
          </w:tcPr>
          <w:p>
            <w:pPr>
              <w:pStyle w:val="TableParagraph"/>
              <w:spacing w:line="225" w:lineRule="exact"/>
              <w:ind w:left="50"/>
              <w:rPr>
                <w:rFonts w:ascii="Calibri"/>
                <w:sz w:val="22"/>
              </w:rPr>
            </w:pPr>
            <w:r>
              <w:rPr>
                <w:rFonts w:ascii="Calibri"/>
                <w:sz w:val="22"/>
              </w:rPr>
              <w:t>Log</w:t>
            </w:r>
            <w:r>
              <w:rPr>
                <w:rFonts w:ascii="Calibri"/>
                <w:spacing w:val="-5"/>
                <w:sz w:val="22"/>
              </w:rPr>
              <w:t> </w:t>
            </w:r>
            <w:r>
              <w:rPr>
                <w:rFonts w:ascii="Calibri"/>
                <w:spacing w:val="-4"/>
                <w:sz w:val="22"/>
              </w:rPr>
              <w:t>Dose</w:t>
            </w:r>
          </w:p>
        </w:tc>
        <w:tc>
          <w:tcPr>
            <w:tcW w:w="1038" w:type="dxa"/>
          </w:tcPr>
          <w:p>
            <w:pPr>
              <w:pStyle w:val="TableParagraph"/>
              <w:spacing w:line="225" w:lineRule="exact"/>
              <w:ind w:left="107"/>
              <w:rPr>
                <w:rFonts w:ascii="Calibri"/>
                <w:sz w:val="22"/>
              </w:rPr>
            </w:pPr>
            <w:r>
              <w:rPr>
                <w:rFonts w:ascii="Calibri"/>
                <w:spacing w:val="-2"/>
                <w:sz w:val="22"/>
              </w:rPr>
              <w:t>Probit</w:t>
            </w:r>
          </w:p>
        </w:tc>
      </w:tr>
      <w:tr>
        <w:trPr>
          <w:trHeight w:val="285" w:hRule="atLeast"/>
        </w:trPr>
        <w:tc>
          <w:tcPr>
            <w:tcW w:w="1220" w:type="dxa"/>
          </w:tcPr>
          <w:p>
            <w:pPr>
              <w:pStyle w:val="TableParagraph"/>
              <w:spacing w:line="256" w:lineRule="exact"/>
              <w:ind w:right="105"/>
              <w:jc w:val="right"/>
              <w:rPr>
                <w:rFonts w:ascii="Calibri"/>
                <w:sz w:val="22"/>
              </w:rPr>
            </w:pPr>
            <w:r>
              <w:rPr>
                <w:rFonts w:ascii="Calibri"/>
                <w:spacing w:val="-5"/>
                <w:sz w:val="22"/>
              </w:rPr>
              <w:t>1.7</w:t>
            </w:r>
          </w:p>
        </w:tc>
        <w:tc>
          <w:tcPr>
            <w:tcW w:w="1038" w:type="dxa"/>
          </w:tcPr>
          <w:p>
            <w:pPr>
              <w:pStyle w:val="TableParagraph"/>
              <w:spacing w:line="256" w:lineRule="exact"/>
              <w:ind w:right="49"/>
              <w:jc w:val="right"/>
              <w:rPr>
                <w:rFonts w:ascii="Calibri"/>
                <w:sz w:val="22"/>
              </w:rPr>
            </w:pPr>
            <w:r>
              <w:rPr>
                <w:rFonts w:ascii="Calibri"/>
                <w:spacing w:val="-4"/>
                <w:sz w:val="22"/>
              </w:rPr>
              <w:t>3.25</w:t>
            </w:r>
          </w:p>
        </w:tc>
      </w:tr>
      <w:tr>
        <w:trPr>
          <w:trHeight w:val="285" w:hRule="atLeast"/>
        </w:trPr>
        <w:tc>
          <w:tcPr>
            <w:tcW w:w="1220" w:type="dxa"/>
          </w:tcPr>
          <w:p>
            <w:pPr>
              <w:pStyle w:val="TableParagraph"/>
              <w:spacing w:line="258" w:lineRule="exact"/>
              <w:ind w:right="105"/>
              <w:jc w:val="right"/>
              <w:rPr>
                <w:rFonts w:ascii="Calibri"/>
                <w:sz w:val="22"/>
              </w:rPr>
            </w:pPr>
            <w:r>
              <w:rPr>
                <w:rFonts w:ascii="Calibri"/>
                <w:spacing w:val="-4"/>
                <w:sz w:val="22"/>
              </w:rPr>
              <w:t>1.88</w:t>
            </w:r>
          </w:p>
        </w:tc>
        <w:tc>
          <w:tcPr>
            <w:tcW w:w="1038" w:type="dxa"/>
          </w:tcPr>
          <w:p>
            <w:pPr>
              <w:pStyle w:val="TableParagraph"/>
              <w:spacing w:line="258" w:lineRule="exact"/>
              <w:ind w:right="49"/>
              <w:jc w:val="right"/>
              <w:rPr>
                <w:rFonts w:ascii="Calibri"/>
                <w:sz w:val="22"/>
              </w:rPr>
            </w:pPr>
            <w:r>
              <w:rPr>
                <w:rFonts w:ascii="Calibri"/>
                <w:spacing w:val="-4"/>
                <w:sz w:val="22"/>
              </w:rPr>
              <w:t>3.98</w:t>
            </w:r>
          </w:p>
        </w:tc>
      </w:tr>
      <w:tr>
        <w:trPr>
          <w:trHeight w:val="283" w:hRule="atLeast"/>
        </w:trPr>
        <w:tc>
          <w:tcPr>
            <w:tcW w:w="1220" w:type="dxa"/>
          </w:tcPr>
          <w:p>
            <w:pPr>
              <w:pStyle w:val="TableParagraph"/>
              <w:spacing w:line="256" w:lineRule="exact"/>
              <w:ind w:right="105"/>
              <w:jc w:val="right"/>
              <w:rPr>
                <w:rFonts w:ascii="Calibri"/>
                <w:sz w:val="22"/>
              </w:rPr>
            </w:pPr>
            <w:r>
              <w:rPr>
                <w:rFonts w:ascii="Calibri"/>
                <w:spacing w:val="-10"/>
                <w:sz w:val="22"/>
              </w:rPr>
              <w:t>2</w:t>
            </w:r>
          </w:p>
        </w:tc>
        <w:tc>
          <w:tcPr>
            <w:tcW w:w="1038" w:type="dxa"/>
          </w:tcPr>
          <w:p>
            <w:pPr>
              <w:pStyle w:val="TableParagraph"/>
              <w:spacing w:line="256" w:lineRule="exact"/>
              <w:ind w:right="48"/>
              <w:jc w:val="right"/>
              <w:rPr>
                <w:rFonts w:ascii="Calibri"/>
                <w:sz w:val="22"/>
              </w:rPr>
            </w:pPr>
            <w:r>
              <w:rPr>
                <w:rFonts w:ascii="Calibri"/>
                <w:spacing w:val="-10"/>
                <w:sz w:val="22"/>
              </w:rPr>
              <w:t>5</w:t>
            </w:r>
          </w:p>
        </w:tc>
      </w:tr>
      <w:tr>
        <w:trPr>
          <w:trHeight w:val="252" w:hRule="atLeast"/>
        </w:trPr>
        <w:tc>
          <w:tcPr>
            <w:tcW w:w="1220" w:type="dxa"/>
          </w:tcPr>
          <w:p>
            <w:pPr>
              <w:pStyle w:val="TableParagraph"/>
              <w:spacing w:line="232" w:lineRule="exact"/>
              <w:ind w:right="105"/>
              <w:jc w:val="right"/>
              <w:rPr>
                <w:rFonts w:ascii="Calibri"/>
                <w:sz w:val="22"/>
              </w:rPr>
            </w:pPr>
            <w:r>
              <w:rPr>
                <w:rFonts w:ascii="Calibri"/>
                <w:spacing w:val="-4"/>
                <w:sz w:val="22"/>
              </w:rPr>
              <w:t>2.18</w:t>
            </w:r>
          </w:p>
        </w:tc>
        <w:tc>
          <w:tcPr>
            <w:tcW w:w="1038" w:type="dxa"/>
          </w:tcPr>
          <w:p>
            <w:pPr>
              <w:pStyle w:val="TableParagraph"/>
              <w:spacing w:line="232" w:lineRule="exact"/>
              <w:ind w:right="49"/>
              <w:jc w:val="right"/>
              <w:rPr>
                <w:rFonts w:ascii="Calibri"/>
                <w:sz w:val="22"/>
              </w:rPr>
            </w:pPr>
            <w:r>
              <w:rPr>
                <w:rFonts w:ascii="Calibri"/>
                <w:spacing w:val="-4"/>
                <w:sz w:val="22"/>
              </w:rPr>
              <w:t>6.64</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rPr>
      </w:pPr>
    </w:p>
    <w:p>
      <w:pPr>
        <w:pStyle w:val="BodyText"/>
        <w:spacing w:line="480" w:lineRule="auto"/>
        <w:ind w:left="681"/>
      </w:pPr>
      <w:r>
        <w:rPr/>
        <mc:AlternateContent>
          <mc:Choice Requires="wps">
            <w:drawing>
              <wp:anchor distT="0" distB="0" distL="0" distR="0" allowOverlap="1" layoutInCell="1" locked="0" behindDoc="0" simplePos="0" relativeHeight="15808000">
                <wp:simplePos x="0" y="0"/>
                <wp:positionH relativeFrom="page">
                  <wp:posOffset>1457977</wp:posOffset>
                </wp:positionH>
                <wp:positionV relativeFrom="paragraph">
                  <wp:posOffset>-2770274</wp:posOffset>
                </wp:positionV>
                <wp:extent cx="149860" cy="58801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49860" cy="588010"/>
                        </a:xfrm>
                        <a:prstGeom prst="rect">
                          <a:avLst/>
                        </a:prstGeom>
                      </wps:spPr>
                      <wps:txbx>
                        <w:txbxContent>
                          <w:p>
                            <w:pPr>
                              <w:spacing w:line="217" w:lineRule="exact" w:before="0"/>
                              <w:ind w:left="20" w:right="0" w:firstLine="0"/>
                              <w:jc w:val="left"/>
                              <w:rPr>
                                <w:rFonts w:ascii="Calibri"/>
                                <w:b/>
                                <w:sz w:val="19"/>
                              </w:rPr>
                            </w:pPr>
                            <w:r>
                              <w:rPr>
                                <w:rFonts w:ascii="Calibri"/>
                                <w:b/>
                                <w:w w:val="155"/>
                                <w:sz w:val="19"/>
                              </w:rPr>
                              <w:t>P</w:t>
                            </w:r>
                            <w:r>
                              <w:rPr>
                                <w:rFonts w:ascii="Calibri"/>
                                <w:b/>
                                <w:spacing w:val="-18"/>
                                <w:w w:val="155"/>
                                <w:sz w:val="19"/>
                              </w:rPr>
                              <w:t> </w:t>
                            </w:r>
                            <w:r>
                              <w:rPr>
                                <w:rFonts w:ascii="Calibri"/>
                                <w:b/>
                                <w:spacing w:val="10"/>
                                <w:w w:val="155"/>
                                <w:sz w:val="19"/>
                              </w:rPr>
                              <w:t>robit</w:t>
                            </w:r>
                          </w:p>
                        </w:txbxContent>
                      </wps:txbx>
                      <wps:bodyPr wrap="square" lIns="0" tIns="0" rIns="0" bIns="0" rtlCol="0" vert="vert270">
                        <a:noAutofit/>
                      </wps:bodyPr>
                    </wps:wsp>
                  </a:graphicData>
                </a:graphic>
              </wp:anchor>
            </w:drawing>
          </mc:Choice>
          <mc:Fallback>
            <w:pict>
              <v:shape style="position:absolute;margin-left:114.801361pt;margin-top:-218.131821pt;width:11.8pt;height:46.3pt;mso-position-horizontal-relative:page;mso-position-vertical-relative:paragraph;z-index:15808000" type="#_x0000_t202" id="docshape235" filled="false" stroked="false">
                <v:textbox inset="0,0,0,0" style="layout-flow:vertical;mso-layout-flow-alt:bottom-to-top">
                  <w:txbxContent>
                    <w:p>
                      <w:pPr>
                        <w:spacing w:line="217" w:lineRule="exact" w:before="0"/>
                        <w:ind w:left="20" w:right="0" w:firstLine="0"/>
                        <w:jc w:val="left"/>
                        <w:rPr>
                          <w:rFonts w:ascii="Calibri"/>
                          <w:b/>
                          <w:sz w:val="19"/>
                        </w:rPr>
                      </w:pPr>
                      <w:r>
                        <w:rPr>
                          <w:rFonts w:ascii="Calibri"/>
                          <w:b/>
                          <w:w w:val="155"/>
                          <w:sz w:val="19"/>
                        </w:rPr>
                        <w:t>P</w:t>
                      </w:r>
                      <w:r>
                        <w:rPr>
                          <w:rFonts w:ascii="Calibri"/>
                          <w:b/>
                          <w:spacing w:val="-18"/>
                          <w:w w:val="155"/>
                          <w:sz w:val="19"/>
                        </w:rPr>
                        <w:t> </w:t>
                      </w:r>
                      <w:r>
                        <w:rPr>
                          <w:rFonts w:ascii="Calibri"/>
                          <w:b/>
                          <w:spacing w:val="10"/>
                          <w:w w:val="155"/>
                          <w:sz w:val="19"/>
                        </w:rPr>
                        <w:t>robit</w:t>
                      </w:r>
                    </w:p>
                  </w:txbxContent>
                </v:textbox>
                <w10:wrap type="none"/>
              </v:shape>
            </w:pict>
          </mc:Fallback>
        </mc:AlternateContent>
      </w:r>
      <w:r>
        <w:rPr>
          <w:b/>
        </w:rPr>
        <w:t>FIGURE 1: </w:t>
      </w:r>
      <w:r>
        <w:rPr/>
        <w:t>Graphical Determination of TD</w:t>
      </w:r>
      <w:r>
        <w:rPr>
          <w:vertAlign w:val="subscript"/>
        </w:rPr>
        <w:t>50</w:t>
      </w:r>
      <w:r>
        <w:rPr>
          <w:vertAlign w:val="baseline"/>
        </w:rPr>
        <w:t> for DCP23 using Beam Walking Test for Motor Coordination Deficit</w:t>
      </w:r>
    </w:p>
    <w:p>
      <w:pPr>
        <w:spacing w:after="0" w:line="480" w:lineRule="auto"/>
        <w:sectPr>
          <w:pgSz w:w="12240" w:h="15840"/>
          <w:pgMar w:header="0" w:footer="1066" w:top="1360" w:bottom="1260" w:left="1480" w:right="1160"/>
        </w:sectPr>
      </w:pPr>
    </w:p>
    <w:p>
      <w:pPr>
        <w:pStyle w:val="Heading2"/>
        <w:spacing w:line="237" w:lineRule="auto" w:before="79"/>
        <w:jc w:val="left"/>
      </w:pPr>
      <w:r>
        <w:rPr/>
        <w:t>APPENDIX</w:t>
      </w:r>
      <w:r>
        <w:rPr>
          <w:spacing w:val="40"/>
        </w:rPr>
        <w:t> </w:t>
      </w:r>
      <w:r>
        <w:rPr/>
        <w:t>B:</w:t>
      </w:r>
      <w:r>
        <w:rPr>
          <w:spacing w:val="40"/>
        </w:rPr>
        <w:t> </w:t>
      </w:r>
      <w:r>
        <w:rPr/>
        <w:t>Determination</w:t>
      </w:r>
      <w:r>
        <w:rPr>
          <w:spacing w:val="40"/>
        </w:rPr>
        <w:t> </w:t>
      </w:r>
      <w:r>
        <w:rPr/>
        <w:t>of</w:t>
      </w:r>
      <w:r>
        <w:rPr>
          <w:spacing w:val="40"/>
        </w:rPr>
        <w:t> </w:t>
      </w:r>
      <w:r>
        <w:rPr/>
        <w:t>ED</w:t>
      </w:r>
      <w:r>
        <w:rPr>
          <w:vertAlign w:val="subscript"/>
        </w:rPr>
        <w:t>50</w:t>
      </w:r>
      <w:r>
        <w:rPr>
          <w:spacing w:val="40"/>
          <w:vertAlign w:val="baseline"/>
        </w:rPr>
        <w:t> </w:t>
      </w:r>
      <w:r>
        <w:rPr>
          <w:vertAlign w:val="baseline"/>
        </w:rPr>
        <w:t>for</w:t>
      </w:r>
      <w:r>
        <w:rPr>
          <w:spacing w:val="40"/>
          <w:vertAlign w:val="baseline"/>
        </w:rPr>
        <w:t> </w:t>
      </w:r>
      <w:r>
        <w:rPr>
          <w:vertAlign w:val="baseline"/>
        </w:rPr>
        <w:t>DCP23</w:t>
      </w:r>
      <w:r>
        <w:rPr>
          <w:spacing w:val="40"/>
          <w:vertAlign w:val="baseline"/>
        </w:rPr>
        <w:t> </w:t>
      </w:r>
      <w:r>
        <w:rPr>
          <w:vertAlign w:val="baseline"/>
        </w:rPr>
        <w:t>Using</w:t>
      </w:r>
      <w:r>
        <w:rPr>
          <w:spacing w:val="40"/>
          <w:vertAlign w:val="baseline"/>
        </w:rPr>
        <w:t> </w:t>
      </w:r>
      <w:r>
        <w:rPr>
          <w:vertAlign w:val="baseline"/>
        </w:rPr>
        <w:t>Maximal</w:t>
      </w:r>
      <w:r>
        <w:rPr>
          <w:spacing w:val="40"/>
          <w:vertAlign w:val="baseline"/>
        </w:rPr>
        <w:t> </w:t>
      </w:r>
      <w:r>
        <w:rPr>
          <w:vertAlign w:val="baseline"/>
        </w:rPr>
        <w:t>electroshock- induced Seizure Test</w:t>
      </w:r>
    </w:p>
    <w:p>
      <w:pPr>
        <w:pStyle w:val="BodyText"/>
        <w:rPr>
          <w:b/>
        </w:rPr>
      </w:pPr>
    </w:p>
    <w:p>
      <w:pPr>
        <w:pStyle w:val="BodyText"/>
        <w:spacing w:before="4"/>
        <w:rPr>
          <w:b/>
        </w:rPr>
      </w:pPr>
    </w:p>
    <w:p>
      <w:pPr>
        <w:spacing w:before="0"/>
        <w:ind w:left="681" w:right="0" w:firstLine="0"/>
        <w:jc w:val="left"/>
        <w:rPr>
          <w:b/>
          <w:sz w:val="24"/>
        </w:rPr>
      </w:pPr>
      <w:r>
        <w:rPr/>
        <mc:AlternateContent>
          <mc:Choice Requires="wps">
            <w:drawing>
              <wp:anchor distT="0" distB="0" distL="0" distR="0" allowOverlap="1" layoutInCell="1" locked="0" behindDoc="0" simplePos="0" relativeHeight="15808512">
                <wp:simplePos x="0" y="0"/>
                <wp:positionH relativeFrom="page">
                  <wp:posOffset>1413425</wp:posOffset>
                </wp:positionH>
                <wp:positionV relativeFrom="paragraph">
                  <wp:posOffset>1686572</wp:posOffset>
                </wp:positionV>
                <wp:extent cx="5064125" cy="384238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5064125" cy="3842385"/>
                          <a:chExt cx="5064125" cy="3842385"/>
                        </a:xfrm>
                      </wpg:grpSpPr>
                      <wps:wsp>
                        <wps:cNvPr id="342" name="Graphic 342"/>
                        <wps:cNvSpPr/>
                        <wps:spPr>
                          <a:xfrm>
                            <a:off x="7246" y="7246"/>
                            <a:ext cx="5050155" cy="3827779"/>
                          </a:xfrm>
                          <a:custGeom>
                            <a:avLst/>
                            <a:gdLst/>
                            <a:ahLst/>
                            <a:cxnLst/>
                            <a:rect l="l" t="t" r="r" b="b"/>
                            <a:pathLst>
                              <a:path w="5050155" h="3827779">
                                <a:moveTo>
                                  <a:pt x="0" y="3827288"/>
                                </a:moveTo>
                                <a:lnTo>
                                  <a:pt x="5049632" y="3827288"/>
                                </a:lnTo>
                                <a:lnTo>
                                  <a:pt x="5049632" y="0"/>
                                </a:lnTo>
                                <a:lnTo>
                                  <a:pt x="0" y="0"/>
                                </a:lnTo>
                                <a:lnTo>
                                  <a:pt x="0" y="3827288"/>
                                </a:lnTo>
                                <a:close/>
                              </a:path>
                            </a:pathLst>
                          </a:custGeom>
                          <a:ln w="13353">
                            <a:solidFill>
                              <a:srgbClr val="808080"/>
                            </a:solidFill>
                            <a:prstDash val="solid"/>
                          </a:ln>
                        </wps:spPr>
                        <wps:bodyPr wrap="square" lIns="0" tIns="0" rIns="0" bIns="0" rtlCol="0">
                          <a:prstTxWarp prst="textNoShape">
                            <a:avLst/>
                          </a:prstTxWarp>
                          <a:noAutofit/>
                        </wps:bodyPr>
                      </wps:wsp>
                      <wps:wsp>
                        <wps:cNvPr id="343" name="Graphic 343"/>
                        <wps:cNvSpPr/>
                        <wps:spPr>
                          <a:xfrm>
                            <a:off x="478925" y="405745"/>
                            <a:ext cx="4373245" cy="2405380"/>
                          </a:xfrm>
                          <a:custGeom>
                            <a:avLst/>
                            <a:gdLst/>
                            <a:ahLst/>
                            <a:cxnLst/>
                            <a:rect l="l" t="t" r="r" b="b"/>
                            <a:pathLst>
                              <a:path w="4373245" h="2405380">
                                <a:moveTo>
                                  <a:pt x="0" y="2405309"/>
                                </a:moveTo>
                                <a:lnTo>
                                  <a:pt x="4373177" y="2405309"/>
                                </a:lnTo>
                              </a:path>
                              <a:path w="4373245" h="2405380">
                                <a:moveTo>
                                  <a:pt x="0" y="2343060"/>
                                </a:moveTo>
                                <a:lnTo>
                                  <a:pt x="4373177" y="2343060"/>
                                </a:lnTo>
                              </a:path>
                              <a:path w="4373245" h="2405380">
                                <a:moveTo>
                                  <a:pt x="0" y="2280810"/>
                                </a:moveTo>
                                <a:lnTo>
                                  <a:pt x="4373177" y="2280810"/>
                                </a:lnTo>
                              </a:path>
                              <a:path w="4373245" h="2405380">
                                <a:moveTo>
                                  <a:pt x="0" y="2218043"/>
                                </a:moveTo>
                                <a:lnTo>
                                  <a:pt x="4373177" y="2218043"/>
                                </a:lnTo>
                              </a:path>
                              <a:path w="4373245" h="2405380">
                                <a:moveTo>
                                  <a:pt x="0" y="2093025"/>
                                </a:moveTo>
                                <a:lnTo>
                                  <a:pt x="4373177" y="2093025"/>
                                </a:lnTo>
                              </a:path>
                              <a:path w="4373245" h="2405380">
                                <a:moveTo>
                                  <a:pt x="0" y="2030776"/>
                                </a:moveTo>
                                <a:lnTo>
                                  <a:pt x="4373177" y="2030776"/>
                                </a:lnTo>
                              </a:path>
                              <a:path w="4373245" h="2405380">
                                <a:moveTo>
                                  <a:pt x="0" y="1968008"/>
                                </a:moveTo>
                                <a:lnTo>
                                  <a:pt x="4373177" y="1968008"/>
                                </a:lnTo>
                              </a:path>
                              <a:path w="4373245" h="2405380">
                                <a:moveTo>
                                  <a:pt x="0" y="1905759"/>
                                </a:moveTo>
                                <a:lnTo>
                                  <a:pt x="4373177" y="1905759"/>
                                </a:lnTo>
                              </a:path>
                              <a:path w="4373245" h="2405380">
                                <a:moveTo>
                                  <a:pt x="0" y="1765180"/>
                                </a:moveTo>
                                <a:lnTo>
                                  <a:pt x="4373177" y="1765180"/>
                                </a:lnTo>
                              </a:path>
                              <a:path w="4373245" h="2405380">
                                <a:moveTo>
                                  <a:pt x="0" y="1702412"/>
                                </a:moveTo>
                                <a:lnTo>
                                  <a:pt x="4373177" y="1702412"/>
                                </a:lnTo>
                              </a:path>
                              <a:path w="4373245" h="2405380">
                                <a:moveTo>
                                  <a:pt x="0" y="1640162"/>
                                </a:moveTo>
                                <a:lnTo>
                                  <a:pt x="4373177" y="1640162"/>
                                </a:lnTo>
                              </a:path>
                              <a:path w="4373245" h="2405380">
                                <a:moveTo>
                                  <a:pt x="0" y="1577394"/>
                                </a:moveTo>
                                <a:lnTo>
                                  <a:pt x="4373177" y="1577394"/>
                                </a:lnTo>
                              </a:path>
                              <a:path w="4373245" h="2405380">
                                <a:moveTo>
                                  <a:pt x="0" y="1452377"/>
                                </a:moveTo>
                                <a:lnTo>
                                  <a:pt x="4373177" y="1452377"/>
                                </a:lnTo>
                              </a:path>
                              <a:path w="4373245" h="2405380">
                                <a:moveTo>
                                  <a:pt x="0" y="1390232"/>
                                </a:moveTo>
                                <a:lnTo>
                                  <a:pt x="4373177" y="1390232"/>
                                </a:lnTo>
                              </a:path>
                              <a:path w="4373245" h="2405380">
                                <a:moveTo>
                                  <a:pt x="0" y="1327360"/>
                                </a:moveTo>
                                <a:lnTo>
                                  <a:pt x="4373177" y="1327360"/>
                                </a:lnTo>
                              </a:path>
                              <a:path w="4373245" h="2405380">
                                <a:moveTo>
                                  <a:pt x="0" y="1265111"/>
                                </a:moveTo>
                                <a:lnTo>
                                  <a:pt x="4373177" y="1265111"/>
                                </a:lnTo>
                              </a:path>
                              <a:path w="4373245" h="2405380">
                                <a:moveTo>
                                  <a:pt x="0" y="1140197"/>
                                </a:moveTo>
                                <a:lnTo>
                                  <a:pt x="4373177" y="1140197"/>
                                </a:lnTo>
                              </a:path>
                              <a:path w="4373245" h="2405380">
                                <a:moveTo>
                                  <a:pt x="0" y="1077948"/>
                                </a:moveTo>
                                <a:lnTo>
                                  <a:pt x="4373177" y="1077948"/>
                                </a:lnTo>
                              </a:path>
                              <a:path w="4373245" h="2405380">
                                <a:moveTo>
                                  <a:pt x="0" y="1015077"/>
                                </a:moveTo>
                                <a:lnTo>
                                  <a:pt x="4373177" y="1015077"/>
                                </a:lnTo>
                              </a:path>
                              <a:path w="4373245" h="2405380">
                                <a:moveTo>
                                  <a:pt x="0" y="952827"/>
                                </a:moveTo>
                                <a:lnTo>
                                  <a:pt x="4373177" y="952827"/>
                                </a:lnTo>
                              </a:path>
                              <a:path w="4373245" h="2405380">
                                <a:moveTo>
                                  <a:pt x="0" y="827706"/>
                                </a:moveTo>
                                <a:lnTo>
                                  <a:pt x="4373177" y="827706"/>
                                </a:lnTo>
                              </a:path>
                              <a:path w="4373245" h="2405380">
                                <a:moveTo>
                                  <a:pt x="0" y="765042"/>
                                </a:moveTo>
                                <a:lnTo>
                                  <a:pt x="4373177" y="765042"/>
                                </a:lnTo>
                              </a:path>
                              <a:path w="4373245" h="2405380">
                                <a:moveTo>
                                  <a:pt x="0" y="702793"/>
                                </a:moveTo>
                                <a:lnTo>
                                  <a:pt x="4373177" y="702793"/>
                                </a:lnTo>
                              </a:path>
                              <a:path w="4373245" h="2405380">
                                <a:moveTo>
                                  <a:pt x="0" y="639921"/>
                                </a:moveTo>
                                <a:lnTo>
                                  <a:pt x="4373177" y="639921"/>
                                </a:lnTo>
                              </a:path>
                              <a:path w="4373245" h="2405380">
                                <a:moveTo>
                                  <a:pt x="0" y="499446"/>
                                </a:moveTo>
                                <a:lnTo>
                                  <a:pt x="4373177" y="499446"/>
                                </a:lnTo>
                              </a:path>
                              <a:path w="4373245" h="2405380">
                                <a:moveTo>
                                  <a:pt x="0" y="437196"/>
                                </a:moveTo>
                                <a:lnTo>
                                  <a:pt x="4373177" y="437196"/>
                                </a:lnTo>
                              </a:path>
                              <a:path w="4373245" h="2405380">
                                <a:moveTo>
                                  <a:pt x="0" y="374325"/>
                                </a:moveTo>
                                <a:lnTo>
                                  <a:pt x="4373177" y="374325"/>
                                </a:lnTo>
                              </a:path>
                              <a:path w="4373245" h="2405380">
                                <a:moveTo>
                                  <a:pt x="0" y="312076"/>
                                </a:moveTo>
                                <a:lnTo>
                                  <a:pt x="4373177" y="312076"/>
                                </a:lnTo>
                              </a:path>
                              <a:path w="4373245" h="2405380">
                                <a:moveTo>
                                  <a:pt x="0" y="187162"/>
                                </a:moveTo>
                                <a:lnTo>
                                  <a:pt x="4373177" y="187162"/>
                                </a:lnTo>
                              </a:path>
                              <a:path w="4373245" h="2405380">
                                <a:moveTo>
                                  <a:pt x="0" y="124498"/>
                                </a:moveTo>
                                <a:lnTo>
                                  <a:pt x="4373177" y="124498"/>
                                </a:lnTo>
                              </a:path>
                              <a:path w="4373245" h="2405380">
                                <a:moveTo>
                                  <a:pt x="0" y="62249"/>
                                </a:moveTo>
                                <a:lnTo>
                                  <a:pt x="4373177" y="62249"/>
                                </a:lnTo>
                              </a:path>
                              <a:path w="4373245" h="2405380">
                                <a:moveTo>
                                  <a:pt x="0" y="0"/>
                                </a:moveTo>
                                <a:lnTo>
                                  <a:pt x="4373177" y="0"/>
                                </a:lnTo>
                              </a:path>
                            </a:pathLst>
                          </a:custGeom>
                          <a:ln w="12535">
                            <a:solidFill>
                              <a:srgbClr val="C0C0C0"/>
                            </a:solidFill>
                            <a:prstDash val="solid"/>
                          </a:ln>
                        </wps:spPr>
                        <wps:bodyPr wrap="square" lIns="0" tIns="0" rIns="0" bIns="0" rtlCol="0">
                          <a:prstTxWarp prst="textNoShape">
                            <a:avLst/>
                          </a:prstTxWarp>
                          <a:noAutofit/>
                        </wps:bodyPr>
                      </wps:wsp>
                      <wps:wsp>
                        <wps:cNvPr id="344" name="Graphic 344"/>
                        <wps:cNvSpPr/>
                        <wps:spPr>
                          <a:xfrm>
                            <a:off x="478925" y="342873"/>
                            <a:ext cx="4373245" cy="2218690"/>
                          </a:xfrm>
                          <a:custGeom>
                            <a:avLst/>
                            <a:gdLst/>
                            <a:ahLst/>
                            <a:cxnLst/>
                            <a:rect l="l" t="t" r="r" b="b"/>
                            <a:pathLst>
                              <a:path w="4373245" h="2218690">
                                <a:moveTo>
                                  <a:pt x="0" y="2218665"/>
                                </a:moveTo>
                                <a:lnTo>
                                  <a:pt x="4373177" y="2218665"/>
                                </a:lnTo>
                              </a:path>
                              <a:path w="4373245" h="2218690">
                                <a:moveTo>
                                  <a:pt x="0" y="1905863"/>
                                </a:moveTo>
                                <a:lnTo>
                                  <a:pt x="4373177" y="1905863"/>
                                </a:lnTo>
                              </a:path>
                              <a:path w="4373245" h="2218690">
                                <a:moveTo>
                                  <a:pt x="0" y="1578017"/>
                                </a:moveTo>
                                <a:lnTo>
                                  <a:pt x="4373177" y="1578017"/>
                                </a:lnTo>
                              </a:path>
                              <a:path w="4373245" h="2218690">
                                <a:moveTo>
                                  <a:pt x="0" y="1265318"/>
                                </a:moveTo>
                                <a:lnTo>
                                  <a:pt x="4373177" y="1265318"/>
                                </a:lnTo>
                              </a:path>
                              <a:path w="4373245" h="2218690">
                                <a:moveTo>
                                  <a:pt x="0" y="953035"/>
                                </a:moveTo>
                                <a:lnTo>
                                  <a:pt x="4373177" y="953035"/>
                                </a:lnTo>
                              </a:path>
                              <a:path w="4373245" h="2218690">
                                <a:moveTo>
                                  <a:pt x="0" y="640544"/>
                                </a:moveTo>
                                <a:lnTo>
                                  <a:pt x="4373177" y="640544"/>
                                </a:lnTo>
                              </a:path>
                              <a:path w="4373245" h="2218690">
                                <a:moveTo>
                                  <a:pt x="0" y="312283"/>
                                </a:moveTo>
                                <a:lnTo>
                                  <a:pt x="4373177" y="312283"/>
                                </a:lnTo>
                              </a:path>
                              <a:path w="4373245" h="2218690">
                                <a:moveTo>
                                  <a:pt x="0" y="0"/>
                                </a:moveTo>
                                <a:lnTo>
                                  <a:pt x="4373177" y="0"/>
                                </a:lnTo>
                              </a:path>
                            </a:pathLst>
                          </a:custGeom>
                          <a:ln w="12535">
                            <a:solidFill>
                              <a:srgbClr val="808080"/>
                            </a:solidFill>
                            <a:prstDash val="solid"/>
                          </a:ln>
                        </wps:spPr>
                        <wps:bodyPr wrap="square" lIns="0" tIns="0" rIns="0" bIns="0" rtlCol="0">
                          <a:prstTxWarp prst="textNoShape">
                            <a:avLst/>
                          </a:prstTxWarp>
                          <a:noAutofit/>
                        </wps:bodyPr>
                      </wps:wsp>
                      <wps:wsp>
                        <wps:cNvPr id="345" name="Graphic 345"/>
                        <wps:cNvSpPr/>
                        <wps:spPr>
                          <a:xfrm>
                            <a:off x="697965" y="342873"/>
                            <a:ext cx="3944620" cy="2515870"/>
                          </a:xfrm>
                          <a:custGeom>
                            <a:avLst/>
                            <a:gdLst/>
                            <a:ahLst/>
                            <a:cxnLst/>
                            <a:rect l="l" t="t" r="r" b="b"/>
                            <a:pathLst>
                              <a:path w="3944620" h="2515870">
                                <a:moveTo>
                                  <a:pt x="0" y="0"/>
                                </a:moveTo>
                                <a:lnTo>
                                  <a:pt x="0" y="2515386"/>
                                </a:lnTo>
                              </a:path>
                              <a:path w="3944620" h="2515870">
                                <a:moveTo>
                                  <a:pt x="219356" y="0"/>
                                </a:moveTo>
                                <a:lnTo>
                                  <a:pt x="219356" y="2515386"/>
                                </a:lnTo>
                              </a:path>
                              <a:path w="3944620" h="2515870">
                                <a:moveTo>
                                  <a:pt x="438395" y="0"/>
                                </a:moveTo>
                                <a:lnTo>
                                  <a:pt x="438395" y="2515386"/>
                                </a:lnTo>
                              </a:path>
                              <a:path w="3944620" h="2515870">
                                <a:moveTo>
                                  <a:pt x="657498" y="0"/>
                                </a:moveTo>
                                <a:lnTo>
                                  <a:pt x="657498" y="2515386"/>
                                </a:lnTo>
                              </a:path>
                              <a:path w="3944620" h="2515870">
                                <a:moveTo>
                                  <a:pt x="1095830" y="0"/>
                                </a:moveTo>
                                <a:lnTo>
                                  <a:pt x="1095830" y="2515386"/>
                                </a:lnTo>
                              </a:path>
                              <a:path w="3944620" h="2515870">
                                <a:moveTo>
                                  <a:pt x="1314933" y="0"/>
                                </a:moveTo>
                                <a:lnTo>
                                  <a:pt x="1314933" y="2515386"/>
                                </a:lnTo>
                              </a:path>
                              <a:path w="3944620" h="2515870">
                                <a:moveTo>
                                  <a:pt x="1533908" y="0"/>
                                </a:moveTo>
                                <a:lnTo>
                                  <a:pt x="1533908" y="2515386"/>
                                </a:lnTo>
                              </a:path>
                              <a:path w="3944620" h="2515870">
                                <a:moveTo>
                                  <a:pt x="1753265" y="0"/>
                                </a:moveTo>
                                <a:lnTo>
                                  <a:pt x="1753265" y="2515386"/>
                                </a:lnTo>
                              </a:path>
                              <a:path w="3944620" h="2515870">
                                <a:moveTo>
                                  <a:pt x="2191343" y="0"/>
                                </a:moveTo>
                                <a:lnTo>
                                  <a:pt x="2191343" y="2515386"/>
                                </a:lnTo>
                              </a:path>
                              <a:path w="3944620" h="2515870">
                                <a:moveTo>
                                  <a:pt x="2410446" y="0"/>
                                </a:moveTo>
                                <a:lnTo>
                                  <a:pt x="2410446" y="2515386"/>
                                </a:lnTo>
                              </a:path>
                              <a:path w="3944620" h="2515870">
                                <a:moveTo>
                                  <a:pt x="2629802" y="0"/>
                                </a:moveTo>
                                <a:lnTo>
                                  <a:pt x="2629802" y="2515386"/>
                                </a:lnTo>
                              </a:path>
                              <a:path w="3944620" h="2515870">
                                <a:moveTo>
                                  <a:pt x="2848778" y="0"/>
                                </a:moveTo>
                                <a:lnTo>
                                  <a:pt x="2848778" y="2515386"/>
                                </a:lnTo>
                              </a:path>
                              <a:path w="3944620" h="2515870">
                                <a:moveTo>
                                  <a:pt x="3287237" y="0"/>
                                </a:moveTo>
                                <a:lnTo>
                                  <a:pt x="3287237" y="2515386"/>
                                </a:lnTo>
                              </a:path>
                              <a:path w="3944620" h="2515870">
                                <a:moveTo>
                                  <a:pt x="3506213" y="0"/>
                                </a:moveTo>
                                <a:lnTo>
                                  <a:pt x="3506213" y="2515386"/>
                                </a:lnTo>
                              </a:path>
                              <a:path w="3944620" h="2515870">
                                <a:moveTo>
                                  <a:pt x="3725189" y="0"/>
                                </a:moveTo>
                                <a:lnTo>
                                  <a:pt x="3725189" y="2515386"/>
                                </a:lnTo>
                              </a:path>
                              <a:path w="3944620" h="2515870">
                                <a:moveTo>
                                  <a:pt x="3944292" y="0"/>
                                </a:moveTo>
                                <a:lnTo>
                                  <a:pt x="3944292" y="2515386"/>
                                </a:lnTo>
                              </a:path>
                            </a:pathLst>
                          </a:custGeom>
                          <a:ln w="12535">
                            <a:solidFill>
                              <a:srgbClr val="C0C0C0"/>
                            </a:solidFill>
                            <a:prstDash val="solid"/>
                          </a:ln>
                        </wps:spPr>
                        <wps:bodyPr wrap="square" lIns="0" tIns="0" rIns="0" bIns="0" rtlCol="0">
                          <a:prstTxWarp prst="textNoShape">
                            <a:avLst/>
                          </a:prstTxWarp>
                          <a:noAutofit/>
                        </wps:bodyPr>
                      </wps:wsp>
                      <wps:wsp>
                        <wps:cNvPr id="346" name="Graphic 346"/>
                        <wps:cNvSpPr/>
                        <wps:spPr>
                          <a:xfrm>
                            <a:off x="1574439" y="342873"/>
                            <a:ext cx="3287395" cy="2515870"/>
                          </a:xfrm>
                          <a:custGeom>
                            <a:avLst/>
                            <a:gdLst/>
                            <a:ahLst/>
                            <a:cxnLst/>
                            <a:rect l="l" t="t" r="r" b="b"/>
                            <a:pathLst>
                              <a:path w="3287395" h="2515870">
                                <a:moveTo>
                                  <a:pt x="0" y="0"/>
                                </a:moveTo>
                                <a:lnTo>
                                  <a:pt x="0" y="2515386"/>
                                </a:lnTo>
                              </a:path>
                              <a:path w="3287395" h="2515870">
                                <a:moveTo>
                                  <a:pt x="1095893" y="0"/>
                                </a:moveTo>
                                <a:lnTo>
                                  <a:pt x="1095893" y="2515386"/>
                                </a:lnTo>
                              </a:path>
                              <a:path w="3287395" h="2515870">
                                <a:moveTo>
                                  <a:pt x="2191407" y="0"/>
                                </a:moveTo>
                                <a:lnTo>
                                  <a:pt x="2191407" y="2515386"/>
                                </a:lnTo>
                              </a:path>
                              <a:path w="3287395" h="2515870">
                                <a:moveTo>
                                  <a:pt x="3287174" y="0"/>
                                </a:moveTo>
                                <a:lnTo>
                                  <a:pt x="3287174" y="2515386"/>
                                </a:lnTo>
                              </a:path>
                            </a:pathLst>
                          </a:custGeom>
                          <a:ln w="12535">
                            <a:solidFill>
                              <a:srgbClr val="808080"/>
                            </a:solidFill>
                            <a:prstDash val="solid"/>
                          </a:ln>
                        </wps:spPr>
                        <wps:bodyPr wrap="square" lIns="0" tIns="0" rIns="0" bIns="0" rtlCol="0">
                          <a:prstTxWarp prst="textNoShape">
                            <a:avLst/>
                          </a:prstTxWarp>
                          <a:noAutofit/>
                        </wps:bodyPr>
                      </wps:wsp>
                      <wps:wsp>
                        <wps:cNvPr id="347" name="Graphic 347"/>
                        <wps:cNvSpPr/>
                        <wps:spPr>
                          <a:xfrm>
                            <a:off x="440887" y="342873"/>
                            <a:ext cx="4420870" cy="2593340"/>
                          </a:xfrm>
                          <a:custGeom>
                            <a:avLst/>
                            <a:gdLst/>
                            <a:ahLst/>
                            <a:cxnLst/>
                            <a:rect l="l" t="t" r="r" b="b"/>
                            <a:pathLst>
                              <a:path w="4420870" h="2593340">
                                <a:moveTo>
                                  <a:pt x="38038" y="0"/>
                                </a:moveTo>
                                <a:lnTo>
                                  <a:pt x="38038" y="2515386"/>
                                </a:lnTo>
                              </a:path>
                              <a:path w="4420870" h="2593340">
                                <a:moveTo>
                                  <a:pt x="0" y="2530949"/>
                                </a:moveTo>
                                <a:lnTo>
                                  <a:pt x="28528" y="2530949"/>
                                </a:lnTo>
                              </a:path>
                              <a:path w="4420870" h="2593340">
                                <a:moveTo>
                                  <a:pt x="0" y="2218665"/>
                                </a:moveTo>
                                <a:lnTo>
                                  <a:pt x="28528" y="2218665"/>
                                </a:lnTo>
                              </a:path>
                              <a:path w="4420870" h="2593340">
                                <a:moveTo>
                                  <a:pt x="0" y="1905863"/>
                                </a:moveTo>
                                <a:lnTo>
                                  <a:pt x="28528" y="1905863"/>
                                </a:lnTo>
                              </a:path>
                              <a:path w="4420870" h="2593340">
                                <a:moveTo>
                                  <a:pt x="0" y="1578017"/>
                                </a:moveTo>
                                <a:lnTo>
                                  <a:pt x="28528" y="1578017"/>
                                </a:lnTo>
                              </a:path>
                              <a:path w="4420870" h="2593340">
                                <a:moveTo>
                                  <a:pt x="0" y="1265318"/>
                                </a:moveTo>
                                <a:lnTo>
                                  <a:pt x="28528" y="1265318"/>
                                </a:lnTo>
                              </a:path>
                              <a:path w="4420870" h="2593340">
                                <a:moveTo>
                                  <a:pt x="0" y="953035"/>
                                </a:moveTo>
                                <a:lnTo>
                                  <a:pt x="28528" y="953035"/>
                                </a:lnTo>
                              </a:path>
                              <a:path w="4420870" h="2593340">
                                <a:moveTo>
                                  <a:pt x="0" y="640544"/>
                                </a:moveTo>
                                <a:lnTo>
                                  <a:pt x="28528" y="640544"/>
                                </a:lnTo>
                              </a:path>
                              <a:path w="4420870" h="2593340">
                                <a:moveTo>
                                  <a:pt x="0" y="312283"/>
                                </a:moveTo>
                                <a:lnTo>
                                  <a:pt x="28528" y="312283"/>
                                </a:lnTo>
                              </a:path>
                              <a:path w="4420870" h="2593340">
                                <a:moveTo>
                                  <a:pt x="0" y="0"/>
                                </a:moveTo>
                                <a:lnTo>
                                  <a:pt x="28528" y="0"/>
                                </a:lnTo>
                              </a:path>
                              <a:path w="4420870" h="2593340">
                                <a:moveTo>
                                  <a:pt x="38038" y="2530949"/>
                                </a:moveTo>
                                <a:lnTo>
                                  <a:pt x="4411216" y="2530949"/>
                                </a:lnTo>
                              </a:path>
                              <a:path w="4420870" h="2593340">
                                <a:moveTo>
                                  <a:pt x="38038" y="2593198"/>
                                </a:moveTo>
                                <a:lnTo>
                                  <a:pt x="38038" y="2546511"/>
                                </a:lnTo>
                              </a:path>
                              <a:path w="4420870" h="2593340">
                                <a:moveTo>
                                  <a:pt x="1133552" y="2593198"/>
                                </a:moveTo>
                                <a:lnTo>
                                  <a:pt x="1133552" y="2546511"/>
                                </a:lnTo>
                              </a:path>
                              <a:path w="4420870" h="2593340">
                                <a:moveTo>
                                  <a:pt x="2229445" y="2593198"/>
                                </a:moveTo>
                                <a:lnTo>
                                  <a:pt x="2229445" y="2546511"/>
                                </a:lnTo>
                              </a:path>
                              <a:path w="4420870" h="2593340">
                                <a:moveTo>
                                  <a:pt x="3324959" y="2593198"/>
                                </a:moveTo>
                                <a:lnTo>
                                  <a:pt x="3324959" y="2546511"/>
                                </a:lnTo>
                              </a:path>
                              <a:path w="4420870" h="2593340">
                                <a:moveTo>
                                  <a:pt x="4420726" y="2593198"/>
                                </a:moveTo>
                                <a:lnTo>
                                  <a:pt x="4420726" y="2546511"/>
                                </a:lnTo>
                              </a:path>
                            </a:pathLst>
                          </a:custGeom>
                          <a:ln w="12535">
                            <a:solidFill>
                              <a:srgbClr val="808080"/>
                            </a:solidFill>
                            <a:prstDash val="solid"/>
                          </a:ln>
                        </wps:spPr>
                        <wps:bodyPr wrap="square" lIns="0" tIns="0" rIns="0" bIns="0" rtlCol="0">
                          <a:prstTxWarp prst="textNoShape">
                            <a:avLst/>
                          </a:prstTxWarp>
                          <a:noAutofit/>
                        </wps:bodyPr>
                      </wps:wsp>
                      <pic:pic>
                        <pic:nvPicPr>
                          <pic:cNvPr id="348" name="Image 348"/>
                          <pic:cNvPicPr/>
                        </pic:nvPicPr>
                        <pic:blipFill>
                          <a:blip r:embed="rId40" cstate="print"/>
                          <a:stretch>
                            <a:fillRect/>
                          </a:stretch>
                        </pic:blipFill>
                        <pic:spPr>
                          <a:xfrm>
                            <a:off x="1959086" y="1774151"/>
                            <a:ext cx="107624" cy="168565"/>
                          </a:xfrm>
                          <a:prstGeom prst="rect">
                            <a:avLst/>
                          </a:prstGeom>
                        </pic:spPr>
                      </pic:pic>
                      <pic:pic>
                        <pic:nvPicPr>
                          <pic:cNvPr id="349" name="Image 349"/>
                          <pic:cNvPicPr/>
                        </pic:nvPicPr>
                        <pic:blipFill>
                          <a:blip r:embed="rId41" cstate="print"/>
                          <a:stretch>
                            <a:fillRect/>
                          </a:stretch>
                        </pic:blipFill>
                        <pic:spPr>
                          <a:xfrm>
                            <a:off x="2835496" y="1555241"/>
                            <a:ext cx="107624" cy="168565"/>
                          </a:xfrm>
                          <a:prstGeom prst="rect">
                            <a:avLst/>
                          </a:prstGeom>
                        </pic:spPr>
                      </pic:pic>
                      <pic:pic>
                        <pic:nvPicPr>
                          <pic:cNvPr id="350" name="Image 350"/>
                          <pic:cNvPicPr/>
                        </pic:nvPicPr>
                        <pic:blipFill>
                          <a:blip r:embed="rId41" cstate="print"/>
                          <a:stretch>
                            <a:fillRect/>
                          </a:stretch>
                        </pic:blipFill>
                        <pic:spPr>
                          <a:xfrm>
                            <a:off x="3492931" y="1274082"/>
                            <a:ext cx="107624" cy="168565"/>
                          </a:xfrm>
                          <a:prstGeom prst="rect">
                            <a:avLst/>
                          </a:prstGeom>
                        </pic:spPr>
                      </pic:pic>
                      <pic:pic>
                        <pic:nvPicPr>
                          <pic:cNvPr id="351" name="Image 351"/>
                          <pic:cNvPicPr/>
                        </pic:nvPicPr>
                        <pic:blipFill>
                          <a:blip r:embed="rId42" cstate="print"/>
                          <a:stretch>
                            <a:fillRect/>
                          </a:stretch>
                        </pic:blipFill>
                        <pic:spPr>
                          <a:xfrm>
                            <a:off x="4150368" y="1039405"/>
                            <a:ext cx="107620" cy="168769"/>
                          </a:xfrm>
                          <a:prstGeom prst="rect">
                            <a:avLst/>
                          </a:prstGeom>
                        </pic:spPr>
                      </pic:pic>
                      <pic:pic>
                        <pic:nvPicPr>
                          <pic:cNvPr id="352" name="Image 352"/>
                          <pic:cNvPicPr/>
                        </pic:nvPicPr>
                        <pic:blipFill>
                          <a:blip r:embed="rId43" cstate="print"/>
                          <a:stretch>
                            <a:fillRect/>
                          </a:stretch>
                        </pic:blipFill>
                        <pic:spPr>
                          <a:xfrm>
                            <a:off x="4540902" y="664461"/>
                            <a:ext cx="107612" cy="169176"/>
                          </a:xfrm>
                          <a:prstGeom prst="rect">
                            <a:avLst/>
                          </a:prstGeom>
                        </pic:spPr>
                      </pic:pic>
                      <wps:wsp>
                        <wps:cNvPr id="353" name="Graphic 353"/>
                        <wps:cNvSpPr/>
                        <wps:spPr>
                          <a:xfrm>
                            <a:off x="2012898" y="874066"/>
                            <a:ext cx="2572385" cy="1062990"/>
                          </a:xfrm>
                          <a:custGeom>
                            <a:avLst/>
                            <a:gdLst/>
                            <a:ahLst/>
                            <a:cxnLst/>
                            <a:rect l="l" t="t" r="r" b="b"/>
                            <a:pathLst>
                              <a:path w="2572385" h="1062990">
                                <a:moveTo>
                                  <a:pt x="0" y="1062386"/>
                                </a:moveTo>
                                <a:lnTo>
                                  <a:pt x="2572300" y="0"/>
                                </a:lnTo>
                              </a:path>
                            </a:pathLst>
                          </a:custGeom>
                          <a:ln w="14680">
                            <a:solidFill>
                              <a:srgbClr val="000000"/>
                            </a:solidFill>
                            <a:prstDash val="solid"/>
                          </a:ln>
                        </wps:spPr>
                        <wps:bodyPr wrap="square" lIns="0" tIns="0" rIns="0" bIns="0" rtlCol="0">
                          <a:prstTxWarp prst="textNoShape">
                            <a:avLst/>
                          </a:prstTxWarp>
                          <a:noAutofit/>
                        </wps:bodyPr>
                      </wps:wsp>
                      <wps:wsp>
                        <wps:cNvPr id="354" name="Graphic 354"/>
                        <wps:cNvSpPr/>
                        <wps:spPr>
                          <a:xfrm>
                            <a:off x="7246" y="7246"/>
                            <a:ext cx="5050155" cy="3827779"/>
                          </a:xfrm>
                          <a:custGeom>
                            <a:avLst/>
                            <a:gdLst/>
                            <a:ahLst/>
                            <a:cxnLst/>
                            <a:rect l="l" t="t" r="r" b="b"/>
                            <a:pathLst>
                              <a:path w="5050155" h="3827779">
                                <a:moveTo>
                                  <a:pt x="0" y="3827288"/>
                                </a:moveTo>
                                <a:lnTo>
                                  <a:pt x="5049632" y="3827288"/>
                                </a:lnTo>
                                <a:lnTo>
                                  <a:pt x="5049632" y="0"/>
                                </a:lnTo>
                                <a:lnTo>
                                  <a:pt x="0" y="0"/>
                                </a:lnTo>
                                <a:lnTo>
                                  <a:pt x="0" y="3827288"/>
                                </a:lnTo>
                                <a:close/>
                              </a:path>
                            </a:pathLst>
                          </a:custGeom>
                          <a:ln w="13353">
                            <a:solidFill>
                              <a:srgbClr val="808080"/>
                            </a:solidFill>
                            <a:prstDash val="solid"/>
                          </a:ln>
                        </wps:spPr>
                        <wps:bodyPr wrap="square" lIns="0" tIns="0" rIns="0" bIns="0" rtlCol="0">
                          <a:prstTxWarp prst="textNoShape">
                            <a:avLst/>
                          </a:prstTxWarp>
                          <a:noAutofit/>
                        </wps:bodyPr>
                      </wps:wsp>
                      <wps:wsp>
                        <wps:cNvPr id="355" name="Textbox 355"/>
                        <wps:cNvSpPr txBox="1"/>
                        <wps:spPr>
                          <a:xfrm>
                            <a:off x="312189" y="245349"/>
                            <a:ext cx="76200" cy="2734310"/>
                          </a:xfrm>
                          <a:prstGeom prst="rect">
                            <a:avLst/>
                          </a:prstGeom>
                        </wps:spPr>
                        <wps:txbx>
                          <w:txbxContent>
                            <w:p>
                              <w:pPr>
                                <w:spacing w:line="326" w:lineRule="exact" w:before="0"/>
                                <w:ind w:left="0" w:right="0" w:firstLine="0"/>
                                <w:jc w:val="left"/>
                                <w:rPr>
                                  <w:rFonts w:ascii="Calibri"/>
                                  <w:sz w:val="32"/>
                                </w:rPr>
                              </w:pPr>
                              <w:r>
                                <w:rPr>
                                  <w:rFonts w:ascii="Calibri"/>
                                  <w:spacing w:val="-10"/>
                                  <w:w w:val="70"/>
                                  <w:sz w:val="32"/>
                                </w:rPr>
                                <w:t>8</w:t>
                              </w:r>
                            </w:p>
                            <w:p>
                              <w:pPr>
                                <w:spacing w:before="101"/>
                                <w:ind w:left="0" w:right="0" w:firstLine="0"/>
                                <w:jc w:val="left"/>
                                <w:rPr>
                                  <w:rFonts w:ascii="Calibri"/>
                                  <w:sz w:val="32"/>
                                </w:rPr>
                              </w:pPr>
                              <w:r>
                                <w:rPr>
                                  <w:rFonts w:ascii="Calibri"/>
                                  <w:spacing w:val="-10"/>
                                  <w:w w:val="70"/>
                                  <w:sz w:val="32"/>
                                </w:rPr>
                                <w:t>7</w:t>
                              </w:r>
                            </w:p>
                            <w:p>
                              <w:pPr>
                                <w:spacing w:before="126"/>
                                <w:ind w:left="0" w:right="0" w:firstLine="0"/>
                                <w:jc w:val="left"/>
                                <w:rPr>
                                  <w:rFonts w:ascii="Calibri"/>
                                  <w:sz w:val="32"/>
                                </w:rPr>
                              </w:pPr>
                              <w:r>
                                <w:rPr>
                                  <w:rFonts w:ascii="Calibri"/>
                                  <w:spacing w:val="-10"/>
                                  <w:w w:val="70"/>
                                  <w:sz w:val="32"/>
                                </w:rPr>
                                <w:t>6</w:t>
                              </w:r>
                            </w:p>
                            <w:p>
                              <w:pPr>
                                <w:spacing w:before="102"/>
                                <w:ind w:left="0" w:right="0" w:firstLine="0"/>
                                <w:jc w:val="left"/>
                                <w:rPr>
                                  <w:rFonts w:ascii="Calibri"/>
                                  <w:sz w:val="32"/>
                                </w:rPr>
                              </w:pPr>
                              <w:r>
                                <w:rPr>
                                  <w:rFonts w:ascii="Calibri"/>
                                  <w:spacing w:val="-10"/>
                                  <w:w w:val="70"/>
                                  <w:sz w:val="32"/>
                                </w:rPr>
                                <w:t>5</w:t>
                              </w:r>
                            </w:p>
                            <w:p>
                              <w:pPr>
                                <w:spacing w:before="101"/>
                                <w:ind w:left="0" w:right="0" w:firstLine="0"/>
                                <w:jc w:val="left"/>
                                <w:rPr>
                                  <w:rFonts w:ascii="Calibri"/>
                                  <w:sz w:val="32"/>
                                </w:rPr>
                              </w:pPr>
                              <w:r>
                                <w:rPr>
                                  <w:rFonts w:ascii="Calibri"/>
                                  <w:spacing w:val="-10"/>
                                  <w:w w:val="70"/>
                                  <w:sz w:val="32"/>
                                </w:rPr>
                                <w:t>4</w:t>
                              </w:r>
                            </w:p>
                            <w:p>
                              <w:pPr>
                                <w:spacing w:before="101"/>
                                <w:ind w:left="0" w:right="0" w:firstLine="0"/>
                                <w:jc w:val="left"/>
                                <w:rPr>
                                  <w:rFonts w:ascii="Calibri"/>
                                  <w:sz w:val="32"/>
                                </w:rPr>
                              </w:pPr>
                              <w:r>
                                <w:rPr>
                                  <w:rFonts w:ascii="Calibri"/>
                                  <w:spacing w:val="-10"/>
                                  <w:w w:val="70"/>
                                  <w:sz w:val="32"/>
                                </w:rPr>
                                <w:t>3</w:t>
                              </w:r>
                            </w:p>
                            <w:p>
                              <w:pPr>
                                <w:spacing w:before="126"/>
                                <w:ind w:left="0" w:right="0" w:firstLine="0"/>
                                <w:jc w:val="left"/>
                                <w:rPr>
                                  <w:rFonts w:ascii="Calibri"/>
                                  <w:sz w:val="32"/>
                                </w:rPr>
                              </w:pPr>
                              <w:r>
                                <w:rPr>
                                  <w:rFonts w:ascii="Calibri"/>
                                  <w:spacing w:val="-10"/>
                                  <w:w w:val="70"/>
                                  <w:sz w:val="32"/>
                                </w:rPr>
                                <w:t>2</w:t>
                              </w:r>
                            </w:p>
                            <w:p>
                              <w:pPr>
                                <w:spacing w:before="101"/>
                                <w:ind w:left="0" w:right="0" w:firstLine="0"/>
                                <w:jc w:val="left"/>
                                <w:rPr>
                                  <w:rFonts w:ascii="Calibri"/>
                                  <w:sz w:val="32"/>
                                </w:rPr>
                              </w:pPr>
                              <w:r>
                                <w:rPr>
                                  <w:rFonts w:ascii="Calibri"/>
                                  <w:spacing w:val="-10"/>
                                  <w:w w:val="70"/>
                                  <w:sz w:val="32"/>
                                </w:rPr>
                                <w:t>1</w:t>
                              </w:r>
                            </w:p>
                            <w:p>
                              <w:pPr>
                                <w:spacing w:line="385" w:lineRule="exact" w:before="102"/>
                                <w:ind w:left="0" w:right="0" w:firstLine="0"/>
                                <w:jc w:val="left"/>
                                <w:rPr>
                                  <w:rFonts w:ascii="Calibri"/>
                                  <w:sz w:val="32"/>
                                </w:rPr>
                              </w:pPr>
                              <w:r>
                                <w:rPr>
                                  <w:rFonts w:ascii="Calibri"/>
                                  <w:spacing w:val="-10"/>
                                  <w:w w:val="70"/>
                                  <w:sz w:val="32"/>
                                </w:rPr>
                                <w:t>0</w:t>
                              </w:r>
                            </w:p>
                          </w:txbxContent>
                        </wps:txbx>
                        <wps:bodyPr wrap="square" lIns="0" tIns="0" rIns="0" bIns="0" rtlCol="0">
                          <a:noAutofit/>
                        </wps:bodyPr>
                      </wps:wsp>
                      <wps:wsp>
                        <wps:cNvPr id="356" name="Textbox 356"/>
                        <wps:cNvSpPr txBox="1"/>
                        <wps:spPr>
                          <a:xfrm>
                            <a:off x="445642" y="3073019"/>
                            <a:ext cx="76200" cy="203835"/>
                          </a:xfrm>
                          <a:prstGeom prst="rect">
                            <a:avLst/>
                          </a:prstGeom>
                        </wps:spPr>
                        <wps:txbx>
                          <w:txbxContent>
                            <w:p>
                              <w:pPr>
                                <w:spacing w:line="320" w:lineRule="exact" w:before="0"/>
                                <w:ind w:left="0" w:right="0" w:firstLine="0"/>
                                <w:jc w:val="left"/>
                                <w:rPr>
                                  <w:rFonts w:ascii="Calibri"/>
                                  <w:sz w:val="32"/>
                                </w:rPr>
                              </w:pPr>
                              <w:r>
                                <w:rPr>
                                  <w:rFonts w:ascii="Calibri"/>
                                  <w:spacing w:val="-10"/>
                                  <w:w w:val="70"/>
                                  <w:sz w:val="32"/>
                                </w:rPr>
                                <w:t>0</w:t>
                              </w:r>
                            </w:p>
                          </w:txbxContent>
                        </wps:txbx>
                        <wps:bodyPr wrap="square" lIns="0" tIns="0" rIns="0" bIns="0" rtlCol="0">
                          <a:noAutofit/>
                        </wps:bodyPr>
                      </wps:wsp>
                      <wps:wsp>
                        <wps:cNvPr id="357" name="Textbox 357"/>
                        <wps:cNvSpPr txBox="1"/>
                        <wps:spPr>
                          <a:xfrm>
                            <a:off x="1484034" y="3073019"/>
                            <a:ext cx="180340" cy="203835"/>
                          </a:xfrm>
                          <a:prstGeom prst="rect">
                            <a:avLst/>
                          </a:prstGeom>
                        </wps:spPr>
                        <wps:txbx>
                          <w:txbxContent>
                            <w:p>
                              <w:pPr>
                                <w:spacing w:line="320" w:lineRule="exact" w:before="0"/>
                                <w:ind w:left="0" w:right="0" w:firstLine="0"/>
                                <w:jc w:val="left"/>
                                <w:rPr>
                                  <w:rFonts w:ascii="Calibri"/>
                                  <w:sz w:val="32"/>
                                </w:rPr>
                              </w:pPr>
                              <w:r>
                                <w:rPr>
                                  <w:rFonts w:ascii="Calibri"/>
                                  <w:spacing w:val="-5"/>
                                  <w:w w:val="65"/>
                                  <w:sz w:val="32"/>
                                </w:rPr>
                                <w:t>0.5</w:t>
                              </w:r>
                            </w:p>
                          </w:txbxContent>
                        </wps:txbx>
                        <wps:bodyPr wrap="square" lIns="0" tIns="0" rIns="0" bIns="0" rtlCol="0">
                          <a:noAutofit/>
                        </wps:bodyPr>
                      </wps:wsp>
                      <wps:wsp>
                        <wps:cNvPr id="358" name="Textbox 358"/>
                        <wps:cNvSpPr txBox="1"/>
                        <wps:spPr>
                          <a:xfrm>
                            <a:off x="2636985" y="3073019"/>
                            <a:ext cx="76200" cy="203835"/>
                          </a:xfrm>
                          <a:prstGeom prst="rect">
                            <a:avLst/>
                          </a:prstGeom>
                        </wps:spPr>
                        <wps:txbx>
                          <w:txbxContent>
                            <w:p>
                              <w:pPr>
                                <w:spacing w:line="320" w:lineRule="exact" w:before="0"/>
                                <w:ind w:left="0" w:right="0" w:firstLine="0"/>
                                <w:jc w:val="left"/>
                                <w:rPr>
                                  <w:rFonts w:ascii="Calibri"/>
                                  <w:sz w:val="32"/>
                                </w:rPr>
                              </w:pPr>
                              <w:r>
                                <w:rPr>
                                  <w:rFonts w:ascii="Calibri"/>
                                  <w:spacing w:val="-10"/>
                                  <w:w w:val="70"/>
                                  <w:sz w:val="32"/>
                                </w:rPr>
                                <w:t>1</w:t>
                              </w:r>
                            </w:p>
                          </w:txbxContent>
                        </wps:txbx>
                        <wps:bodyPr wrap="square" lIns="0" tIns="0" rIns="0" bIns="0" rtlCol="0">
                          <a:noAutofit/>
                        </wps:bodyPr>
                      </wps:wsp>
                      <wps:wsp>
                        <wps:cNvPr id="359" name="Textbox 359"/>
                        <wps:cNvSpPr txBox="1"/>
                        <wps:spPr>
                          <a:xfrm>
                            <a:off x="3675441" y="3073019"/>
                            <a:ext cx="180340" cy="203835"/>
                          </a:xfrm>
                          <a:prstGeom prst="rect">
                            <a:avLst/>
                          </a:prstGeom>
                        </wps:spPr>
                        <wps:txbx>
                          <w:txbxContent>
                            <w:p>
                              <w:pPr>
                                <w:spacing w:line="320" w:lineRule="exact" w:before="0"/>
                                <w:ind w:left="0" w:right="0" w:firstLine="0"/>
                                <w:jc w:val="left"/>
                                <w:rPr>
                                  <w:rFonts w:ascii="Calibri"/>
                                  <w:sz w:val="32"/>
                                </w:rPr>
                              </w:pPr>
                              <w:r>
                                <w:rPr>
                                  <w:rFonts w:ascii="Calibri"/>
                                  <w:spacing w:val="-5"/>
                                  <w:w w:val="65"/>
                                  <w:sz w:val="32"/>
                                </w:rPr>
                                <w:t>1.5</w:t>
                              </w:r>
                            </w:p>
                          </w:txbxContent>
                        </wps:txbx>
                        <wps:bodyPr wrap="square" lIns="0" tIns="0" rIns="0" bIns="0" rtlCol="0">
                          <a:noAutofit/>
                        </wps:bodyPr>
                      </wps:wsp>
                      <wps:wsp>
                        <wps:cNvPr id="360" name="Textbox 360"/>
                        <wps:cNvSpPr txBox="1"/>
                        <wps:spPr>
                          <a:xfrm>
                            <a:off x="4828393" y="3073019"/>
                            <a:ext cx="76200" cy="203835"/>
                          </a:xfrm>
                          <a:prstGeom prst="rect">
                            <a:avLst/>
                          </a:prstGeom>
                        </wps:spPr>
                        <wps:txbx>
                          <w:txbxContent>
                            <w:p>
                              <w:pPr>
                                <w:spacing w:line="320" w:lineRule="exact" w:before="0"/>
                                <w:ind w:left="0" w:right="0" w:firstLine="0"/>
                                <w:jc w:val="left"/>
                                <w:rPr>
                                  <w:rFonts w:ascii="Calibri"/>
                                  <w:sz w:val="32"/>
                                </w:rPr>
                              </w:pPr>
                              <w:r>
                                <w:rPr>
                                  <w:rFonts w:ascii="Calibri"/>
                                  <w:spacing w:val="-10"/>
                                  <w:w w:val="70"/>
                                  <w:sz w:val="32"/>
                                </w:rPr>
                                <w:t>2</w:t>
                              </w:r>
                            </w:p>
                          </w:txbxContent>
                        </wps:txbx>
                        <wps:bodyPr wrap="square" lIns="0" tIns="0" rIns="0" bIns="0" rtlCol="0">
                          <a:noAutofit/>
                        </wps:bodyPr>
                      </wps:wsp>
                      <wps:wsp>
                        <wps:cNvPr id="361" name="Textbox 361"/>
                        <wps:cNvSpPr txBox="1"/>
                        <wps:spPr>
                          <a:xfrm>
                            <a:off x="2389100" y="3557007"/>
                            <a:ext cx="560070" cy="203835"/>
                          </a:xfrm>
                          <a:prstGeom prst="rect">
                            <a:avLst/>
                          </a:prstGeom>
                        </wps:spPr>
                        <wps:txbx>
                          <w:txbxContent>
                            <w:p>
                              <w:pPr>
                                <w:spacing w:line="320" w:lineRule="exact" w:before="0"/>
                                <w:ind w:left="0" w:right="0" w:firstLine="0"/>
                                <w:jc w:val="left"/>
                                <w:rPr>
                                  <w:rFonts w:ascii="Calibri"/>
                                  <w:b/>
                                  <w:sz w:val="32"/>
                                </w:rPr>
                              </w:pPr>
                              <w:r>
                                <w:rPr>
                                  <w:rFonts w:ascii="Calibri"/>
                                  <w:b/>
                                  <w:w w:val="65"/>
                                  <w:sz w:val="32"/>
                                </w:rPr>
                                <w:t>L</w:t>
                              </w:r>
                              <w:r>
                                <w:rPr>
                                  <w:rFonts w:ascii="Calibri"/>
                                  <w:b/>
                                  <w:spacing w:val="-11"/>
                                  <w:w w:val="65"/>
                                  <w:sz w:val="32"/>
                                </w:rPr>
                                <w:t> </w:t>
                              </w:r>
                              <w:r>
                                <w:rPr>
                                  <w:rFonts w:ascii="Calibri"/>
                                  <w:b/>
                                  <w:w w:val="65"/>
                                  <w:sz w:val="32"/>
                                </w:rPr>
                                <w:t>og</w:t>
                              </w:r>
                              <w:r>
                                <w:rPr>
                                  <w:rFonts w:ascii="Calibri"/>
                                  <w:b/>
                                  <w:spacing w:val="9"/>
                                  <w:sz w:val="32"/>
                                </w:rPr>
                                <w:t> </w:t>
                              </w:r>
                              <w:r>
                                <w:rPr>
                                  <w:rFonts w:ascii="Calibri"/>
                                  <w:b/>
                                  <w:spacing w:val="-4"/>
                                  <w:w w:val="60"/>
                                  <w:sz w:val="32"/>
                                </w:rPr>
                                <w:t>Dose</w:t>
                              </w:r>
                            </w:p>
                          </w:txbxContent>
                        </wps:txbx>
                        <wps:bodyPr wrap="square" lIns="0" tIns="0" rIns="0" bIns="0" rtlCol="0">
                          <a:noAutofit/>
                        </wps:bodyPr>
                      </wps:wsp>
                    </wpg:wgp>
                  </a:graphicData>
                </a:graphic>
              </wp:anchor>
            </w:drawing>
          </mc:Choice>
          <mc:Fallback>
            <w:pict>
              <v:group style="position:absolute;margin-left:111.293358pt;margin-top:132.80101pt;width:398.75pt;height:302.55pt;mso-position-horizontal-relative:page;mso-position-vertical-relative:paragraph;z-index:15808512" id="docshapegroup236" coordorigin="2226,2656" coordsize="7975,6051">
                <v:rect style="position:absolute;left:2237;top:2667;width:7953;height:6028" id="docshape237" filled="false" stroked="true" strokeweight="1.05149pt" strokecolor="#808080">
                  <v:stroke dashstyle="solid"/>
                </v:rect>
                <v:shape style="position:absolute;left:2980;top:3294;width:6887;height:3788" id="docshape238" coordorigin="2980,3295" coordsize="6887,3788" path="m2980,7083l9867,7083m2980,6985l9867,6985m2980,6887l9867,6887m2980,6788l9867,6788m2980,6591l9867,6591m2980,6493l9867,6493m2980,6394l9867,6394m2980,6296l9867,6296m2980,6075l9867,6075m2980,5976l9867,5976m2980,5878l9867,5878m2980,5779l9867,5779m2980,5582l9867,5582m2980,5484l9867,5484m2980,5385l9867,5385m2980,5287l9867,5287m2980,5091l9867,5091m2980,4993l9867,4993m2980,4894l9867,4894m2980,4796l9867,4796m2980,4598l9867,4598m2980,4500l9867,4500m2980,4402l9867,4402m2980,4303l9867,4303m2980,4082l9867,4082m2980,3983l9867,3983m2980,3884l9867,3884m2980,3786l9867,3786m2980,3590l9867,3590m2980,3491l9867,3491m2980,3393l9867,3393m2980,3295l9867,3295e" filled="false" stroked="true" strokeweight=".987085pt" strokecolor="#c0c0c0">
                  <v:path arrowok="t"/>
                  <v:stroke dashstyle="solid"/>
                </v:shape>
                <v:shape style="position:absolute;left:2980;top:3195;width:6887;height:3494" id="docshape239" coordorigin="2980,3196" coordsize="6887,3494" path="m2980,6690l9867,6690m2980,6197l9867,6197m2980,5681l9867,5681m2980,5189l9867,5189m2980,4697l9867,4697m2980,4205l9867,4205m2980,3688l9867,3688m2980,3196l9867,3196e" filled="false" stroked="true" strokeweight=".987085pt" strokecolor="#808080">
                  <v:path arrowok="t"/>
                  <v:stroke dashstyle="solid"/>
                </v:shape>
                <v:shape style="position:absolute;left:3325;top:3195;width:6212;height:3962" id="docshape240" coordorigin="3325,3196" coordsize="6212,3962" path="m3325,3196l3325,7157m3670,3196l3670,7157m4015,3196l4015,7157m4360,3196l4360,7157m5051,3196l5051,7157m5396,3196l5396,7157m5741,3196l5741,7157m6086,3196l6086,7157m6776,3196l6776,7157m7121,3196l7121,7157m7466,3196l7466,7157m7811,3196l7811,7157m8502,3196l8502,7157m8847,3196l8847,7157m9191,3196l9191,7157m9537,3196l9537,7157e" filled="false" stroked="true" strokeweight=".987085pt" strokecolor="#c0c0c0">
                  <v:path arrowok="t"/>
                  <v:stroke dashstyle="solid"/>
                </v:shape>
                <v:shape style="position:absolute;left:4705;top:3195;width:5177;height:3962" id="docshape241" coordorigin="4705,3196" coordsize="5177,3962" path="m4705,3196l4705,7157m6431,3196l6431,7157m8156,3196l8156,7157m9882,3196l9882,7157e" filled="false" stroked="true" strokeweight=".987085pt" strokecolor="#808080">
                  <v:path arrowok="t"/>
                  <v:stroke dashstyle="solid"/>
                </v:shape>
                <v:shape style="position:absolute;left:2920;top:3195;width:6962;height:4084" id="docshape242" coordorigin="2920,3196" coordsize="6962,4084" path="m2980,3196l2980,7157m2920,7182l2965,7182m2920,6690l2965,6690m2920,6197l2965,6197m2920,5681l2965,5681m2920,5189l2965,5189m2920,4697l2965,4697m2920,4205l2965,4205m2920,3688l2965,3688m2920,3196l2965,3196m2980,7182l9867,7182m2980,7280l2980,7206m4705,7280l4705,7206m6431,7280l6431,7206m8156,7280l8156,7206m9882,7280l9882,7206e" filled="false" stroked="true" strokeweight=".987085pt" strokecolor="#808080">
                  <v:path arrowok="t"/>
                  <v:stroke dashstyle="solid"/>
                </v:shape>
                <v:shape style="position:absolute;left:5311;top:5449;width:170;height:266" type="#_x0000_t75" id="docshape243" stroked="false">
                  <v:imagedata r:id="rId40" o:title=""/>
                </v:shape>
                <v:shape style="position:absolute;left:6691;top:5105;width:170;height:266" type="#_x0000_t75" id="docshape244" stroked="false">
                  <v:imagedata r:id="rId41" o:title=""/>
                </v:shape>
                <v:shape style="position:absolute;left:7726;top:4662;width:170;height:266" type="#_x0000_t75" id="docshape245" stroked="false">
                  <v:imagedata r:id="rId41" o:title=""/>
                </v:shape>
                <v:shape style="position:absolute;left:8761;top:4292;width:170;height:266" type="#_x0000_t75" id="docshape246" stroked="false">
                  <v:imagedata r:id="rId42" o:title=""/>
                </v:shape>
                <v:shape style="position:absolute;left:9376;top:3702;width:170;height:267" type="#_x0000_t75" id="docshape247" stroked="false">
                  <v:imagedata r:id="rId43" o:title=""/>
                </v:shape>
                <v:line style="position:absolute" from="5396,5706" to="9447,4033" stroked="true" strokeweight="1.155930pt" strokecolor="#000000">
                  <v:stroke dashstyle="solid"/>
                </v:line>
                <v:rect style="position:absolute;left:2237;top:2667;width:7953;height:6028" id="docshape248" filled="false" stroked="true" strokeweight="1.05149pt" strokecolor="#808080">
                  <v:stroke dashstyle="solid"/>
                </v:rect>
                <v:shape style="position:absolute;left:2717;top:3042;width:120;height:4306" type="#_x0000_t202" id="docshape249" filled="false" stroked="false">
                  <v:textbox inset="0,0,0,0">
                    <w:txbxContent>
                      <w:p>
                        <w:pPr>
                          <w:spacing w:line="326" w:lineRule="exact" w:before="0"/>
                          <w:ind w:left="0" w:right="0" w:firstLine="0"/>
                          <w:jc w:val="left"/>
                          <w:rPr>
                            <w:rFonts w:ascii="Calibri"/>
                            <w:sz w:val="32"/>
                          </w:rPr>
                        </w:pPr>
                        <w:r>
                          <w:rPr>
                            <w:rFonts w:ascii="Calibri"/>
                            <w:spacing w:val="-10"/>
                            <w:w w:val="70"/>
                            <w:sz w:val="32"/>
                          </w:rPr>
                          <w:t>8</w:t>
                        </w:r>
                      </w:p>
                      <w:p>
                        <w:pPr>
                          <w:spacing w:before="101"/>
                          <w:ind w:left="0" w:right="0" w:firstLine="0"/>
                          <w:jc w:val="left"/>
                          <w:rPr>
                            <w:rFonts w:ascii="Calibri"/>
                            <w:sz w:val="32"/>
                          </w:rPr>
                        </w:pPr>
                        <w:r>
                          <w:rPr>
                            <w:rFonts w:ascii="Calibri"/>
                            <w:spacing w:val="-10"/>
                            <w:w w:val="70"/>
                            <w:sz w:val="32"/>
                          </w:rPr>
                          <w:t>7</w:t>
                        </w:r>
                      </w:p>
                      <w:p>
                        <w:pPr>
                          <w:spacing w:before="126"/>
                          <w:ind w:left="0" w:right="0" w:firstLine="0"/>
                          <w:jc w:val="left"/>
                          <w:rPr>
                            <w:rFonts w:ascii="Calibri"/>
                            <w:sz w:val="32"/>
                          </w:rPr>
                        </w:pPr>
                        <w:r>
                          <w:rPr>
                            <w:rFonts w:ascii="Calibri"/>
                            <w:spacing w:val="-10"/>
                            <w:w w:val="70"/>
                            <w:sz w:val="32"/>
                          </w:rPr>
                          <w:t>6</w:t>
                        </w:r>
                      </w:p>
                      <w:p>
                        <w:pPr>
                          <w:spacing w:before="102"/>
                          <w:ind w:left="0" w:right="0" w:firstLine="0"/>
                          <w:jc w:val="left"/>
                          <w:rPr>
                            <w:rFonts w:ascii="Calibri"/>
                            <w:sz w:val="32"/>
                          </w:rPr>
                        </w:pPr>
                        <w:r>
                          <w:rPr>
                            <w:rFonts w:ascii="Calibri"/>
                            <w:spacing w:val="-10"/>
                            <w:w w:val="70"/>
                            <w:sz w:val="32"/>
                          </w:rPr>
                          <w:t>5</w:t>
                        </w:r>
                      </w:p>
                      <w:p>
                        <w:pPr>
                          <w:spacing w:before="101"/>
                          <w:ind w:left="0" w:right="0" w:firstLine="0"/>
                          <w:jc w:val="left"/>
                          <w:rPr>
                            <w:rFonts w:ascii="Calibri"/>
                            <w:sz w:val="32"/>
                          </w:rPr>
                        </w:pPr>
                        <w:r>
                          <w:rPr>
                            <w:rFonts w:ascii="Calibri"/>
                            <w:spacing w:val="-10"/>
                            <w:w w:val="70"/>
                            <w:sz w:val="32"/>
                          </w:rPr>
                          <w:t>4</w:t>
                        </w:r>
                      </w:p>
                      <w:p>
                        <w:pPr>
                          <w:spacing w:before="101"/>
                          <w:ind w:left="0" w:right="0" w:firstLine="0"/>
                          <w:jc w:val="left"/>
                          <w:rPr>
                            <w:rFonts w:ascii="Calibri"/>
                            <w:sz w:val="32"/>
                          </w:rPr>
                        </w:pPr>
                        <w:r>
                          <w:rPr>
                            <w:rFonts w:ascii="Calibri"/>
                            <w:spacing w:val="-10"/>
                            <w:w w:val="70"/>
                            <w:sz w:val="32"/>
                          </w:rPr>
                          <w:t>3</w:t>
                        </w:r>
                      </w:p>
                      <w:p>
                        <w:pPr>
                          <w:spacing w:before="126"/>
                          <w:ind w:left="0" w:right="0" w:firstLine="0"/>
                          <w:jc w:val="left"/>
                          <w:rPr>
                            <w:rFonts w:ascii="Calibri"/>
                            <w:sz w:val="32"/>
                          </w:rPr>
                        </w:pPr>
                        <w:r>
                          <w:rPr>
                            <w:rFonts w:ascii="Calibri"/>
                            <w:spacing w:val="-10"/>
                            <w:w w:val="70"/>
                            <w:sz w:val="32"/>
                          </w:rPr>
                          <w:t>2</w:t>
                        </w:r>
                      </w:p>
                      <w:p>
                        <w:pPr>
                          <w:spacing w:before="101"/>
                          <w:ind w:left="0" w:right="0" w:firstLine="0"/>
                          <w:jc w:val="left"/>
                          <w:rPr>
                            <w:rFonts w:ascii="Calibri"/>
                            <w:sz w:val="32"/>
                          </w:rPr>
                        </w:pPr>
                        <w:r>
                          <w:rPr>
                            <w:rFonts w:ascii="Calibri"/>
                            <w:spacing w:val="-10"/>
                            <w:w w:val="70"/>
                            <w:sz w:val="32"/>
                          </w:rPr>
                          <w:t>1</w:t>
                        </w:r>
                      </w:p>
                      <w:p>
                        <w:pPr>
                          <w:spacing w:line="385" w:lineRule="exact" w:before="102"/>
                          <w:ind w:left="0" w:right="0" w:firstLine="0"/>
                          <w:jc w:val="left"/>
                          <w:rPr>
                            <w:rFonts w:ascii="Calibri"/>
                            <w:sz w:val="32"/>
                          </w:rPr>
                        </w:pPr>
                        <w:r>
                          <w:rPr>
                            <w:rFonts w:ascii="Calibri"/>
                            <w:spacing w:val="-10"/>
                            <w:w w:val="70"/>
                            <w:sz w:val="32"/>
                          </w:rPr>
                          <w:t>0</w:t>
                        </w:r>
                      </w:p>
                    </w:txbxContent>
                  </v:textbox>
                  <w10:wrap type="none"/>
                </v:shape>
                <v:shape style="position:absolute;left:2927;top:7495;width:120;height:321" type="#_x0000_t202" id="docshape250" filled="false" stroked="false">
                  <v:textbox inset="0,0,0,0">
                    <w:txbxContent>
                      <w:p>
                        <w:pPr>
                          <w:spacing w:line="320" w:lineRule="exact" w:before="0"/>
                          <w:ind w:left="0" w:right="0" w:firstLine="0"/>
                          <w:jc w:val="left"/>
                          <w:rPr>
                            <w:rFonts w:ascii="Calibri"/>
                            <w:sz w:val="32"/>
                          </w:rPr>
                        </w:pPr>
                        <w:r>
                          <w:rPr>
                            <w:rFonts w:ascii="Calibri"/>
                            <w:spacing w:val="-10"/>
                            <w:w w:val="70"/>
                            <w:sz w:val="32"/>
                          </w:rPr>
                          <w:t>0</w:t>
                        </w:r>
                      </w:p>
                    </w:txbxContent>
                  </v:textbox>
                  <w10:wrap type="none"/>
                </v:shape>
                <v:shape style="position:absolute;left:4562;top:7495;width:284;height:321" type="#_x0000_t202" id="docshape251" filled="false" stroked="false">
                  <v:textbox inset="0,0,0,0">
                    <w:txbxContent>
                      <w:p>
                        <w:pPr>
                          <w:spacing w:line="320" w:lineRule="exact" w:before="0"/>
                          <w:ind w:left="0" w:right="0" w:firstLine="0"/>
                          <w:jc w:val="left"/>
                          <w:rPr>
                            <w:rFonts w:ascii="Calibri"/>
                            <w:sz w:val="32"/>
                          </w:rPr>
                        </w:pPr>
                        <w:r>
                          <w:rPr>
                            <w:rFonts w:ascii="Calibri"/>
                            <w:spacing w:val="-5"/>
                            <w:w w:val="65"/>
                            <w:sz w:val="32"/>
                          </w:rPr>
                          <w:t>0.5</w:t>
                        </w:r>
                      </w:p>
                    </w:txbxContent>
                  </v:textbox>
                  <w10:wrap type="none"/>
                </v:shape>
                <v:shape style="position:absolute;left:6378;top:7495;width:120;height:321" type="#_x0000_t202" id="docshape252" filled="false" stroked="false">
                  <v:textbox inset="0,0,0,0">
                    <w:txbxContent>
                      <w:p>
                        <w:pPr>
                          <w:spacing w:line="320" w:lineRule="exact" w:before="0"/>
                          <w:ind w:left="0" w:right="0" w:firstLine="0"/>
                          <w:jc w:val="left"/>
                          <w:rPr>
                            <w:rFonts w:ascii="Calibri"/>
                            <w:sz w:val="32"/>
                          </w:rPr>
                        </w:pPr>
                        <w:r>
                          <w:rPr>
                            <w:rFonts w:ascii="Calibri"/>
                            <w:spacing w:val="-10"/>
                            <w:w w:val="70"/>
                            <w:sz w:val="32"/>
                          </w:rPr>
                          <w:t>1</w:t>
                        </w:r>
                      </w:p>
                    </w:txbxContent>
                  </v:textbox>
                  <w10:wrap type="none"/>
                </v:shape>
                <v:shape style="position:absolute;left:8013;top:7495;width:284;height:321" type="#_x0000_t202" id="docshape253" filled="false" stroked="false">
                  <v:textbox inset="0,0,0,0">
                    <w:txbxContent>
                      <w:p>
                        <w:pPr>
                          <w:spacing w:line="320" w:lineRule="exact" w:before="0"/>
                          <w:ind w:left="0" w:right="0" w:firstLine="0"/>
                          <w:jc w:val="left"/>
                          <w:rPr>
                            <w:rFonts w:ascii="Calibri"/>
                            <w:sz w:val="32"/>
                          </w:rPr>
                        </w:pPr>
                        <w:r>
                          <w:rPr>
                            <w:rFonts w:ascii="Calibri"/>
                            <w:spacing w:val="-5"/>
                            <w:w w:val="65"/>
                            <w:sz w:val="32"/>
                          </w:rPr>
                          <w:t>1.5</w:t>
                        </w:r>
                      </w:p>
                    </w:txbxContent>
                  </v:textbox>
                  <w10:wrap type="none"/>
                </v:shape>
                <v:shape style="position:absolute;left:9829;top:7495;width:120;height:321" type="#_x0000_t202" id="docshape254" filled="false" stroked="false">
                  <v:textbox inset="0,0,0,0">
                    <w:txbxContent>
                      <w:p>
                        <w:pPr>
                          <w:spacing w:line="320" w:lineRule="exact" w:before="0"/>
                          <w:ind w:left="0" w:right="0" w:firstLine="0"/>
                          <w:jc w:val="left"/>
                          <w:rPr>
                            <w:rFonts w:ascii="Calibri"/>
                            <w:sz w:val="32"/>
                          </w:rPr>
                        </w:pPr>
                        <w:r>
                          <w:rPr>
                            <w:rFonts w:ascii="Calibri"/>
                            <w:spacing w:val="-10"/>
                            <w:w w:val="70"/>
                            <w:sz w:val="32"/>
                          </w:rPr>
                          <w:t>2</w:t>
                        </w:r>
                      </w:p>
                    </w:txbxContent>
                  </v:textbox>
                  <w10:wrap type="none"/>
                </v:shape>
                <v:shape style="position:absolute;left:5988;top:8257;width:882;height:321" type="#_x0000_t202" id="docshape255" filled="false" stroked="false">
                  <v:textbox inset="0,0,0,0">
                    <w:txbxContent>
                      <w:p>
                        <w:pPr>
                          <w:spacing w:line="320" w:lineRule="exact" w:before="0"/>
                          <w:ind w:left="0" w:right="0" w:firstLine="0"/>
                          <w:jc w:val="left"/>
                          <w:rPr>
                            <w:rFonts w:ascii="Calibri"/>
                            <w:b/>
                            <w:sz w:val="32"/>
                          </w:rPr>
                        </w:pPr>
                        <w:r>
                          <w:rPr>
                            <w:rFonts w:ascii="Calibri"/>
                            <w:b/>
                            <w:w w:val="65"/>
                            <w:sz w:val="32"/>
                          </w:rPr>
                          <w:t>L</w:t>
                        </w:r>
                        <w:r>
                          <w:rPr>
                            <w:rFonts w:ascii="Calibri"/>
                            <w:b/>
                            <w:spacing w:val="-11"/>
                            <w:w w:val="65"/>
                            <w:sz w:val="32"/>
                          </w:rPr>
                          <w:t> </w:t>
                        </w:r>
                        <w:r>
                          <w:rPr>
                            <w:rFonts w:ascii="Calibri"/>
                            <w:b/>
                            <w:w w:val="65"/>
                            <w:sz w:val="32"/>
                          </w:rPr>
                          <w:t>og</w:t>
                        </w:r>
                        <w:r>
                          <w:rPr>
                            <w:rFonts w:ascii="Calibri"/>
                            <w:b/>
                            <w:spacing w:val="9"/>
                            <w:sz w:val="32"/>
                          </w:rPr>
                          <w:t> </w:t>
                        </w:r>
                        <w:r>
                          <w:rPr>
                            <w:rFonts w:ascii="Calibri"/>
                            <w:b/>
                            <w:spacing w:val="-4"/>
                            <w:w w:val="60"/>
                            <w:sz w:val="32"/>
                          </w:rPr>
                          <w:t>Dose</w:t>
                        </w:r>
                      </w:p>
                    </w:txbxContent>
                  </v:textbox>
                  <w10:wrap type="none"/>
                </v:shape>
                <w10:wrap type="none"/>
              </v:group>
            </w:pict>
          </mc:Fallback>
        </mc:AlternateContent>
      </w:r>
      <w:r>
        <w:rPr>
          <w:b/>
          <w:sz w:val="24"/>
        </w:rPr>
        <w:t>Log</w:t>
      </w:r>
      <w:r>
        <w:rPr>
          <w:b/>
          <w:spacing w:val="-2"/>
          <w:sz w:val="24"/>
        </w:rPr>
        <w:t> </w:t>
      </w:r>
      <w:r>
        <w:rPr>
          <w:b/>
          <w:sz w:val="24"/>
        </w:rPr>
        <w:t>Dose</w:t>
      </w:r>
      <w:r>
        <w:rPr>
          <w:b/>
          <w:spacing w:val="-2"/>
          <w:sz w:val="24"/>
        </w:rPr>
        <w:t> </w:t>
      </w:r>
      <w:r>
        <w:rPr>
          <w:b/>
          <w:sz w:val="24"/>
        </w:rPr>
        <w:t>– Probit</w:t>
      </w:r>
      <w:r>
        <w:rPr>
          <w:b/>
          <w:spacing w:val="1"/>
          <w:sz w:val="24"/>
        </w:rPr>
        <w:t> </w:t>
      </w:r>
      <w:r>
        <w:rPr>
          <w:b/>
          <w:sz w:val="24"/>
        </w:rPr>
        <w:t>Values</w:t>
      </w:r>
      <w:r>
        <w:rPr>
          <w:b/>
          <w:spacing w:val="-2"/>
          <w:sz w:val="24"/>
        </w:rPr>
        <w:t> </w:t>
      </w:r>
      <w:r>
        <w:rPr>
          <w:b/>
          <w:sz w:val="24"/>
        </w:rPr>
        <w:t>for</w:t>
      </w:r>
      <w:r>
        <w:rPr>
          <w:b/>
          <w:spacing w:val="-6"/>
          <w:sz w:val="24"/>
        </w:rPr>
        <w:t> </w:t>
      </w:r>
      <w:r>
        <w:rPr>
          <w:b/>
          <w:sz w:val="24"/>
        </w:rPr>
        <w:t>ED</w:t>
      </w:r>
      <w:r>
        <w:rPr>
          <w:b/>
          <w:sz w:val="24"/>
          <w:vertAlign w:val="subscript"/>
        </w:rPr>
        <w:t>50</w:t>
      </w:r>
      <w:r>
        <w:rPr>
          <w:b/>
          <w:spacing w:val="-20"/>
          <w:sz w:val="24"/>
          <w:vertAlign w:val="baseline"/>
        </w:rPr>
        <w:t> </w:t>
      </w:r>
      <w:r>
        <w:rPr>
          <w:b/>
          <w:sz w:val="24"/>
          <w:vertAlign w:val="baseline"/>
        </w:rPr>
        <w:t>of</w:t>
      </w:r>
      <w:r>
        <w:rPr>
          <w:b/>
          <w:spacing w:val="-4"/>
          <w:sz w:val="24"/>
          <w:vertAlign w:val="baseline"/>
        </w:rPr>
        <w:t> DCP23</w:t>
      </w:r>
    </w:p>
    <w:p>
      <w:pPr>
        <w:pStyle w:val="BodyText"/>
        <w:spacing w:before="104" w:after="1"/>
        <w:rPr>
          <w:b/>
          <w:sz w:val="20"/>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040"/>
      </w:tblGrid>
      <w:tr>
        <w:trPr>
          <w:trHeight w:val="254" w:hRule="atLeast"/>
        </w:trPr>
        <w:tc>
          <w:tcPr>
            <w:tcW w:w="1040" w:type="dxa"/>
          </w:tcPr>
          <w:p>
            <w:pPr>
              <w:pStyle w:val="TableParagraph"/>
              <w:spacing w:line="225" w:lineRule="exact"/>
              <w:ind w:left="50"/>
              <w:rPr>
                <w:rFonts w:ascii="Calibri"/>
                <w:sz w:val="22"/>
              </w:rPr>
            </w:pPr>
            <w:r>
              <w:rPr>
                <w:rFonts w:ascii="Calibri"/>
                <w:sz w:val="22"/>
              </w:rPr>
              <w:t>Log</w:t>
            </w:r>
            <w:r>
              <w:rPr>
                <w:rFonts w:ascii="Calibri"/>
                <w:spacing w:val="-5"/>
                <w:sz w:val="22"/>
              </w:rPr>
              <w:t> </w:t>
            </w:r>
            <w:r>
              <w:rPr>
                <w:rFonts w:ascii="Calibri"/>
                <w:spacing w:val="-4"/>
                <w:sz w:val="22"/>
              </w:rPr>
              <w:t>Dose</w:t>
            </w:r>
          </w:p>
        </w:tc>
        <w:tc>
          <w:tcPr>
            <w:tcW w:w="1040" w:type="dxa"/>
          </w:tcPr>
          <w:p>
            <w:pPr>
              <w:pStyle w:val="TableParagraph"/>
              <w:spacing w:line="225" w:lineRule="exact"/>
              <w:ind w:left="109"/>
              <w:rPr>
                <w:rFonts w:ascii="Calibri"/>
                <w:sz w:val="22"/>
              </w:rPr>
            </w:pPr>
            <w:r>
              <w:rPr>
                <w:rFonts w:ascii="Calibri"/>
                <w:spacing w:val="-2"/>
                <w:sz w:val="22"/>
              </w:rPr>
              <w:t>Probit</w:t>
            </w: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5"/>
                <w:sz w:val="22"/>
              </w:rPr>
              <w:t>0.7</w:t>
            </w:r>
          </w:p>
        </w:tc>
        <w:tc>
          <w:tcPr>
            <w:tcW w:w="1040" w:type="dxa"/>
          </w:tcPr>
          <w:p>
            <w:pPr>
              <w:pStyle w:val="TableParagraph"/>
              <w:spacing w:line="258" w:lineRule="exact"/>
              <w:ind w:right="48"/>
              <w:jc w:val="right"/>
              <w:rPr>
                <w:rFonts w:ascii="Calibri"/>
                <w:sz w:val="22"/>
              </w:rPr>
            </w:pPr>
            <w:r>
              <w:rPr>
                <w:rFonts w:ascii="Calibri"/>
                <w:spacing w:val="-4"/>
                <w:sz w:val="22"/>
              </w:rPr>
              <w:t>3.19</w:t>
            </w:r>
          </w:p>
        </w:tc>
      </w:tr>
      <w:tr>
        <w:trPr>
          <w:trHeight w:val="285" w:hRule="atLeast"/>
        </w:trPr>
        <w:tc>
          <w:tcPr>
            <w:tcW w:w="1040" w:type="dxa"/>
          </w:tcPr>
          <w:p>
            <w:pPr>
              <w:pStyle w:val="TableParagraph"/>
              <w:spacing w:line="256" w:lineRule="exact"/>
              <w:ind w:right="108"/>
              <w:jc w:val="right"/>
              <w:rPr>
                <w:rFonts w:ascii="Calibri"/>
                <w:sz w:val="22"/>
              </w:rPr>
            </w:pPr>
            <w:r>
              <w:rPr>
                <w:rFonts w:ascii="Calibri"/>
                <w:spacing w:val="-5"/>
                <w:sz w:val="22"/>
              </w:rPr>
              <w:t>1.1</w:t>
            </w:r>
          </w:p>
        </w:tc>
        <w:tc>
          <w:tcPr>
            <w:tcW w:w="1040" w:type="dxa"/>
          </w:tcPr>
          <w:p>
            <w:pPr>
              <w:pStyle w:val="TableParagraph"/>
              <w:spacing w:line="256" w:lineRule="exact"/>
              <w:ind w:right="48"/>
              <w:jc w:val="right"/>
              <w:rPr>
                <w:rFonts w:ascii="Calibri"/>
                <w:sz w:val="22"/>
              </w:rPr>
            </w:pPr>
            <w:r>
              <w:rPr>
                <w:rFonts w:ascii="Calibri"/>
                <w:spacing w:val="-5"/>
                <w:sz w:val="22"/>
              </w:rPr>
              <w:t>3.9</w:t>
            </w: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5"/>
                <w:sz w:val="22"/>
              </w:rPr>
              <w:t>1.4</w:t>
            </w:r>
          </w:p>
        </w:tc>
        <w:tc>
          <w:tcPr>
            <w:tcW w:w="1040" w:type="dxa"/>
          </w:tcPr>
          <w:p>
            <w:pPr>
              <w:pStyle w:val="TableParagraph"/>
              <w:spacing w:line="258" w:lineRule="exact"/>
              <w:ind w:right="48"/>
              <w:jc w:val="right"/>
              <w:rPr>
                <w:rFonts w:ascii="Calibri"/>
                <w:sz w:val="22"/>
              </w:rPr>
            </w:pPr>
            <w:r>
              <w:rPr>
                <w:rFonts w:ascii="Calibri"/>
                <w:spacing w:val="-5"/>
                <w:sz w:val="22"/>
              </w:rPr>
              <w:t>4.8</w:t>
            </w:r>
          </w:p>
        </w:tc>
      </w:tr>
      <w:tr>
        <w:trPr>
          <w:trHeight w:val="283" w:hRule="atLeast"/>
        </w:trPr>
        <w:tc>
          <w:tcPr>
            <w:tcW w:w="1040" w:type="dxa"/>
          </w:tcPr>
          <w:p>
            <w:pPr>
              <w:pStyle w:val="TableParagraph"/>
              <w:spacing w:line="256" w:lineRule="exact"/>
              <w:ind w:right="108"/>
              <w:jc w:val="right"/>
              <w:rPr>
                <w:rFonts w:ascii="Calibri"/>
                <w:sz w:val="22"/>
              </w:rPr>
            </w:pPr>
            <w:r>
              <w:rPr>
                <w:rFonts w:ascii="Calibri"/>
                <w:spacing w:val="-5"/>
                <w:sz w:val="22"/>
              </w:rPr>
              <w:t>1.7</w:t>
            </w:r>
          </w:p>
        </w:tc>
        <w:tc>
          <w:tcPr>
            <w:tcW w:w="1040" w:type="dxa"/>
          </w:tcPr>
          <w:p>
            <w:pPr>
              <w:pStyle w:val="TableParagraph"/>
              <w:spacing w:line="256" w:lineRule="exact"/>
              <w:ind w:right="48"/>
              <w:jc w:val="right"/>
              <w:rPr>
                <w:rFonts w:ascii="Calibri"/>
                <w:sz w:val="22"/>
              </w:rPr>
            </w:pPr>
            <w:r>
              <w:rPr>
                <w:rFonts w:ascii="Calibri"/>
                <w:spacing w:val="-4"/>
                <w:sz w:val="22"/>
              </w:rPr>
              <w:t>5.53</w:t>
            </w:r>
          </w:p>
        </w:tc>
      </w:tr>
      <w:tr>
        <w:trPr>
          <w:trHeight w:val="252" w:hRule="atLeast"/>
        </w:trPr>
        <w:tc>
          <w:tcPr>
            <w:tcW w:w="1040" w:type="dxa"/>
          </w:tcPr>
          <w:p>
            <w:pPr>
              <w:pStyle w:val="TableParagraph"/>
              <w:spacing w:line="232" w:lineRule="exact"/>
              <w:ind w:right="108"/>
              <w:jc w:val="right"/>
              <w:rPr>
                <w:rFonts w:ascii="Calibri"/>
                <w:sz w:val="22"/>
              </w:rPr>
            </w:pPr>
            <w:r>
              <w:rPr>
                <w:rFonts w:ascii="Calibri"/>
                <w:spacing w:val="-4"/>
                <w:sz w:val="22"/>
              </w:rPr>
              <w:t>1.88</w:t>
            </w:r>
          </w:p>
        </w:tc>
        <w:tc>
          <w:tcPr>
            <w:tcW w:w="1040" w:type="dxa"/>
          </w:tcPr>
          <w:p>
            <w:pPr>
              <w:pStyle w:val="TableParagraph"/>
              <w:spacing w:line="232" w:lineRule="exact"/>
              <w:ind w:right="48"/>
              <w:jc w:val="right"/>
              <w:rPr>
                <w:rFonts w:ascii="Calibri"/>
                <w:sz w:val="22"/>
              </w:rPr>
            </w:pPr>
            <w:r>
              <w:rPr>
                <w:rFonts w:ascii="Calibri"/>
                <w:spacing w:val="-5"/>
                <w:sz w:val="22"/>
              </w:rPr>
              <w:t>6.7</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6"/>
        <w:rPr>
          <w:b/>
        </w:rPr>
      </w:pPr>
    </w:p>
    <w:p>
      <w:pPr>
        <w:pStyle w:val="BodyText"/>
        <w:spacing w:line="480" w:lineRule="auto"/>
        <w:ind w:left="681"/>
      </w:pPr>
      <w:r>
        <w:rPr/>
        <mc:AlternateContent>
          <mc:Choice Requires="wps">
            <w:drawing>
              <wp:anchor distT="0" distB="0" distL="0" distR="0" allowOverlap="1" layoutInCell="1" locked="0" behindDoc="0" simplePos="0" relativeHeight="15809024">
                <wp:simplePos x="0" y="0"/>
                <wp:positionH relativeFrom="page">
                  <wp:posOffset>1457739</wp:posOffset>
                </wp:positionH>
                <wp:positionV relativeFrom="paragraph">
                  <wp:posOffset>-2780513</wp:posOffset>
                </wp:positionV>
                <wp:extent cx="149860" cy="62484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49860" cy="624840"/>
                        </a:xfrm>
                        <a:prstGeom prst="rect">
                          <a:avLst/>
                        </a:prstGeom>
                      </wps:spPr>
                      <wps:txbx>
                        <w:txbxContent>
                          <w:p>
                            <w:pPr>
                              <w:spacing w:line="218" w:lineRule="exact" w:before="0"/>
                              <w:ind w:left="20" w:right="0" w:firstLine="0"/>
                              <w:jc w:val="left"/>
                              <w:rPr>
                                <w:rFonts w:ascii="Calibri"/>
                                <w:b/>
                                <w:sz w:val="19"/>
                              </w:rPr>
                            </w:pPr>
                            <w:r>
                              <w:rPr>
                                <w:rFonts w:ascii="Calibri"/>
                                <w:b/>
                                <w:w w:val="165"/>
                                <w:sz w:val="19"/>
                              </w:rPr>
                              <w:t>P</w:t>
                            </w:r>
                            <w:r>
                              <w:rPr>
                                <w:rFonts w:ascii="Calibri"/>
                                <w:b/>
                                <w:spacing w:val="-18"/>
                                <w:w w:val="165"/>
                                <w:sz w:val="19"/>
                              </w:rPr>
                              <w:t> </w:t>
                            </w:r>
                            <w:r>
                              <w:rPr>
                                <w:rFonts w:ascii="Calibri"/>
                                <w:b/>
                                <w:spacing w:val="12"/>
                                <w:w w:val="170"/>
                                <w:sz w:val="19"/>
                              </w:rPr>
                              <w:t>robit</w:t>
                            </w:r>
                          </w:p>
                        </w:txbxContent>
                      </wps:txbx>
                      <wps:bodyPr wrap="square" lIns="0" tIns="0" rIns="0" bIns="0" rtlCol="0" vert="vert270">
                        <a:noAutofit/>
                      </wps:bodyPr>
                    </wps:wsp>
                  </a:graphicData>
                </a:graphic>
              </wp:anchor>
            </w:drawing>
          </mc:Choice>
          <mc:Fallback>
            <w:pict>
              <v:shape style="position:absolute;margin-left:114.782646pt;margin-top:-218.938034pt;width:11.8pt;height:49.2pt;mso-position-horizontal-relative:page;mso-position-vertical-relative:paragraph;z-index:15809024" type="#_x0000_t202" id="docshape256" filled="false" stroked="false">
                <v:textbox inset="0,0,0,0" style="layout-flow:vertical;mso-layout-flow-alt:bottom-to-top">
                  <w:txbxContent>
                    <w:p>
                      <w:pPr>
                        <w:spacing w:line="218" w:lineRule="exact" w:before="0"/>
                        <w:ind w:left="20" w:right="0" w:firstLine="0"/>
                        <w:jc w:val="left"/>
                        <w:rPr>
                          <w:rFonts w:ascii="Calibri"/>
                          <w:b/>
                          <w:sz w:val="19"/>
                        </w:rPr>
                      </w:pPr>
                      <w:r>
                        <w:rPr>
                          <w:rFonts w:ascii="Calibri"/>
                          <w:b/>
                          <w:w w:val="165"/>
                          <w:sz w:val="19"/>
                        </w:rPr>
                        <w:t>P</w:t>
                      </w:r>
                      <w:r>
                        <w:rPr>
                          <w:rFonts w:ascii="Calibri"/>
                          <w:b/>
                          <w:spacing w:val="-18"/>
                          <w:w w:val="165"/>
                          <w:sz w:val="19"/>
                        </w:rPr>
                        <w:t> </w:t>
                      </w:r>
                      <w:r>
                        <w:rPr>
                          <w:rFonts w:ascii="Calibri"/>
                          <w:b/>
                          <w:spacing w:val="12"/>
                          <w:w w:val="170"/>
                          <w:sz w:val="19"/>
                        </w:rPr>
                        <w:t>robit</w:t>
                      </w:r>
                    </w:p>
                  </w:txbxContent>
                </v:textbox>
                <w10:wrap type="none"/>
              </v:shape>
            </w:pict>
          </mc:Fallback>
        </mc:AlternateContent>
      </w:r>
      <w:r>
        <w:rPr>
          <w:b/>
        </w:rPr>
        <w:t>FIGURE 2: </w:t>
      </w:r>
      <w:r>
        <w:rPr/>
        <w:t>Graphical Determination of ED</w:t>
      </w:r>
      <w:r>
        <w:rPr>
          <w:vertAlign w:val="subscript"/>
        </w:rPr>
        <w:t>50</w:t>
      </w:r>
      <w:r>
        <w:rPr>
          <w:vertAlign w:val="baseline"/>
        </w:rPr>
        <w:t> for DCP23 Using Maximal electroshock- induced Seizure Test</w:t>
      </w:r>
    </w:p>
    <w:p>
      <w:pPr>
        <w:spacing w:after="0" w:line="480" w:lineRule="auto"/>
        <w:sectPr>
          <w:pgSz w:w="12240" w:h="15840"/>
          <w:pgMar w:header="0" w:footer="1066" w:top="1360" w:bottom="1260" w:left="1480" w:right="1160"/>
        </w:sectPr>
      </w:pPr>
    </w:p>
    <w:p>
      <w:pPr>
        <w:pStyle w:val="Heading2"/>
        <w:spacing w:line="480" w:lineRule="auto" w:before="77"/>
        <w:jc w:val="left"/>
      </w:pPr>
      <w:r>
        <w:rPr/>
        <w:t>APPENDIX</w:t>
      </w:r>
      <w:r>
        <w:rPr>
          <w:spacing w:val="40"/>
        </w:rPr>
        <w:t> </w:t>
      </w:r>
      <w:r>
        <w:rPr/>
        <w:t>C:</w:t>
      </w:r>
      <w:r>
        <w:rPr>
          <w:spacing w:val="40"/>
        </w:rPr>
        <w:t> </w:t>
      </w:r>
      <w:r>
        <w:rPr/>
        <w:t>Determination</w:t>
      </w:r>
      <w:r>
        <w:rPr>
          <w:spacing w:val="40"/>
        </w:rPr>
        <w:t> </w:t>
      </w:r>
      <w:r>
        <w:rPr/>
        <w:t>of</w:t>
      </w:r>
      <w:r>
        <w:rPr>
          <w:spacing w:val="38"/>
        </w:rPr>
        <w:t> </w:t>
      </w:r>
      <w:r>
        <w:rPr/>
        <w:t>TD</w:t>
      </w:r>
      <w:r>
        <w:rPr>
          <w:vertAlign w:val="subscript"/>
        </w:rPr>
        <w:t>50</w:t>
      </w:r>
      <w:r>
        <w:rPr>
          <w:vertAlign w:val="baseline"/>
        </w:rPr>
        <w:t> for</w:t>
      </w:r>
      <w:r>
        <w:rPr>
          <w:spacing w:val="35"/>
          <w:vertAlign w:val="baseline"/>
        </w:rPr>
        <w:t> </w:t>
      </w:r>
      <w:r>
        <w:rPr>
          <w:vertAlign w:val="baseline"/>
        </w:rPr>
        <w:t>DCP25</w:t>
      </w:r>
      <w:r>
        <w:rPr>
          <w:spacing w:val="40"/>
          <w:vertAlign w:val="baseline"/>
        </w:rPr>
        <w:t> </w:t>
      </w:r>
      <w:r>
        <w:rPr>
          <w:vertAlign w:val="baseline"/>
        </w:rPr>
        <w:t>Using</w:t>
      </w:r>
      <w:r>
        <w:rPr>
          <w:spacing w:val="40"/>
          <w:vertAlign w:val="baseline"/>
        </w:rPr>
        <w:t> </w:t>
      </w:r>
      <w:r>
        <w:rPr>
          <w:vertAlign w:val="baseline"/>
        </w:rPr>
        <w:t>Beam</w:t>
      </w:r>
      <w:r>
        <w:rPr>
          <w:spacing w:val="38"/>
          <w:vertAlign w:val="baseline"/>
        </w:rPr>
        <w:t> </w:t>
      </w:r>
      <w:r>
        <w:rPr>
          <w:vertAlign w:val="baseline"/>
        </w:rPr>
        <w:t>Walking</w:t>
      </w:r>
      <w:r>
        <w:rPr>
          <w:spacing w:val="40"/>
          <w:vertAlign w:val="baseline"/>
        </w:rPr>
        <w:t> </w:t>
      </w:r>
      <w:r>
        <w:rPr>
          <w:vertAlign w:val="baseline"/>
        </w:rPr>
        <w:t>Test</w:t>
      </w:r>
      <w:r>
        <w:rPr>
          <w:spacing w:val="40"/>
          <w:vertAlign w:val="baseline"/>
        </w:rPr>
        <w:t> </w:t>
      </w:r>
      <w:r>
        <w:rPr>
          <w:vertAlign w:val="baseline"/>
        </w:rPr>
        <w:t>for Motor Coordination Deficit</w:t>
      </w:r>
    </w:p>
    <w:p>
      <w:pPr>
        <w:spacing w:before="274"/>
        <w:ind w:left="681" w:right="0" w:firstLine="0"/>
        <w:jc w:val="left"/>
        <w:rPr>
          <w:b/>
          <w:sz w:val="24"/>
        </w:rPr>
      </w:pPr>
      <w:r>
        <w:rPr/>
        <mc:AlternateContent>
          <mc:Choice Requires="wps">
            <w:drawing>
              <wp:anchor distT="0" distB="0" distL="0" distR="0" allowOverlap="1" layoutInCell="1" locked="0" behindDoc="0" simplePos="0" relativeHeight="15809536">
                <wp:simplePos x="0" y="0"/>
                <wp:positionH relativeFrom="page">
                  <wp:posOffset>1414293</wp:posOffset>
                </wp:positionH>
                <wp:positionV relativeFrom="paragraph">
                  <wp:posOffset>1845310</wp:posOffset>
                </wp:positionV>
                <wp:extent cx="5062855" cy="3622040"/>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5062855" cy="3622040"/>
                          <a:chExt cx="5062855" cy="3622040"/>
                        </a:xfrm>
                      </wpg:grpSpPr>
                      <wps:wsp>
                        <wps:cNvPr id="364" name="Graphic 364"/>
                        <wps:cNvSpPr/>
                        <wps:spPr>
                          <a:xfrm>
                            <a:off x="6378" y="6378"/>
                            <a:ext cx="5050155" cy="3609340"/>
                          </a:xfrm>
                          <a:custGeom>
                            <a:avLst/>
                            <a:gdLst/>
                            <a:ahLst/>
                            <a:cxnLst/>
                            <a:rect l="l" t="t" r="r" b="b"/>
                            <a:pathLst>
                              <a:path w="5050155" h="3609340">
                                <a:moveTo>
                                  <a:pt x="0" y="3609256"/>
                                </a:moveTo>
                                <a:lnTo>
                                  <a:pt x="5049632" y="3609256"/>
                                </a:lnTo>
                                <a:lnTo>
                                  <a:pt x="5049632" y="0"/>
                                </a:lnTo>
                                <a:lnTo>
                                  <a:pt x="0" y="0"/>
                                </a:lnTo>
                                <a:lnTo>
                                  <a:pt x="0" y="3609256"/>
                                </a:lnTo>
                                <a:close/>
                              </a:path>
                            </a:pathLst>
                          </a:custGeom>
                          <a:ln w="12198">
                            <a:solidFill>
                              <a:srgbClr val="808080"/>
                            </a:solidFill>
                            <a:prstDash val="solid"/>
                          </a:ln>
                        </wps:spPr>
                        <wps:bodyPr wrap="square" lIns="0" tIns="0" rIns="0" bIns="0" rtlCol="0">
                          <a:prstTxWarp prst="textNoShape">
                            <a:avLst/>
                          </a:prstTxWarp>
                          <a:noAutofit/>
                        </wps:bodyPr>
                      </wps:wsp>
                      <wps:wsp>
                        <wps:cNvPr id="365" name="Graphic 365"/>
                        <wps:cNvSpPr/>
                        <wps:spPr>
                          <a:xfrm>
                            <a:off x="478058" y="366942"/>
                            <a:ext cx="4373245" cy="2343150"/>
                          </a:xfrm>
                          <a:custGeom>
                            <a:avLst/>
                            <a:gdLst/>
                            <a:ahLst/>
                            <a:cxnLst/>
                            <a:rect l="l" t="t" r="r" b="b"/>
                            <a:pathLst>
                              <a:path w="4373245" h="2343150">
                                <a:moveTo>
                                  <a:pt x="0" y="2342985"/>
                                </a:moveTo>
                                <a:lnTo>
                                  <a:pt x="4373177" y="2342985"/>
                                </a:lnTo>
                              </a:path>
                              <a:path w="4373245" h="2343150">
                                <a:moveTo>
                                  <a:pt x="0" y="2274673"/>
                                </a:moveTo>
                                <a:lnTo>
                                  <a:pt x="4373177" y="2274673"/>
                                </a:lnTo>
                              </a:path>
                              <a:path w="4373245" h="2343150">
                                <a:moveTo>
                                  <a:pt x="0" y="2193240"/>
                                </a:moveTo>
                                <a:lnTo>
                                  <a:pt x="4373177" y="2193240"/>
                                </a:lnTo>
                              </a:path>
                              <a:path w="4373245" h="2343150">
                                <a:moveTo>
                                  <a:pt x="0" y="2124928"/>
                                </a:moveTo>
                                <a:lnTo>
                                  <a:pt x="4373177" y="2124928"/>
                                </a:lnTo>
                              </a:path>
                              <a:path w="4373245" h="2343150">
                                <a:moveTo>
                                  <a:pt x="0" y="1988755"/>
                                </a:moveTo>
                                <a:lnTo>
                                  <a:pt x="4373177" y="1988755"/>
                                </a:lnTo>
                              </a:path>
                              <a:path w="4373245" h="2343150">
                                <a:moveTo>
                                  <a:pt x="0" y="1920895"/>
                                </a:moveTo>
                                <a:lnTo>
                                  <a:pt x="4373177" y="1920895"/>
                                </a:lnTo>
                              </a:path>
                              <a:path w="4373245" h="2343150">
                                <a:moveTo>
                                  <a:pt x="0" y="1839010"/>
                                </a:moveTo>
                                <a:lnTo>
                                  <a:pt x="4373177" y="1839010"/>
                                </a:lnTo>
                              </a:path>
                              <a:path w="4373245" h="2343150">
                                <a:moveTo>
                                  <a:pt x="0" y="1770698"/>
                                </a:moveTo>
                                <a:lnTo>
                                  <a:pt x="4373177" y="1770698"/>
                                </a:lnTo>
                              </a:path>
                              <a:path w="4373245" h="2343150">
                                <a:moveTo>
                                  <a:pt x="0" y="1634525"/>
                                </a:moveTo>
                                <a:lnTo>
                                  <a:pt x="4373177" y="1634525"/>
                                </a:lnTo>
                              </a:path>
                              <a:path w="4373245" h="2343150">
                                <a:moveTo>
                                  <a:pt x="0" y="1566665"/>
                                </a:moveTo>
                                <a:lnTo>
                                  <a:pt x="4373177" y="1566665"/>
                                </a:lnTo>
                              </a:path>
                              <a:path w="4373245" h="2343150">
                                <a:moveTo>
                                  <a:pt x="0" y="1484780"/>
                                </a:moveTo>
                                <a:lnTo>
                                  <a:pt x="4373177" y="1484780"/>
                                </a:lnTo>
                              </a:path>
                              <a:path w="4373245" h="2343150">
                                <a:moveTo>
                                  <a:pt x="0" y="1416920"/>
                                </a:moveTo>
                                <a:lnTo>
                                  <a:pt x="4373177" y="1416920"/>
                                </a:lnTo>
                              </a:path>
                              <a:path w="4373245" h="2343150">
                                <a:moveTo>
                                  <a:pt x="0" y="1280838"/>
                                </a:moveTo>
                                <a:lnTo>
                                  <a:pt x="4373177" y="1280838"/>
                                </a:lnTo>
                              </a:path>
                              <a:path w="4373245" h="2343150">
                                <a:moveTo>
                                  <a:pt x="0" y="1212435"/>
                                </a:moveTo>
                                <a:lnTo>
                                  <a:pt x="4373177" y="1212435"/>
                                </a:lnTo>
                              </a:path>
                              <a:path w="4373245" h="2343150">
                                <a:moveTo>
                                  <a:pt x="0" y="1130641"/>
                                </a:moveTo>
                                <a:lnTo>
                                  <a:pt x="4373177" y="1130641"/>
                                </a:lnTo>
                              </a:path>
                              <a:path w="4373245" h="2343150">
                                <a:moveTo>
                                  <a:pt x="0" y="1062780"/>
                                </a:moveTo>
                                <a:lnTo>
                                  <a:pt x="4373177" y="1062780"/>
                                </a:lnTo>
                              </a:path>
                              <a:path w="4373245" h="2343150">
                                <a:moveTo>
                                  <a:pt x="0" y="926517"/>
                                </a:moveTo>
                                <a:lnTo>
                                  <a:pt x="4373177" y="926517"/>
                                </a:lnTo>
                              </a:path>
                              <a:path w="4373245" h="2343150">
                                <a:moveTo>
                                  <a:pt x="0" y="858114"/>
                                </a:moveTo>
                                <a:lnTo>
                                  <a:pt x="4373177" y="858114"/>
                                </a:lnTo>
                              </a:path>
                              <a:path w="4373245" h="2343150">
                                <a:moveTo>
                                  <a:pt x="0" y="776682"/>
                                </a:moveTo>
                                <a:lnTo>
                                  <a:pt x="4373177" y="776682"/>
                                </a:lnTo>
                              </a:path>
                              <a:path w="4373245" h="2343150">
                                <a:moveTo>
                                  <a:pt x="0" y="708460"/>
                                </a:moveTo>
                                <a:lnTo>
                                  <a:pt x="4373177" y="708460"/>
                                </a:lnTo>
                              </a:path>
                              <a:path w="4373245" h="2343150">
                                <a:moveTo>
                                  <a:pt x="0" y="572197"/>
                                </a:moveTo>
                                <a:lnTo>
                                  <a:pt x="4373177" y="572197"/>
                                </a:lnTo>
                              </a:path>
                              <a:path w="4373245" h="2343150">
                                <a:moveTo>
                                  <a:pt x="0" y="503974"/>
                                </a:moveTo>
                                <a:lnTo>
                                  <a:pt x="4373177" y="503974"/>
                                </a:lnTo>
                              </a:path>
                              <a:path w="4373245" h="2343150">
                                <a:moveTo>
                                  <a:pt x="0" y="422542"/>
                                </a:moveTo>
                                <a:lnTo>
                                  <a:pt x="4373177" y="422542"/>
                                </a:lnTo>
                              </a:path>
                              <a:path w="4373245" h="2343150">
                                <a:moveTo>
                                  <a:pt x="0" y="354139"/>
                                </a:moveTo>
                                <a:lnTo>
                                  <a:pt x="4373177" y="354139"/>
                                </a:lnTo>
                              </a:path>
                              <a:path w="4373245" h="2343150">
                                <a:moveTo>
                                  <a:pt x="0" y="218057"/>
                                </a:moveTo>
                                <a:lnTo>
                                  <a:pt x="4373177" y="218057"/>
                                </a:lnTo>
                              </a:path>
                              <a:path w="4373245" h="2343150">
                                <a:moveTo>
                                  <a:pt x="0" y="150197"/>
                                </a:moveTo>
                                <a:lnTo>
                                  <a:pt x="4373177" y="150197"/>
                                </a:lnTo>
                              </a:path>
                              <a:path w="4373245" h="2343150">
                                <a:moveTo>
                                  <a:pt x="0" y="68403"/>
                                </a:moveTo>
                                <a:lnTo>
                                  <a:pt x="4373177" y="68403"/>
                                </a:lnTo>
                              </a:path>
                              <a:path w="4373245" h="2343150">
                                <a:moveTo>
                                  <a:pt x="0" y="0"/>
                                </a:moveTo>
                                <a:lnTo>
                                  <a:pt x="4373177" y="0"/>
                                </a:lnTo>
                              </a:path>
                            </a:pathLst>
                          </a:custGeom>
                          <a:ln w="11540">
                            <a:solidFill>
                              <a:srgbClr val="C0C0C0"/>
                            </a:solidFill>
                            <a:prstDash val="solid"/>
                          </a:ln>
                        </wps:spPr>
                        <wps:bodyPr wrap="square" lIns="0" tIns="0" rIns="0" bIns="0" rtlCol="0">
                          <a:prstTxWarp prst="textNoShape">
                            <a:avLst/>
                          </a:prstTxWarp>
                          <a:noAutofit/>
                        </wps:bodyPr>
                      </wps:wsp>
                      <wps:wsp>
                        <wps:cNvPr id="366" name="Graphic 366"/>
                        <wps:cNvSpPr/>
                        <wps:spPr>
                          <a:xfrm>
                            <a:off x="478058" y="299082"/>
                            <a:ext cx="4373245" cy="2125345"/>
                          </a:xfrm>
                          <a:custGeom>
                            <a:avLst/>
                            <a:gdLst/>
                            <a:ahLst/>
                            <a:cxnLst/>
                            <a:rect l="l" t="t" r="r" b="b"/>
                            <a:pathLst>
                              <a:path w="4373245" h="2125345">
                                <a:moveTo>
                                  <a:pt x="0" y="2124928"/>
                                </a:moveTo>
                                <a:lnTo>
                                  <a:pt x="4373177" y="2124928"/>
                                </a:lnTo>
                              </a:path>
                              <a:path w="4373245" h="2125345">
                                <a:moveTo>
                                  <a:pt x="0" y="1770698"/>
                                </a:moveTo>
                                <a:lnTo>
                                  <a:pt x="4373177" y="1770698"/>
                                </a:lnTo>
                              </a:path>
                              <a:path w="4373245" h="2125345">
                                <a:moveTo>
                                  <a:pt x="0" y="1416558"/>
                                </a:moveTo>
                                <a:lnTo>
                                  <a:pt x="4373177" y="1416558"/>
                                </a:lnTo>
                              </a:path>
                              <a:path w="4373245" h="2125345">
                                <a:moveTo>
                                  <a:pt x="0" y="1062237"/>
                                </a:moveTo>
                                <a:lnTo>
                                  <a:pt x="4373177" y="1062237"/>
                                </a:lnTo>
                              </a:path>
                              <a:path w="4373245" h="2125345">
                                <a:moveTo>
                                  <a:pt x="0" y="707917"/>
                                </a:moveTo>
                                <a:lnTo>
                                  <a:pt x="4373177" y="707917"/>
                                </a:lnTo>
                              </a:path>
                              <a:path w="4373245" h="2125345">
                                <a:moveTo>
                                  <a:pt x="0" y="354139"/>
                                </a:moveTo>
                                <a:lnTo>
                                  <a:pt x="4373177" y="354139"/>
                                </a:lnTo>
                              </a:path>
                              <a:path w="4373245" h="2125345">
                                <a:moveTo>
                                  <a:pt x="0" y="0"/>
                                </a:moveTo>
                                <a:lnTo>
                                  <a:pt x="4373177" y="0"/>
                                </a:lnTo>
                              </a:path>
                            </a:pathLst>
                          </a:custGeom>
                          <a:ln w="11540">
                            <a:solidFill>
                              <a:srgbClr val="808080"/>
                            </a:solidFill>
                            <a:prstDash val="solid"/>
                          </a:ln>
                        </wps:spPr>
                        <wps:bodyPr wrap="square" lIns="0" tIns="0" rIns="0" bIns="0" rtlCol="0">
                          <a:prstTxWarp prst="textNoShape">
                            <a:avLst/>
                          </a:prstTxWarp>
                          <a:noAutofit/>
                        </wps:bodyPr>
                      </wps:wsp>
                      <wps:wsp>
                        <wps:cNvPr id="367" name="Graphic 367"/>
                        <wps:cNvSpPr/>
                        <wps:spPr>
                          <a:xfrm>
                            <a:off x="649549" y="299082"/>
                            <a:ext cx="4039870" cy="2465705"/>
                          </a:xfrm>
                          <a:custGeom>
                            <a:avLst/>
                            <a:gdLst/>
                            <a:ahLst/>
                            <a:cxnLst/>
                            <a:rect l="l" t="t" r="r" b="b"/>
                            <a:pathLst>
                              <a:path w="4039870" h="2465705">
                                <a:moveTo>
                                  <a:pt x="0" y="0"/>
                                </a:moveTo>
                                <a:lnTo>
                                  <a:pt x="0" y="2465134"/>
                                </a:lnTo>
                              </a:path>
                              <a:path w="4039870" h="2465705">
                                <a:moveTo>
                                  <a:pt x="181000" y="0"/>
                                </a:moveTo>
                                <a:lnTo>
                                  <a:pt x="181000" y="2465134"/>
                                </a:lnTo>
                              </a:path>
                              <a:path w="4039870" h="2465705">
                                <a:moveTo>
                                  <a:pt x="352491" y="0"/>
                                </a:moveTo>
                                <a:lnTo>
                                  <a:pt x="352491" y="2465134"/>
                                </a:lnTo>
                              </a:path>
                              <a:path w="4039870" h="2465705">
                                <a:moveTo>
                                  <a:pt x="533492" y="0"/>
                                </a:moveTo>
                                <a:lnTo>
                                  <a:pt x="533492" y="2465134"/>
                                </a:lnTo>
                              </a:path>
                              <a:path w="4039870" h="2465705">
                                <a:moveTo>
                                  <a:pt x="876474" y="0"/>
                                </a:moveTo>
                                <a:lnTo>
                                  <a:pt x="876474" y="2465134"/>
                                </a:lnTo>
                              </a:path>
                              <a:path w="4039870" h="2465705">
                                <a:moveTo>
                                  <a:pt x="1057538" y="0"/>
                                </a:moveTo>
                                <a:lnTo>
                                  <a:pt x="1057538" y="2465134"/>
                                </a:lnTo>
                              </a:path>
                              <a:path w="4039870" h="2465705">
                                <a:moveTo>
                                  <a:pt x="1228965" y="0"/>
                                </a:moveTo>
                                <a:lnTo>
                                  <a:pt x="1228965" y="2465134"/>
                                </a:lnTo>
                              </a:path>
                              <a:path w="4039870" h="2465705">
                                <a:moveTo>
                                  <a:pt x="1410029" y="0"/>
                                </a:moveTo>
                                <a:lnTo>
                                  <a:pt x="1410029" y="2465134"/>
                                </a:lnTo>
                              </a:path>
                              <a:path w="4039870" h="2465705">
                                <a:moveTo>
                                  <a:pt x="1753011" y="0"/>
                                </a:moveTo>
                                <a:lnTo>
                                  <a:pt x="1753011" y="2465134"/>
                                </a:lnTo>
                              </a:path>
                              <a:path w="4039870" h="2465705">
                                <a:moveTo>
                                  <a:pt x="1933948" y="0"/>
                                </a:moveTo>
                                <a:lnTo>
                                  <a:pt x="1933948" y="2465134"/>
                                </a:lnTo>
                              </a:path>
                              <a:path w="4039870" h="2465705">
                                <a:moveTo>
                                  <a:pt x="2105503" y="0"/>
                                </a:moveTo>
                                <a:lnTo>
                                  <a:pt x="2105503" y="2465134"/>
                                </a:lnTo>
                              </a:path>
                              <a:path w="4039870" h="2465705">
                                <a:moveTo>
                                  <a:pt x="2286440" y="0"/>
                                </a:moveTo>
                                <a:lnTo>
                                  <a:pt x="2286440" y="2465134"/>
                                </a:lnTo>
                              </a:path>
                              <a:path w="4039870" h="2465705">
                                <a:moveTo>
                                  <a:pt x="2629422" y="0"/>
                                </a:moveTo>
                                <a:lnTo>
                                  <a:pt x="2629422" y="2465134"/>
                                </a:lnTo>
                              </a:path>
                              <a:path w="4039870" h="2465705">
                                <a:moveTo>
                                  <a:pt x="2810739" y="0"/>
                                </a:moveTo>
                                <a:lnTo>
                                  <a:pt x="2810739" y="2465134"/>
                                </a:lnTo>
                              </a:path>
                              <a:path w="4039870" h="2465705">
                                <a:moveTo>
                                  <a:pt x="2982294" y="0"/>
                                </a:moveTo>
                                <a:lnTo>
                                  <a:pt x="2982294" y="2465134"/>
                                </a:lnTo>
                              </a:path>
                              <a:path w="4039870" h="2465705">
                                <a:moveTo>
                                  <a:pt x="3163231" y="0"/>
                                </a:moveTo>
                                <a:lnTo>
                                  <a:pt x="3163231" y="2465134"/>
                                </a:lnTo>
                              </a:path>
                              <a:path w="4039870" h="2465705">
                                <a:moveTo>
                                  <a:pt x="3506213" y="0"/>
                                </a:moveTo>
                                <a:lnTo>
                                  <a:pt x="3506213" y="2465134"/>
                                </a:lnTo>
                              </a:path>
                              <a:path w="4039870" h="2465705">
                                <a:moveTo>
                                  <a:pt x="3687150" y="0"/>
                                </a:moveTo>
                                <a:lnTo>
                                  <a:pt x="3687150" y="2465134"/>
                                </a:lnTo>
                              </a:path>
                              <a:path w="4039870" h="2465705">
                                <a:moveTo>
                                  <a:pt x="3858705" y="0"/>
                                </a:moveTo>
                                <a:lnTo>
                                  <a:pt x="3858705" y="2465134"/>
                                </a:lnTo>
                              </a:path>
                              <a:path w="4039870" h="2465705">
                                <a:moveTo>
                                  <a:pt x="4039769" y="0"/>
                                </a:moveTo>
                                <a:lnTo>
                                  <a:pt x="4039769" y="2465134"/>
                                </a:lnTo>
                              </a:path>
                            </a:pathLst>
                          </a:custGeom>
                          <a:ln w="11540">
                            <a:solidFill>
                              <a:srgbClr val="C0C0C0"/>
                            </a:solidFill>
                            <a:prstDash val="solid"/>
                          </a:ln>
                        </wps:spPr>
                        <wps:bodyPr wrap="square" lIns="0" tIns="0" rIns="0" bIns="0" rtlCol="0">
                          <a:prstTxWarp prst="textNoShape">
                            <a:avLst/>
                          </a:prstTxWarp>
                          <a:noAutofit/>
                        </wps:bodyPr>
                      </wps:wsp>
                      <wps:wsp>
                        <wps:cNvPr id="368" name="Graphic 368"/>
                        <wps:cNvSpPr/>
                        <wps:spPr>
                          <a:xfrm>
                            <a:off x="1354595" y="299082"/>
                            <a:ext cx="3506470" cy="2465705"/>
                          </a:xfrm>
                          <a:custGeom>
                            <a:avLst/>
                            <a:gdLst/>
                            <a:ahLst/>
                            <a:cxnLst/>
                            <a:rect l="l" t="t" r="r" b="b"/>
                            <a:pathLst>
                              <a:path w="3506470" h="2465705">
                                <a:moveTo>
                                  <a:pt x="0" y="0"/>
                                </a:moveTo>
                                <a:lnTo>
                                  <a:pt x="0" y="2465134"/>
                                </a:lnTo>
                              </a:path>
                              <a:path w="3506470" h="2465705">
                                <a:moveTo>
                                  <a:pt x="876410" y="0"/>
                                </a:moveTo>
                                <a:lnTo>
                                  <a:pt x="876410" y="2465134"/>
                                </a:lnTo>
                              </a:path>
                              <a:path w="3506470" h="2465705">
                                <a:moveTo>
                                  <a:pt x="1752948" y="0"/>
                                </a:moveTo>
                                <a:lnTo>
                                  <a:pt x="1752948" y="2465134"/>
                                </a:lnTo>
                              </a:path>
                              <a:path w="3506470" h="2465705">
                                <a:moveTo>
                                  <a:pt x="2629739" y="0"/>
                                </a:moveTo>
                                <a:lnTo>
                                  <a:pt x="2629739" y="2465134"/>
                                </a:lnTo>
                              </a:path>
                              <a:path w="3506470" h="2465705">
                                <a:moveTo>
                                  <a:pt x="3506150" y="0"/>
                                </a:moveTo>
                                <a:lnTo>
                                  <a:pt x="3506150" y="2465134"/>
                                </a:lnTo>
                              </a:path>
                            </a:pathLst>
                          </a:custGeom>
                          <a:ln w="11540">
                            <a:solidFill>
                              <a:srgbClr val="808080"/>
                            </a:solidFill>
                            <a:prstDash val="solid"/>
                          </a:ln>
                        </wps:spPr>
                        <wps:bodyPr wrap="square" lIns="0" tIns="0" rIns="0" bIns="0" rtlCol="0">
                          <a:prstTxWarp prst="textNoShape">
                            <a:avLst/>
                          </a:prstTxWarp>
                          <a:noAutofit/>
                        </wps:bodyPr>
                      </wps:wsp>
                      <wps:wsp>
                        <wps:cNvPr id="369" name="Graphic 369"/>
                        <wps:cNvSpPr/>
                        <wps:spPr>
                          <a:xfrm>
                            <a:off x="440019" y="299082"/>
                            <a:ext cx="4420870" cy="2533650"/>
                          </a:xfrm>
                          <a:custGeom>
                            <a:avLst/>
                            <a:gdLst/>
                            <a:ahLst/>
                            <a:cxnLst/>
                            <a:rect l="l" t="t" r="r" b="b"/>
                            <a:pathLst>
                              <a:path w="4420870" h="2533650">
                                <a:moveTo>
                                  <a:pt x="38038" y="0"/>
                                </a:moveTo>
                                <a:lnTo>
                                  <a:pt x="38038" y="2465134"/>
                                </a:lnTo>
                              </a:path>
                              <a:path w="4420870" h="2533650">
                                <a:moveTo>
                                  <a:pt x="0" y="2479158"/>
                                </a:moveTo>
                                <a:lnTo>
                                  <a:pt x="28528" y="2479158"/>
                                </a:lnTo>
                              </a:path>
                              <a:path w="4420870" h="2533650">
                                <a:moveTo>
                                  <a:pt x="0" y="2124928"/>
                                </a:moveTo>
                                <a:lnTo>
                                  <a:pt x="28528" y="2124928"/>
                                </a:lnTo>
                              </a:path>
                              <a:path w="4420870" h="2533650">
                                <a:moveTo>
                                  <a:pt x="0" y="1770698"/>
                                </a:moveTo>
                                <a:lnTo>
                                  <a:pt x="28528" y="1770698"/>
                                </a:lnTo>
                              </a:path>
                              <a:path w="4420870" h="2533650">
                                <a:moveTo>
                                  <a:pt x="0" y="1416558"/>
                                </a:moveTo>
                                <a:lnTo>
                                  <a:pt x="28528" y="1416558"/>
                                </a:lnTo>
                              </a:path>
                              <a:path w="4420870" h="2533650">
                                <a:moveTo>
                                  <a:pt x="0" y="1062237"/>
                                </a:moveTo>
                                <a:lnTo>
                                  <a:pt x="28528" y="1062237"/>
                                </a:lnTo>
                              </a:path>
                              <a:path w="4420870" h="2533650">
                                <a:moveTo>
                                  <a:pt x="0" y="707917"/>
                                </a:moveTo>
                                <a:lnTo>
                                  <a:pt x="28528" y="707917"/>
                                </a:lnTo>
                              </a:path>
                              <a:path w="4420870" h="2533650">
                                <a:moveTo>
                                  <a:pt x="0" y="354139"/>
                                </a:moveTo>
                                <a:lnTo>
                                  <a:pt x="28528" y="354139"/>
                                </a:lnTo>
                              </a:path>
                              <a:path w="4420870" h="2533650">
                                <a:moveTo>
                                  <a:pt x="0" y="0"/>
                                </a:moveTo>
                                <a:lnTo>
                                  <a:pt x="28528" y="0"/>
                                </a:lnTo>
                              </a:path>
                              <a:path w="4420870" h="2533650">
                                <a:moveTo>
                                  <a:pt x="38038" y="2479158"/>
                                </a:moveTo>
                                <a:lnTo>
                                  <a:pt x="4411216" y="2479158"/>
                                </a:lnTo>
                              </a:path>
                              <a:path w="4420870" h="2533650">
                                <a:moveTo>
                                  <a:pt x="38038" y="2533446"/>
                                </a:moveTo>
                                <a:lnTo>
                                  <a:pt x="38038" y="2492730"/>
                                </a:lnTo>
                              </a:path>
                              <a:path w="4420870" h="2533650">
                                <a:moveTo>
                                  <a:pt x="914576" y="2533446"/>
                                </a:moveTo>
                                <a:lnTo>
                                  <a:pt x="914576" y="2492730"/>
                                </a:lnTo>
                              </a:path>
                              <a:path w="4420870" h="2533650">
                                <a:moveTo>
                                  <a:pt x="1790986" y="2533446"/>
                                </a:moveTo>
                                <a:lnTo>
                                  <a:pt x="1790986" y="2492730"/>
                                </a:lnTo>
                              </a:path>
                              <a:path w="4420870" h="2533650">
                                <a:moveTo>
                                  <a:pt x="2667524" y="2533446"/>
                                </a:moveTo>
                                <a:lnTo>
                                  <a:pt x="2667524" y="2492730"/>
                                </a:lnTo>
                              </a:path>
                              <a:path w="4420870" h="2533650">
                                <a:moveTo>
                                  <a:pt x="3544315" y="2533446"/>
                                </a:moveTo>
                                <a:lnTo>
                                  <a:pt x="3544315" y="2492730"/>
                                </a:lnTo>
                              </a:path>
                              <a:path w="4420870" h="2533650">
                                <a:moveTo>
                                  <a:pt x="4420726" y="2533446"/>
                                </a:moveTo>
                                <a:lnTo>
                                  <a:pt x="4420726" y="2492730"/>
                                </a:lnTo>
                              </a:path>
                            </a:pathLst>
                          </a:custGeom>
                          <a:ln w="11540">
                            <a:solidFill>
                              <a:srgbClr val="808080"/>
                            </a:solidFill>
                            <a:prstDash val="solid"/>
                          </a:ln>
                        </wps:spPr>
                        <wps:bodyPr wrap="square" lIns="0" tIns="0" rIns="0" bIns="0" rtlCol="0">
                          <a:prstTxWarp prst="textNoShape">
                            <a:avLst/>
                          </a:prstTxWarp>
                          <a:noAutofit/>
                        </wps:bodyPr>
                      </wps:wsp>
                      <pic:pic>
                        <pic:nvPicPr>
                          <pic:cNvPr id="370" name="Image 370"/>
                          <pic:cNvPicPr/>
                        </pic:nvPicPr>
                        <pic:blipFill>
                          <a:blip r:embed="rId44" cstate="print"/>
                          <a:stretch>
                            <a:fillRect/>
                          </a:stretch>
                        </pic:blipFill>
                        <pic:spPr>
                          <a:xfrm>
                            <a:off x="3406718" y="1560036"/>
                            <a:ext cx="106888" cy="147801"/>
                          </a:xfrm>
                          <a:prstGeom prst="rect">
                            <a:avLst/>
                          </a:prstGeom>
                        </pic:spPr>
                      </pic:pic>
                      <pic:pic>
                        <pic:nvPicPr>
                          <pic:cNvPr id="371" name="Image 371"/>
                          <pic:cNvPicPr/>
                        </pic:nvPicPr>
                        <pic:blipFill>
                          <a:blip r:embed="rId45" cstate="print"/>
                          <a:stretch>
                            <a:fillRect/>
                          </a:stretch>
                        </pic:blipFill>
                        <pic:spPr>
                          <a:xfrm>
                            <a:off x="3721169" y="1096776"/>
                            <a:ext cx="106891" cy="147623"/>
                          </a:xfrm>
                          <a:prstGeom prst="rect">
                            <a:avLst/>
                          </a:prstGeom>
                        </pic:spPr>
                      </pic:pic>
                      <pic:pic>
                        <pic:nvPicPr>
                          <pic:cNvPr id="372" name="Image 372"/>
                          <pic:cNvPicPr/>
                        </pic:nvPicPr>
                        <pic:blipFill>
                          <a:blip r:embed="rId46" cstate="print"/>
                          <a:stretch>
                            <a:fillRect/>
                          </a:stretch>
                        </pic:blipFill>
                        <pic:spPr>
                          <a:xfrm>
                            <a:off x="3930635" y="933369"/>
                            <a:ext cx="107017" cy="147804"/>
                          </a:xfrm>
                          <a:prstGeom prst="rect">
                            <a:avLst/>
                          </a:prstGeom>
                        </pic:spPr>
                      </pic:pic>
                      <pic:pic>
                        <pic:nvPicPr>
                          <pic:cNvPr id="373" name="Image 373"/>
                          <pic:cNvPicPr/>
                        </pic:nvPicPr>
                        <pic:blipFill>
                          <a:blip r:embed="rId47" cstate="print"/>
                          <a:stretch>
                            <a:fillRect/>
                          </a:stretch>
                        </pic:blipFill>
                        <pic:spPr>
                          <a:xfrm>
                            <a:off x="4245090" y="347601"/>
                            <a:ext cx="106888" cy="147801"/>
                          </a:xfrm>
                          <a:prstGeom prst="rect">
                            <a:avLst/>
                          </a:prstGeom>
                        </pic:spPr>
                      </pic:pic>
                      <wps:wsp>
                        <wps:cNvPr id="374" name="Graphic 374"/>
                        <wps:cNvSpPr/>
                        <wps:spPr>
                          <a:xfrm>
                            <a:off x="3460289" y="489633"/>
                            <a:ext cx="828675" cy="1158240"/>
                          </a:xfrm>
                          <a:custGeom>
                            <a:avLst/>
                            <a:gdLst/>
                            <a:ahLst/>
                            <a:cxnLst/>
                            <a:rect l="l" t="t" r="r" b="b"/>
                            <a:pathLst>
                              <a:path w="828675" h="1158240">
                                <a:moveTo>
                                  <a:pt x="0" y="1158147"/>
                                </a:moveTo>
                                <a:lnTo>
                                  <a:pt x="828608" y="0"/>
                                </a:lnTo>
                              </a:path>
                            </a:pathLst>
                          </a:custGeom>
                          <a:ln w="10885">
                            <a:solidFill>
                              <a:srgbClr val="000000"/>
                            </a:solidFill>
                            <a:prstDash val="solid"/>
                          </a:ln>
                        </wps:spPr>
                        <wps:bodyPr wrap="square" lIns="0" tIns="0" rIns="0" bIns="0" rtlCol="0">
                          <a:prstTxWarp prst="textNoShape">
                            <a:avLst/>
                          </a:prstTxWarp>
                          <a:noAutofit/>
                        </wps:bodyPr>
                      </wps:wsp>
                      <wps:wsp>
                        <wps:cNvPr id="375" name="Graphic 375"/>
                        <wps:cNvSpPr/>
                        <wps:spPr>
                          <a:xfrm>
                            <a:off x="6378" y="6378"/>
                            <a:ext cx="5050155" cy="3609340"/>
                          </a:xfrm>
                          <a:custGeom>
                            <a:avLst/>
                            <a:gdLst/>
                            <a:ahLst/>
                            <a:cxnLst/>
                            <a:rect l="l" t="t" r="r" b="b"/>
                            <a:pathLst>
                              <a:path w="5050155" h="3609340">
                                <a:moveTo>
                                  <a:pt x="0" y="3609256"/>
                                </a:moveTo>
                                <a:lnTo>
                                  <a:pt x="5049632" y="3609256"/>
                                </a:lnTo>
                                <a:lnTo>
                                  <a:pt x="5049632" y="0"/>
                                </a:lnTo>
                                <a:lnTo>
                                  <a:pt x="0" y="0"/>
                                </a:lnTo>
                                <a:lnTo>
                                  <a:pt x="0" y="3609256"/>
                                </a:lnTo>
                                <a:close/>
                              </a:path>
                            </a:pathLst>
                          </a:custGeom>
                          <a:ln w="12198">
                            <a:solidFill>
                              <a:srgbClr val="808080"/>
                            </a:solidFill>
                            <a:prstDash val="solid"/>
                          </a:ln>
                        </wps:spPr>
                        <wps:bodyPr wrap="square" lIns="0" tIns="0" rIns="0" bIns="0" rtlCol="0">
                          <a:prstTxWarp prst="textNoShape">
                            <a:avLst/>
                          </a:prstTxWarp>
                          <a:noAutofit/>
                        </wps:bodyPr>
                      </wps:wsp>
                      <wps:wsp>
                        <wps:cNvPr id="376" name="Textbox 376"/>
                        <wps:cNvSpPr txBox="1"/>
                        <wps:spPr>
                          <a:xfrm>
                            <a:off x="311321" y="213827"/>
                            <a:ext cx="75565" cy="2656205"/>
                          </a:xfrm>
                          <a:prstGeom prst="rect">
                            <a:avLst/>
                          </a:prstGeom>
                        </wps:spPr>
                        <wps:txbx>
                          <w:txbxContent>
                            <w:p>
                              <w:pPr>
                                <w:spacing w:line="284" w:lineRule="exact" w:before="0"/>
                                <w:ind w:left="0" w:right="0" w:firstLine="0"/>
                                <w:jc w:val="left"/>
                                <w:rPr>
                                  <w:rFonts w:ascii="Calibri"/>
                                  <w:sz w:val="28"/>
                                </w:rPr>
                              </w:pPr>
                              <w:r>
                                <w:rPr>
                                  <w:rFonts w:ascii="Calibri"/>
                                  <w:spacing w:val="-10"/>
                                  <w:w w:val="80"/>
                                  <w:sz w:val="28"/>
                                </w:rPr>
                                <w:t>7</w:t>
                              </w:r>
                            </w:p>
                            <w:p>
                              <w:pPr>
                                <w:spacing w:before="216"/>
                                <w:ind w:left="0" w:right="0" w:firstLine="0"/>
                                <w:jc w:val="left"/>
                                <w:rPr>
                                  <w:rFonts w:ascii="Calibri"/>
                                  <w:sz w:val="28"/>
                                </w:rPr>
                              </w:pPr>
                              <w:r>
                                <w:rPr>
                                  <w:rFonts w:ascii="Calibri"/>
                                  <w:spacing w:val="-10"/>
                                  <w:w w:val="80"/>
                                  <w:sz w:val="28"/>
                                </w:rPr>
                                <w:t>6</w:t>
                              </w:r>
                            </w:p>
                            <w:p>
                              <w:pPr>
                                <w:spacing w:before="216"/>
                                <w:ind w:left="0" w:right="0" w:firstLine="0"/>
                                <w:jc w:val="left"/>
                                <w:rPr>
                                  <w:rFonts w:ascii="Calibri"/>
                                  <w:sz w:val="28"/>
                                </w:rPr>
                              </w:pPr>
                              <w:r>
                                <w:rPr>
                                  <w:rFonts w:ascii="Calibri"/>
                                  <w:spacing w:val="-10"/>
                                  <w:w w:val="80"/>
                                  <w:sz w:val="28"/>
                                </w:rPr>
                                <w:t>5</w:t>
                              </w:r>
                            </w:p>
                            <w:p>
                              <w:pPr>
                                <w:spacing w:before="216"/>
                                <w:ind w:left="0" w:right="0" w:firstLine="0"/>
                                <w:jc w:val="left"/>
                                <w:rPr>
                                  <w:rFonts w:ascii="Calibri"/>
                                  <w:sz w:val="28"/>
                                </w:rPr>
                              </w:pPr>
                              <w:r>
                                <w:rPr>
                                  <w:rFonts w:ascii="Calibri"/>
                                  <w:spacing w:val="-10"/>
                                  <w:w w:val="80"/>
                                  <w:sz w:val="28"/>
                                </w:rPr>
                                <w:t>4</w:t>
                              </w:r>
                            </w:p>
                            <w:p>
                              <w:pPr>
                                <w:spacing w:before="216"/>
                                <w:ind w:left="0" w:right="0" w:firstLine="0"/>
                                <w:jc w:val="left"/>
                                <w:rPr>
                                  <w:rFonts w:ascii="Calibri"/>
                                  <w:sz w:val="28"/>
                                </w:rPr>
                              </w:pPr>
                              <w:r>
                                <w:rPr>
                                  <w:rFonts w:ascii="Calibri"/>
                                  <w:spacing w:val="-10"/>
                                  <w:w w:val="80"/>
                                  <w:sz w:val="28"/>
                                </w:rPr>
                                <w:t>3</w:t>
                              </w:r>
                            </w:p>
                            <w:p>
                              <w:pPr>
                                <w:spacing w:before="215"/>
                                <w:ind w:left="0" w:right="0" w:firstLine="0"/>
                                <w:jc w:val="left"/>
                                <w:rPr>
                                  <w:rFonts w:ascii="Calibri"/>
                                  <w:sz w:val="28"/>
                                </w:rPr>
                              </w:pPr>
                              <w:r>
                                <w:rPr>
                                  <w:rFonts w:ascii="Calibri"/>
                                  <w:spacing w:val="-10"/>
                                  <w:w w:val="80"/>
                                  <w:sz w:val="28"/>
                                </w:rPr>
                                <w:t>2</w:t>
                              </w:r>
                            </w:p>
                            <w:p>
                              <w:pPr>
                                <w:spacing w:before="216"/>
                                <w:ind w:left="0" w:right="0" w:firstLine="0"/>
                                <w:jc w:val="left"/>
                                <w:rPr>
                                  <w:rFonts w:ascii="Calibri"/>
                                  <w:sz w:val="28"/>
                                </w:rPr>
                              </w:pPr>
                              <w:r>
                                <w:rPr>
                                  <w:rFonts w:ascii="Calibri"/>
                                  <w:spacing w:val="-10"/>
                                  <w:w w:val="80"/>
                                  <w:sz w:val="28"/>
                                </w:rPr>
                                <w:t>1</w:t>
                              </w:r>
                            </w:p>
                            <w:p>
                              <w:pPr>
                                <w:spacing w:line="336" w:lineRule="exact" w:before="216"/>
                                <w:ind w:left="0" w:right="0" w:firstLine="0"/>
                                <w:jc w:val="left"/>
                                <w:rPr>
                                  <w:rFonts w:ascii="Calibri"/>
                                  <w:sz w:val="28"/>
                                </w:rPr>
                              </w:pPr>
                              <w:r>
                                <w:rPr>
                                  <w:rFonts w:ascii="Calibri"/>
                                  <w:spacing w:val="-10"/>
                                  <w:w w:val="80"/>
                                  <w:sz w:val="28"/>
                                </w:rPr>
                                <w:t>0</w:t>
                              </w:r>
                            </w:p>
                          </w:txbxContent>
                        </wps:txbx>
                        <wps:bodyPr wrap="square" lIns="0" tIns="0" rIns="0" bIns="0" rtlCol="0">
                          <a:noAutofit/>
                        </wps:bodyPr>
                      </wps:wsp>
                      <wps:wsp>
                        <wps:cNvPr id="377" name="Textbox 377"/>
                        <wps:cNvSpPr txBox="1"/>
                        <wps:spPr>
                          <a:xfrm>
                            <a:off x="444774" y="2951849"/>
                            <a:ext cx="75565" cy="177165"/>
                          </a:xfrm>
                          <a:prstGeom prst="rect">
                            <a:avLst/>
                          </a:prstGeom>
                        </wps:spPr>
                        <wps:txbx>
                          <w:txbxContent>
                            <w:p>
                              <w:pPr>
                                <w:spacing w:line="279" w:lineRule="exact" w:before="0"/>
                                <w:ind w:left="0" w:right="0" w:firstLine="0"/>
                                <w:jc w:val="left"/>
                                <w:rPr>
                                  <w:rFonts w:ascii="Calibri"/>
                                  <w:sz w:val="28"/>
                                </w:rPr>
                              </w:pPr>
                              <w:r>
                                <w:rPr>
                                  <w:rFonts w:ascii="Calibri"/>
                                  <w:spacing w:val="-10"/>
                                  <w:w w:val="80"/>
                                  <w:sz w:val="28"/>
                                </w:rPr>
                                <w:t>0</w:t>
                              </w:r>
                            </w:p>
                          </w:txbxContent>
                        </wps:txbx>
                        <wps:bodyPr wrap="square" lIns="0" tIns="0" rIns="0" bIns="0" rtlCol="0">
                          <a:noAutofit/>
                        </wps:bodyPr>
                      </wps:wsp>
                      <wps:wsp>
                        <wps:cNvPr id="378" name="Textbox 378"/>
                        <wps:cNvSpPr txBox="1"/>
                        <wps:spPr>
                          <a:xfrm>
                            <a:off x="1264190" y="2951849"/>
                            <a:ext cx="180340" cy="177165"/>
                          </a:xfrm>
                          <a:prstGeom prst="rect">
                            <a:avLst/>
                          </a:prstGeom>
                        </wps:spPr>
                        <wps:txbx>
                          <w:txbxContent>
                            <w:p>
                              <w:pPr>
                                <w:spacing w:line="279" w:lineRule="exact" w:before="0"/>
                                <w:ind w:left="0" w:right="0" w:firstLine="0"/>
                                <w:jc w:val="left"/>
                                <w:rPr>
                                  <w:rFonts w:ascii="Calibri"/>
                                  <w:sz w:val="28"/>
                                </w:rPr>
                              </w:pPr>
                              <w:r>
                                <w:rPr>
                                  <w:rFonts w:ascii="Calibri"/>
                                  <w:spacing w:val="-5"/>
                                  <w:w w:val="75"/>
                                  <w:sz w:val="28"/>
                                </w:rPr>
                                <w:t>0.5</w:t>
                              </w:r>
                            </w:p>
                          </w:txbxContent>
                        </wps:txbx>
                        <wps:bodyPr wrap="square" lIns="0" tIns="0" rIns="0" bIns="0" rtlCol="0">
                          <a:noAutofit/>
                        </wps:bodyPr>
                      </wps:wsp>
                      <wps:wsp>
                        <wps:cNvPr id="379" name="Textbox 379"/>
                        <wps:cNvSpPr txBox="1"/>
                        <wps:spPr>
                          <a:xfrm>
                            <a:off x="2197785" y="2951849"/>
                            <a:ext cx="75565" cy="177165"/>
                          </a:xfrm>
                          <a:prstGeom prst="rect">
                            <a:avLst/>
                          </a:prstGeom>
                        </wps:spPr>
                        <wps:txbx>
                          <w:txbxContent>
                            <w:p>
                              <w:pPr>
                                <w:spacing w:line="279" w:lineRule="exact" w:before="0"/>
                                <w:ind w:left="0" w:right="0" w:firstLine="0"/>
                                <w:jc w:val="left"/>
                                <w:rPr>
                                  <w:rFonts w:ascii="Calibri"/>
                                  <w:sz w:val="28"/>
                                </w:rPr>
                              </w:pPr>
                              <w:r>
                                <w:rPr>
                                  <w:rFonts w:ascii="Calibri"/>
                                  <w:spacing w:val="-10"/>
                                  <w:w w:val="80"/>
                                  <w:sz w:val="28"/>
                                </w:rPr>
                                <w:t>1</w:t>
                              </w:r>
                            </w:p>
                          </w:txbxContent>
                        </wps:txbx>
                        <wps:bodyPr wrap="square" lIns="0" tIns="0" rIns="0" bIns="0" rtlCol="0">
                          <a:noAutofit/>
                        </wps:bodyPr>
                      </wps:wsp>
                      <wps:wsp>
                        <wps:cNvPr id="380" name="Textbox 380"/>
                        <wps:cNvSpPr txBox="1"/>
                        <wps:spPr>
                          <a:xfrm>
                            <a:off x="3017138" y="2951849"/>
                            <a:ext cx="180340" cy="177165"/>
                          </a:xfrm>
                          <a:prstGeom prst="rect">
                            <a:avLst/>
                          </a:prstGeom>
                        </wps:spPr>
                        <wps:txbx>
                          <w:txbxContent>
                            <w:p>
                              <w:pPr>
                                <w:spacing w:line="279" w:lineRule="exact" w:before="0"/>
                                <w:ind w:left="0" w:right="0" w:firstLine="0"/>
                                <w:jc w:val="left"/>
                                <w:rPr>
                                  <w:rFonts w:ascii="Calibri"/>
                                  <w:sz w:val="28"/>
                                </w:rPr>
                              </w:pPr>
                              <w:r>
                                <w:rPr>
                                  <w:rFonts w:ascii="Calibri"/>
                                  <w:spacing w:val="-5"/>
                                  <w:w w:val="75"/>
                                  <w:sz w:val="28"/>
                                </w:rPr>
                                <w:t>1.5</w:t>
                              </w:r>
                            </w:p>
                          </w:txbxContent>
                        </wps:txbx>
                        <wps:bodyPr wrap="square" lIns="0" tIns="0" rIns="0" bIns="0" rtlCol="0">
                          <a:noAutofit/>
                        </wps:bodyPr>
                      </wps:wsp>
                      <wps:wsp>
                        <wps:cNvPr id="381" name="Textbox 381"/>
                        <wps:cNvSpPr txBox="1"/>
                        <wps:spPr>
                          <a:xfrm>
                            <a:off x="3950734" y="2951849"/>
                            <a:ext cx="75565" cy="177165"/>
                          </a:xfrm>
                          <a:prstGeom prst="rect">
                            <a:avLst/>
                          </a:prstGeom>
                        </wps:spPr>
                        <wps:txbx>
                          <w:txbxContent>
                            <w:p>
                              <w:pPr>
                                <w:spacing w:line="279" w:lineRule="exact" w:before="0"/>
                                <w:ind w:left="0" w:right="0" w:firstLine="0"/>
                                <w:jc w:val="left"/>
                                <w:rPr>
                                  <w:rFonts w:ascii="Calibri"/>
                                  <w:sz w:val="28"/>
                                </w:rPr>
                              </w:pPr>
                              <w:r>
                                <w:rPr>
                                  <w:rFonts w:ascii="Calibri"/>
                                  <w:spacing w:val="-10"/>
                                  <w:w w:val="80"/>
                                  <w:sz w:val="28"/>
                                </w:rPr>
                                <w:t>2</w:t>
                              </w:r>
                            </w:p>
                          </w:txbxContent>
                        </wps:txbx>
                        <wps:bodyPr wrap="square" lIns="0" tIns="0" rIns="0" bIns="0" rtlCol="0">
                          <a:noAutofit/>
                        </wps:bodyPr>
                      </wps:wsp>
                      <wps:wsp>
                        <wps:cNvPr id="382" name="Textbox 382"/>
                        <wps:cNvSpPr txBox="1"/>
                        <wps:spPr>
                          <a:xfrm>
                            <a:off x="4770086" y="2951849"/>
                            <a:ext cx="180340" cy="177165"/>
                          </a:xfrm>
                          <a:prstGeom prst="rect">
                            <a:avLst/>
                          </a:prstGeom>
                        </wps:spPr>
                        <wps:txbx>
                          <w:txbxContent>
                            <w:p>
                              <w:pPr>
                                <w:spacing w:line="279" w:lineRule="exact" w:before="0"/>
                                <w:ind w:left="0" w:right="0" w:firstLine="0"/>
                                <w:jc w:val="left"/>
                                <w:rPr>
                                  <w:rFonts w:ascii="Calibri"/>
                                  <w:sz w:val="28"/>
                                </w:rPr>
                              </w:pPr>
                              <w:r>
                                <w:rPr>
                                  <w:rFonts w:ascii="Calibri"/>
                                  <w:spacing w:val="-5"/>
                                  <w:w w:val="75"/>
                                  <w:sz w:val="28"/>
                                </w:rPr>
                                <w:t>2.5</w:t>
                              </w:r>
                            </w:p>
                          </w:txbxContent>
                        </wps:txbx>
                        <wps:bodyPr wrap="square" lIns="0" tIns="0" rIns="0" bIns="0" rtlCol="0">
                          <a:noAutofit/>
                        </wps:bodyPr>
                      </wps:wsp>
                      <wps:wsp>
                        <wps:cNvPr id="383" name="Textbox 383"/>
                        <wps:cNvSpPr txBox="1"/>
                        <wps:spPr>
                          <a:xfrm>
                            <a:off x="2378723" y="3373940"/>
                            <a:ext cx="560070" cy="177165"/>
                          </a:xfrm>
                          <a:prstGeom prst="rect">
                            <a:avLst/>
                          </a:prstGeom>
                        </wps:spPr>
                        <wps:txbx>
                          <w:txbxContent>
                            <w:p>
                              <w:pPr>
                                <w:spacing w:line="279" w:lineRule="exact" w:before="0"/>
                                <w:ind w:left="0" w:right="0" w:firstLine="0"/>
                                <w:jc w:val="left"/>
                                <w:rPr>
                                  <w:rFonts w:ascii="Calibri"/>
                                  <w:b/>
                                  <w:sz w:val="28"/>
                                </w:rPr>
                              </w:pPr>
                              <w:r>
                                <w:rPr>
                                  <w:rFonts w:ascii="Calibri"/>
                                  <w:b/>
                                  <w:w w:val="75"/>
                                  <w:sz w:val="28"/>
                                </w:rPr>
                                <w:t>L</w:t>
                              </w:r>
                              <w:r>
                                <w:rPr>
                                  <w:rFonts w:ascii="Calibri"/>
                                  <w:b/>
                                  <w:spacing w:val="-12"/>
                                  <w:w w:val="75"/>
                                  <w:sz w:val="28"/>
                                </w:rPr>
                                <w:t> </w:t>
                              </w:r>
                              <w:r>
                                <w:rPr>
                                  <w:rFonts w:ascii="Calibri"/>
                                  <w:b/>
                                  <w:w w:val="75"/>
                                  <w:sz w:val="28"/>
                                </w:rPr>
                                <w:t>og</w:t>
                              </w:r>
                              <w:r>
                                <w:rPr>
                                  <w:rFonts w:ascii="Calibri"/>
                                  <w:b/>
                                  <w:spacing w:val="13"/>
                                  <w:sz w:val="28"/>
                                </w:rPr>
                                <w:t> </w:t>
                              </w:r>
                              <w:r>
                                <w:rPr>
                                  <w:rFonts w:ascii="Calibri"/>
                                  <w:b/>
                                  <w:spacing w:val="5"/>
                                  <w:w w:val="70"/>
                                  <w:sz w:val="28"/>
                                </w:rPr>
                                <w:t>Dose</w:t>
                              </w:r>
                            </w:p>
                          </w:txbxContent>
                        </wps:txbx>
                        <wps:bodyPr wrap="square" lIns="0" tIns="0" rIns="0" bIns="0" rtlCol="0">
                          <a:noAutofit/>
                        </wps:bodyPr>
                      </wps:wsp>
                    </wpg:wgp>
                  </a:graphicData>
                </a:graphic>
              </wp:anchor>
            </w:drawing>
          </mc:Choice>
          <mc:Fallback>
            <w:pict>
              <v:group style="position:absolute;margin-left:111.361702pt;margin-top:145.300049pt;width:398.65pt;height:285.2pt;mso-position-horizontal-relative:page;mso-position-vertical-relative:paragraph;z-index:15809536" id="docshapegroup257" coordorigin="2227,2906" coordsize="7973,5704">
                <v:rect style="position:absolute;left:2237;top:2916;width:7953;height:5684" id="docshape258" filled="false" stroked="true" strokeweight=".960505pt" strokecolor="#808080">
                  <v:stroke dashstyle="solid"/>
                </v:rect>
                <v:shape style="position:absolute;left:2980;top:3483;width:6887;height:3690" id="docshape259" coordorigin="2980,3484" coordsize="6887,3690" path="m2980,7174l9867,7174m2980,7066l9867,7066m2980,6938l9867,6938m2980,6830l9867,6830m2980,6616l9867,6616m2980,6509l9867,6509m2980,6380l9867,6380m2980,6272l9867,6272m2980,6058l9867,6058m2980,5951l9867,5951m2980,5822l9867,5822m2980,5715l9867,5715m2980,5501l9867,5501m2980,5393l9867,5393m2980,5264l9867,5264m2980,5158l9867,5158m2980,4943l9867,4943m2980,4835l9867,4835m2980,4707l9867,4707m2980,4600l9867,4600m2980,4385l9867,4385m2980,4278l9867,4278m2980,4149l9867,4149m2980,4042l9867,4042m2980,3827l9867,3827m2980,3720l9867,3720m2980,3592l9867,3592m2980,3484l9867,3484e" filled="false" stroked="true" strokeweight=".908728pt" strokecolor="#c0c0c0">
                  <v:path arrowok="t"/>
                  <v:stroke dashstyle="solid"/>
                </v:shape>
                <v:shape style="position:absolute;left:2980;top:3377;width:6887;height:3347" id="docshape260" coordorigin="2980,3377" coordsize="6887,3347" path="m2980,6723l9867,6723m2980,6165l9867,6165m2980,5608l9867,5608m2980,5050l9867,5050m2980,4492l9867,4492m2980,3935l9867,3935m2980,3377l9867,3377e" filled="false" stroked="true" strokeweight=".908728pt" strokecolor="#808080">
                  <v:path arrowok="t"/>
                  <v:stroke dashstyle="solid"/>
                </v:shape>
                <v:shape style="position:absolute;left:3250;top:3377;width:6362;height:3883" id="docshape261" coordorigin="3250,3377" coordsize="6362,3883" path="m3250,3377l3250,7259m3535,3377l3535,7259m3805,3377l3805,7259m4090,3377l4090,7259m4630,3377l4630,7259m4916,3377l4916,7259m5186,3377l5186,7259m5471,3377l5471,7259m6011,3377l6011,7259m6296,3377l6296,7259m6566,3377l6566,7259m6851,3377l6851,7259m7391,3377l7391,7259m7677,3377l7677,7259m7947,3377l7947,7259m8232,3377l8232,7259m8772,3377l8772,7259m9057,3377l9057,7259m9327,3377l9327,7259m9612,3377l9612,7259e" filled="false" stroked="true" strokeweight=".908728pt" strokecolor="#c0c0c0">
                  <v:path arrowok="t"/>
                  <v:stroke dashstyle="solid"/>
                </v:shape>
                <v:shape style="position:absolute;left:4360;top:3377;width:5522;height:3883" id="docshape262" coordorigin="4360,3377" coordsize="5522,3883" path="m4360,3377l4360,7259m5741,3377l5741,7259m7121,3377l7121,7259m8502,3377l8502,7259m9882,3377l9882,7259e" filled="false" stroked="true" strokeweight=".908728pt" strokecolor="#808080">
                  <v:path arrowok="t"/>
                  <v:stroke dashstyle="solid"/>
                </v:shape>
                <v:shape style="position:absolute;left:2920;top:3377;width:6962;height:3990" id="docshape263" coordorigin="2920,3377" coordsize="6962,3990" path="m2980,3377l2980,7259m2920,7281l2965,7281m2920,6723l2965,6723m2920,6165l2965,6165m2920,5608l2965,5608m2920,5050l2965,5050m2920,4492l2965,4492m2920,3935l2965,3935m2920,3377l2965,3377m2980,7281l9867,7281m2980,7367l2980,7303m4360,7367l4360,7303m5741,7367l5741,7303m7121,7367l7121,7303m8502,7367l8502,7303m9882,7367l9882,7303e" filled="false" stroked="true" strokeweight=".908728pt" strokecolor="#808080">
                  <v:path arrowok="t"/>
                  <v:stroke dashstyle="solid"/>
                </v:shape>
                <v:shape style="position:absolute;left:7592;top:5362;width:169;height:233" type="#_x0000_t75" id="docshape264" stroked="false">
                  <v:imagedata r:id="rId44" o:title=""/>
                </v:shape>
                <v:shape style="position:absolute;left:8087;top:4633;width:169;height:233" type="#_x0000_t75" id="docshape265" stroked="false">
                  <v:imagedata r:id="rId45" o:title=""/>
                </v:shape>
                <v:shape style="position:absolute;left:8417;top:4375;width:169;height:233" type="#_x0000_t75" id="docshape266" stroked="false">
                  <v:imagedata r:id="rId46" o:title=""/>
                </v:shape>
                <v:shape style="position:absolute;left:8912;top:3453;width:169;height:233" type="#_x0000_t75" id="docshape267" stroked="false">
                  <v:imagedata r:id="rId47" o:title=""/>
                </v:shape>
                <v:line style="position:absolute" from="7677,5501" to="8981,3677" stroked="true" strokeweight=".857093pt" strokecolor="#000000">
                  <v:stroke dashstyle="solid"/>
                </v:line>
                <v:rect style="position:absolute;left:2237;top:2916;width:7953;height:5684" id="docshape268" filled="false" stroked="true" strokeweight=".960505pt" strokecolor="#808080">
                  <v:stroke dashstyle="solid"/>
                </v:rect>
                <v:shape style="position:absolute;left:2717;top:3242;width:119;height:4183" type="#_x0000_t202" id="docshape269" filled="false" stroked="false">
                  <v:textbox inset="0,0,0,0">
                    <w:txbxContent>
                      <w:p>
                        <w:pPr>
                          <w:spacing w:line="284" w:lineRule="exact" w:before="0"/>
                          <w:ind w:left="0" w:right="0" w:firstLine="0"/>
                          <w:jc w:val="left"/>
                          <w:rPr>
                            <w:rFonts w:ascii="Calibri"/>
                            <w:sz w:val="28"/>
                          </w:rPr>
                        </w:pPr>
                        <w:r>
                          <w:rPr>
                            <w:rFonts w:ascii="Calibri"/>
                            <w:spacing w:val="-10"/>
                            <w:w w:val="80"/>
                            <w:sz w:val="28"/>
                          </w:rPr>
                          <w:t>7</w:t>
                        </w:r>
                      </w:p>
                      <w:p>
                        <w:pPr>
                          <w:spacing w:before="216"/>
                          <w:ind w:left="0" w:right="0" w:firstLine="0"/>
                          <w:jc w:val="left"/>
                          <w:rPr>
                            <w:rFonts w:ascii="Calibri"/>
                            <w:sz w:val="28"/>
                          </w:rPr>
                        </w:pPr>
                        <w:r>
                          <w:rPr>
                            <w:rFonts w:ascii="Calibri"/>
                            <w:spacing w:val="-10"/>
                            <w:w w:val="80"/>
                            <w:sz w:val="28"/>
                          </w:rPr>
                          <w:t>6</w:t>
                        </w:r>
                      </w:p>
                      <w:p>
                        <w:pPr>
                          <w:spacing w:before="216"/>
                          <w:ind w:left="0" w:right="0" w:firstLine="0"/>
                          <w:jc w:val="left"/>
                          <w:rPr>
                            <w:rFonts w:ascii="Calibri"/>
                            <w:sz w:val="28"/>
                          </w:rPr>
                        </w:pPr>
                        <w:r>
                          <w:rPr>
                            <w:rFonts w:ascii="Calibri"/>
                            <w:spacing w:val="-10"/>
                            <w:w w:val="80"/>
                            <w:sz w:val="28"/>
                          </w:rPr>
                          <w:t>5</w:t>
                        </w:r>
                      </w:p>
                      <w:p>
                        <w:pPr>
                          <w:spacing w:before="216"/>
                          <w:ind w:left="0" w:right="0" w:firstLine="0"/>
                          <w:jc w:val="left"/>
                          <w:rPr>
                            <w:rFonts w:ascii="Calibri"/>
                            <w:sz w:val="28"/>
                          </w:rPr>
                        </w:pPr>
                        <w:r>
                          <w:rPr>
                            <w:rFonts w:ascii="Calibri"/>
                            <w:spacing w:val="-10"/>
                            <w:w w:val="80"/>
                            <w:sz w:val="28"/>
                          </w:rPr>
                          <w:t>4</w:t>
                        </w:r>
                      </w:p>
                      <w:p>
                        <w:pPr>
                          <w:spacing w:before="216"/>
                          <w:ind w:left="0" w:right="0" w:firstLine="0"/>
                          <w:jc w:val="left"/>
                          <w:rPr>
                            <w:rFonts w:ascii="Calibri"/>
                            <w:sz w:val="28"/>
                          </w:rPr>
                        </w:pPr>
                        <w:r>
                          <w:rPr>
                            <w:rFonts w:ascii="Calibri"/>
                            <w:spacing w:val="-10"/>
                            <w:w w:val="80"/>
                            <w:sz w:val="28"/>
                          </w:rPr>
                          <w:t>3</w:t>
                        </w:r>
                      </w:p>
                      <w:p>
                        <w:pPr>
                          <w:spacing w:before="215"/>
                          <w:ind w:left="0" w:right="0" w:firstLine="0"/>
                          <w:jc w:val="left"/>
                          <w:rPr>
                            <w:rFonts w:ascii="Calibri"/>
                            <w:sz w:val="28"/>
                          </w:rPr>
                        </w:pPr>
                        <w:r>
                          <w:rPr>
                            <w:rFonts w:ascii="Calibri"/>
                            <w:spacing w:val="-10"/>
                            <w:w w:val="80"/>
                            <w:sz w:val="28"/>
                          </w:rPr>
                          <w:t>2</w:t>
                        </w:r>
                      </w:p>
                      <w:p>
                        <w:pPr>
                          <w:spacing w:before="216"/>
                          <w:ind w:left="0" w:right="0" w:firstLine="0"/>
                          <w:jc w:val="left"/>
                          <w:rPr>
                            <w:rFonts w:ascii="Calibri"/>
                            <w:sz w:val="28"/>
                          </w:rPr>
                        </w:pPr>
                        <w:r>
                          <w:rPr>
                            <w:rFonts w:ascii="Calibri"/>
                            <w:spacing w:val="-10"/>
                            <w:w w:val="80"/>
                            <w:sz w:val="28"/>
                          </w:rPr>
                          <w:t>1</w:t>
                        </w:r>
                      </w:p>
                      <w:p>
                        <w:pPr>
                          <w:spacing w:line="336" w:lineRule="exact" w:before="216"/>
                          <w:ind w:left="0" w:right="0" w:firstLine="0"/>
                          <w:jc w:val="left"/>
                          <w:rPr>
                            <w:rFonts w:ascii="Calibri"/>
                            <w:sz w:val="28"/>
                          </w:rPr>
                        </w:pPr>
                        <w:r>
                          <w:rPr>
                            <w:rFonts w:ascii="Calibri"/>
                            <w:spacing w:val="-10"/>
                            <w:w w:val="80"/>
                            <w:sz w:val="28"/>
                          </w:rPr>
                          <w:t>0</w:t>
                        </w:r>
                      </w:p>
                    </w:txbxContent>
                  </v:textbox>
                  <w10:wrap type="none"/>
                </v:shape>
                <v:shape style="position:absolute;left:2927;top:7554;width:119;height:279" type="#_x0000_t202" id="docshape270" filled="false" stroked="false">
                  <v:textbox inset="0,0,0,0">
                    <w:txbxContent>
                      <w:p>
                        <w:pPr>
                          <w:spacing w:line="279" w:lineRule="exact" w:before="0"/>
                          <w:ind w:left="0" w:right="0" w:firstLine="0"/>
                          <w:jc w:val="left"/>
                          <w:rPr>
                            <w:rFonts w:ascii="Calibri"/>
                            <w:sz w:val="28"/>
                          </w:rPr>
                        </w:pPr>
                        <w:r>
                          <w:rPr>
                            <w:rFonts w:ascii="Calibri"/>
                            <w:spacing w:val="-10"/>
                            <w:w w:val="80"/>
                            <w:sz w:val="28"/>
                          </w:rPr>
                          <w:t>0</w:t>
                        </w:r>
                      </w:p>
                    </w:txbxContent>
                  </v:textbox>
                  <w10:wrap type="none"/>
                </v:shape>
                <v:shape style="position:absolute;left:4218;top:7554;width:284;height:279" type="#_x0000_t202" id="docshape271" filled="false" stroked="false">
                  <v:textbox inset="0,0,0,0">
                    <w:txbxContent>
                      <w:p>
                        <w:pPr>
                          <w:spacing w:line="279" w:lineRule="exact" w:before="0"/>
                          <w:ind w:left="0" w:right="0" w:firstLine="0"/>
                          <w:jc w:val="left"/>
                          <w:rPr>
                            <w:rFonts w:ascii="Calibri"/>
                            <w:sz w:val="28"/>
                          </w:rPr>
                        </w:pPr>
                        <w:r>
                          <w:rPr>
                            <w:rFonts w:ascii="Calibri"/>
                            <w:spacing w:val="-5"/>
                            <w:w w:val="75"/>
                            <w:sz w:val="28"/>
                          </w:rPr>
                          <w:t>0.5</w:t>
                        </w:r>
                      </w:p>
                    </w:txbxContent>
                  </v:textbox>
                  <w10:wrap type="none"/>
                </v:shape>
                <v:shape style="position:absolute;left:5688;top:7554;width:119;height:279" type="#_x0000_t202" id="docshape272" filled="false" stroked="false">
                  <v:textbox inset="0,0,0,0">
                    <w:txbxContent>
                      <w:p>
                        <w:pPr>
                          <w:spacing w:line="279" w:lineRule="exact" w:before="0"/>
                          <w:ind w:left="0" w:right="0" w:firstLine="0"/>
                          <w:jc w:val="left"/>
                          <w:rPr>
                            <w:rFonts w:ascii="Calibri"/>
                            <w:sz w:val="28"/>
                          </w:rPr>
                        </w:pPr>
                        <w:r>
                          <w:rPr>
                            <w:rFonts w:ascii="Calibri"/>
                            <w:spacing w:val="-10"/>
                            <w:w w:val="80"/>
                            <w:sz w:val="28"/>
                          </w:rPr>
                          <w:t>1</w:t>
                        </w:r>
                      </w:p>
                    </w:txbxContent>
                  </v:textbox>
                  <w10:wrap type="none"/>
                </v:shape>
                <v:shape style="position:absolute;left:6978;top:7554;width:284;height:279" type="#_x0000_t202" id="docshape273" filled="false" stroked="false">
                  <v:textbox inset="0,0,0,0">
                    <w:txbxContent>
                      <w:p>
                        <w:pPr>
                          <w:spacing w:line="279" w:lineRule="exact" w:before="0"/>
                          <w:ind w:left="0" w:right="0" w:firstLine="0"/>
                          <w:jc w:val="left"/>
                          <w:rPr>
                            <w:rFonts w:ascii="Calibri"/>
                            <w:sz w:val="28"/>
                          </w:rPr>
                        </w:pPr>
                        <w:r>
                          <w:rPr>
                            <w:rFonts w:ascii="Calibri"/>
                            <w:spacing w:val="-5"/>
                            <w:w w:val="75"/>
                            <w:sz w:val="28"/>
                          </w:rPr>
                          <w:t>1.5</w:t>
                        </w:r>
                      </w:p>
                    </w:txbxContent>
                  </v:textbox>
                  <w10:wrap type="none"/>
                </v:shape>
                <v:shape style="position:absolute;left:8448;top:7554;width:119;height:279" type="#_x0000_t202" id="docshape274" filled="false" stroked="false">
                  <v:textbox inset="0,0,0,0">
                    <w:txbxContent>
                      <w:p>
                        <w:pPr>
                          <w:spacing w:line="279" w:lineRule="exact" w:before="0"/>
                          <w:ind w:left="0" w:right="0" w:firstLine="0"/>
                          <w:jc w:val="left"/>
                          <w:rPr>
                            <w:rFonts w:ascii="Calibri"/>
                            <w:sz w:val="28"/>
                          </w:rPr>
                        </w:pPr>
                        <w:r>
                          <w:rPr>
                            <w:rFonts w:ascii="Calibri"/>
                            <w:spacing w:val="-10"/>
                            <w:w w:val="80"/>
                            <w:sz w:val="28"/>
                          </w:rPr>
                          <w:t>2</w:t>
                        </w:r>
                      </w:p>
                    </w:txbxContent>
                  </v:textbox>
                  <w10:wrap type="none"/>
                </v:shape>
                <v:shape style="position:absolute;left:9739;top:7554;width:284;height:279" type="#_x0000_t202" id="docshape275" filled="false" stroked="false">
                  <v:textbox inset="0,0,0,0">
                    <w:txbxContent>
                      <w:p>
                        <w:pPr>
                          <w:spacing w:line="279" w:lineRule="exact" w:before="0"/>
                          <w:ind w:left="0" w:right="0" w:firstLine="0"/>
                          <w:jc w:val="left"/>
                          <w:rPr>
                            <w:rFonts w:ascii="Calibri"/>
                            <w:sz w:val="28"/>
                          </w:rPr>
                        </w:pPr>
                        <w:r>
                          <w:rPr>
                            <w:rFonts w:ascii="Calibri"/>
                            <w:spacing w:val="-5"/>
                            <w:w w:val="75"/>
                            <w:sz w:val="28"/>
                          </w:rPr>
                          <w:t>2.5</w:t>
                        </w:r>
                      </w:p>
                    </w:txbxContent>
                  </v:textbox>
                  <w10:wrap type="none"/>
                </v:shape>
                <v:shape style="position:absolute;left:5973;top:8219;width:882;height:279" type="#_x0000_t202" id="docshape276" filled="false" stroked="false">
                  <v:textbox inset="0,0,0,0">
                    <w:txbxContent>
                      <w:p>
                        <w:pPr>
                          <w:spacing w:line="279" w:lineRule="exact" w:before="0"/>
                          <w:ind w:left="0" w:right="0" w:firstLine="0"/>
                          <w:jc w:val="left"/>
                          <w:rPr>
                            <w:rFonts w:ascii="Calibri"/>
                            <w:b/>
                            <w:sz w:val="28"/>
                          </w:rPr>
                        </w:pPr>
                        <w:r>
                          <w:rPr>
                            <w:rFonts w:ascii="Calibri"/>
                            <w:b/>
                            <w:w w:val="75"/>
                            <w:sz w:val="28"/>
                          </w:rPr>
                          <w:t>L</w:t>
                        </w:r>
                        <w:r>
                          <w:rPr>
                            <w:rFonts w:ascii="Calibri"/>
                            <w:b/>
                            <w:spacing w:val="-12"/>
                            <w:w w:val="75"/>
                            <w:sz w:val="28"/>
                          </w:rPr>
                          <w:t> </w:t>
                        </w:r>
                        <w:r>
                          <w:rPr>
                            <w:rFonts w:ascii="Calibri"/>
                            <w:b/>
                            <w:w w:val="75"/>
                            <w:sz w:val="28"/>
                          </w:rPr>
                          <w:t>og</w:t>
                        </w:r>
                        <w:r>
                          <w:rPr>
                            <w:rFonts w:ascii="Calibri"/>
                            <w:b/>
                            <w:spacing w:val="13"/>
                            <w:sz w:val="28"/>
                          </w:rPr>
                          <w:t> </w:t>
                        </w:r>
                        <w:r>
                          <w:rPr>
                            <w:rFonts w:ascii="Calibri"/>
                            <w:b/>
                            <w:spacing w:val="5"/>
                            <w:w w:val="70"/>
                            <w:sz w:val="28"/>
                          </w:rPr>
                          <w:t>Dose</w:t>
                        </w:r>
                      </w:p>
                    </w:txbxContent>
                  </v:textbox>
                  <w10:wrap type="none"/>
                </v:shape>
                <w10:wrap type="none"/>
              </v:group>
            </w:pict>
          </mc:Fallback>
        </mc:AlternateContent>
      </w:r>
      <w:r>
        <w:rPr>
          <w:b/>
          <w:sz w:val="24"/>
        </w:rPr>
        <w:t>Log</w:t>
      </w:r>
      <w:r>
        <w:rPr>
          <w:b/>
          <w:spacing w:val="-2"/>
          <w:sz w:val="24"/>
        </w:rPr>
        <w:t> </w:t>
      </w:r>
      <w:r>
        <w:rPr>
          <w:b/>
          <w:sz w:val="24"/>
        </w:rPr>
        <w:t>Dose</w:t>
      </w:r>
      <w:r>
        <w:rPr>
          <w:b/>
          <w:spacing w:val="-2"/>
          <w:sz w:val="24"/>
        </w:rPr>
        <w:t> </w:t>
      </w:r>
      <w:r>
        <w:rPr>
          <w:b/>
          <w:sz w:val="24"/>
        </w:rPr>
        <w:t>– Probit</w:t>
      </w:r>
      <w:r>
        <w:rPr>
          <w:b/>
          <w:spacing w:val="2"/>
          <w:sz w:val="24"/>
        </w:rPr>
        <w:t> </w:t>
      </w:r>
      <w:r>
        <w:rPr>
          <w:b/>
          <w:sz w:val="24"/>
        </w:rPr>
        <w:t>Values</w:t>
      </w:r>
      <w:r>
        <w:rPr>
          <w:b/>
          <w:spacing w:val="-2"/>
          <w:sz w:val="24"/>
        </w:rPr>
        <w:t> </w:t>
      </w:r>
      <w:r>
        <w:rPr>
          <w:b/>
          <w:sz w:val="24"/>
        </w:rPr>
        <w:t>for</w:t>
      </w:r>
      <w:r>
        <w:rPr>
          <w:b/>
          <w:spacing w:val="-7"/>
          <w:sz w:val="24"/>
        </w:rPr>
        <w:t> </w:t>
      </w:r>
      <w:r>
        <w:rPr>
          <w:b/>
          <w:sz w:val="24"/>
        </w:rPr>
        <w:t>TD</w:t>
      </w:r>
      <w:r>
        <w:rPr>
          <w:b/>
          <w:sz w:val="24"/>
          <w:vertAlign w:val="subscript"/>
        </w:rPr>
        <w:t>50</w:t>
      </w:r>
      <w:r>
        <w:rPr>
          <w:b/>
          <w:spacing w:val="-20"/>
          <w:sz w:val="24"/>
          <w:vertAlign w:val="baseline"/>
        </w:rPr>
        <w:t> </w:t>
      </w:r>
      <w:r>
        <w:rPr>
          <w:b/>
          <w:sz w:val="24"/>
          <w:vertAlign w:val="baseline"/>
        </w:rPr>
        <w:t>of</w:t>
      </w:r>
      <w:r>
        <w:rPr>
          <w:b/>
          <w:spacing w:val="-3"/>
          <w:sz w:val="24"/>
          <w:vertAlign w:val="baseline"/>
        </w:rPr>
        <w:t> </w:t>
      </w:r>
      <w:r>
        <w:rPr>
          <w:b/>
          <w:spacing w:val="-4"/>
          <w:sz w:val="24"/>
          <w:vertAlign w:val="baseline"/>
        </w:rPr>
        <w:t>DCP25</w:t>
      </w:r>
    </w:p>
    <w:p>
      <w:pPr>
        <w:pStyle w:val="BodyText"/>
        <w:spacing w:before="109"/>
        <w:rPr>
          <w:b/>
          <w:sz w:val="20"/>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040"/>
      </w:tblGrid>
      <w:tr>
        <w:trPr>
          <w:trHeight w:val="252" w:hRule="atLeast"/>
        </w:trPr>
        <w:tc>
          <w:tcPr>
            <w:tcW w:w="1040" w:type="dxa"/>
          </w:tcPr>
          <w:p>
            <w:pPr>
              <w:pStyle w:val="TableParagraph"/>
              <w:spacing w:line="225" w:lineRule="exact"/>
              <w:ind w:left="50"/>
              <w:rPr>
                <w:rFonts w:ascii="Calibri"/>
                <w:sz w:val="22"/>
              </w:rPr>
            </w:pPr>
            <w:r>
              <w:rPr>
                <w:rFonts w:ascii="Calibri"/>
                <w:sz w:val="22"/>
              </w:rPr>
              <w:t>Log</w:t>
            </w:r>
            <w:r>
              <w:rPr>
                <w:rFonts w:ascii="Calibri"/>
                <w:spacing w:val="-5"/>
                <w:sz w:val="22"/>
              </w:rPr>
              <w:t> </w:t>
            </w:r>
            <w:r>
              <w:rPr>
                <w:rFonts w:ascii="Calibri"/>
                <w:spacing w:val="-4"/>
                <w:sz w:val="22"/>
              </w:rPr>
              <w:t>Dose</w:t>
            </w:r>
          </w:p>
        </w:tc>
        <w:tc>
          <w:tcPr>
            <w:tcW w:w="1040" w:type="dxa"/>
          </w:tcPr>
          <w:p>
            <w:pPr>
              <w:pStyle w:val="TableParagraph"/>
              <w:spacing w:line="225" w:lineRule="exact"/>
              <w:ind w:left="109"/>
              <w:rPr>
                <w:rFonts w:ascii="Calibri"/>
                <w:sz w:val="22"/>
              </w:rPr>
            </w:pPr>
            <w:r>
              <w:rPr>
                <w:rFonts w:ascii="Calibri"/>
                <w:spacing w:val="-2"/>
                <w:sz w:val="22"/>
              </w:rPr>
              <w:t>Probit</w:t>
            </w:r>
          </w:p>
        </w:tc>
      </w:tr>
      <w:tr>
        <w:trPr>
          <w:trHeight w:val="285" w:hRule="atLeast"/>
        </w:trPr>
        <w:tc>
          <w:tcPr>
            <w:tcW w:w="1040" w:type="dxa"/>
          </w:tcPr>
          <w:p>
            <w:pPr>
              <w:pStyle w:val="TableParagraph"/>
              <w:spacing w:line="256" w:lineRule="exact"/>
              <w:ind w:right="108"/>
              <w:jc w:val="right"/>
              <w:rPr>
                <w:rFonts w:ascii="Calibri"/>
                <w:sz w:val="22"/>
              </w:rPr>
            </w:pPr>
            <w:r>
              <w:rPr>
                <w:rFonts w:ascii="Calibri"/>
                <w:spacing w:val="-5"/>
                <w:sz w:val="22"/>
              </w:rPr>
              <w:t>1.7</w:t>
            </w:r>
          </w:p>
        </w:tc>
        <w:tc>
          <w:tcPr>
            <w:tcW w:w="1040" w:type="dxa"/>
          </w:tcPr>
          <w:p>
            <w:pPr>
              <w:pStyle w:val="TableParagraph"/>
              <w:spacing w:line="256" w:lineRule="exact"/>
              <w:ind w:right="48"/>
              <w:jc w:val="right"/>
              <w:rPr>
                <w:rFonts w:ascii="Calibri"/>
                <w:sz w:val="22"/>
              </w:rPr>
            </w:pPr>
            <w:r>
              <w:rPr>
                <w:rFonts w:ascii="Calibri"/>
                <w:spacing w:val="-4"/>
                <w:sz w:val="22"/>
              </w:rPr>
              <w:t>3.25</w:t>
            </w: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4"/>
                <w:sz w:val="22"/>
              </w:rPr>
              <w:t>1.88</w:t>
            </w:r>
          </w:p>
        </w:tc>
        <w:tc>
          <w:tcPr>
            <w:tcW w:w="1040" w:type="dxa"/>
          </w:tcPr>
          <w:p>
            <w:pPr>
              <w:pStyle w:val="TableParagraph"/>
              <w:spacing w:line="258" w:lineRule="exact"/>
              <w:ind w:right="48"/>
              <w:jc w:val="right"/>
              <w:rPr>
                <w:rFonts w:ascii="Calibri"/>
                <w:sz w:val="22"/>
              </w:rPr>
            </w:pPr>
            <w:r>
              <w:rPr>
                <w:rFonts w:ascii="Calibri"/>
                <w:spacing w:val="-4"/>
                <w:sz w:val="22"/>
              </w:rPr>
              <w:t>4.53</w:t>
            </w:r>
          </w:p>
        </w:tc>
      </w:tr>
      <w:tr>
        <w:trPr>
          <w:trHeight w:val="283" w:hRule="atLeast"/>
        </w:trPr>
        <w:tc>
          <w:tcPr>
            <w:tcW w:w="1040" w:type="dxa"/>
          </w:tcPr>
          <w:p>
            <w:pPr>
              <w:pStyle w:val="TableParagraph"/>
              <w:spacing w:line="256" w:lineRule="exact"/>
              <w:ind w:right="108"/>
              <w:jc w:val="right"/>
              <w:rPr>
                <w:rFonts w:ascii="Calibri"/>
                <w:sz w:val="22"/>
              </w:rPr>
            </w:pPr>
            <w:r>
              <w:rPr>
                <w:rFonts w:ascii="Calibri"/>
                <w:spacing w:val="-10"/>
                <w:sz w:val="22"/>
              </w:rPr>
              <w:t>2</w:t>
            </w:r>
          </w:p>
        </w:tc>
        <w:tc>
          <w:tcPr>
            <w:tcW w:w="1040" w:type="dxa"/>
          </w:tcPr>
          <w:p>
            <w:pPr>
              <w:pStyle w:val="TableParagraph"/>
              <w:spacing w:line="256" w:lineRule="exact"/>
              <w:ind w:right="48"/>
              <w:jc w:val="right"/>
              <w:rPr>
                <w:rFonts w:ascii="Calibri"/>
                <w:sz w:val="22"/>
              </w:rPr>
            </w:pPr>
            <w:r>
              <w:rPr>
                <w:rFonts w:ascii="Calibri"/>
                <w:spacing w:val="-10"/>
                <w:sz w:val="22"/>
              </w:rPr>
              <w:t>5</w:t>
            </w:r>
          </w:p>
        </w:tc>
      </w:tr>
      <w:tr>
        <w:trPr>
          <w:trHeight w:val="252" w:hRule="atLeast"/>
        </w:trPr>
        <w:tc>
          <w:tcPr>
            <w:tcW w:w="1040" w:type="dxa"/>
          </w:tcPr>
          <w:p>
            <w:pPr>
              <w:pStyle w:val="TableParagraph"/>
              <w:spacing w:line="232" w:lineRule="exact"/>
              <w:ind w:right="108"/>
              <w:jc w:val="right"/>
              <w:rPr>
                <w:rFonts w:ascii="Calibri"/>
                <w:sz w:val="22"/>
              </w:rPr>
            </w:pPr>
            <w:r>
              <w:rPr>
                <w:rFonts w:ascii="Calibri"/>
                <w:spacing w:val="-4"/>
                <w:sz w:val="22"/>
              </w:rPr>
              <w:t>2.18</w:t>
            </w:r>
          </w:p>
        </w:tc>
        <w:tc>
          <w:tcPr>
            <w:tcW w:w="1040" w:type="dxa"/>
          </w:tcPr>
          <w:p>
            <w:pPr>
              <w:pStyle w:val="TableParagraph"/>
              <w:spacing w:line="232" w:lineRule="exact"/>
              <w:ind w:right="48"/>
              <w:jc w:val="right"/>
              <w:rPr>
                <w:rFonts w:ascii="Calibri"/>
                <w:sz w:val="22"/>
              </w:rPr>
            </w:pPr>
            <w:r>
              <w:rPr>
                <w:rFonts w:ascii="Calibri"/>
                <w:spacing w:val="-4"/>
                <w:sz w:val="22"/>
              </w:rPr>
              <w:t>6.64</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9"/>
        <w:rPr>
          <w:b/>
        </w:rPr>
      </w:pPr>
    </w:p>
    <w:p>
      <w:pPr>
        <w:pStyle w:val="BodyText"/>
        <w:spacing w:line="480" w:lineRule="auto"/>
        <w:ind w:left="681"/>
      </w:pPr>
      <w:r>
        <w:rPr/>
        <mc:AlternateContent>
          <mc:Choice Requires="wps">
            <w:drawing>
              <wp:anchor distT="0" distB="0" distL="0" distR="0" allowOverlap="1" layoutInCell="1" locked="0" behindDoc="0" simplePos="0" relativeHeight="15810048">
                <wp:simplePos x="0" y="0"/>
                <wp:positionH relativeFrom="page">
                  <wp:posOffset>1457977</wp:posOffset>
                </wp:positionH>
                <wp:positionV relativeFrom="paragraph">
                  <wp:posOffset>-2587299</wp:posOffset>
                </wp:positionV>
                <wp:extent cx="149860" cy="54800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49860" cy="548005"/>
                        </a:xfrm>
                        <a:prstGeom prst="rect">
                          <a:avLst/>
                        </a:prstGeom>
                      </wps:spPr>
                      <wps:txbx>
                        <w:txbxContent>
                          <w:p>
                            <w:pPr>
                              <w:spacing w:line="217" w:lineRule="exact" w:before="0"/>
                              <w:ind w:left="20" w:right="0" w:firstLine="0"/>
                              <w:jc w:val="left"/>
                              <w:rPr>
                                <w:rFonts w:ascii="Calibri"/>
                                <w:b/>
                                <w:sz w:val="19"/>
                              </w:rPr>
                            </w:pPr>
                            <w:r>
                              <w:rPr>
                                <w:rFonts w:ascii="Calibri"/>
                                <w:b/>
                                <w:w w:val="145"/>
                                <w:sz w:val="19"/>
                              </w:rPr>
                              <w:t>P</w:t>
                            </w:r>
                            <w:r>
                              <w:rPr>
                                <w:rFonts w:ascii="Calibri"/>
                                <w:b/>
                                <w:spacing w:val="-18"/>
                                <w:w w:val="145"/>
                                <w:sz w:val="19"/>
                              </w:rPr>
                              <w:t> </w:t>
                            </w:r>
                            <w:r>
                              <w:rPr>
                                <w:rFonts w:ascii="Calibri"/>
                                <w:b/>
                                <w:spacing w:val="9"/>
                                <w:w w:val="145"/>
                                <w:sz w:val="19"/>
                              </w:rPr>
                              <w:t>robit</w:t>
                            </w:r>
                          </w:p>
                        </w:txbxContent>
                      </wps:txbx>
                      <wps:bodyPr wrap="square" lIns="0" tIns="0" rIns="0" bIns="0" rtlCol="0" vert="vert270">
                        <a:noAutofit/>
                      </wps:bodyPr>
                    </wps:wsp>
                  </a:graphicData>
                </a:graphic>
              </wp:anchor>
            </w:drawing>
          </mc:Choice>
          <mc:Fallback>
            <w:pict>
              <v:shape style="position:absolute;margin-left:114.801361pt;margin-top:-203.72435pt;width:11.8pt;height:43.15pt;mso-position-horizontal-relative:page;mso-position-vertical-relative:paragraph;z-index:15810048" type="#_x0000_t202" id="docshape277" filled="false" stroked="false">
                <v:textbox inset="0,0,0,0" style="layout-flow:vertical;mso-layout-flow-alt:bottom-to-top">
                  <w:txbxContent>
                    <w:p>
                      <w:pPr>
                        <w:spacing w:line="217" w:lineRule="exact" w:before="0"/>
                        <w:ind w:left="20" w:right="0" w:firstLine="0"/>
                        <w:jc w:val="left"/>
                        <w:rPr>
                          <w:rFonts w:ascii="Calibri"/>
                          <w:b/>
                          <w:sz w:val="19"/>
                        </w:rPr>
                      </w:pPr>
                      <w:r>
                        <w:rPr>
                          <w:rFonts w:ascii="Calibri"/>
                          <w:b/>
                          <w:w w:val="145"/>
                          <w:sz w:val="19"/>
                        </w:rPr>
                        <w:t>P</w:t>
                      </w:r>
                      <w:r>
                        <w:rPr>
                          <w:rFonts w:ascii="Calibri"/>
                          <w:b/>
                          <w:spacing w:val="-18"/>
                          <w:w w:val="145"/>
                          <w:sz w:val="19"/>
                        </w:rPr>
                        <w:t> </w:t>
                      </w:r>
                      <w:r>
                        <w:rPr>
                          <w:rFonts w:ascii="Calibri"/>
                          <w:b/>
                          <w:spacing w:val="9"/>
                          <w:w w:val="145"/>
                          <w:sz w:val="19"/>
                        </w:rPr>
                        <w:t>robit</w:t>
                      </w:r>
                    </w:p>
                  </w:txbxContent>
                </v:textbox>
                <w10:wrap type="none"/>
              </v:shape>
            </w:pict>
          </mc:Fallback>
        </mc:AlternateContent>
      </w:r>
      <w:r>
        <w:rPr>
          <w:b/>
        </w:rPr>
        <w:t>FIGURE 3: </w:t>
      </w:r>
      <w:r>
        <w:rPr/>
        <w:t>Graphical Determination of TD</w:t>
      </w:r>
      <w:r>
        <w:rPr>
          <w:vertAlign w:val="subscript"/>
        </w:rPr>
        <w:t>50</w:t>
      </w:r>
      <w:r>
        <w:rPr>
          <w:vertAlign w:val="baseline"/>
        </w:rPr>
        <w:t> for DCP25 using Beam Walking Test for Motor Coordination Deficit</w:t>
      </w:r>
    </w:p>
    <w:p>
      <w:pPr>
        <w:spacing w:after="0" w:line="480" w:lineRule="auto"/>
        <w:sectPr>
          <w:pgSz w:w="12240" w:h="15840"/>
          <w:pgMar w:header="0" w:footer="1066" w:top="1360" w:bottom="1260" w:left="1480" w:right="1160"/>
        </w:sectPr>
      </w:pPr>
    </w:p>
    <w:p>
      <w:pPr>
        <w:pStyle w:val="Heading2"/>
        <w:spacing w:line="480" w:lineRule="auto" w:before="77"/>
        <w:jc w:val="left"/>
      </w:pPr>
      <w:r>
        <w:rPr/>
        <w:t>APPENDIX</w:t>
      </w:r>
      <w:r>
        <w:rPr>
          <w:spacing w:val="40"/>
        </w:rPr>
        <w:t> </w:t>
      </w:r>
      <w:r>
        <w:rPr/>
        <w:t>D:</w:t>
      </w:r>
      <w:r>
        <w:rPr>
          <w:spacing w:val="40"/>
        </w:rPr>
        <w:t> </w:t>
      </w:r>
      <w:r>
        <w:rPr/>
        <w:t>Determination</w:t>
      </w:r>
      <w:r>
        <w:rPr>
          <w:spacing w:val="40"/>
        </w:rPr>
        <w:t> </w:t>
      </w:r>
      <w:r>
        <w:rPr/>
        <w:t>of</w:t>
      </w:r>
      <w:r>
        <w:rPr>
          <w:spacing w:val="40"/>
        </w:rPr>
        <w:t> </w:t>
      </w:r>
      <w:r>
        <w:rPr/>
        <w:t>ED</w:t>
      </w:r>
      <w:r>
        <w:rPr>
          <w:vertAlign w:val="subscript"/>
        </w:rPr>
        <w:t>50</w:t>
      </w:r>
      <w:r>
        <w:rPr>
          <w:spacing w:val="40"/>
          <w:vertAlign w:val="baseline"/>
        </w:rPr>
        <w:t> </w:t>
      </w:r>
      <w:r>
        <w:rPr>
          <w:vertAlign w:val="baseline"/>
        </w:rPr>
        <w:t>for</w:t>
      </w:r>
      <w:r>
        <w:rPr>
          <w:spacing w:val="40"/>
          <w:vertAlign w:val="baseline"/>
        </w:rPr>
        <w:t> </w:t>
      </w:r>
      <w:r>
        <w:rPr>
          <w:vertAlign w:val="baseline"/>
        </w:rPr>
        <w:t>DCP25</w:t>
      </w:r>
      <w:r>
        <w:rPr>
          <w:spacing w:val="40"/>
          <w:vertAlign w:val="baseline"/>
        </w:rPr>
        <w:t> </w:t>
      </w:r>
      <w:r>
        <w:rPr>
          <w:vertAlign w:val="baseline"/>
        </w:rPr>
        <w:t>Using</w:t>
      </w:r>
      <w:r>
        <w:rPr>
          <w:spacing w:val="40"/>
          <w:vertAlign w:val="baseline"/>
        </w:rPr>
        <w:t> </w:t>
      </w:r>
      <w:r>
        <w:rPr>
          <w:vertAlign w:val="baseline"/>
        </w:rPr>
        <w:t>Maximal</w:t>
      </w:r>
      <w:r>
        <w:rPr>
          <w:spacing w:val="40"/>
          <w:vertAlign w:val="baseline"/>
        </w:rPr>
        <w:t> </w:t>
      </w:r>
      <w:r>
        <w:rPr>
          <w:vertAlign w:val="baseline"/>
        </w:rPr>
        <w:t>electroshock- induced Seizure Test</w:t>
      </w:r>
    </w:p>
    <w:p>
      <w:pPr>
        <w:spacing w:before="274"/>
        <w:ind w:left="681" w:right="0" w:firstLine="0"/>
        <w:jc w:val="left"/>
        <w:rPr>
          <w:b/>
          <w:sz w:val="24"/>
        </w:rPr>
      </w:pPr>
      <w:r>
        <w:rPr/>
        <mc:AlternateContent>
          <mc:Choice Requires="wps">
            <w:drawing>
              <wp:anchor distT="0" distB="0" distL="0" distR="0" allowOverlap="1" layoutInCell="1" locked="0" behindDoc="0" simplePos="0" relativeHeight="15810560">
                <wp:simplePos x="0" y="0"/>
                <wp:positionH relativeFrom="page">
                  <wp:posOffset>1414068</wp:posOffset>
                </wp:positionH>
                <wp:positionV relativeFrom="paragraph">
                  <wp:posOffset>2030745</wp:posOffset>
                </wp:positionV>
                <wp:extent cx="5062855" cy="3772535"/>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5062855" cy="3772535"/>
                          <a:chExt cx="5062855" cy="3772535"/>
                        </a:xfrm>
                      </wpg:grpSpPr>
                      <wps:wsp>
                        <wps:cNvPr id="386" name="Graphic 386"/>
                        <wps:cNvSpPr/>
                        <wps:spPr>
                          <a:xfrm>
                            <a:off x="6604" y="6604"/>
                            <a:ext cx="5050155" cy="3759835"/>
                          </a:xfrm>
                          <a:custGeom>
                            <a:avLst/>
                            <a:gdLst/>
                            <a:ahLst/>
                            <a:cxnLst/>
                            <a:rect l="l" t="t" r="r" b="b"/>
                            <a:pathLst>
                              <a:path w="5050155" h="3759835">
                                <a:moveTo>
                                  <a:pt x="0" y="3759212"/>
                                </a:moveTo>
                                <a:lnTo>
                                  <a:pt x="5049632" y="3759212"/>
                                </a:lnTo>
                                <a:lnTo>
                                  <a:pt x="5049632" y="0"/>
                                </a:lnTo>
                                <a:lnTo>
                                  <a:pt x="0" y="0"/>
                                </a:lnTo>
                                <a:lnTo>
                                  <a:pt x="0" y="3759212"/>
                                </a:lnTo>
                                <a:close/>
                              </a:path>
                            </a:pathLst>
                          </a:custGeom>
                          <a:ln w="12486">
                            <a:solidFill>
                              <a:srgbClr val="808080"/>
                            </a:solidFill>
                            <a:prstDash val="solid"/>
                          </a:ln>
                        </wps:spPr>
                        <wps:bodyPr wrap="square" lIns="0" tIns="0" rIns="0" bIns="0" rtlCol="0">
                          <a:prstTxWarp prst="textNoShape">
                            <a:avLst/>
                          </a:prstTxWarp>
                          <a:noAutofit/>
                        </wps:bodyPr>
                      </wps:wsp>
                      <wps:wsp>
                        <wps:cNvPr id="387" name="Graphic 387"/>
                        <wps:cNvSpPr/>
                        <wps:spPr>
                          <a:xfrm>
                            <a:off x="478283" y="382148"/>
                            <a:ext cx="4373245" cy="2440940"/>
                          </a:xfrm>
                          <a:custGeom>
                            <a:avLst/>
                            <a:gdLst/>
                            <a:ahLst/>
                            <a:cxnLst/>
                            <a:rect l="l" t="t" r="r" b="b"/>
                            <a:pathLst>
                              <a:path w="4373245" h="2440940">
                                <a:moveTo>
                                  <a:pt x="0" y="2440331"/>
                                </a:moveTo>
                                <a:lnTo>
                                  <a:pt x="4373177" y="2440331"/>
                                </a:lnTo>
                              </a:path>
                              <a:path w="4373245" h="2440940">
                                <a:moveTo>
                                  <a:pt x="0" y="2383787"/>
                                </a:moveTo>
                                <a:lnTo>
                                  <a:pt x="4373177" y="2383787"/>
                                </a:lnTo>
                              </a:path>
                              <a:path w="4373245" h="2440940">
                                <a:moveTo>
                                  <a:pt x="0" y="2312636"/>
                                </a:moveTo>
                                <a:lnTo>
                                  <a:pt x="4373177" y="2312636"/>
                                </a:lnTo>
                              </a:path>
                              <a:path w="4373245" h="2440940">
                                <a:moveTo>
                                  <a:pt x="0" y="2256093"/>
                                </a:moveTo>
                                <a:lnTo>
                                  <a:pt x="4373177" y="2256093"/>
                                </a:lnTo>
                              </a:path>
                              <a:path w="4373245" h="2440940">
                                <a:moveTo>
                                  <a:pt x="0" y="2128398"/>
                                </a:moveTo>
                                <a:lnTo>
                                  <a:pt x="4373177" y="2128398"/>
                                </a:lnTo>
                              </a:path>
                              <a:path w="4373245" h="2440940">
                                <a:moveTo>
                                  <a:pt x="0" y="2057247"/>
                                </a:moveTo>
                                <a:lnTo>
                                  <a:pt x="4373177" y="2057247"/>
                                </a:lnTo>
                              </a:path>
                              <a:path w="4373245" h="2440940">
                                <a:moveTo>
                                  <a:pt x="0" y="2000704"/>
                                </a:moveTo>
                                <a:lnTo>
                                  <a:pt x="4373177" y="2000704"/>
                                </a:lnTo>
                              </a:path>
                              <a:path w="4373245" h="2440940">
                                <a:moveTo>
                                  <a:pt x="0" y="1929553"/>
                                </a:moveTo>
                                <a:lnTo>
                                  <a:pt x="4373177" y="1929553"/>
                                </a:lnTo>
                              </a:path>
                              <a:path w="4373245" h="2440940">
                                <a:moveTo>
                                  <a:pt x="0" y="1801858"/>
                                </a:moveTo>
                                <a:lnTo>
                                  <a:pt x="4373177" y="1801858"/>
                                </a:lnTo>
                              </a:path>
                              <a:path w="4373245" h="2440940">
                                <a:moveTo>
                                  <a:pt x="0" y="1731179"/>
                                </a:moveTo>
                                <a:lnTo>
                                  <a:pt x="4373177" y="1731179"/>
                                </a:lnTo>
                              </a:path>
                              <a:path w="4373245" h="2440940">
                                <a:moveTo>
                                  <a:pt x="0" y="1674164"/>
                                </a:moveTo>
                                <a:lnTo>
                                  <a:pt x="4373177" y="1674164"/>
                                </a:lnTo>
                              </a:path>
                              <a:path w="4373245" h="2440940">
                                <a:moveTo>
                                  <a:pt x="0" y="1603484"/>
                                </a:moveTo>
                                <a:lnTo>
                                  <a:pt x="4373177" y="1603484"/>
                                </a:lnTo>
                              </a:path>
                              <a:path w="4373245" h="2440940">
                                <a:moveTo>
                                  <a:pt x="0" y="1475790"/>
                                </a:moveTo>
                                <a:lnTo>
                                  <a:pt x="4373177" y="1475790"/>
                                </a:lnTo>
                              </a:path>
                              <a:path w="4373245" h="2440940">
                                <a:moveTo>
                                  <a:pt x="0" y="1418869"/>
                                </a:moveTo>
                                <a:lnTo>
                                  <a:pt x="4373177" y="1418869"/>
                                </a:lnTo>
                              </a:path>
                              <a:path w="4373245" h="2440940">
                                <a:moveTo>
                                  <a:pt x="0" y="1348189"/>
                                </a:moveTo>
                                <a:lnTo>
                                  <a:pt x="4373177" y="1348189"/>
                                </a:lnTo>
                              </a:path>
                              <a:path w="4373245" h="2440940">
                                <a:moveTo>
                                  <a:pt x="0" y="1291080"/>
                                </a:moveTo>
                                <a:lnTo>
                                  <a:pt x="4373177" y="1291080"/>
                                </a:lnTo>
                              </a:path>
                              <a:path w="4373245" h="2440940">
                                <a:moveTo>
                                  <a:pt x="0" y="1149344"/>
                                </a:moveTo>
                                <a:lnTo>
                                  <a:pt x="4373177" y="1149344"/>
                                </a:lnTo>
                              </a:path>
                              <a:path w="4373245" h="2440940">
                                <a:moveTo>
                                  <a:pt x="0" y="1092800"/>
                                </a:moveTo>
                                <a:lnTo>
                                  <a:pt x="4373177" y="1092800"/>
                                </a:lnTo>
                              </a:path>
                              <a:path w="4373245" h="2440940">
                                <a:moveTo>
                                  <a:pt x="0" y="1021555"/>
                                </a:moveTo>
                                <a:lnTo>
                                  <a:pt x="4373177" y="1021555"/>
                                </a:lnTo>
                              </a:path>
                              <a:path w="4373245" h="2440940">
                                <a:moveTo>
                                  <a:pt x="0" y="965012"/>
                                </a:moveTo>
                                <a:lnTo>
                                  <a:pt x="4373177" y="965012"/>
                                </a:lnTo>
                              </a:path>
                              <a:path w="4373245" h="2440940">
                                <a:moveTo>
                                  <a:pt x="0" y="837223"/>
                                </a:moveTo>
                                <a:lnTo>
                                  <a:pt x="4373177" y="837223"/>
                                </a:lnTo>
                              </a:path>
                              <a:path w="4373245" h="2440940">
                                <a:moveTo>
                                  <a:pt x="0" y="766166"/>
                                </a:moveTo>
                                <a:lnTo>
                                  <a:pt x="4373177" y="766166"/>
                                </a:lnTo>
                              </a:path>
                              <a:path w="4373245" h="2440940">
                                <a:moveTo>
                                  <a:pt x="0" y="709623"/>
                                </a:moveTo>
                                <a:lnTo>
                                  <a:pt x="4373177" y="709623"/>
                                </a:lnTo>
                              </a:path>
                              <a:path w="4373245" h="2440940">
                                <a:moveTo>
                                  <a:pt x="0" y="638378"/>
                                </a:moveTo>
                                <a:lnTo>
                                  <a:pt x="4373177" y="638378"/>
                                </a:lnTo>
                              </a:path>
                              <a:path w="4373245" h="2440940">
                                <a:moveTo>
                                  <a:pt x="0" y="510777"/>
                                </a:moveTo>
                                <a:lnTo>
                                  <a:pt x="4373177" y="510777"/>
                                </a:lnTo>
                              </a:path>
                              <a:path w="4373245" h="2440940">
                                <a:moveTo>
                                  <a:pt x="0" y="440098"/>
                                </a:moveTo>
                                <a:lnTo>
                                  <a:pt x="4373177" y="440098"/>
                                </a:lnTo>
                              </a:path>
                              <a:path w="4373245" h="2440940">
                                <a:moveTo>
                                  <a:pt x="0" y="382989"/>
                                </a:moveTo>
                                <a:lnTo>
                                  <a:pt x="4373177" y="382989"/>
                                </a:lnTo>
                              </a:path>
                              <a:path w="4373245" h="2440940">
                                <a:moveTo>
                                  <a:pt x="0" y="312309"/>
                                </a:moveTo>
                                <a:lnTo>
                                  <a:pt x="4373177" y="312309"/>
                                </a:lnTo>
                              </a:path>
                              <a:path w="4373245" h="2440940">
                                <a:moveTo>
                                  <a:pt x="0" y="184709"/>
                                </a:moveTo>
                                <a:lnTo>
                                  <a:pt x="4373177" y="184709"/>
                                </a:lnTo>
                              </a:path>
                              <a:path w="4373245" h="2440940">
                                <a:moveTo>
                                  <a:pt x="0" y="127788"/>
                                </a:moveTo>
                                <a:lnTo>
                                  <a:pt x="4373177" y="127788"/>
                                </a:lnTo>
                              </a:path>
                              <a:path w="4373245" h="2440940">
                                <a:moveTo>
                                  <a:pt x="0" y="57109"/>
                                </a:moveTo>
                                <a:lnTo>
                                  <a:pt x="4373177" y="57109"/>
                                </a:lnTo>
                              </a:path>
                              <a:path w="4373245" h="2440940">
                                <a:moveTo>
                                  <a:pt x="0" y="0"/>
                                </a:moveTo>
                                <a:lnTo>
                                  <a:pt x="4373177" y="0"/>
                                </a:lnTo>
                              </a:path>
                            </a:pathLst>
                          </a:custGeom>
                          <a:ln w="11822">
                            <a:solidFill>
                              <a:srgbClr val="C0C0C0"/>
                            </a:solidFill>
                            <a:prstDash val="solid"/>
                          </a:ln>
                        </wps:spPr>
                        <wps:bodyPr wrap="square" lIns="0" tIns="0" rIns="0" bIns="0" rtlCol="0">
                          <a:prstTxWarp prst="textNoShape">
                            <a:avLst/>
                          </a:prstTxWarp>
                          <a:noAutofit/>
                        </wps:bodyPr>
                      </wps:wsp>
                      <wps:wsp>
                        <wps:cNvPr id="388" name="Graphic 388"/>
                        <wps:cNvSpPr/>
                        <wps:spPr>
                          <a:xfrm>
                            <a:off x="478283" y="311468"/>
                            <a:ext cx="4373245" cy="2256155"/>
                          </a:xfrm>
                          <a:custGeom>
                            <a:avLst/>
                            <a:gdLst/>
                            <a:ahLst/>
                            <a:cxnLst/>
                            <a:rect l="l" t="t" r="r" b="b"/>
                            <a:pathLst>
                              <a:path w="4373245" h="2256155">
                                <a:moveTo>
                                  <a:pt x="0" y="2255621"/>
                                </a:moveTo>
                                <a:lnTo>
                                  <a:pt x="4373177" y="2255621"/>
                                </a:lnTo>
                              </a:path>
                              <a:path w="4373245" h="2256155">
                                <a:moveTo>
                                  <a:pt x="0" y="1943689"/>
                                </a:moveTo>
                                <a:lnTo>
                                  <a:pt x="4373177" y="1943689"/>
                                </a:lnTo>
                              </a:path>
                              <a:path w="4373245" h="2256155">
                                <a:moveTo>
                                  <a:pt x="0" y="1617149"/>
                                </a:moveTo>
                                <a:lnTo>
                                  <a:pt x="4373177" y="1617149"/>
                                </a:lnTo>
                              </a:path>
                              <a:path w="4373245" h="2256155">
                                <a:moveTo>
                                  <a:pt x="0" y="1291080"/>
                                </a:moveTo>
                                <a:lnTo>
                                  <a:pt x="4373177" y="1291080"/>
                                </a:lnTo>
                              </a:path>
                              <a:path w="4373245" h="2256155">
                                <a:moveTo>
                                  <a:pt x="0" y="964446"/>
                                </a:moveTo>
                                <a:lnTo>
                                  <a:pt x="4373177" y="964446"/>
                                </a:lnTo>
                              </a:path>
                              <a:path w="4373245" h="2256155">
                                <a:moveTo>
                                  <a:pt x="0" y="652514"/>
                                </a:moveTo>
                                <a:lnTo>
                                  <a:pt x="4373177" y="652514"/>
                                </a:lnTo>
                              </a:path>
                              <a:path w="4373245" h="2256155">
                                <a:moveTo>
                                  <a:pt x="0" y="326068"/>
                                </a:moveTo>
                                <a:lnTo>
                                  <a:pt x="4373177" y="326068"/>
                                </a:lnTo>
                              </a:path>
                              <a:path w="4373245" h="2256155">
                                <a:moveTo>
                                  <a:pt x="0" y="0"/>
                                </a:moveTo>
                                <a:lnTo>
                                  <a:pt x="4373177" y="0"/>
                                </a:lnTo>
                              </a:path>
                            </a:pathLst>
                          </a:custGeom>
                          <a:ln w="11822">
                            <a:solidFill>
                              <a:srgbClr val="808080"/>
                            </a:solidFill>
                            <a:prstDash val="solid"/>
                          </a:ln>
                        </wps:spPr>
                        <wps:bodyPr wrap="square" lIns="0" tIns="0" rIns="0" bIns="0" rtlCol="0">
                          <a:prstTxWarp prst="textNoShape">
                            <a:avLst/>
                          </a:prstTxWarp>
                          <a:noAutofit/>
                        </wps:bodyPr>
                      </wps:wsp>
                      <wps:wsp>
                        <wps:cNvPr id="389" name="Graphic 389"/>
                        <wps:cNvSpPr/>
                        <wps:spPr>
                          <a:xfrm>
                            <a:off x="649774" y="311468"/>
                            <a:ext cx="4039870" cy="2567940"/>
                          </a:xfrm>
                          <a:custGeom>
                            <a:avLst/>
                            <a:gdLst/>
                            <a:ahLst/>
                            <a:cxnLst/>
                            <a:rect l="l" t="t" r="r" b="b"/>
                            <a:pathLst>
                              <a:path w="4039870" h="2567940">
                                <a:moveTo>
                                  <a:pt x="0" y="0"/>
                                </a:moveTo>
                                <a:lnTo>
                                  <a:pt x="0" y="2567554"/>
                                </a:lnTo>
                              </a:path>
                              <a:path w="4039870" h="2567940">
                                <a:moveTo>
                                  <a:pt x="181000" y="0"/>
                                </a:moveTo>
                                <a:lnTo>
                                  <a:pt x="181000" y="2567554"/>
                                </a:lnTo>
                              </a:path>
                              <a:path w="4039870" h="2567940">
                                <a:moveTo>
                                  <a:pt x="352491" y="0"/>
                                </a:moveTo>
                                <a:lnTo>
                                  <a:pt x="352491" y="2567554"/>
                                </a:lnTo>
                              </a:path>
                              <a:path w="4039870" h="2567940">
                                <a:moveTo>
                                  <a:pt x="533492" y="0"/>
                                </a:moveTo>
                                <a:lnTo>
                                  <a:pt x="533492" y="2567554"/>
                                </a:lnTo>
                              </a:path>
                              <a:path w="4039870" h="2567940">
                                <a:moveTo>
                                  <a:pt x="876474" y="0"/>
                                </a:moveTo>
                                <a:lnTo>
                                  <a:pt x="876474" y="2567554"/>
                                </a:lnTo>
                              </a:path>
                              <a:path w="4039870" h="2567940">
                                <a:moveTo>
                                  <a:pt x="1057538" y="0"/>
                                </a:moveTo>
                                <a:lnTo>
                                  <a:pt x="1057538" y="2567554"/>
                                </a:lnTo>
                              </a:path>
                              <a:path w="4039870" h="2567940">
                                <a:moveTo>
                                  <a:pt x="1228965" y="0"/>
                                </a:moveTo>
                                <a:lnTo>
                                  <a:pt x="1228965" y="2567554"/>
                                </a:lnTo>
                              </a:path>
                              <a:path w="4039870" h="2567940">
                                <a:moveTo>
                                  <a:pt x="1410029" y="0"/>
                                </a:moveTo>
                                <a:lnTo>
                                  <a:pt x="1410029" y="2567554"/>
                                </a:lnTo>
                              </a:path>
                              <a:path w="4039870" h="2567940">
                                <a:moveTo>
                                  <a:pt x="1753011" y="0"/>
                                </a:moveTo>
                                <a:lnTo>
                                  <a:pt x="1753011" y="2567554"/>
                                </a:lnTo>
                              </a:path>
                              <a:path w="4039870" h="2567940">
                                <a:moveTo>
                                  <a:pt x="1933948" y="0"/>
                                </a:moveTo>
                                <a:lnTo>
                                  <a:pt x="1933948" y="2567554"/>
                                </a:lnTo>
                              </a:path>
                              <a:path w="4039870" h="2567940">
                                <a:moveTo>
                                  <a:pt x="2105503" y="0"/>
                                </a:moveTo>
                                <a:lnTo>
                                  <a:pt x="2105503" y="2567554"/>
                                </a:lnTo>
                              </a:path>
                              <a:path w="4039870" h="2567940">
                                <a:moveTo>
                                  <a:pt x="2286440" y="0"/>
                                </a:moveTo>
                                <a:lnTo>
                                  <a:pt x="2286440" y="2567554"/>
                                </a:lnTo>
                              </a:path>
                              <a:path w="4039870" h="2567940">
                                <a:moveTo>
                                  <a:pt x="2629422" y="0"/>
                                </a:moveTo>
                                <a:lnTo>
                                  <a:pt x="2629422" y="2567554"/>
                                </a:lnTo>
                              </a:path>
                              <a:path w="4039870" h="2567940">
                                <a:moveTo>
                                  <a:pt x="2810739" y="0"/>
                                </a:moveTo>
                                <a:lnTo>
                                  <a:pt x="2810739" y="2567554"/>
                                </a:lnTo>
                              </a:path>
                              <a:path w="4039870" h="2567940">
                                <a:moveTo>
                                  <a:pt x="2982294" y="0"/>
                                </a:moveTo>
                                <a:lnTo>
                                  <a:pt x="2982294" y="2567554"/>
                                </a:lnTo>
                              </a:path>
                              <a:path w="4039870" h="2567940">
                                <a:moveTo>
                                  <a:pt x="3163231" y="0"/>
                                </a:moveTo>
                                <a:lnTo>
                                  <a:pt x="3163231" y="2567554"/>
                                </a:lnTo>
                              </a:path>
                              <a:path w="4039870" h="2567940">
                                <a:moveTo>
                                  <a:pt x="3506213" y="0"/>
                                </a:moveTo>
                                <a:lnTo>
                                  <a:pt x="3506213" y="2567554"/>
                                </a:lnTo>
                              </a:path>
                              <a:path w="4039870" h="2567940">
                                <a:moveTo>
                                  <a:pt x="3687150" y="0"/>
                                </a:moveTo>
                                <a:lnTo>
                                  <a:pt x="3687150" y="2567554"/>
                                </a:lnTo>
                              </a:path>
                              <a:path w="4039870" h="2567940">
                                <a:moveTo>
                                  <a:pt x="3858705" y="0"/>
                                </a:moveTo>
                                <a:lnTo>
                                  <a:pt x="3858705" y="2567554"/>
                                </a:lnTo>
                              </a:path>
                              <a:path w="4039870" h="2567940">
                                <a:moveTo>
                                  <a:pt x="4039769" y="0"/>
                                </a:moveTo>
                                <a:lnTo>
                                  <a:pt x="4039769" y="2567554"/>
                                </a:lnTo>
                              </a:path>
                            </a:pathLst>
                          </a:custGeom>
                          <a:ln w="11822">
                            <a:solidFill>
                              <a:srgbClr val="C0C0C0"/>
                            </a:solidFill>
                            <a:prstDash val="solid"/>
                          </a:ln>
                        </wps:spPr>
                        <wps:bodyPr wrap="square" lIns="0" tIns="0" rIns="0" bIns="0" rtlCol="0">
                          <a:prstTxWarp prst="textNoShape">
                            <a:avLst/>
                          </a:prstTxWarp>
                          <a:noAutofit/>
                        </wps:bodyPr>
                      </wps:wsp>
                      <wps:wsp>
                        <wps:cNvPr id="390" name="Graphic 390"/>
                        <wps:cNvSpPr/>
                        <wps:spPr>
                          <a:xfrm>
                            <a:off x="1354820" y="311468"/>
                            <a:ext cx="3506470" cy="2567940"/>
                          </a:xfrm>
                          <a:custGeom>
                            <a:avLst/>
                            <a:gdLst/>
                            <a:ahLst/>
                            <a:cxnLst/>
                            <a:rect l="l" t="t" r="r" b="b"/>
                            <a:pathLst>
                              <a:path w="3506470" h="2567940">
                                <a:moveTo>
                                  <a:pt x="0" y="0"/>
                                </a:moveTo>
                                <a:lnTo>
                                  <a:pt x="0" y="2567554"/>
                                </a:lnTo>
                              </a:path>
                              <a:path w="3506470" h="2567940">
                                <a:moveTo>
                                  <a:pt x="876410" y="0"/>
                                </a:moveTo>
                                <a:lnTo>
                                  <a:pt x="876410" y="2567554"/>
                                </a:lnTo>
                              </a:path>
                              <a:path w="3506470" h="2567940">
                                <a:moveTo>
                                  <a:pt x="1752948" y="0"/>
                                </a:moveTo>
                                <a:lnTo>
                                  <a:pt x="1752948" y="2567554"/>
                                </a:lnTo>
                              </a:path>
                              <a:path w="3506470" h="2567940">
                                <a:moveTo>
                                  <a:pt x="2629739" y="0"/>
                                </a:moveTo>
                                <a:lnTo>
                                  <a:pt x="2629739" y="2567554"/>
                                </a:lnTo>
                              </a:path>
                              <a:path w="3506470" h="2567940">
                                <a:moveTo>
                                  <a:pt x="3506150" y="0"/>
                                </a:moveTo>
                                <a:lnTo>
                                  <a:pt x="3506150" y="2567554"/>
                                </a:lnTo>
                              </a:path>
                            </a:pathLst>
                          </a:custGeom>
                          <a:ln w="11822">
                            <a:solidFill>
                              <a:srgbClr val="808080"/>
                            </a:solidFill>
                            <a:prstDash val="solid"/>
                          </a:ln>
                        </wps:spPr>
                        <wps:bodyPr wrap="square" lIns="0" tIns="0" rIns="0" bIns="0" rtlCol="0">
                          <a:prstTxWarp prst="textNoShape">
                            <a:avLst/>
                          </a:prstTxWarp>
                          <a:noAutofit/>
                        </wps:bodyPr>
                      </wps:wsp>
                      <wps:wsp>
                        <wps:cNvPr id="391" name="Graphic 391"/>
                        <wps:cNvSpPr/>
                        <wps:spPr>
                          <a:xfrm>
                            <a:off x="440244" y="311468"/>
                            <a:ext cx="4420870" cy="2639060"/>
                          </a:xfrm>
                          <a:custGeom>
                            <a:avLst/>
                            <a:gdLst/>
                            <a:ahLst/>
                            <a:cxnLst/>
                            <a:rect l="l" t="t" r="r" b="b"/>
                            <a:pathLst>
                              <a:path w="4420870" h="2639060">
                                <a:moveTo>
                                  <a:pt x="38038" y="0"/>
                                </a:moveTo>
                                <a:lnTo>
                                  <a:pt x="38038" y="2567554"/>
                                </a:lnTo>
                              </a:path>
                              <a:path w="4420870" h="2639060">
                                <a:moveTo>
                                  <a:pt x="0" y="2582161"/>
                                </a:moveTo>
                                <a:lnTo>
                                  <a:pt x="28528" y="2582161"/>
                                </a:lnTo>
                              </a:path>
                              <a:path w="4420870" h="2639060">
                                <a:moveTo>
                                  <a:pt x="0" y="2255621"/>
                                </a:moveTo>
                                <a:lnTo>
                                  <a:pt x="28528" y="2255621"/>
                                </a:lnTo>
                              </a:path>
                              <a:path w="4420870" h="2639060">
                                <a:moveTo>
                                  <a:pt x="0" y="1943689"/>
                                </a:moveTo>
                                <a:lnTo>
                                  <a:pt x="28528" y="1943689"/>
                                </a:lnTo>
                              </a:path>
                              <a:path w="4420870" h="2639060">
                                <a:moveTo>
                                  <a:pt x="0" y="1617149"/>
                                </a:moveTo>
                                <a:lnTo>
                                  <a:pt x="28528" y="1617149"/>
                                </a:lnTo>
                              </a:path>
                              <a:path w="4420870" h="2639060">
                                <a:moveTo>
                                  <a:pt x="0" y="1291080"/>
                                </a:moveTo>
                                <a:lnTo>
                                  <a:pt x="28528" y="1291080"/>
                                </a:lnTo>
                              </a:path>
                              <a:path w="4420870" h="2639060">
                                <a:moveTo>
                                  <a:pt x="0" y="964446"/>
                                </a:moveTo>
                                <a:lnTo>
                                  <a:pt x="28528" y="964446"/>
                                </a:lnTo>
                              </a:path>
                              <a:path w="4420870" h="2639060">
                                <a:moveTo>
                                  <a:pt x="0" y="652514"/>
                                </a:moveTo>
                                <a:lnTo>
                                  <a:pt x="28528" y="652514"/>
                                </a:lnTo>
                              </a:path>
                              <a:path w="4420870" h="2639060">
                                <a:moveTo>
                                  <a:pt x="0" y="326068"/>
                                </a:moveTo>
                                <a:lnTo>
                                  <a:pt x="28528" y="326068"/>
                                </a:lnTo>
                              </a:path>
                              <a:path w="4420870" h="2639060">
                                <a:moveTo>
                                  <a:pt x="0" y="0"/>
                                </a:moveTo>
                                <a:lnTo>
                                  <a:pt x="28528" y="0"/>
                                </a:lnTo>
                              </a:path>
                              <a:path w="4420870" h="2639060">
                                <a:moveTo>
                                  <a:pt x="38038" y="2582161"/>
                                </a:moveTo>
                                <a:lnTo>
                                  <a:pt x="4411216" y="2582161"/>
                                </a:lnTo>
                              </a:path>
                              <a:path w="4420870" h="2639060">
                                <a:moveTo>
                                  <a:pt x="38038" y="2638705"/>
                                </a:moveTo>
                                <a:lnTo>
                                  <a:pt x="38038" y="2596297"/>
                                </a:lnTo>
                              </a:path>
                              <a:path w="4420870" h="2639060">
                                <a:moveTo>
                                  <a:pt x="914576" y="2638705"/>
                                </a:moveTo>
                                <a:lnTo>
                                  <a:pt x="914576" y="2596297"/>
                                </a:lnTo>
                              </a:path>
                              <a:path w="4420870" h="2639060">
                                <a:moveTo>
                                  <a:pt x="1790986" y="2638705"/>
                                </a:moveTo>
                                <a:lnTo>
                                  <a:pt x="1790986" y="2596297"/>
                                </a:lnTo>
                              </a:path>
                              <a:path w="4420870" h="2639060">
                                <a:moveTo>
                                  <a:pt x="2667524" y="2638705"/>
                                </a:moveTo>
                                <a:lnTo>
                                  <a:pt x="2667524" y="2596297"/>
                                </a:lnTo>
                              </a:path>
                              <a:path w="4420870" h="2639060">
                                <a:moveTo>
                                  <a:pt x="3544315" y="2638705"/>
                                </a:moveTo>
                                <a:lnTo>
                                  <a:pt x="3544315" y="2596297"/>
                                </a:lnTo>
                              </a:path>
                              <a:path w="4420870" h="2639060">
                                <a:moveTo>
                                  <a:pt x="4420726" y="2638705"/>
                                </a:moveTo>
                                <a:lnTo>
                                  <a:pt x="4420726" y="2596297"/>
                                </a:lnTo>
                              </a:path>
                            </a:pathLst>
                          </a:custGeom>
                          <a:ln w="11822">
                            <a:solidFill>
                              <a:srgbClr val="808080"/>
                            </a:solidFill>
                            <a:prstDash val="solid"/>
                          </a:ln>
                        </wps:spPr>
                        <wps:bodyPr wrap="square" lIns="0" tIns="0" rIns="0" bIns="0" rtlCol="0">
                          <a:prstTxWarp prst="textNoShape">
                            <a:avLst/>
                          </a:prstTxWarp>
                          <a:noAutofit/>
                        </wps:bodyPr>
                      </wps:wsp>
                      <pic:pic>
                        <pic:nvPicPr>
                          <pic:cNvPr id="392" name="Image 392"/>
                          <pic:cNvPicPr/>
                        </pic:nvPicPr>
                        <pic:blipFill>
                          <a:blip r:embed="rId48" cstate="print"/>
                          <a:stretch>
                            <a:fillRect/>
                          </a:stretch>
                        </pic:blipFill>
                        <pic:spPr>
                          <a:xfrm>
                            <a:off x="2349326" y="1780970"/>
                            <a:ext cx="107173" cy="153558"/>
                          </a:xfrm>
                          <a:prstGeom prst="rect">
                            <a:avLst/>
                          </a:prstGeom>
                        </pic:spPr>
                      </pic:pic>
                      <pic:pic>
                        <pic:nvPicPr>
                          <pic:cNvPr id="393" name="Image 393"/>
                          <pic:cNvPicPr/>
                        </pic:nvPicPr>
                        <pic:blipFill>
                          <a:blip r:embed="rId49" cstate="print"/>
                          <a:stretch>
                            <a:fillRect/>
                          </a:stretch>
                        </pic:blipFill>
                        <pic:spPr>
                          <a:xfrm>
                            <a:off x="2882755" y="1397792"/>
                            <a:ext cx="107299" cy="153747"/>
                          </a:xfrm>
                          <a:prstGeom prst="rect">
                            <a:avLst/>
                          </a:prstGeom>
                        </pic:spPr>
                      </pic:pic>
                      <pic:pic>
                        <pic:nvPicPr>
                          <pic:cNvPr id="394" name="Image 394"/>
                          <pic:cNvPicPr/>
                        </pic:nvPicPr>
                        <pic:blipFill>
                          <a:blip r:embed="rId50" cstate="print"/>
                          <a:stretch>
                            <a:fillRect/>
                          </a:stretch>
                        </pic:blipFill>
                        <pic:spPr>
                          <a:xfrm>
                            <a:off x="3406800" y="1142404"/>
                            <a:ext cx="107173" cy="153558"/>
                          </a:xfrm>
                          <a:prstGeom prst="rect">
                            <a:avLst/>
                          </a:prstGeom>
                        </pic:spPr>
                      </pic:pic>
                      <pic:pic>
                        <pic:nvPicPr>
                          <pic:cNvPr id="395" name="Image 395"/>
                          <pic:cNvPicPr/>
                        </pic:nvPicPr>
                        <pic:blipFill>
                          <a:blip r:embed="rId51" cstate="print"/>
                          <a:stretch>
                            <a:fillRect/>
                          </a:stretch>
                        </pic:blipFill>
                        <pic:spPr>
                          <a:xfrm>
                            <a:off x="3721255" y="1028752"/>
                            <a:ext cx="107169" cy="153744"/>
                          </a:xfrm>
                          <a:prstGeom prst="rect">
                            <a:avLst/>
                          </a:prstGeom>
                        </pic:spPr>
                      </pic:pic>
                      <pic:pic>
                        <pic:nvPicPr>
                          <pic:cNvPr id="396" name="Image 396"/>
                          <pic:cNvPicPr/>
                        </pic:nvPicPr>
                        <pic:blipFill>
                          <a:blip r:embed="rId52" cstate="print"/>
                          <a:stretch>
                            <a:fillRect/>
                          </a:stretch>
                        </pic:blipFill>
                        <pic:spPr>
                          <a:xfrm>
                            <a:off x="3930720" y="660274"/>
                            <a:ext cx="107299" cy="153747"/>
                          </a:xfrm>
                          <a:prstGeom prst="rect">
                            <a:avLst/>
                          </a:prstGeom>
                        </pic:spPr>
                      </pic:pic>
                      <wps:wsp>
                        <wps:cNvPr id="397" name="Graphic 397"/>
                        <wps:cNvSpPr/>
                        <wps:spPr>
                          <a:xfrm>
                            <a:off x="2402786" y="850518"/>
                            <a:ext cx="1572260" cy="1007744"/>
                          </a:xfrm>
                          <a:custGeom>
                            <a:avLst/>
                            <a:gdLst/>
                            <a:ahLst/>
                            <a:cxnLst/>
                            <a:rect l="l" t="t" r="r" b="b"/>
                            <a:pathLst>
                              <a:path w="1572260" h="1007744">
                                <a:moveTo>
                                  <a:pt x="0" y="1007420"/>
                                </a:moveTo>
                                <a:lnTo>
                                  <a:pt x="1572264" y="0"/>
                                </a:lnTo>
                              </a:path>
                            </a:pathLst>
                          </a:custGeom>
                          <a:ln w="12789">
                            <a:solidFill>
                              <a:srgbClr val="000000"/>
                            </a:solidFill>
                            <a:prstDash val="solid"/>
                          </a:ln>
                        </wps:spPr>
                        <wps:bodyPr wrap="square" lIns="0" tIns="0" rIns="0" bIns="0" rtlCol="0">
                          <a:prstTxWarp prst="textNoShape">
                            <a:avLst/>
                          </a:prstTxWarp>
                          <a:noAutofit/>
                        </wps:bodyPr>
                      </wps:wsp>
                      <wps:wsp>
                        <wps:cNvPr id="398" name="Graphic 398"/>
                        <wps:cNvSpPr/>
                        <wps:spPr>
                          <a:xfrm>
                            <a:off x="6604" y="6604"/>
                            <a:ext cx="5050155" cy="3759835"/>
                          </a:xfrm>
                          <a:custGeom>
                            <a:avLst/>
                            <a:gdLst/>
                            <a:ahLst/>
                            <a:cxnLst/>
                            <a:rect l="l" t="t" r="r" b="b"/>
                            <a:pathLst>
                              <a:path w="5050155" h="3759835">
                                <a:moveTo>
                                  <a:pt x="0" y="3759212"/>
                                </a:moveTo>
                                <a:lnTo>
                                  <a:pt x="5049632" y="3759212"/>
                                </a:lnTo>
                                <a:lnTo>
                                  <a:pt x="5049632" y="0"/>
                                </a:lnTo>
                                <a:lnTo>
                                  <a:pt x="0" y="0"/>
                                </a:lnTo>
                                <a:lnTo>
                                  <a:pt x="0" y="3759212"/>
                                </a:lnTo>
                                <a:close/>
                              </a:path>
                            </a:pathLst>
                          </a:custGeom>
                          <a:ln w="12486">
                            <a:solidFill>
                              <a:srgbClr val="808080"/>
                            </a:solidFill>
                            <a:prstDash val="solid"/>
                          </a:ln>
                        </wps:spPr>
                        <wps:bodyPr wrap="square" lIns="0" tIns="0" rIns="0" bIns="0" rtlCol="0">
                          <a:prstTxWarp prst="textNoShape">
                            <a:avLst/>
                          </a:prstTxWarp>
                          <a:noAutofit/>
                        </wps:bodyPr>
                      </wps:wsp>
                      <wps:wsp>
                        <wps:cNvPr id="399" name="Textbox 399"/>
                        <wps:cNvSpPr txBox="1"/>
                        <wps:spPr>
                          <a:xfrm>
                            <a:off x="311547" y="222671"/>
                            <a:ext cx="75565" cy="2766695"/>
                          </a:xfrm>
                          <a:prstGeom prst="rect">
                            <a:avLst/>
                          </a:prstGeom>
                        </wps:spPr>
                        <wps:txbx>
                          <w:txbxContent>
                            <w:p>
                              <w:pPr>
                                <w:spacing w:line="295" w:lineRule="exact" w:before="0"/>
                                <w:ind w:left="0" w:right="0" w:firstLine="0"/>
                                <w:jc w:val="left"/>
                                <w:rPr>
                                  <w:rFonts w:ascii="Calibri"/>
                                  <w:sz w:val="29"/>
                                </w:rPr>
                              </w:pPr>
                              <w:r>
                                <w:rPr>
                                  <w:rFonts w:ascii="Calibri"/>
                                  <w:spacing w:val="-10"/>
                                  <w:w w:val="75"/>
                                  <w:sz w:val="29"/>
                                </w:rPr>
                                <w:t>8</w:t>
                              </w:r>
                            </w:p>
                            <w:p>
                              <w:pPr>
                                <w:spacing w:before="160"/>
                                <w:ind w:left="0" w:right="0" w:firstLine="0"/>
                                <w:jc w:val="left"/>
                                <w:rPr>
                                  <w:rFonts w:ascii="Calibri"/>
                                  <w:sz w:val="29"/>
                                </w:rPr>
                              </w:pPr>
                              <w:r>
                                <w:rPr>
                                  <w:rFonts w:ascii="Calibri"/>
                                  <w:spacing w:val="-10"/>
                                  <w:w w:val="75"/>
                                  <w:sz w:val="29"/>
                                </w:rPr>
                                <w:t>7</w:t>
                              </w:r>
                            </w:p>
                            <w:p>
                              <w:pPr>
                                <w:spacing w:before="160"/>
                                <w:ind w:left="0" w:right="0" w:firstLine="0"/>
                                <w:jc w:val="left"/>
                                <w:rPr>
                                  <w:rFonts w:ascii="Calibri"/>
                                  <w:sz w:val="29"/>
                                </w:rPr>
                              </w:pPr>
                              <w:r>
                                <w:rPr>
                                  <w:rFonts w:ascii="Calibri"/>
                                  <w:spacing w:val="-10"/>
                                  <w:w w:val="75"/>
                                  <w:sz w:val="29"/>
                                </w:rPr>
                                <w:t>6</w:t>
                              </w:r>
                            </w:p>
                            <w:p>
                              <w:pPr>
                                <w:spacing w:before="137"/>
                                <w:ind w:left="0" w:right="0" w:firstLine="0"/>
                                <w:jc w:val="left"/>
                                <w:rPr>
                                  <w:rFonts w:ascii="Calibri"/>
                                  <w:sz w:val="29"/>
                                </w:rPr>
                              </w:pPr>
                              <w:r>
                                <w:rPr>
                                  <w:rFonts w:ascii="Calibri"/>
                                  <w:spacing w:val="-10"/>
                                  <w:w w:val="75"/>
                                  <w:sz w:val="29"/>
                                </w:rPr>
                                <w:t>5</w:t>
                              </w:r>
                            </w:p>
                            <w:p>
                              <w:pPr>
                                <w:spacing w:before="160"/>
                                <w:ind w:left="0" w:right="0" w:firstLine="0"/>
                                <w:jc w:val="left"/>
                                <w:rPr>
                                  <w:rFonts w:ascii="Calibri"/>
                                  <w:sz w:val="29"/>
                                </w:rPr>
                              </w:pPr>
                              <w:r>
                                <w:rPr>
                                  <w:rFonts w:ascii="Calibri"/>
                                  <w:spacing w:val="-10"/>
                                  <w:w w:val="75"/>
                                  <w:sz w:val="29"/>
                                </w:rPr>
                                <w:t>4</w:t>
                              </w:r>
                            </w:p>
                            <w:p>
                              <w:pPr>
                                <w:spacing w:before="160"/>
                                <w:ind w:left="0" w:right="0" w:firstLine="0"/>
                                <w:jc w:val="left"/>
                                <w:rPr>
                                  <w:rFonts w:ascii="Calibri"/>
                                  <w:sz w:val="29"/>
                                </w:rPr>
                              </w:pPr>
                              <w:r>
                                <w:rPr>
                                  <w:rFonts w:ascii="Calibri"/>
                                  <w:spacing w:val="-10"/>
                                  <w:w w:val="75"/>
                                  <w:sz w:val="29"/>
                                </w:rPr>
                                <w:t>3</w:t>
                              </w:r>
                            </w:p>
                            <w:p>
                              <w:pPr>
                                <w:spacing w:before="160"/>
                                <w:ind w:left="0" w:right="0" w:firstLine="0"/>
                                <w:jc w:val="left"/>
                                <w:rPr>
                                  <w:rFonts w:ascii="Calibri"/>
                                  <w:sz w:val="29"/>
                                </w:rPr>
                              </w:pPr>
                              <w:r>
                                <w:rPr>
                                  <w:rFonts w:ascii="Calibri"/>
                                  <w:spacing w:val="-10"/>
                                  <w:w w:val="75"/>
                                  <w:sz w:val="29"/>
                                </w:rPr>
                                <w:t>2</w:t>
                              </w:r>
                            </w:p>
                            <w:p>
                              <w:pPr>
                                <w:spacing w:before="137"/>
                                <w:ind w:left="0" w:right="0" w:firstLine="0"/>
                                <w:jc w:val="left"/>
                                <w:rPr>
                                  <w:rFonts w:ascii="Calibri"/>
                                  <w:sz w:val="29"/>
                                </w:rPr>
                              </w:pPr>
                              <w:r>
                                <w:rPr>
                                  <w:rFonts w:ascii="Calibri"/>
                                  <w:spacing w:val="-10"/>
                                  <w:w w:val="75"/>
                                  <w:sz w:val="29"/>
                                </w:rPr>
                                <w:t>1</w:t>
                              </w:r>
                            </w:p>
                            <w:p>
                              <w:pPr>
                                <w:spacing w:line="349" w:lineRule="exact" w:before="160"/>
                                <w:ind w:left="0" w:right="0" w:firstLine="0"/>
                                <w:jc w:val="left"/>
                                <w:rPr>
                                  <w:rFonts w:ascii="Calibri"/>
                                  <w:sz w:val="29"/>
                                </w:rPr>
                              </w:pPr>
                              <w:r>
                                <w:rPr>
                                  <w:rFonts w:ascii="Calibri"/>
                                  <w:spacing w:val="-10"/>
                                  <w:w w:val="75"/>
                                  <w:sz w:val="29"/>
                                </w:rPr>
                                <w:t>0</w:t>
                              </w:r>
                            </w:p>
                          </w:txbxContent>
                        </wps:txbx>
                        <wps:bodyPr wrap="square" lIns="0" tIns="0" rIns="0" bIns="0" rtlCol="0">
                          <a:noAutofit/>
                        </wps:bodyPr>
                      </wps:wsp>
                      <wps:wsp>
                        <wps:cNvPr id="400" name="Textbox 400"/>
                        <wps:cNvSpPr txBox="1"/>
                        <wps:spPr>
                          <a:xfrm>
                            <a:off x="444999" y="3074452"/>
                            <a:ext cx="75565" cy="184785"/>
                          </a:xfrm>
                          <a:prstGeom prst="rect">
                            <a:avLst/>
                          </a:prstGeom>
                        </wps:spPr>
                        <wps:txbx>
                          <w:txbxContent>
                            <w:p>
                              <w:pPr>
                                <w:spacing w:line="290" w:lineRule="exact" w:before="0"/>
                                <w:ind w:left="0" w:right="0" w:firstLine="0"/>
                                <w:jc w:val="left"/>
                                <w:rPr>
                                  <w:rFonts w:ascii="Calibri"/>
                                  <w:sz w:val="29"/>
                                </w:rPr>
                              </w:pPr>
                              <w:r>
                                <w:rPr>
                                  <w:rFonts w:ascii="Calibri"/>
                                  <w:spacing w:val="-10"/>
                                  <w:w w:val="75"/>
                                  <w:sz w:val="29"/>
                                </w:rPr>
                                <w:t>0</w:t>
                              </w:r>
                            </w:p>
                          </w:txbxContent>
                        </wps:txbx>
                        <wps:bodyPr wrap="square" lIns="0" tIns="0" rIns="0" bIns="0" rtlCol="0">
                          <a:noAutofit/>
                        </wps:bodyPr>
                      </wps:wsp>
                      <wps:wsp>
                        <wps:cNvPr id="401" name="Textbox 401"/>
                        <wps:cNvSpPr txBox="1"/>
                        <wps:spPr>
                          <a:xfrm>
                            <a:off x="1264415" y="3074452"/>
                            <a:ext cx="180340" cy="184785"/>
                          </a:xfrm>
                          <a:prstGeom prst="rect">
                            <a:avLst/>
                          </a:prstGeom>
                        </wps:spPr>
                        <wps:txbx>
                          <w:txbxContent>
                            <w:p>
                              <w:pPr>
                                <w:spacing w:line="290" w:lineRule="exact" w:before="0"/>
                                <w:ind w:left="0" w:right="0" w:firstLine="0"/>
                                <w:jc w:val="left"/>
                                <w:rPr>
                                  <w:rFonts w:ascii="Calibri"/>
                                  <w:sz w:val="29"/>
                                </w:rPr>
                              </w:pPr>
                              <w:r>
                                <w:rPr>
                                  <w:rFonts w:ascii="Calibri"/>
                                  <w:spacing w:val="-5"/>
                                  <w:w w:val="70"/>
                                  <w:sz w:val="29"/>
                                </w:rPr>
                                <w:t>0.5</w:t>
                              </w:r>
                            </w:p>
                          </w:txbxContent>
                        </wps:txbx>
                        <wps:bodyPr wrap="square" lIns="0" tIns="0" rIns="0" bIns="0" rtlCol="0">
                          <a:noAutofit/>
                        </wps:bodyPr>
                      </wps:wsp>
                      <wps:wsp>
                        <wps:cNvPr id="402" name="Textbox 402"/>
                        <wps:cNvSpPr txBox="1"/>
                        <wps:spPr>
                          <a:xfrm>
                            <a:off x="2198011" y="3074452"/>
                            <a:ext cx="75565" cy="184785"/>
                          </a:xfrm>
                          <a:prstGeom prst="rect">
                            <a:avLst/>
                          </a:prstGeom>
                        </wps:spPr>
                        <wps:txbx>
                          <w:txbxContent>
                            <w:p>
                              <w:pPr>
                                <w:spacing w:line="290" w:lineRule="exact" w:before="0"/>
                                <w:ind w:left="0" w:right="0" w:firstLine="0"/>
                                <w:jc w:val="left"/>
                                <w:rPr>
                                  <w:rFonts w:ascii="Calibri"/>
                                  <w:sz w:val="29"/>
                                </w:rPr>
                              </w:pPr>
                              <w:r>
                                <w:rPr>
                                  <w:rFonts w:ascii="Calibri"/>
                                  <w:spacing w:val="-10"/>
                                  <w:w w:val="75"/>
                                  <w:sz w:val="29"/>
                                </w:rPr>
                                <w:t>1</w:t>
                              </w:r>
                            </w:p>
                          </w:txbxContent>
                        </wps:txbx>
                        <wps:bodyPr wrap="square" lIns="0" tIns="0" rIns="0" bIns="0" rtlCol="0">
                          <a:noAutofit/>
                        </wps:bodyPr>
                      </wps:wsp>
                      <wps:wsp>
                        <wps:cNvPr id="403" name="Textbox 403"/>
                        <wps:cNvSpPr txBox="1"/>
                        <wps:spPr>
                          <a:xfrm>
                            <a:off x="3017364" y="3074452"/>
                            <a:ext cx="180340" cy="184785"/>
                          </a:xfrm>
                          <a:prstGeom prst="rect">
                            <a:avLst/>
                          </a:prstGeom>
                        </wps:spPr>
                        <wps:txbx>
                          <w:txbxContent>
                            <w:p>
                              <w:pPr>
                                <w:spacing w:line="290" w:lineRule="exact" w:before="0"/>
                                <w:ind w:left="0" w:right="0" w:firstLine="0"/>
                                <w:jc w:val="left"/>
                                <w:rPr>
                                  <w:rFonts w:ascii="Calibri"/>
                                  <w:sz w:val="29"/>
                                </w:rPr>
                              </w:pPr>
                              <w:r>
                                <w:rPr>
                                  <w:rFonts w:ascii="Calibri"/>
                                  <w:spacing w:val="-5"/>
                                  <w:w w:val="70"/>
                                  <w:sz w:val="29"/>
                                </w:rPr>
                                <w:t>1.5</w:t>
                              </w:r>
                            </w:p>
                          </w:txbxContent>
                        </wps:txbx>
                        <wps:bodyPr wrap="square" lIns="0" tIns="0" rIns="0" bIns="0" rtlCol="0">
                          <a:noAutofit/>
                        </wps:bodyPr>
                      </wps:wsp>
                      <wps:wsp>
                        <wps:cNvPr id="404" name="Textbox 404"/>
                        <wps:cNvSpPr txBox="1"/>
                        <wps:spPr>
                          <a:xfrm>
                            <a:off x="3950959" y="3074452"/>
                            <a:ext cx="75565" cy="184785"/>
                          </a:xfrm>
                          <a:prstGeom prst="rect">
                            <a:avLst/>
                          </a:prstGeom>
                        </wps:spPr>
                        <wps:txbx>
                          <w:txbxContent>
                            <w:p>
                              <w:pPr>
                                <w:spacing w:line="290" w:lineRule="exact" w:before="0"/>
                                <w:ind w:left="0" w:right="0" w:firstLine="0"/>
                                <w:jc w:val="left"/>
                                <w:rPr>
                                  <w:rFonts w:ascii="Calibri"/>
                                  <w:sz w:val="29"/>
                                </w:rPr>
                              </w:pPr>
                              <w:r>
                                <w:rPr>
                                  <w:rFonts w:ascii="Calibri"/>
                                  <w:spacing w:val="-10"/>
                                  <w:w w:val="75"/>
                                  <w:sz w:val="29"/>
                                </w:rPr>
                                <w:t>2</w:t>
                              </w:r>
                            </w:p>
                          </w:txbxContent>
                        </wps:txbx>
                        <wps:bodyPr wrap="square" lIns="0" tIns="0" rIns="0" bIns="0" rtlCol="0">
                          <a:noAutofit/>
                        </wps:bodyPr>
                      </wps:wsp>
                      <wps:wsp>
                        <wps:cNvPr id="405" name="Textbox 405"/>
                        <wps:cNvSpPr txBox="1"/>
                        <wps:spPr>
                          <a:xfrm>
                            <a:off x="4770312" y="3074452"/>
                            <a:ext cx="180340" cy="184785"/>
                          </a:xfrm>
                          <a:prstGeom prst="rect">
                            <a:avLst/>
                          </a:prstGeom>
                        </wps:spPr>
                        <wps:txbx>
                          <w:txbxContent>
                            <w:p>
                              <w:pPr>
                                <w:spacing w:line="290" w:lineRule="exact" w:before="0"/>
                                <w:ind w:left="0" w:right="0" w:firstLine="0"/>
                                <w:jc w:val="left"/>
                                <w:rPr>
                                  <w:rFonts w:ascii="Calibri"/>
                                  <w:sz w:val="29"/>
                                </w:rPr>
                              </w:pPr>
                              <w:r>
                                <w:rPr>
                                  <w:rFonts w:ascii="Calibri"/>
                                  <w:spacing w:val="-5"/>
                                  <w:w w:val="70"/>
                                  <w:sz w:val="29"/>
                                </w:rPr>
                                <w:t>2.5</w:t>
                              </w:r>
                            </w:p>
                          </w:txbxContent>
                        </wps:txbx>
                        <wps:bodyPr wrap="square" lIns="0" tIns="0" rIns="0" bIns="0" rtlCol="0">
                          <a:noAutofit/>
                        </wps:bodyPr>
                      </wps:wsp>
                      <wps:wsp>
                        <wps:cNvPr id="406" name="Textbox 406"/>
                        <wps:cNvSpPr txBox="1"/>
                        <wps:spPr>
                          <a:xfrm>
                            <a:off x="2378948" y="3514079"/>
                            <a:ext cx="560070" cy="184785"/>
                          </a:xfrm>
                          <a:prstGeom prst="rect">
                            <a:avLst/>
                          </a:prstGeom>
                        </wps:spPr>
                        <wps:txbx>
                          <w:txbxContent>
                            <w:p>
                              <w:pPr>
                                <w:spacing w:line="290" w:lineRule="exact" w:before="0"/>
                                <w:ind w:left="0" w:right="0" w:firstLine="0"/>
                                <w:jc w:val="left"/>
                                <w:rPr>
                                  <w:rFonts w:ascii="Calibri"/>
                                  <w:b/>
                                  <w:sz w:val="29"/>
                                </w:rPr>
                              </w:pPr>
                              <w:r>
                                <w:rPr>
                                  <w:rFonts w:ascii="Calibri"/>
                                  <w:b/>
                                  <w:w w:val="70"/>
                                  <w:sz w:val="29"/>
                                </w:rPr>
                                <w:t>L</w:t>
                              </w:r>
                              <w:r>
                                <w:rPr>
                                  <w:rFonts w:ascii="Calibri"/>
                                  <w:b/>
                                  <w:spacing w:val="-9"/>
                                  <w:w w:val="70"/>
                                  <w:sz w:val="29"/>
                                </w:rPr>
                                <w:t> </w:t>
                              </w:r>
                              <w:r>
                                <w:rPr>
                                  <w:rFonts w:ascii="Calibri"/>
                                  <w:b/>
                                  <w:w w:val="70"/>
                                  <w:sz w:val="29"/>
                                </w:rPr>
                                <w:t>og</w:t>
                              </w:r>
                              <w:r>
                                <w:rPr>
                                  <w:rFonts w:ascii="Calibri"/>
                                  <w:b/>
                                  <w:spacing w:val="22"/>
                                  <w:sz w:val="29"/>
                                </w:rPr>
                                <w:t> </w:t>
                              </w:r>
                              <w:r>
                                <w:rPr>
                                  <w:rFonts w:ascii="Calibri"/>
                                  <w:b/>
                                  <w:spacing w:val="5"/>
                                  <w:w w:val="70"/>
                                  <w:sz w:val="29"/>
                                </w:rPr>
                                <w:t>Dose</w:t>
                              </w:r>
                            </w:p>
                          </w:txbxContent>
                        </wps:txbx>
                        <wps:bodyPr wrap="square" lIns="0" tIns="0" rIns="0" bIns="0" rtlCol="0">
                          <a:noAutofit/>
                        </wps:bodyPr>
                      </wps:wsp>
                    </wpg:wgp>
                  </a:graphicData>
                </a:graphic>
              </wp:anchor>
            </w:drawing>
          </mc:Choice>
          <mc:Fallback>
            <w:pict>
              <v:group style="position:absolute;margin-left:111.343956pt;margin-top:159.901245pt;width:398.65pt;height:297.05pt;mso-position-horizontal-relative:page;mso-position-vertical-relative:paragraph;z-index:15810560" id="docshapegroup278" coordorigin="2227,3198" coordsize="7973,5941">
                <v:rect style="position:absolute;left:2237;top:3208;width:7953;height:5921" id="docshape279" filled="false" stroked="true" strokeweight=".98317pt" strokecolor="#808080">
                  <v:stroke dashstyle="solid"/>
                </v:rect>
                <v:shape style="position:absolute;left:2980;top:3799;width:6887;height:3844" id="docshape280" coordorigin="2980,3800" coordsize="6887,3844" path="m2980,7643l9867,7643m2980,7554l9867,7554m2980,7442l9867,7442m2980,7353l9867,7353m2980,7152l9867,7152m2980,7040l9867,7040m2980,6951l9867,6951m2980,6839l9867,6839m2980,6637l9867,6637m2980,6526l9867,6526m2980,6436l9867,6436m2980,6325l9867,6325m2980,6124l9867,6124m2980,6034l9867,6034m2980,5923l9867,5923m2980,5833l9867,5833m2980,5610l9867,5610m2980,5521l9867,5521m2980,5409l9867,5409m2980,5320l9867,5320m2980,5118l9867,5118m2980,5006l9867,5006m2980,4917l9867,4917m2980,4805l9867,4805m2980,4604l9867,4604m2980,4493l9867,4493m2980,4403l9867,4403m2980,4292l9867,4292m2980,4091l9867,4091m2980,4001l9867,4001m2980,3890l9867,3890m2980,3800l9867,3800e" filled="false" stroked="true" strokeweight=".930929pt" strokecolor="#c0c0c0">
                  <v:path arrowok="t"/>
                  <v:stroke dashstyle="solid"/>
                </v:shape>
                <v:shape style="position:absolute;left:2980;top:3688;width:6887;height:3553" id="docshape281" coordorigin="2980,3689" coordsize="6887,3553" path="m2980,7241l9867,7241m2980,6749l9867,6749m2980,6235l9867,6235m2980,5722l9867,5722m2980,5207l9867,5207m2980,4716l9867,4716m2980,4202l9867,4202m2980,3689l9867,3689e" filled="false" stroked="true" strokeweight=".930929pt" strokecolor="#808080">
                  <v:path arrowok="t"/>
                  <v:stroke dashstyle="solid"/>
                </v:shape>
                <v:shape style="position:absolute;left:3250;top:3688;width:6362;height:4044" id="docshape282" coordorigin="3250,3689" coordsize="6362,4044" path="m3250,3689l3250,7732m3535,3689l3535,7732m3805,3689l3805,7732m4090,3689l4090,7732m4630,3689l4630,7732m4916,3689l4916,7732m5186,3689l5186,7732m5471,3689l5471,7732m6011,3689l6011,7732m6296,3689l6296,7732m6566,3689l6566,7732m6851,3689l6851,7732m7391,3689l7391,7732m7677,3689l7677,7732m7947,3689l7947,7732m8232,3689l8232,7732m8772,3689l8772,7732m9057,3689l9057,7732m9327,3689l9327,7732m9612,3689l9612,7732e" filled="false" stroked="true" strokeweight=".930929pt" strokecolor="#c0c0c0">
                  <v:path arrowok="t"/>
                  <v:stroke dashstyle="solid"/>
                </v:shape>
                <v:shape style="position:absolute;left:4360;top:3688;width:5522;height:4044" id="docshape283" coordorigin="4360,3689" coordsize="5522,4044" path="m4360,3689l4360,7732m5741,3689l5741,7732m7121,3689l7121,7732m8502,3689l8502,7732m9882,3689l9882,7732e" filled="false" stroked="true" strokeweight=".930929pt" strokecolor="#808080">
                  <v:path arrowok="t"/>
                  <v:stroke dashstyle="solid"/>
                </v:shape>
                <v:shape style="position:absolute;left:2920;top:3688;width:6962;height:4156" id="docshape284" coordorigin="2920,3689" coordsize="6962,4156" path="m2980,3689l2980,7732m2920,7755l2965,7755m2920,7241l2965,7241m2920,6749l2965,6749m2920,6235l2965,6235m2920,5722l2965,5722m2920,5207l2965,5207m2920,4716l2965,4716m2920,4202l2965,4202m2920,3689l2965,3689m2980,7755l9867,7755m2980,7844l2980,7777m4360,7844l4360,7777m5741,7844l5741,7777m7121,7844l7121,7777m8502,7844l8502,7777m9882,7844l9882,7777e" filled="false" stroked="true" strokeweight=".930929pt" strokecolor="#808080">
                  <v:path arrowok="t"/>
                  <v:stroke dashstyle="solid"/>
                </v:shape>
                <v:shape style="position:absolute;left:5926;top:6002;width:169;height:242" type="#_x0000_t75" id="docshape285" stroked="false">
                  <v:imagedata r:id="rId48" o:title=""/>
                </v:shape>
                <v:shape style="position:absolute;left:6766;top:5399;width:169;height:243" type="#_x0000_t75" id="docshape286" stroked="false">
                  <v:imagedata r:id="rId49" o:title=""/>
                </v:shape>
                <v:shape style="position:absolute;left:7591;top:4997;width:169;height:242" type="#_x0000_t75" id="docshape287" stroked="false">
                  <v:imagedata r:id="rId50" o:title=""/>
                </v:shape>
                <v:shape style="position:absolute;left:8087;top:4818;width:169;height:243" type="#_x0000_t75" id="docshape288" stroked="false">
                  <v:imagedata r:id="rId51" o:title=""/>
                </v:shape>
                <v:shape style="position:absolute;left:8416;top:4237;width:169;height:243" type="#_x0000_t75" id="docshape289" stroked="false">
                  <v:imagedata r:id="rId52" o:title=""/>
                </v:shape>
                <v:line style="position:absolute" from="6011,6124" to="8487,4537" stroked="true" strokeweight="1.00704pt" strokecolor="#000000">
                  <v:stroke dashstyle="solid"/>
                </v:line>
                <v:rect style="position:absolute;left:2237;top:3208;width:7953;height:5921" id="docshape290" filled="false" stroked="true" strokeweight=".98317pt" strokecolor="#808080">
                  <v:stroke dashstyle="solid"/>
                </v:rect>
                <v:shape style="position:absolute;left:2717;top:3548;width:119;height:4357" type="#_x0000_t202" id="docshape291" filled="false" stroked="false">
                  <v:textbox inset="0,0,0,0">
                    <w:txbxContent>
                      <w:p>
                        <w:pPr>
                          <w:spacing w:line="295" w:lineRule="exact" w:before="0"/>
                          <w:ind w:left="0" w:right="0" w:firstLine="0"/>
                          <w:jc w:val="left"/>
                          <w:rPr>
                            <w:rFonts w:ascii="Calibri"/>
                            <w:sz w:val="29"/>
                          </w:rPr>
                        </w:pPr>
                        <w:r>
                          <w:rPr>
                            <w:rFonts w:ascii="Calibri"/>
                            <w:spacing w:val="-10"/>
                            <w:w w:val="75"/>
                            <w:sz w:val="29"/>
                          </w:rPr>
                          <w:t>8</w:t>
                        </w:r>
                      </w:p>
                      <w:p>
                        <w:pPr>
                          <w:spacing w:before="160"/>
                          <w:ind w:left="0" w:right="0" w:firstLine="0"/>
                          <w:jc w:val="left"/>
                          <w:rPr>
                            <w:rFonts w:ascii="Calibri"/>
                            <w:sz w:val="29"/>
                          </w:rPr>
                        </w:pPr>
                        <w:r>
                          <w:rPr>
                            <w:rFonts w:ascii="Calibri"/>
                            <w:spacing w:val="-10"/>
                            <w:w w:val="75"/>
                            <w:sz w:val="29"/>
                          </w:rPr>
                          <w:t>7</w:t>
                        </w:r>
                      </w:p>
                      <w:p>
                        <w:pPr>
                          <w:spacing w:before="160"/>
                          <w:ind w:left="0" w:right="0" w:firstLine="0"/>
                          <w:jc w:val="left"/>
                          <w:rPr>
                            <w:rFonts w:ascii="Calibri"/>
                            <w:sz w:val="29"/>
                          </w:rPr>
                        </w:pPr>
                        <w:r>
                          <w:rPr>
                            <w:rFonts w:ascii="Calibri"/>
                            <w:spacing w:val="-10"/>
                            <w:w w:val="75"/>
                            <w:sz w:val="29"/>
                          </w:rPr>
                          <w:t>6</w:t>
                        </w:r>
                      </w:p>
                      <w:p>
                        <w:pPr>
                          <w:spacing w:before="137"/>
                          <w:ind w:left="0" w:right="0" w:firstLine="0"/>
                          <w:jc w:val="left"/>
                          <w:rPr>
                            <w:rFonts w:ascii="Calibri"/>
                            <w:sz w:val="29"/>
                          </w:rPr>
                        </w:pPr>
                        <w:r>
                          <w:rPr>
                            <w:rFonts w:ascii="Calibri"/>
                            <w:spacing w:val="-10"/>
                            <w:w w:val="75"/>
                            <w:sz w:val="29"/>
                          </w:rPr>
                          <w:t>5</w:t>
                        </w:r>
                      </w:p>
                      <w:p>
                        <w:pPr>
                          <w:spacing w:before="160"/>
                          <w:ind w:left="0" w:right="0" w:firstLine="0"/>
                          <w:jc w:val="left"/>
                          <w:rPr>
                            <w:rFonts w:ascii="Calibri"/>
                            <w:sz w:val="29"/>
                          </w:rPr>
                        </w:pPr>
                        <w:r>
                          <w:rPr>
                            <w:rFonts w:ascii="Calibri"/>
                            <w:spacing w:val="-10"/>
                            <w:w w:val="75"/>
                            <w:sz w:val="29"/>
                          </w:rPr>
                          <w:t>4</w:t>
                        </w:r>
                      </w:p>
                      <w:p>
                        <w:pPr>
                          <w:spacing w:before="160"/>
                          <w:ind w:left="0" w:right="0" w:firstLine="0"/>
                          <w:jc w:val="left"/>
                          <w:rPr>
                            <w:rFonts w:ascii="Calibri"/>
                            <w:sz w:val="29"/>
                          </w:rPr>
                        </w:pPr>
                        <w:r>
                          <w:rPr>
                            <w:rFonts w:ascii="Calibri"/>
                            <w:spacing w:val="-10"/>
                            <w:w w:val="75"/>
                            <w:sz w:val="29"/>
                          </w:rPr>
                          <w:t>3</w:t>
                        </w:r>
                      </w:p>
                      <w:p>
                        <w:pPr>
                          <w:spacing w:before="160"/>
                          <w:ind w:left="0" w:right="0" w:firstLine="0"/>
                          <w:jc w:val="left"/>
                          <w:rPr>
                            <w:rFonts w:ascii="Calibri"/>
                            <w:sz w:val="29"/>
                          </w:rPr>
                        </w:pPr>
                        <w:r>
                          <w:rPr>
                            <w:rFonts w:ascii="Calibri"/>
                            <w:spacing w:val="-10"/>
                            <w:w w:val="75"/>
                            <w:sz w:val="29"/>
                          </w:rPr>
                          <w:t>2</w:t>
                        </w:r>
                      </w:p>
                      <w:p>
                        <w:pPr>
                          <w:spacing w:before="137"/>
                          <w:ind w:left="0" w:right="0" w:firstLine="0"/>
                          <w:jc w:val="left"/>
                          <w:rPr>
                            <w:rFonts w:ascii="Calibri"/>
                            <w:sz w:val="29"/>
                          </w:rPr>
                        </w:pPr>
                        <w:r>
                          <w:rPr>
                            <w:rFonts w:ascii="Calibri"/>
                            <w:spacing w:val="-10"/>
                            <w:w w:val="75"/>
                            <w:sz w:val="29"/>
                          </w:rPr>
                          <w:t>1</w:t>
                        </w:r>
                      </w:p>
                      <w:p>
                        <w:pPr>
                          <w:spacing w:line="349" w:lineRule="exact" w:before="160"/>
                          <w:ind w:left="0" w:right="0" w:firstLine="0"/>
                          <w:jc w:val="left"/>
                          <w:rPr>
                            <w:rFonts w:ascii="Calibri"/>
                            <w:sz w:val="29"/>
                          </w:rPr>
                        </w:pPr>
                        <w:r>
                          <w:rPr>
                            <w:rFonts w:ascii="Calibri"/>
                            <w:spacing w:val="-10"/>
                            <w:w w:val="75"/>
                            <w:sz w:val="29"/>
                          </w:rPr>
                          <w:t>0</w:t>
                        </w:r>
                      </w:p>
                    </w:txbxContent>
                  </v:textbox>
                  <w10:wrap type="none"/>
                </v:shape>
                <v:shape style="position:absolute;left:2927;top:8039;width:119;height:291" type="#_x0000_t202" id="docshape292" filled="false" stroked="false">
                  <v:textbox inset="0,0,0,0">
                    <w:txbxContent>
                      <w:p>
                        <w:pPr>
                          <w:spacing w:line="290" w:lineRule="exact" w:before="0"/>
                          <w:ind w:left="0" w:right="0" w:firstLine="0"/>
                          <w:jc w:val="left"/>
                          <w:rPr>
                            <w:rFonts w:ascii="Calibri"/>
                            <w:sz w:val="29"/>
                          </w:rPr>
                        </w:pPr>
                        <w:r>
                          <w:rPr>
                            <w:rFonts w:ascii="Calibri"/>
                            <w:spacing w:val="-10"/>
                            <w:w w:val="75"/>
                            <w:sz w:val="29"/>
                          </w:rPr>
                          <w:t>0</w:t>
                        </w:r>
                      </w:p>
                    </w:txbxContent>
                  </v:textbox>
                  <w10:wrap type="none"/>
                </v:shape>
                <v:shape style="position:absolute;left:4218;top:8039;width:284;height:291" type="#_x0000_t202" id="docshape293" filled="false" stroked="false">
                  <v:textbox inset="0,0,0,0">
                    <w:txbxContent>
                      <w:p>
                        <w:pPr>
                          <w:spacing w:line="290" w:lineRule="exact" w:before="0"/>
                          <w:ind w:left="0" w:right="0" w:firstLine="0"/>
                          <w:jc w:val="left"/>
                          <w:rPr>
                            <w:rFonts w:ascii="Calibri"/>
                            <w:sz w:val="29"/>
                          </w:rPr>
                        </w:pPr>
                        <w:r>
                          <w:rPr>
                            <w:rFonts w:ascii="Calibri"/>
                            <w:spacing w:val="-5"/>
                            <w:w w:val="70"/>
                            <w:sz w:val="29"/>
                          </w:rPr>
                          <w:t>0.5</w:t>
                        </w:r>
                      </w:p>
                    </w:txbxContent>
                  </v:textbox>
                  <w10:wrap type="none"/>
                </v:shape>
                <v:shape style="position:absolute;left:5688;top:8039;width:119;height:291" type="#_x0000_t202" id="docshape294" filled="false" stroked="false">
                  <v:textbox inset="0,0,0,0">
                    <w:txbxContent>
                      <w:p>
                        <w:pPr>
                          <w:spacing w:line="290" w:lineRule="exact" w:before="0"/>
                          <w:ind w:left="0" w:right="0" w:firstLine="0"/>
                          <w:jc w:val="left"/>
                          <w:rPr>
                            <w:rFonts w:ascii="Calibri"/>
                            <w:sz w:val="29"/>
                          </w:rPr>
                        </w:pPr>
                        <w:r>
                          <w:rPr>
                            <w:rFonts w:ascii="Calibri"/>
                            <w:spacing w:val="-10"/>
                            <w:w w:val="75"/>
                            <w:sz w:val="29"/>
                          </w:rPr>
                          <w:t>1</w:t>
                        </w:r>
                      </w:p>
                    </w:txbxContent>
                  </v:textbox>
                  <w10:wrap type="none"/>
                </v:shape>
                <v:shape style="position:absolute;left:6978;top:8039;width:284;height:291" type="#_x0000_t202" id="docshape295" filled="false" stroked="false">
                  <v:textbox inset="0,0,0,0">
                    <w:txbxContent>
                      <w:p>
                        <w:pPr>
                          <w:spacing w:line="290" w:lineRule="exact" w:before="0"/>
                          <w:ind w:left="0" w:right="0" w:firstLine="0"/>
                          <w:jc w:val="left"/>
                          <w:rPr>
                            <w:rFonts w:ascii="Calibri"/>
                            <w:sz w:val="29"/>
                          </w:rPr>
                        </w:pPr>
                        <w:r>
                          <w:rPr>
                            <w:rFonts w:ascii="Calibri"/>
                            <w:spacing w:val="-5"/>
                            <w:w w:val="70"/>
                            <w:sz w:val="29"/>
                          </w:rPr>
                          <w:t>1.5</w:t>
                        </w:r>
                      </w:p>
                    </w:txbxContent>
                  </v:textbox>
                  <w10:wrap type="none"/>
                </v:shape>
                <v:shape style="position:absolute;left:8448;top:8039;width:119;height:291" type="#_x0000_t202" id="docshape296" filled="false" stroked="false">
                  <v:textbox inset="0,0,0,0">
                    <w:txbxContent>
                      <w:p>
                        <w:pPr>
                          <w:spacing w:line="290" w:lineRule="exact" w:before="0"/>
                          <w:ind w:left="0" w:right="0" w:firstLine="0"/>
                          <w:jc w:val="left"/>
                          <w:rPr>
                            <w:rFonts w:ascii="Calibri"/>
                            <w:sz w:val="29"/>
                          </w:rPr>
                        </w:pPr>
                        <w:r>
                          <w:rPr>
                            <w:rFonts w:ascii="Calibri"/>
                            <w:spacing w:val="-10"/>
                            <w:w w:val="75"/>
                            <w:sz w:val="29"/>
                          </w:rPr>
                          <w:t>2</w:t>
                        </w:r>
                      </w:p>
                    </w:txbxContent>
                  </v:textbox>
                  <w10:wrap type="none"/>
                </v:shape>
                <v:shape style="position:absolute;left:9739;top:8039;width:284;height:291" type="#_x0000_t202" id="docshape297" filled="false" stroked="false">
                  <v:textbox inset="0,0,0,0">
                    <w:txbxContent>
                      <w:p>
                        <w:pPr>
                          <w:spacing w:line="290" w:lineRule="exact" w:before="0"/>
                          <w:ind w:left="0" w:right="0" w:firstLine="0"/>
                          <w:jc w:val="left"/>
                          <w:rPr>
                            <w:rFonts w:ascii="Calibri"/>
                            <w:sz w:val="29"/>
                          </w:rPr>
                        </w:pPr>
                        <w:r>
                          <w:rPr>
                            <w:rFonts w:ascii="Calibri"/>
                            <w:spacing w:val="-5"/>
                            <w:w w:val="70"/>
                            <w:sz w:val="29"/>
                          </w:rPr>
                          <w:t>2.5</w:t>
                        </w:r>
                      </w:p>
                    </w:txbxContent>
                  </v:textbox>
                  <w10:wrap type="none"/>
                </v:shape>
                <v:shape style="position:absolute;left:5973;top:8732;width:882;height:291" type="#_x0000_t202" id="docshape298" filled="false" stroked="false">
                  <v:textbox inset="0,0,0,0">
                    <w:txbxContent>
                      <w:p>
                        <w:pPr>
                          <w:spacing w:line="290" w:lineRule="exact" w:before="0"/>
                          <w:ind w:left="0" w:right="0" w:firstLine="0"/>
                          <w:jc w:val="left"/>
                          <w:rPr>
                            <w:rFonts w:ascii="Calibri"/>
                            <w:b/>
                            <w:sz w:val="29"/>
                          </w:rPr>
                        </w:pPr>
                        <w:r>
                          <w:rPr>
                            <w:rFonts w:ascii="Calibri"/>
                            <w:b/>
                            <w:w w:val="70"/>
                            <w:sz w:val="29"/>
                          </w:rPr>
                          <w:t>L</w:t>
                        </w:r>
                        <w:r>
                          <w:rPr>
                            <w:rFonts w:ascii="Calibri"/>
                            <w:b/>
                            <w:spacing w:val="-9"/>
                            <w:w w:val="70"/>
                            <w:sz w:val="29"/>
                          </w:rPr>
                          <w:t> </w:t>
                        </w:r>
                        <w:r>
                          <w:rPr>
                            <w:rFonts w:ascii="Calibri"/>
                            <w:b/>
                            <w:w w:val="70"/>
                            <w:sz w:val="29"/>
                          </w:rPr>
                          <w:t>og</w:t>
                        </w:r>
                        <w:r>
                          <w:rPr>
                            <w:rFonts w:ascii="Calibri"/>
                            <w:b/>
                            <w:spacing w:val="22"/>
                            <w:sz w:val="29"/>
                          </w:rPr>
                          <w:t> </w:t>
                        </w:r>
                        <w:r>
                          <w:rPr>
                            <w:rFonts w:ascii="Calibri"/>
                            <w:b/>
                            <w:spacing w:val="5"/>
                            <w:w w:val="70"/>
                            <w:sz w:val="29"/>
                          </w:rPr>
                          <w:t>Dose</w:t>
                        </w:r>
                      </w:p>
                    </w:txbxContent>
                  </v:textbox>
                  <w10:wrap type="none"/>
                </v:shape>
                <w10:wrap type="none"/>
              </v:group>
            </w:pict>
          </mc:Fallback>
        </mc:AlternateContent>
      </w:r>
      <w:r>
        <w:rPr>
          <w:b/>
          <w:sz w:val="24"/>
        </w:rPr>
        <w:t>Log</w:t>
      </w:r>
      <w:r>
        <w:rPr>
          <w:b/>
          <w:spacing w:val="-2"/>
          <w:sz w:val="24"/>
        </w:rPr>
        <w:t> </w:t>
      </w:r>
      <w:r>
        <w:rPr>
          <w:b/>
          <w:sz w:val="24"/>
        </w:rPr>
        <w:t>Dose</w:t>
      </w:r>
      <w:r>
        <w:rPr>
          <w:b/>
          <w:spacing w:val="-2"/>
          <w:sz w:val="24"/>
        </w:rPr>
        <w:t> </w:t>
      </w:r>
      <w:r>
        <w:rPr>
          <w:b/>
          <w:sz w:val="24"/>
        </w:rPr>
        <w:t>– Probit</w:t>
      </w:r>
      <w:r>
        <w:rPr>
          <w:b/>
          <w:spacing w:val="2"/>
          <w:sz w:val="24"/>
        </w:rPr>
        <w:t> </w:t>
      </w:r>
      <w:r>
        <w:rPr>
          <w:b/>
          <w:sz w:val="24"/>
        </w:rPr>
        <w:t>Values</w:t>
      </w:r>
      <w:r>
        <w:rPr>
          <w:b/>
          <w:spacing w:val="-2"/>
          <w:sz w:val="24"/>
        </w:rPr>
        <w:t> </w:t>
      </w:r>
      <w:r>
        <w:rPr>
          <w:b/>
          <w:sz w:val="24"/>
        </w:rPr>
        <w:t>for</w:t>
      </w:r>
      <w:r>
        <w:rPr>
          <w:b/>
          <w:spacing w:val="-7"/>
          <w:sz w:val="24"/>
        </w:rPr>
        <w:t> </w:t>
      </w:r>
      <w:r>
        <w:rPr>
          <w:b/>
          <w:sz w:val="24"/>
        </w:rPr>
        <w:t>ED</w:t>
      </w:r>
      <w:r>
        <w:rPr>
          <w:b/>
          <w:sz w:val="24"/>
          <w:vertAlign w:val="subscript"/>
        </w:rPr>
        <w:t>50</w:t>
      </w:r>
      <w:r>
        <w:rPr>
          <w:b/>
          <w:spacing w:val="-20"/>
          <w:sz w:val="24"/>
          <w:vertAlign w:val="baseline"/>
        </w:rPr>
        <w:t> </w:t>
      </w:r>
      <w:r>
        <w:rPr>
          <w:b/>
          <w:sz w:val="24"/>
          <w:vertAlign w:val="baseline"/>
        </w:rPr>
        <w:t>of</w:t>
      </w:r>
      <w:r>
        <w:rPr>
          <w:b/>
          <w:spacing w:val="-3"/>
          <w:sz w:val="24"/>
          <w:vertAlign w:val="baseline"/>
        </w:rPr>
        <w:t> </w:t>
      </w:r>
      <w:r>
        <w:rPr>
          <w:b/>
          <w:spacing w:val="-4"/>
          <w:sz w:val="24"/>
          <w:vertAlign w:val="baseline"/>
        </w:rPr>
        <w:t>DCP25</w:t>
      </w:r>
    </w:p>
    <w:p>
      <w:pPr>
        <w:pStyle w:val="BodyText"/>
        <w:spacing w:before="109"/>
        <w:rPr>
          <w:b/>
          <w:sz w:val="20"/>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040"/>
      </w:tblGrid>
      <w:tr>
        <w:trPr>
          <w:trHeight w:val="252" w:hRule="atLeast"/>
        </w:trPr>
        <w:tc>
          <w:tcPr>
            <w:tcW w:w="1040" w:type="dxa"/>
          </w:tcPr>
          <w:p>
            <w:pPr>
              <w:pStyle w:val="TableParagraph"/>
              <w:spacing w:line="225" w:lineRule="exact"/>
              <w:ind w:left="50"/>
              <w:rPr>
                <w:rFonts w:ascii="Calibri"/>
                <w:sz w:val="22"/>
              </w:rPr>
            </w:pPr>
            <w:r>
              <w:rPr>
                <w:rFonts w:ascii="Calibri"/>
                <w:sz w:val="22"/>
              </w:rPr>
              <w:t>Log</w:t>
            </w:r>
            <w:r>
              <w:rPr>
                <w:rFonts w:ascii="Calibri"/>
                <w:spacing w:val="-5"/>
                <w:sz w:val="22"/>
              </w:rPr>
              <w:t> </w:t>
            </w:r>
            <w:r>
              <w:rPr>
                <w:rFonts w:ascii="Calibri"/>
                <w:spacing w:val="-4"/>
                <w:sz w:val="22"/>
              </w:rPr>
              <w:t>Dose</w:t>
            </w:r>
          </w:p>
        </w:tc>
        <w:tc>
          <w:tcPr>
            <w:tcW w:w="1040" w:type="dxa"/>
          </w:tcPr>
          <w:p>
            <w:pPr>
              <w:pStyle w:val="TableParagraph"/>
              <w:spacing w:line="225" w:lineRule="exact"/>
              <w:ind w:left="109"/>
              <w:rPr>
                <w:rFonts w:ascii="Calibri"/>
                <w:sz w:val="22"/>
              </w:rPr>
            </w:pPr>
            <w:r>
              <w:rPr>
                <w:rFonts w:ascii="Calibri"/>
                <w:spacing w:val="-2"/>
                <w:sz w:val="22"/>
              </w:rPr>
              <w:t>Probit</w:t>
            </w:r>
          </w:p>
        </w:tc>
      </w:tr>
      <w:tr>
        <w:trPr>
          <w:trHeight w:val="285" w:hRule="atLeast"/>
        </w:trPr>
        <w:tc>
          <w:tcPr>
            <w:tcW w:w="1040" w:type="dxa"/>
          </w:tcPr>
          <w:p>
            <w:pPr>
              <w:pStyle w:val="TableParagraph"/>
              <w:spacing w:line="256" w:lineRule="exact"/>
              <w:ind w:right="108"/>
              <w:jc w:val="right"/>
              <w:rPr>
                <w:rFonts w:ascii="Calibri"/>
                <w:sz w:val="22"/>
              </w:rPr>
            </w:pPr>
            <w:r>
              <w:rPr>
                <w:rFonts w:ascii="Calibri"/>
                <w:spacing w:val="-5"/>
                <w:sz w:val="22"/>
              </w:rPr>
              <w:t>1.1</w:t>
            </w:r>
          </w:p>
        </w:tc>
        <w:tc>
          <w:tcPr>
            <w:tcW w:w="1040" w:type="dxa"/>
          </w:tcPr>
          <w:p>
            <w:pPr>
              <w:pStyle w:val="TableParagraph"/>
              <w:spacing w:line="256" w:lineRule="exact"/>
              <w:ind w:right="48"/>
              <w:jc w:val="right"/>
              <w:rPr>
                <w:rFonts w:ascii="Calibri"/>
                <w:sz w:val="22"/>
              </w:rPr>
            </w:pPr>
            <w:r>
              <w:rPr>
                <w:rFonts w:ascii="Calibri"/>
                <w:spacing w:val="-4"/>
                <w:sz w:val="22"/>
              </w:rPr>
              <w:t>3.19</w:t>
            </w: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5"/>
                <w:sz w:val="22"/>
              </w:rPr>
              <w:t>1.4</w:t>
            </w:r>
          </w:p>
        </w:tc>
        <w:tc>
          <w:tcPr>
            <w:tcW w:w="1040" w:type="dxa"/>
          </w:tcPr>
          <w:p>
            <w:pPr>
              <w:pStyle w:val="TableParagraph"/>
              <w:spacing w:line="258" w:lineRule="exact"/>
              <w:ind w:right="48"/>
              <w:jc w:val="right"/>
              <w:rPr>
                <w:rFonts w:ascii="Calibri"/>
                <w:sz w:val="22"/>
              </w:rPr>
            </w:pPr>
            <w:r>
              <w:rPr>
                <w:rFonts w:ascii="Calibri"/>
                <w:spacing w:val="-4"/>
                <w:sz w:val="22"/>
              </w:rPr>
              <w:t>4.41</w:t>
            </w:r>
          </w:p>
        </w:tc>
      </w:tr>
      <w:tr>
        <w:trPr>
          <w:trHeight w:val="283" w:hRule="atLeast"/>
        </w:trPr>
        <w:tc>
          <w:tcPr>
            <w:tcW w:w="1040" w:type="dxa"/>
          </w:tcPr>
          <w:p>
            <w:pPr>
              <w:pStyle w:val="TableParagraph"/>
              <w:spacing w:line="256" w:lineRule="exact"/>
              <w:ind w:right="108"/>
              <w:jc w:val="right"/>
              <w:rPr>
                <w:rFonts w:ascii="Calibri"/>
                <w:sz w:val="22"/>
              </w:rPr>
            </w:pPr>
            <w:r>
              <w:rPr>
                <w:rFonts w:ascii="Calibri"/>
                <w:spacing w:val="-5"/>
                <w:sz w:val="22"/>
              </w:rPr>
              <w:t>1.7</w:t>
            </w:r>
          </w:p>
        </w:tc>
        <w:tc>
          <w:tcPr>
            <w:tcW w:w="1040" w:type="dxa"/>
          </w:tcPr>
          <w:p>
            <w:pPr>
              <w:pStyle w:val="TableParagraph"/>
              <w:spacing w:line="256" w:lineRule="exact"/>
              <w:ind w:right="48"/>
              <w:jc w:val="right"/>
              <w:rPr>
                <w:rFonts w:ascii="Calibri"/>
                <w:sz w:val="22"/>
              </w:rPr>
            </w:pPr>
            <w:r>
              <w:rPr>
                <w:rFonts w:ascii="Calibri"/>
                <w:spacing w:val="-5"/>
                <w:sz w:val="22"/>
              </w:rPr>
              <w:t>5.2</w:t>
            </w:r>
          </w:p>
        </w:tc>
      </w:tr>
      <w:tr>
        <w:trPr>
          <w:trHeight w:val="285" w:hRule="atLeast"/>
        </w:trPr>
        <w:tc>
          <w:tcPr>
            <w:tcW w:w="1040" w:type="dxa"/>
          </w:tcPr>
          <w:p>
            <w:pPr>
              <w:pStyle w:val="TableParagraph"/>
              <w:spacing w:line="256" w:lineRule="exact"/>
              <w:ind w:right="108"/>
              <w:jc w:val="right"/>
              <w:rPr>
                <w:rFonts w:ascii="Calibri"/>
                <w:sz w:val="22"/>
              </w:rPr>
            </w:pPr>
            <w:r>
              <w:rPr>
                <w:rFonts w:ascii="Calibri"/>
                <w:spacing w:val="-4"/>
                <w:sz w:val="22"/>
              </w:rPr>
              <w:t>1.88</w:t>
            </w:r>
          </w:p>
        </w:tc>
        <w:tc>
          <w:tcPr>
            <w:tcW w:w="1040" w:type="dxa"/>
          </w:tcPr>
          <w:p>
            <w:pPr>
              <w:pStyle w:val="TableParagraph"/>
              <w:spacing w:line="256" w:lineRule="exact"/>
              <w:ind w:right="48"/>
              <w:jc w:val="right"/>
              <w:rPr>
                <w:rFonts w:ascii="Calibri"/>
                <w:sz w:val="22"/>
              </w:rPr>
            </w:pPr>
            <w:r>
              <w:rPr>
                <w:rFonts w:ascii="Calibri"/>
                <w:spacing w:val="-4"/>
                <w:sz w:val="22"/>
              </w:rPr>
              <w:t>5.53</w:t>
            </w:r>
          </w:p>
        </w:tc>
      </w:tr>
      <w:tr>
        <w:trPr>
          <w:trHeight w:val="254" w:hRule="atLeast"/>
        </w:trPr>
        <w:tc>
          <w:tcPr>
            <w:tcW w:w="1040" w:type="dxa"/>
          </w:tcPr>
          <w:p>
            <w:pPr>
              <w:pStyle w:val="TableParagraph"/>
              <w:spacing w:line="234" w:lineRule="exact"/>
              <w:ind w:right="108"/>
              <w:jc w:val="right"/>
              <w:rPr>
                <w:rFonts w:ascii="Calibri"/>
                <w:sz w:val="22"/>
              </w:rPr>
            </w:pPr>
            <w:r>
              <w:rPr>
                <w:rFonts w:ascii="Calibri"/>
                <w:spacing w:val="-10"/>
                <w:sz w:val="22"/>
              </w:rPr>
              <w:t>2</w:t>
            </w:r>
          </w:p>
        </w:tc>
        <w:tc>
          <w:tcPr>
            <w:tcW w:w="1040" w:type="dxa"/>
          </w:tcPr>
          <w:p>
            <w:pPr>
              <w:pStyle w:val="TableParagraph"/>
              <w:spacing w:line="234" w:lineRule="exact"/>
              <w:ind w:right="48"/>
              <w:jc w:val="right"/>
              <w:rPr>
                <w:rFonts w:ascii="Calibri"/>
                <w:sz w:val="22"/>
              </w:rPr>
            </w:pPr>
            <w:r>
              <w:rPr>
                <w:rFonts w:ascii="Calibri"/>
                <w:spacing w:val="-5"/>
                <w:sz w:val="22"/>
              </w:rPr>
              <w:t>6.7</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8"/>
        <w:rPr>
          <w:b/>
        </w:rPr>
      </w:pPr>
    </w:p>
    <w:p>
      <w:pPr>
        <w:pStyle w:val="BodyText"/>
        <w:spacing w:line="480" w:lineRule="auto" w:before="1"/>
        <w:ind w:left="681"/>
      </w:pPr>
      <w:r>
        <w:rPr/>
        <mc:AlternateContent>
          <mc:Choice Requires="wps">
            <w:drawing>
              <wp:anchor distT="0" distB="0" distL="0" distR="0" allowOverlap="1" layoutInCell="1" locked="0" behindDoc="0" simplePos="0" relativeHeight="15811072">
                <wp:simplePos x="0" y="0"/>
                <wp:positionH relativeFrom="page">
                  <wp:posOffset>1457977</wp:posOffset>
                </wp:positionH>
                <wp:positionV relativeFrom="paragraph">
                  <wp:posOffset>-2686451</wp:posOffset>
                </wp:positionV>
                <wp:extent cx="149860" cy="569595"/>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49860" cy="569595"/>
                        </a:xfrm>
                        <a:prstGeom prst="rect">
                          <a:avLst/>
                        </a:prstGeom>
                      </wps:spPr>
                      <wps:txbx>
                        <w:txbxContent>
                          <w:p>
                            <w:pPr>
                              <w:spacing w:line="217" w:lineRule="exact" w:before="0"/>
                              <w:ind w:left="20" w:right="0" w:firstLine="0"/>
                              <w:jc w:val="left"/>
                              <w:rPr>
                                <w:rFonts w:ascii="Calibri"/>
                                <w:b/>
                                <w:sz w:val="19"/>
                              </w:rPr>
                            </w:pPr>
                            <w:r>
                              <w:rPr>
                                <w:rFonts w:ascii="Calibri"/>
                                <w:b/>
                                <w:w w:val="150"/>
                                <w:sz w:val="19"/>
                              </w:rPr>
                              <w:t>P</w:t>
                            </w:r>
                            <w:r>
                              <w:rPr>
                                <w:rFonts w:ascii="Calibri"/>
                                <w:b/>
                                <w:spacing w:val="-17"/>
                                <w:w w:val="150"/>
                                <w:sz w:val="19"/>
                              </w:rPr>
                              <w:t> </w:t>
                            </w:r>
                            <w:r>
                              <w:rPr>
                                <w:rFonts w:ascii="Calibri"/>
                                <w:b/>
                                <w:spacing w:val="11"/>
                                <w:w w:val="150"/>
                                <w:sz w:val="19"/>
                              </w:rPr>
                              <w:t>robit</w:t>
                            </w:r>
                          </w:p>
                        </w:txbxContent>
                      </wps:txbx>
                      <wps:bodyPr wrap="square" lIns="0" tIns="0" rIns="0" bIns="0" rtlCol="0" vert="vert270">
                        <a:noAutofit/>
                      </wps:bodyPr>
                    </wps:wsp>
                  </a:graphicData>
                </a:graphic>
              </wp:anchor>
            </w:drawing>
          </mc:Choice>
          <mc:Fallback>
            <w:pict>
              <v:shape style="position:absolute;margin-left:114.801361pt;margin-top:-211.531601pt;width:11.8pt;height:44.85pt;mso-position-horizontal-relative:page;mso-position-vertical-relative:paragraph;z-index:15811072" type="#_x0000_t202" id="docshape299" filled="false" stroked="false">
                <v:textbox inset="0,0,0,0" style="layout-flow:vertical;mso-layout-flow-alt:bottom-to-top">
                  <w:txbxContent>
                    <w:p>
                      <w:pPr>
                        <w:spacing w:line="217" w:lineRule="exact" w:before="0"/>
                        <w:ind w:left="20" w:right="0" w:firstLine="0"/>
                        <w:jc w:val="left"/>
                        <w:rPr>
                          <w:rFonts w:ascii="Calibri"/>
                          <w:b/>
                          <w:sz w:val="19"/>
                        </w:rPr>
                      </w:pPr>
                      <w:r>
                        <w:rPr>
                          <w:rFonts w:ascii="Calibri"/>
                          <w:b/>
                          <w:w w:val="150"/>
                          <w:sz w:val="19"/>
                        </w:rPr>
                        <w:t>P</w:t>
                      </w:r>
                      <w:r>
                        <w:rPr>
                          <w:rFonts w:ascii="Calibri"/>
                          <w:b/>
                          <w:spacing w:val="-17"/>
                          <w:w w:val="150"/>
                          <w:sz w:val="19"/>
                        </w:rPr>
                        <w:t> </w:t>
                      </w:r>
                      <w:r>
                        <w:rPr>
                          <w:rFonts w:ascii="Calibri"/>
                          <w:b/>
                          <w:spacing w:val="11"/>
                          <w:w w:val="150"/>
                          <w:sz w:val="19"/>
                        </w:rPr>
                        <w:t>robit</w:t>
                      </w:r>
                    </w:p>
                  </w:txbxContent>
                </v:textbox>
                <w10:wrap type="none"/>
              </v:shape>
            </w:pict>
          </mc:Fallback>
        </mc:AlternateContent>
      </w:r>
      <w:r>
        <w:rPr>
          <w:b/>
        </w:rPr>
        <w:t>FIGURE 4: </w:t>
      </w:r>
      <w:r>
        <w:rPr/>
        <w:t>Graphical Determination of ED</w:t>
      </w:r>
      <w:r>
        <w:rPr>
          <w:vertAlign w:val="subscript"/>
        </w:rPr>
        <w:t>50</w:t>
      </w:r>
      <w:r>
        <w:rPr>
          <w:vertAlign w:val="baseline"/>
        </w:rPr>
        <w:t> for DCP25 Using Maximal electroshock- induced Seizure Test</w:t>
      </w:r>
    </w:p>
    <w:p>
      <w:pPr>
        <w:spacing w:after="0" w:line="480" w:lineRule="auto"/>
        <w:sectPr>
          <w:pgSz w:w="12240" w:h="15840"/>
          <w:pgMar w:header="0" w:footer="1066" w:top="1360" w:bottom="1260" w:left="1480" w:right="1160"/>
        </w:sectPr>
      </w:pPr>
    </w:p>
    <w:p>
      <w:pPr>
        <w:pStyle w:val="Heading2"/>
        <w:spacing w:line="480" w:lineRule="auto" w:before="77"/>
        <w:ind w:right="284"/>
        <w:jc w:val="left"/>
      </w:pPr>
      <w:r>
        <w:rPr/>
        <w:t>APPENDIX</w:t>
      </w:r>
      <w:r>
        <w:rPr>
          <w:spacing w:val="40"/>
        </w:rPr>
        <w:t> </w:t>
      </w:r>
      <w:r>
        <w:rPr/>
        <w:t>E:</w:t>
      </w:r>
      <w:r>
        <w:rPr>
          <w:spacing w:val="40"/>
        </w:rPr>
        <w:t> </w:t>
      </w:r>
      <w:r>
        <w:rPr/>
        <w:t>Determination</w:t>
      </w:r>
      <w:r>
        <w:rPr>
          <w:spacing w:val="40"/>
        </w:rPr>
        <w:t> </w:t>
      </w:r>
      <w:r>
        <w:rPr/>
        <w:t>of</w:t>
      </w:r>
      <w:r>
        <w:rPr>
          <w:spacing w:val="38"/>
        </w:rPr>
        <w:t> </w:t>
      </w:r>
      <w:r>
        <w:rPr/>
        <w:t>TD</w:t>
      </w:r>
      <w:r>
        <w:rPr>
          <w:vertAlign w:val="subscript"/>
        </w:rPr>
        <w:t>50</w:t>
      </w:r>
      <w:r>
        <w:rPr>
          <w:spacing w:val="25"/>
          <w:vertAlign w:val="baseline"/>
        </w:rPr>
        <w:t> </w:t>
      </w:r>
      <w:r>
        <w:rPr>
          <w:vertAlign w:val="baseline"/>
        </w:rPr>
        <w:t>for</w:t>
      </w:r>
      <w:r>
        <w:rPr>
          <w:spacing w:val="35"/>
          <w:vertAlign w:val="baseline"/>
        </w:rPr>
        <w:t> </w:t>
      </w:r>
      <w:r>
        <w:rPr>
          <w:vertAlign w:val="baseline"/>
        </w:rPr>
        <w:t>DCP34</w:t>
      </w:r>
      <w:r>
        <w:rPr>
          <w:spacing w:val="40"/>
          <w:vertAlign w:val="baseline"/>
        </w:rPr>
        <w:t> </w:t>
      </w:r>
      <w:r>
        <w:rPr>
          <w:vertAlign w:val="baseline"/>
        </w:rPr>
        <w:t>Using</w:t>
      </w:r>
      <w:r>
        <w:rPr>
          <w:spacing w:val="40"/>
          <w:vertAlign w:val="baseline"/>
        </w:rPr>
        <w:t> </w:t>
      </w:r>
      <w:r>
        <w:rPr>
          <w:vertAlign w:val="baseline"/>
        </w:rPr>
        <w:t>Beam</w:t>
      </w:r>
      <w:r>
        <w:rPr>
          <w:spacing w:val="38"/>
          <w:vertAlign w:val="baseline"/>
        </w:rPr>
        <w:t> </w:t>
      </w:r>
      <w:r>
        <w:rPr>
          <w:vertAlign w:val="baseline"/>
        </w:rPr>
        <w:t>Walking</w:t>
      </w:r>
      <w:r>
        <w:rPr>
          <w:spacing w:val="40"/>
          <w:vertAlign w:val="baseline"/>
        </w:rPr>
        <w:t> </w:t>
      </w:r>
      <w:r>
        <w:rPr>
          <w:vertAlign w:val="baseline"/>
        </w:rPr>
        <w:t>Test</w:t>
      </w:r>
      <w:r>
        <w:rPr>
          <w:spacing w:val="40"/>
          <w:vertAlign w:val="baseline"/>
        </w:rPr>
        <w:t> </w:t>
      </w:r>
      <w:r>
        <w:rPr>
          <w:vertAlign w:val="baseline"/>
        </w:rPr>
        <w:t>for Motor Coordination Deficit</w:t>
      </w:r>
    </w:p>
    <w:p>
      <w:pPr>
        <w:pStyle w:val="BodyText"/>
        <w:rPr>
          <w:b/>
        </w:rPr>
      </w:pPr>
    </w:p>
    <w:p>
      <w:pPr>
        <w:pStyle w:val="BodyText"/>
        <w:rPr>
          <w:b/>
        </w:rPr>
      </w:pPr>
    </w:p>
    <w:p>
      <w:pPr>
        <w:spacing w:before="1"/>
        <w:ind w:left="681" w:right="0" w:firstLine="0"/>
        <w:jc w:val="left"/>
        <w:rPr>
          <w:b/>
          <w:sz w:val="24"/>
        </w:rPr>
      </w:pPr>
      <w:r>
        <w:rPr/>
        <mc:AlternateContent>
          <mc:Choice Requires="wps">
            <w:drawing>
              <wp:anchor distT="0" distB="0" distL="0" distR="0" allowOverlap="1" layoutInCell="1" locked="0" behindDoc="0" simplePos="0" relativeHeight="15811584">
                <wp:simplePos x="0" y="0"/>
                <wp:positionH relativeFrom="page">
                  <wp:posOffset>1413989</wp:posOffset>
                </wp:positionH>
                <wp:positionV relativeFrom="paragraph">
                  <wp:posOffset>1855181</wp:posOffset>
                </wp:positionV>
                <wp:extent cx="5063490" cy="3825240"/>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5063490" cy="3825240"/>
                          <a:chExt cx="5063490" cy="3825240"/>
                        </a:xfrm>
                      </wpg:grpSpPr>
                      <wps:wsp>
                        <wps:cNvPr id="409" name="Graphic 409"/>
                        <wps:cNvSpPr/>
                        <wps:spPr>
                          <a:xfrm>
                            <a:off x="6683" y="6683"/>
                            <a:ext cx="5050155" cy="3811904"/>
                          </a:xfrm>
                          <a:custGeom>
                            <a:avLst/>
                            <a:gdLst/>
                            <a:ahLst/>
                            <a:cxnLst/>
                            <a:rect l="l" t="t" r="r" b="b"/>
                            <a:pathLst>
                              <a:path w="5050155" h="3811904">
                                <a:moveTo>
                                  <a:pt x="0" y="3811811"/>
                                </a:moveTo>
                                <a:lnTo>
                                  <a:pt x="5049632" y="3811811"/>
                                </a:lnTo>
                                <a:lnTo>
                                  <a:pt x="5049632" y="0"/>
                                </a:lnTo>
                                <a:lnTo>
                                  <a:pt x="0" y="0"/>
                                </a:lnTo>
                                <a:lnTo>
                                  <a:pt x="0" y="3811811"/>
                                </a:lnTo>
                                <a:close/>
                              </a:path>
                            </a:pathLst>
                          </a:custGeom>
                          <a:ln w="12582">
                            <a:solidFill>
                              <a:srgbClr val="808080"/>
                            </a:solidFill>
                            <a:prstDash val="solid"/>
                          </a:ln>
                        </wps:spPr>
                        <wps:bodyPr wrap="square" lIns="0" tIns="0" rIns="0" bIns="0" rtlCol="0">
                          <a:prstTxWarp prst="textNoShape">
                            <a:avLst/>
                          </a:prstTxWarp>
                          <a:noAutofit/>
                        </wps:bodyPr>
                      </wps:wsp>
                      <wps:wsp>
                        <wps:cNvPr id="410" name="Graphic 410"/>
                        <wps:cNvSpPr/>
                        <wps:spPr>
                          <a:xfrm>
                            <a:off x="478362" y="387482"/>
                            <a:ext cx="4373245" cy="2474595"/>
                          </a:xfrm>
                          <a:custGeom>
                            <a:avLst/>
                            <a:gdLst/>
                            <a:ahLst/>
                            <a:cxnLst/>
                            <a:rect l="l" t="t" r="r" b="b"/>
                            <a:pathLst>
                              <a:path w="4373245" h="2474595">
                                <a:moveTo>
                                  <a:pt x="0" y="2474476"/>
                                </a:moveTo>
                                <a:lnTo>
                                  <a:pt x="4373177" y="2474476"/>
                                </a:lnTo>
                              </a:path>
                              <a:path w="4373245" h="2474595">
                                <a:moveTo>
                                  <a:pt x="0" y="2402330"/>
                                </a:moveTo>
                                <a:lnTo>
                                  <a:pt x="4373177" y="2402330"/>
                                </a:lnTo>
                              </a:path>
                              <a:path w="4373245" h="2474595">
                                <a:moveTo>
                                  <a:pt x="0" y="2316327"/>
                                </a:moveTo>
                                <a:lnTo>
                                  <a:pt x="4373177" y="2316327"/>
                                </a:lnTo>
                              </a:path>
                              <a:path w="4373245" h="2474595">
                                <a:moveTo>
                                  <a:pt x="0" y="2244181"/>
                                </a:moveTo>
                                <a:lnTo>
                                  <a:pt x="4373177" y="2244181"/>
                                </a:lnTo>
                              </a:path>
                              <a:path w="4373245" h="2474595">
                                <a:moveTo>
                                  <a:pt x="0" y="2100366"/>
                                </a:moveTo>
                                <a:lnTo>
                                  <a:pt x="4373177" y="2100366"/>
                                </a:lnTo>
                              </a:path>
                              <a:path w="4373245" h="2474595">
                                <a:moveTo>
                                  <a:pt x="0" y="2028698"/>
                                </a:moveTo>
                                <a:lnTo>
                                  <a:pt x="4373177" y="2028698"/>
                                </a:lnTo>
                              </a:path>
                              <a:path w="4373245" h="2474595">
                                <a:moveTo>
                                  <a:pt x="0" y="1942218"/>
                                </a:moveTo>
                                <a:lnTo>
                                  <a:pt x="4373177" y="1942218"/>
                                </a:lnTo>
                              </a:path>
                              <a:path w="4373245" h="2474595">
                                <a:moveTo>
                                  <a:pt x="0" y="1870071"/>
                                </a:moveTo>
                                <a:lnTo>
                                  <a:pt x="4373177" y="1870071"/>
                                </a:lnTo>
                              </a:path>
                              <a:path w="4373245" h="2474595">
                                <a:moveTo>
                                  <a:pt x="0" y="1726256"/>
                                </a:moveTo>
                                <a:lnTo>
                                  <a:pt x="4373177" y="1726256"/>
                                </a:lnTo>
                              </a:path>
                              <a:path w="4373245" h="2474595">
                                <a:moveTo>
                                  <a:pt x="0" y="1654588"/>
                                </a:moveTo>
                                <a:lnTo>
                                  <a:pt x="4373177" y="1654588"/>
                                </a:lnTo>
                              </a:path>
                              <a:path w="4373245" h="2474595">
                                <a:moveTo>
                                  <a:pt x="0" y="1568108"/>
                                </a:moveTo>
                                <a:lnTo>
                                  <a:pt x="4373177" y="1568108"/>
                                </a:lnTo>
                              </a:path>
                              <a:path w="4373245" h="2474595">
                                <a:moveTo>
                                  <a:pt x="0" y="1496439"/>
                                </a:moveTo>
                                <a:lnTo>
                                  <a:pt x="4373177" y="1496439"/>
                                </a:lnTo>
                              </a:path>
                              <a:path w="4373245" h="2474595">
                                <a:moveTo>
                                  <a:pt x="0" y="1352720"/>
                                </a:moveTo>
                                <a:lnTo>
                                  <a:pt x="4373177" y="1352720"/>
                                </a:lnTo>
                              </a:path>
                              <a:path w="4373245" h="2474595">
                                <a:moveTo>
                                  <a:pt x="0" y="1280478"/>
                                </a:moveTo>
                                <a:lnTo>
                                  <a:pt x="4373177" y="1280478"/>
                                </a:lnTo>
                              </a:path>
                              <a:path w="4373245" h="2474595">
                                <a:moveTo>
                                  <a:pt x="0" y="1194093"/>
                                </a:moveTo>
                                <a:lnTo>
                                  <a:pt x="4373177" y="1194093"/>
                                </a:lnTo>
                              </a:path>
                              <a:path w="4373245" h="2474595">
                                <a:moveTo>
                                  <a:pt x="0" y="1122425"/>
                                </a:moveTo>
                                <a:lnTo>
                                  <a:pt x="4373177" y="1122425"/>
                                </a:lnTo>
                              </a:path>
                              <a:path w="4373245" h="2474595">
                                <a:moveTo>
                                  <a:pt x="0" y="978514"/>
                                </a:moveTo>
                                <a:lnTo>
                                  <a:pt x="4373177" y="978514"/>
                                </a:lnTo>
                              </a:path>
                              <a:path w="4373245" h="2474595">
                                <a:moveTo>
                                  <a:pt x="0" y="906272"/>
                                </a:moveTo>
                                <a:lnTo>
                                  <a:pt x="4373177" y="906272"/>
                                </a:lnTo>
                              </a:path>
                              <a:path w="4373245" h="2474595">
                                <a:moveTo>
                                  <a:pt x="0" y="820270"/>
                                </a:moveTo>
                                <a:lnTo>
                                  <a:pt x="4373177" y="820270"/>
                                </a:lnTo>
                              </a:path>
                              <a:path w="4373245" h="2474595">
                                <a:moveTo>
                                  <a:pt x="0" y="748219"/>
                                </a:moveTo>
                                <a:lnTo>
                                  <a:pt x="4373177" y="748219"/>
                                </a:lnTo>
                              </a:path>
                              <a:path w="4373245" h="2474595">
                                <a:moveTo>
                                  <a:pt x="0" y="604309"/>
                                </a:moveTo>
                                <a:lnTo>
                                  <a:pt x="4373177" y="604309"/>
                                </a:lnTo>
                              </a:path>
                              <a:path w="4373245" h="2474595">
                                <a:moveTo>
                                  <a:pt x="0" y="532258"/>
                                </a:moveTo>
                                <a:lnTo>
                                  <a:pt x="4373177" y="532258"/>
                                </a:lnTo>
                              </a:path>
                              <a:path w="4373245" h="2474595">
                                <a:moveTo>
                                  <a:pt x="0" y="446256"/>
                                </a:moveTo>
                                <a:lnTo>
                                  <a:pt x="4373177" y="446256"/>
                                </a:lnTo>
                              </a:path>
                              <a:path w="4373245" h="2474595">
                                <a:moveTo>
                                  <a:pt x="0" y="374014"/>
                                </a:moveTo>
                                <a:lnTo>
                                  <a:pt x="4373177" y="374014"/>
                                </a:lnTo>
                              </a:path>
                              <a:path w="4373245" h="2474595">
                                <a:moveTo>
                                  <a:pt x="0" y="230294"/>
                                </a:moveTo>
                                <a:lnTo>
                                  <a:pt x="4373177" y="230294"/>
                                </a:lnTo>
                              </a:path>
                              <a:path w="4373245" h="2474595">
                                <a:moveTo>
                                  <a:pt x="0" y="158626"/>
                                </a:moveTo>
                                <a:lnTo>
                                  <a:pt x="4373177" y="158626"/>
                                </a:lnTo>
                              </a:path>
                              <a:path w="4373245" h="2474595">
                                <a:moveTo>
                                  <a:pt x="0" y="72241"/>
                                </a:moveTo>
                                <a:lnTo>
                                  <a:pt x="4373177" y="72241"/>
                                </a:lnTo>
                              </a:path>
                              <a:path w="4373245" h="2474595">
                                <a:moveTo>
                                  <a:pt x="0" y="0"/>
                                </a:moveTo>
                                <a:lnTo>
                                  <a:pt x="4373177" y="0"/>
                                </a:lnTo>
                              </a:path>
                            </a:pathLst>
                          </a:custGeom>
                          <a:ln w="11921">
                            <a:solidFill>
                              <a:srgbClr val="C0C0C0"/>
                            </a:solidFill>
                            <a:prstDash val="solid"/>
                          </a:ln>
                        </wps:spPr>
                        <wps:bodyPr wrap="square" lIns="0" tIns="0" rIns="0" bIns="0" rtlCol="0">
                          <a:prstTxWarp prst="textNoShape">
                            <a:avLst/>
                          </a:prstTxWarp>
                          <a:noAutofit/>
                        </wps:bodyPr>
                      </wps:wsp>
                      <wps:wsp>
                        <wps:cNvPr id="411" name="Graphic 411"/>
                        <wps:cNvSpPr/>
                        <wps:spPr>
                          <a:xfrm>
                            <a:off x="478362" y="315813"/>
                            <a:ext cx="4373245" cy="2244725"/>
                          </a:xfrm>
                          <a:custGeom>
                            <a:avLst/>
                            <a:gdLst/>
                            <a:ahLst/>
                            <a:cxnLst/>
                            <a:rect l="l" t="t" r="r" b="b"/>
                            <a:pathLst>
                              <a:path w="4373245" h="2244725">
                                <a:moveTo>
                                  <a:pt x="0" y="2244181"/>
                                </a:moveTo>
                                <a:lnTo>
                                  <a:pt x="4373177" y="2244181"/>
                                </a:lnTo>
                              </a:path>
                              <a:path w="4373245" h="2244725">
                                <a:moveTo>
                                  <a:pt x="0" y="1870071"/>
                                </a:moveTo>
                                <a:lnTo>
                                  <a:pt x="4373177" y="1870071"/>
                                </a:lnTo>
                              </a:path>
                              <a:path w="4373245" h="2244725">
                                <a:moveTo>
                                  <a:pt x="0" y="1496057"/>
                                </a:moveTo>
                                <a:lnTo>
                                  <a:pt x="4373177" y="1496057"/>
                                </a:lnTo>
                              </a:path>
                              <a:path w="4373245" h="2244725">
                                <a:moveTo>
                                  <a:pt x="0" y="1121851"/>
                                </a:moveTo>
                                <a:lnTo>
                                  <a:pt x="4373177" y="1121851"/>
                                </a:lnTo>
                              </a:path>
                              <a:path w="4373245" h="2244725">
                                <a:moveTo>
                                  <a:pt x="0" y="747646"/>
                                </a:moveTo>
                                <a:lnTo>
                                  <a:pt x="4373177" y="747646"/>
                                </a:lnTo>
                              </a:path>
                              <a:path w="4373245" h="2244725">
                                <a:moveTo>
                                  <a:pt x="0" y="374014"/>
                                </a:moveTo>
                                <a:lnTo>
                                  <a:pt x="4373177" y="374014"/>
                                </a:lnTo>
                              </a:path>
                              <a:path w="4373245" h="2244725">
                                <a:moveTo>
                                  <a:pt x="0" y="0"/>
                                </a:moveTo>
                                <a:lnTo>
                                  <a:pt x="4373177" y="0"/>
                                </a:lnTo>
                              </a:path>
                            </a:pathLst>
                          </a:custGeom>
                          <a:ln w="11921">
                            <a:solidFill>
                              <a:srgbClr val="808080"/>
                            </a:solidFill>
                            <a:prstDash val="solid"/>
                          </a:ln>
                        </wps:spPr>
                        <wps:bodyPr wrap="square" lIns="0" tIns="0" rIns="0" bIns="0" rtlCol="0">
                          <a:prstTxWarp prst="textNoShape">
                            <a:avLst/>
                          </a:prstTxWarp>
                          <a:noAutofit/>
                        </wps:bodyPr>
                      </wps:wsp>
                      <wps:wsp>
                        <wps:cNvPr id="412" name="Graphic 412"/>
                        <wps:cNvSpPr/>
                        <wps:spPr>
                          <a:xfrm>
                            <a:off x="649853" y="315813"/>
                            <a:ext cx="4039870" cy="2603500"/>
                          </a:xfrm>
                          <a:custGeom>
                            <a:avLst/>
                            <a:gdLst/>
                            <a:ahLst/>
                            <a:cxnLst/>
                            <a:rect l="l" t="t" r="r" b="b"/>
                            <a:pathLst>
                              <a:path w="4039870" h="2603500">
                                <a:moveTo>
                                  <a:pt x="0" y="0"/>
                                </a:moveTo>
                                <a:lnTo>
                                  <a:pt x="0" y="2603479"/>
                                </a:lnTo>
                              </a:path>
                              <a:path w="4039870" h="2603500">
                                <a:moveTo>
                                  <a:pt x="181000" y="0"/>
                                </a:moveTo>
                                <a:lnTo>
                                  <a:pt x="181000" y="2603479"/>
                                </a:lnTo>
                              </a:path>
                              <a:path w="4039870" h="2603500">
                                <a:moveTo>
                                  <a:pt x="352491" y="0"/>
                                </a:moveTo>
                                <a:lnTo>
                                  <a:pt x="352491" y="2603479"/>
                                </a:lnTo>
                              </a:path>
                              <a:path w="4039870" h="2603500">
                                <a:moveTo>
                                  <a:pt x="533492" y="0"/>
                                </a:moveTo>
                                <a:lnTo>
                                  <a:pt x="533492" y="2603479"/>
                                </a:lnTo>
                              </a:path>
                              <a:path w="4039870" h="2603500">
                                <a:moveTo>
                                  <a:pt x="876474" y="0"/>
                                </a:moveTo>
                                <a:lnTo>
                                  <a:pt x="876474" y="2603479"/>
                                </a:lnTo>
                              </a:path>
                              <a:path w="4039870" h="2603500">
                                <a:moveTo>
                                  <a:pt x="1057538" y="0"/>
                                </a:moveTo>
                                <a:lnTo>
                                  <a:pt x="1057538" y="2603479"/>
                                </a:lnTo>
                              </a:path>
                              <a:path w="4039870" h="2603500">
                                <a:moveTo>
                                  <a:pt x="1228965" y="0"/>
                                </a:moveTo>
                                <a:lnTo>
                                  <a:pt x="1228965" y="2603479"/>
                                </a:lnTo>
                              </a:path>
                              <a:path w="4039870" h="2603500">
                                <a:moveTo>
                                  <a:pt x="1410029" y="0"/>
                                </a:moveTo>
                                <a:lnTo>
                                  <a:pt x="1410029" y="2603479"/>
                                </a:lnTo>
                              </a:path>
                              <a:path w="4039870" h="2603500">
                                <a:moveTo>
                                  <a:pt x="1753011" y="0"/>
                                </a:moveTo>
                                <a:lnTo>
                                  <a:pt x="1753011" y="2603479"/>
                                </a:lnTo>
                              </a:path>
                              <a:path w="4039870" h="2603500">
                                <a:moveTo>
                                  <a:pt x="1933948" y="0"/>
                                </a:moveTo>
                                <a:lnTo>
                                  <a:pt x="1933948" y="2603479"/>
                                </a:lnTo>
                              </a:path>
                              <a:path w="4039870" h="2603500">
                                <a:moveTo>
                                  <a:pt x="2105503" y="0"/>
                                </a:moveTo>
                                <a:lnTo>
                                  <a:pt x="2105503" y="2603479"/>
                                </a:lnTo>
                              </a:path>
                              <a:path w="4039870" h="2603500">
                                <a:moveTo>
                                  <a:pt x="2286440" y="0"/>
                                </a:moveTo>
                                <a:lnTo>
                                  <a:pt x="2286440" y="2603479"/>
                                </a:lnTo>
                              </a:path>
                              <a:path w="4039870" h="2603500">
                                <a:moveTo>
                                  <a:pt x="2629422" y="0"/>
                                </a:moveTo>
                                <a:lnTo>
                                  <a:pt x="2629422" y="2603479"/>
                                </a:lnTo>
                              </a:path>
                              <a:path w="4039870" h="2603500">
                                <a:moveTo>
                                  <a:pt x="2810739" y="0"/>
                                </a:moveTo>
                                <a:lnTo>
                                  <a:pt x="2810739" y="2603479"/>
                                </a:lnTo>
                              </a:path>
                              <a:path w="4039870" h="2603500">
                                <a:moveTo>
                                  <a:pt x="2982294" y="0"/>
                                </a:moveTo>
                                <a:lnTo>
                                  <a:pt x="2982294" y="2603479"/>
                                </a:lnTo>
                              </a:path>
                              <a:path w="4039870" h="2603500">
                                <a:moveTo>
                                  <a:pt x="3163231" y="0"/>
                                </a:moveTo>
                                <a:lnTo>
                                  <a:pt x="3163231" y="2603479"/>
                                </a:lnTo>
                              </a:path>
                              <a:path w="4039870" h="2603500">
                                <a:moveTo>
                                  <a:pt x="3506213" y="0"/>
                                </a:moveTo>
                                <a:lnTo>
                                  <a:pt x="3506213" y="2603479"/>
                                </a:lnTo>
                              </a:path>
                              <a:path w="4039870" h="2603500">
                                <a:moveTo>
                                  <a:pt x="3687150" y="0"/>
                                </a:moveTo>
                                <a:lnTo>
                                  <a:pt x="3687150" y="2603479"/>
                                </a:lnTo>
                              </a:path>
                              <a:path w="4039870" h="2603500">
                                <a:moveTo>
                                  <a:pt x="3858705" y="0"/>
                                </a:moveTo>
                                <a:lnTo>
                                  <a:pt x="3858705" y="2603479"/>
                                </a:lnTo>
                              </a:path>
                              <a:path w="4039870" h="2603500">
                                <a:moveTo>
                                  <a:pt x="4039769" y="0"/>
                                </a:moveTo>
                                <a:lnTo>
                                  <a:pt x="4039769" y="2603479"/>
                                </a:lnTo>
                              </a:path>
                            </a:pathLst>
                          </a:custGeom>
                          <a:ln w="11921">
                            <a:solidFill>
                              <a:srgbClr val="C0C0C0"/>
                            </a:solidFill>
                            <a:prstDash val="solid"/>
                          </a:ln>
                        </wps:spPr>
                        <wps:bodyPr wrap="square" lIns="0" tIns="0" rIns="0" bIns="0" rtlCol="0">
                          <a:prstTxWarp prst="textNoShape">
                            <a:avLst/>
                          </a:prstTxWarp>
                          <a:noAutofit/>
                        </wps:bodyPr>
                      </wps:wsp>
                      <wps:wsp>
                        <wps:cNvPr id="413" name="Graphic 413"/>
                        <wps:cNvSpPr/>
                        <wps:spPr>
                          <a:xfrm>
                            <a:off x="1354900" y="315813"/>
                            <a:ext cx="3506470" cy="2603500"/>
                          </a:xfrm>
                          <a:custGeom>
                            <a:avLst/>
                            <a:gdLst/>
                            <a:ahLst/>
                            <a:cxnLst/>
                            <a:rect l="l" t="t" r="r" b="b"/>
                            <a:pathLst>
                              <a:path w="3506470" h="2603500">
                                <a:moveTo>
                                  <a:pt x="0" y="0"/>
                                </a:moveTo>
                                <a:lnTo>
                                  <a:pt x="0" y="2603479"/>
                                </a:lnTo>
                              </a:path>
                              <a:path w="3506470" h="2603500">
                                <a:moveTo>
                                  <a:pt x="876410" y="0"/>
                                </a:moveTo>
                                <a:lnTo>
                                  <a:pt x="876410" y="2603479"/>
                                </a:lnTo>
                              </a:path>
                              <a:path w="3506470" h="2603500">
                                <a:moveTo>
                                  <a:pt x="1752948" y="0"/>
                                </a:moveTo>
                                <a:lnTo>
                                  <a:pt x="1752948" y="2603479"/>
                                </a:lnTo>
                              </a:path>
                              <a:path w="3506470" h="2603500">
                                <a:moveTo>
                                  <a:pt x="2629739" y="0"/>
                                </a:moveTo>
                                <a:lnTo>
                                  <a:pt x="2629739" y="2603479"/>
                                </a:lnTo>
                              </a:path>
                              <a:path w="3506470" h="2603500">
                                <a:moveTo>
                                  <a:pt x="3506150" y="0"/>
                                </a:moveTo>
                                <a:lnTo>
                                  <a:pt x="3506150" y="2603479"/>
                                </a:lnTo>
                              </a:path>
                            </a:pathLst>
                          </a:custGeom>
                          <a:ln w="11921">
                            <a:solidFill>
                              <a:srgbClr val="808080"/>
                            </a:solidFill>
                            <a:prstDash val="solid"/>
                          </a:ln>
                        </wps:spPr>
                        <wps:bodyPr wrap="square" lIns="0" tIns="0" rIns="0" bIns="0" rtlCol="0">
                          <a:prstTxWarp prst="textNoShape">
                            <a:avLst/>
                          </a:prstTxWarp>
                          <a:noAutofit/>
                        </wps:bodyPr>
                      </wps:wsp>
                      <wps:wsp>
                        <wps:cNvPr id="414" name="Graphic 414"/>
                        <wps:cNvSpPr/>
                        <wps:spPr>
                          <a:xfrm>
                            <a:off x="440323" y="315813"/>
                            <a:ext cx="4420870" cy="2675890"/>
                          </a:xfrm>
                          <a:custGeom>
                            <a:avLst/>
                            <a:gdLst/>
                            <a:ahLst/>
                            <a:cxnLst/>
                            <a:rect l="l" t="t" r="r" b="b"/>
                            <a:pathLst>
                              <a:path w="4420870" h="2675890">
                                <a:moveTo>
                                  <a:pt x="38038" y="0"/>
                                </a:moveTo>
                                <a:lnTo>
                                  <a:pt x="38038" y="2603479"/>
                                </a:lnTo>
                              </a:path>
                              <a:path w="4420870" h="2675890">
                                <a:moveTo>
                                  <a:pt x="0" y="2618291"/>
                                </a:moveTo>
                                <a:lnTo>
                                  <a:pt x="28528" y="2618291"/>
                                </a:lnTo>
                              </a:path>
                              <a:path w="4420870" h="2675890">
                                <a:moveTo>
                                  <a:pt x="0" y="2244181"/>
                                </a:moveTo>
                                <a:lnTo>
                                  <a:pt x="28528" y="2244181"/>
                                </a:lnTo>
                              </a:path>
                              <a:path w="4420870" h="2675890">
                                <a:moveTo>
                                  <a:pt x="0" y="1870071"/>
                                </a:moveTo>
                                <a:lnTo>
                                  <a:pt x="28528" y="1870071"/>
                                </a:lnTo>
                              </a:path>
                              <a:path w="4420870" h="2675890">
                                <a:moveTo>
                                  <a:pt x="0" y="1496057"/>
                                </a:moveTo>
                                <a:lnTo>
                                  <a:pt x="28528" y="1496057"/>
                                </a:lnTo>
                              </a:path>
                              <a:path w="4420870" h="2675890">
                                <a:moveTo>
                                  <a:pt x="0" y="1121851"/>
                                </a:moveTo>
                                <a:lnTo>
                                  <a:pt x="28528" y="1121851"/>
                                </a:lnTo>
                              </a:path>
                              <a:path w="4420870" h="2675890">
                                <a:moveTo>
                                  <a:pt x="0" y="747646"/>
                                </a:moveTo>
                                <a:lnTo>
                                  <a:pt x="28528" y="747646"/>
                                </a:lnTo>
                              </a:path>
                              <a:path w="4420870" h="2675890">
                                <a:moveTo>
                                  <a:pt x="0" y="374014"/>
                                </a:moveTo>
                                <a:lnTo>
                                  <a:pt x="28528" y="374014"/>
                                </a:lnTo>
                              </a:path>
                              <a:path w="4420870" h="2675890">
                                <a:moveTo>
                                  <a:pt x="0" y="0"/>
                                </a:moveTo>
                                <a:lnTo>
                                  <a:pt x="28528" y="0"/>
                                </a:lnTo>
                              </a:path>
                              <a:path w="4420870" h="2675890">
                                <a:moveTo>
                                  <a:pt x="38038" y="2618291"/>
                                </a:moveTo>
                                <a:lnTo>
                                  <a:pt x="4411216" y="2618291"/>
                                </a:lnTo>
                              </a:path>
                              <a:path w="4420870" h="2675890">
                                <a:moveTo>
                                  <a:pt x="38038" y="2675626"/>
                                </a:moveTo>
                                <a:lnTo>
                                  <a:pt x="38038" y="2632625"/>
                                </a:lnTo>
                              </a:path>
                              <a:path w="4420870" h="2675890">
                                <a:moveTo>
                                  <a:pt x="914576" y="2675626"/>
                                </a:moveTo>
                                <a:lnTo>
                                  <a:pt x="914576" y="2632625"/>
                                </a:lnTo>
                              </a:path>
                              <a:path w="4420870" h="2675890">
                                <a:moveTo>
                                  <a:pt x="1790986" y="2675626"/>
                                </a:moveTo>
                                <a:lnTo>
                                  <a:pt x="1790986" y="2632625"/>
                                </a:lnTo>
                              </a:path>
                              <a:path w="4420870" h="2675890">
                                <a:moveTo>
                                  <a:pt x="2667524" y="2675626"/>
                                </a:moveTo>
                                <a:lnTo>
                                  <a:pt x="2667524" y="2632625"/>
                                </a:lnTo>
                              </a:path>
                              <a:path w="4420870" h="2675890">
                                <a:moveTo>
                                  <a:pt x="3544315" y="2675626"/>
                                </a:moveTo>
                                <a:lnTo>
                                  <a:pt x="3544315" y="2632625"/>
                                </a:lnTo>
                              </a:path>
                              <a:path w="4420870" h="2675890">
                                <a:moveTo>
                                  <a:pt x="4420726" y="2675626"/>
                                </a:moveTo>
                                <a:lnTo>
                                  <a:pt x="4420726" y="2632625"/>
                                </a:lnTo>
                              </a:path>
                            </a:pathLst>
                          </a:custGeom>
                          <a:ln w="11921">
                            <a:solidFill>
                              <a:srgbClr val="808080"/>
                            </a:solidFill>
                            <a:prstDash val="solid"/>
                          </a:ln>
                        </wps:spPr>
                        <wps:bodyPr wrap="square" lIns="0" tIns="0" rIns="0" bIns="0" rtlCol="0">
                          <a:prstTxWarp prst="textNoShape">
                            <a:avLst/>
                          </a:prstTxWarp>
                          <a:noAutofit/>
                        </wps:bodyPr>
                      </wps:wsp>
                      <pic:pic>
                        <pic:nvPicPr>
                          <pic:cNvPr id="415" name="Image 415"/>
                          <pic:cNvPicPr/>
                        </pic:nvPicPr>
                        <pic:blipFill>
                          <a:blip r:embed="rId53" cstate="print"/>
                          <a:stretch>
                            <a:fillRect/>
                          </a:stretch>
                        </pic:blipFill>
                        <pic:spPr>
                          <a:xfrm>
                            <a:off x="3406832" y="1647667"/>
                            <a:ext cx="107268" cy="155828"/>
                          </a:xfrm>
                          <a:prstGeom prst="rect">
                            <a:avLst/>
                          </a:prstGeom>
                        </pic:spPr>
                      </pic:pic>
                      <pic:pic>
                        <pic:nvPicPr>
                          <pic:cNvPr id="416" name="Image 416"/>
                          <pic:cNvPicPr/>
                        </pic:nvPicPr>
                        <pic:blipFill>
                          <a:blip r:embed="rId54" cstate="print"/>
                          <a:stretch>
                            <a:fillRect/>
                          </a:stretch>
                        </pic:blipFill>
                        <pic:spPr>
                          <a:xfrm>
                            <a:off x="3721285" y="1374371"/>
                            <a:ext cx="107268" cy="155828"/>
                          </a:xfrm>
                          <a:prstGeom prst="rect">
                            <a:avLst/>
                          </a:prstGeom>
                        </pic:spPr>
                      </pic:pic>
                      <pic:pic>
                        <pic:nvPicPr>
                          <pic:cNvPr id="417" name="Image 417"/>
                          <pic:cNvPicPr/>
                        </pic:nvPicPr>
                        <pic:blipFill>
                          <a:blip r:embed="rId55" cstate="print"/>
                          <a:stretch>
                            <a:fillRect/>
                          </a:stretch>
                        </pic:blipFill>
                        <pic:spPr>
                          <a:xfrm>
                            <a:off x="3930748" y="1158406"/>
                            <a:ext cx="107401" cy="155644"/>
                          </a:xfrm>
                          <a:prstGeom prst="rect">
                            <a:avLst/>
                          </a:prstGeom>
                        </pic:spPr>
                      </pic:pic>
                      <pic:pic>
                        <pic:nvPicPr>
                          <pic:cNvPr id="418" name="Image 418"/>
                          <pic:cNvPicPr/>
                        </pic:nvPicPr>
                        <pic:blipFill>
                          <a:blip r:embed="rId56" cstate="print"/>
                          <a:stretch>
                            <a:fillRect/>
                          </a:stretch>
                        </pic:blipFill>
                        <pic:spPr>
                          <a:xfrm>
                            <a:off x="4245202" y="640483"/>
                            <a:ext cx="107271" cy="155641"/>
                          </a:xfrm>
                          <a:prstGeom prst="rect">
                            <a:avLst/>
                          </a:prstGeom>
                        </pic:spPr>
                      </pic:pic>
                      <pic:pic>
                        <pic:nvPicPr>
                          <pic:cNvPr id="419" name="Image 419"/>
                          <pic:cNvPicPr/>
                        </pic:nvPicPr>
                        <pic:blipFill>
                          <a:blip r:embed="rId57" cstate="print"/>
                          <a:stretch>
                            <a:fillRect/>
                          </a:stretch>
                        </pic:blipFill>
                        <pic:spPr>
                          <a:xfrm>
                            <a:off x="4350067" y="367192"/>
                            <a:ext cx="107008" cy="155822"/>
                          </a:xfrm>
                          <a:prstGeom prst="rect">
                            <a:avLst/>
                          </a:prstGeom>
                        </pic:spPr>
                      </pic:pic>
                      <wps:wsp>
                        <wps:cNvPr id="420" name="Graphic 420"/>
                        <wps:cNvSpPr/>
                        <wps:spPr>
                          <a:xfrm>
                            <a:off x="3460593" y="574776"/>
                            <a:ext cx="934085" cy="1237615"/>
                          </a:xfrm>
                          <a:custGeom>
                            <a:avLst/>
                            <a:gdLst/>
                            <a:ahLst/>
                            <a:cxnLst/>
                            <a:rect l="l" t="t" r="r" b="b"/>
                            <a:pathLst>
                              <a:path w="934085" h="1237615">
                                <a:moveTo>
                                  <a:pt x="0" y="1237094"/>
                                </a:moveTo>
                                <a:lnTo>
                                  <a:pt x="933468" y="0"/>
                                </a:lnTo>
                              </a:path>
                            </a:pathLst>
                          </a:custGeom>
                          <a:ln w="11259">
                            <a:solidFill>
                              <a:srgbClr val="000000"/>
                            </a:solidFill>
                            <a:prstDash val="solid"/>
                          </a:ln>
                        </wps:spPr>
                        <wps:bodyPr wrap="square" lIns="0" tIns="0" rIns="0" bIns="0" rtlCol="0">
                          <a:prstTxWarp prst="textNoShape">
                            <a:avLst/>
                          </a:prstTxWarp>
                          <a:noAutofit/>
                        </wps:bodyPr>
                      </wps:wsp>
                      <wps:wsp>
                        <wps:cNvPr id="421" name="Graphic 421"/>
                        <wps:cNvSpPr/>
                        <wps:spPr>
                          <a:xfrm>
                            <a:off x="6683" y="6683"/>
                            <a:ext cx="5050155" cy="3811904"/>
                          </a:xfrm>
                          <a:custGeom>
                            <a:avLst/>
                            <a:gdLst/>
                            <a:ahLst/>
                            <a:cxnLst/>
                            <a:rect l="l" t="t" r="r" b="b"/>
                            <a:pathLst>
                              <a:path w="5050155" h="3811904">
                                <a:moveTo>
                                  <a:pt x="0" y="3811811"/>
                                </a:moveTo>
                                <a:lnTo>
                                  <a:pt x="5049632" y="3811811"/>
                                </a:lnTo>
                                <a:lnTo>
                                  <a:pt x="5049632" y="0"/>
                                </a:lnTo>
                                <a:lnTo>
                                  <a:pt x="0" y="0"/>
                                </a:lnTo>
                                <a:lnTo>
                                  <a:pt x="0" y="3811811"/>
                                </a:lnTo>
                                <a:close/>
                              </a:path>
                            </a:pathLst>
                          </a:custGeom>
                          <a:ln w="12582">
                            <a:solidFill>
                              <a:srgbClr val="808080"/>
                            </a:solidFill>
                            <a:prstDash val="solid"/>
                          </a:ln>
                        </wps:spPr>
                        <wps:bodyPr wrap="square" lIns="0" tIns="0" rIns="0" bIns="0" rtlCol="0">
                          <a:prstTxWarp prst="textNoShape">
                            <a:avLst/>
                          </a:prstTxWarp>
                          <a:noAutofit/>
                        </wps:bodyPr>
                      </wps:wsp>
                      <wps:wsp>
                        <wps:cNvPr id="422" name="Textbox 422"/>
                        <wps:cNvSpPr txBox="1"/>
                        <wps:spPr>
                          <a:xfrm>
                            <a:off x="311626" y="225773"/>
                            <a:ext cx="75565" cy="2805430"/>
                          </a:xfrm>
                          <a:prstGeom prst="rect">
                            <a:avLst/>
                          </a:prstGeom>
                        </wps:spPr>
                        <wps:txbx>
                          <w:txbxContent>
                            <w:p>
                              <w:pPr>
                                <w:spacing w:line="299" w:lineRule="exact" w:before="0"/>
                                <w:ind w:left="0" w:right="0" w:firstLine="0"/>
                                <w:jc w:val="left"/>
                                <w:rPr>
                                  <w:rFonts w:ascii="Calibri"/>
                                  <w:sz w:val="29"/>
                                </w:rPr>
                              </w:pPr>
                              <w:r>
                                <w:rPr>
                                  <w:rFonts w:ascii="Calibri"/>
                                  <w:spacing w:val="-10"/>
                                  <w:w w:val="75"/>
                                  <w:sz w:val="29"/>
                                </w:rPr>
                                <w:t>7</w:t>
                              </w:r>
                            </w:p>
                            <w:p>
                              <w:pPr>
                                <w:spacing w:before="235"/>
                                <w:ind w:left="0" w:right="0" w:firstLine="0"/>
                                <w:jc w:val="left"/>
                                <w:rPr>
                                  <w:rFonts w:ascii="Calibri"/>
                                  <w:sz w:val="29"/>
                                </w:rPr>
                              </w:pPr>
                              <w:r>
                                <w:rPr>
                                  <w:rFonts w:ascii="Calibri"/>
                                  <w:spacing w:val="-10"/>
                                  <w:w w:val="75"/>
                                  <w:sz w:val="29"/>
                                </w:rPr>
                                <w:t>6</w:t>
                              </w:r>
                            </w:p>
                            <w:p>
                              <w:pPr>
                                <w:spacing w:before="235"/>
                                <w:ind w:left="0" w:right="0" w:firstLine="0"/>
                                <w:jc w:val="left"/>
                                <w:rPr>
                                  <w:rFonts w:ascii="Calibri"/>
                                  <w:sz w:val="29"/>
                                </w:rPr>
                              </w:pPr>
                              <w:r>
                                <w:rPr>
                                  <w:rFonts w:ascii="Calibri"/>
                                  <w:spacing w:val="-10"/>
                                  <w:w w:val="75"/>
                                  <w:sz w:val="29"/>
                                </w:rPr>
                                <w:t>5</w:t>
                              </w:r>
                            </w:p>
                            <w:p>
                              <w:pPr>
                                <w:spacing w:before="235"/>
                                <w:ind w:left="0" w:right="0" w:firstLine="0"/>
                                <w:jc w:val="left"/>
                                <w:rPr>
                                  <w:rFonts w:ascii="Calibri"/>
                                  <w:sz w:val="29"/>
                                </w:rPr>
                              </w:pPr>
                              <w:r>
                                <w:rPr>
                                  <w:rFonts w:ascii="Calibri"/>
                                  <w:spacing w:val="-10"/>
                                  <w:w w:val="75"/>
                                  <w:sz w:val="29"/>
                                </w:rPr>
                                <w:t>4</w:t>
                              </w:r>
                            </w:p>
                            <w:p>
                              <w:pPr>
                                <w:spacing w:before="236"/>
                                <w:ind w:left="0" w:right="0" w:firstLine="0"/>
                                <w:jc w:val="left"/>
                                <w:rPr>
                                  <w:rFonts w:ascii="Calibri"/>
                                  <w:sz w:val="29"/>
                                </w:rPr>
                              </w:pPr>
                              <w:r>
                                <w:rPr>
                                  <w:rFonts w:ascii="Calibri"/>
                                  <w:spacing w:val="-10"/>
                                  <w:w w:val="75"/>
                                  <w:sz w:val="29"/>
                                </w:rPr>
                                <w:t>3</w:t>
                              </w:r>
                            </w:p>
                            <w:p>
                              <w:pPr>
                                <w:spacing w:before="234"/>
                                <w:ind w:left="0" w:right="0" w:firstLine="0"/>
                                <w:jc w:val="left"/>
                                <w:rPr>
                                  <w:rFonts w:ascii="Calibri"/>
                                  <w:sz w:val="29"/>
                                </w:rPr>
                              </w:pPr>
                              <w:r>
                                <w:rPr>
                                  <w:rFonts w:ascii="Calibri"/>
                                  <w:spacing w:val="-10"/>
                                  <w:w w:val="75"/>
                                  <w:sz w:val="29"/>
                                </w:rPr>
                                <w:t>2</w:t>
                              </w:r>
                            </w:p>
                            <w:p>
                              <w:pPr>
                                <w:spacing w:before="235"/>
                                <w:ind w:left="0" w:right="0" w:firstLine="0"/>
                                <w:jc w:val="left"/>
                                <w:rPr>
                                  <w:rFonts w:ascii="Calibri"/>
                                  <w:sz w:val="29"/>
                                </w:rPr>
                              </w:pPr>
                              <w:r>
                                <w:rPr>
                                  <w:rFonts w:ascii="Calibri"/>
                                  <w:spacing w:val="-10"/>
                                  <w:w w:val="75"/>
                                  <w:sz w:val="29"/>
                                </w:rPr>
                                <w:t>1</w:t>
                              </w:r>
                            </w:p>
                            <w:p>
                              <w:pPr>
                                <w:spacing w:line="350" w:lineRule="exact" w:before="235"/>
                                <w:ind w:left="0" w:right="0" w:firstLine="0"/>
                                <w:jc w:val="left"/>
                                <w:rPr>
                                  <w:rFonts w:ascii="Calibri"/>
                                  <w:sz w:val="29"/>
                                </w:rPr>
                              </w:pPr>
                              <w:r>
                                <w:rPr>
                                  <w:rFonts w:ascii="Calibri"/>
                                  <w:spacing w:val="-10"/>
                                  <w:w w:val="75"/>
                                  <w:sz w:val="29"/>
                                </w:rPr>
                                <w:t>0</w:t>
                              </w:r>
                            </w:p>
                          </w:txbxContent>
                        </wps:txbx>
                        <wps:bodyPr wrap="square" lIns="0" tIns="0" rIns="0" bIns="0" rtlCol="0">
                          <a:noAutofit/>
                        </wps:bodyPr>
                      </wps:wsp>
                      <wps:wsp>
                        <wps:cNvPr id="423" name="Textbox 423"/>
                        <wps:cNvSpPr txBox="1"/>
                        <wps:spPr>
                          <a:xfrm>
                            <a:off x="445078" y="3117457"/>
                            <a:ext cx="75565" cy="187325"/>
                          </a:xfrm>
                          <a:prstGeom prst="rect">
                            <a:avLst/>
                          </a:prstGeom>
                        </wps:spPr>
                        <wps:txbx>
                          <w:txbxContent>
                            <w:p>
                              <w:pPr>
                                <w:spacing w:line="294" w:lineRule="exact" w:before="0"/>
                                <w:ind w:left="0" w:right="0" w:firstLine="0"/>
                                <w:jc w:val="left"/>
                                <w:rPr>
                                  <w:rFonts w:ascii="Calibri"/>
                                  <w:sz w:val="29"/>
                                </w:rPr>
                              </w:pPr>
                              <w:r>
                                <w:rPr>
                                  <w:rFonts w:ascii="Calibri"/>
                                  <w:spacing w:val="-10"/>
                                  <w:w w:val="75"/>
                                  <w:sz w:val="29"/>
                                </w:rPr>
                                <w:t>0</w:t>
                              </w:r>
                            </w:p>
                          </w:txbxContent>
                        </wps:txbx>
                        <wps:bodyPr wrap="square" lIns="0" tIns="0" rIns="0" bIns="0" rtlCol="0">
                          <a:noAutofit/>
                        </wps:bodyPr>
                      </wps:wsp>
                      <wps:wsp>
                        <wps:cNvPr id="424" name="Textbox 424"/>
                        <wps:cNvSpPr txBox="1"/>
                        <wps:spPr>
                          <a:xfrm>
                            <a:off x="1264494" y="3117457"/>
                            <a:ext cx="180340" cy="187325"/>
                          </a:xfrm>
                          <a:prstGeom prst="rect">
                            <a:avLst/>
                          </a:prstGeom>
                        </wps:spPr>
                        <wps:txbx>
                          <w:txbxContent>
                            <w:p>
                              <w:pPr>
                                <w:spacing w:line="294" w:lineRule="exact" w:before="0"/>
                                <w:ind w:left="0" w:right="0" w:firstLine="0"/>
                                <w:jc w:val="left"/>
                                <w:rPr>
                                  <w:rFonts w:ascii="Calibri"/>
                                  <w:sz w:val="29"/>
                                </w:rPr>
                              </w:pPr>
                              <w:r>
                                <w:rPr>
                                  <w:rFonts w:ascii="Calibri"/>
                                  <w:spacing w:val="-5"/>
                                  <w:w w:val="70"/>
                                  <w:sz w:val="29"/>
                                </w:rPr>
                                <w:t>0.5</w:t>
                              </w:r>
                            </w:p>
                          </w:txbxContent>
                        </wps:txbx>
                        <wps:bodyPr wrap="square" lIns="0" tIns="0" rIns="0" bIns="0" rtlCol="0">
                          <a:noAutofit/>
                        </wps:bodyPr>
                      </wps:wsp>
                      <wps:wsp>
                        <wps:cNvPr id="425" name="Textbox 425"/>
                        <wps:cNvSpPr txBox="1"/>
                        <wps:spPr>
                          <a:xfrm>
                            <a:off x="2198090" y="3117457"/>
                            <a:ext cx="75565" cy="187325"/>
                          </a:xfrm>
                          <a:prstGeom prst="rect">
                            <a:avLst/>
                          </a:prstGeom>
                        </wps:spPr>
                        <wps:txbx>
                          <w:txbxContent>
                            <w:p>
                              <w:pPr>
                                <w:spacing w:line="294" w:lineRule="exact" w:before="0"/>
                                <w:ind w:left="0" w:right="0" w:firstLine="0"/>
                                <w:jc w:val="left"/>
                                <w:rPr>
                                  <w:rFonts w:ascii="Calibri"/>
                                  <w:sz w:val="29"/>
                                </w:rPr>
                              </w:pPr>
                              <w:r>
                                <w:rPr>
                                  <w:rFonts w:ascii="Calibri"/>
                                  <w:spacing w:val="-10"/>
                                  <w:w w:val="75"/>
                                  <w:sz w:val="29"/>
                                </w:rPr>
                                <w:t>1</w:t>
                              </w:r>
                            </w:p>
                          </w:txbxContent>
                        </wps:txbx>
                        <wps:bodyPr wrap="square" lIns="0" tIns="0" rIns="0" bIns="0" rtlCol="0">
                          <a:noAutofit/>
                        </wps:bodyPr>
                      </wps:wsp>
                      <wps:wsp>
                        <wps:cNvPr id="426" name="Textbox 426"/>
                        <wps:cNvSpPr txBox="1"/>
                        <wps:spPr>
                          <a:xfrm>
                            <a:off x="3017443" y="3117457"/>
                            <a:ext cx="180340" cy="187325"/>
                          </a:xfrm>
                          <a:prstGeom prst="rect">
                            <a:avLst/>
                          </a:prstGeom>
                        </wps:spPr>
                        <wps:txbx>
                          <w:txbxContent>
                            <w:p>
                              <w:pPr>
                                <w:spacing w:line="294" w:lineRule="exact" w:before="0"/>
                                <w:ind w:left="0" w:right="0" w:firstLine="0"/>
                                <w:jc w:val="left"/>
                                <w:rPr>
                                  <w:rFonts w:ascii="Calibri"/>
                                  <w:sz w:val="29"/>
                                </w:rPr>
                              </w:pPr>
                              <w:r>
                                <w:rPr>
                                  <w:rFonts w:ascii="Calibri"/>
                                  <w:spacing w:val="-5"/>
                                  <w:w w:val="70"/>
                                  <w:sz w:val="29"/>
                                </w:rPr>
                                <w:t>1.5</w:t>
                              </w:r>
                            </w:p>
                          </w:txbxContent>
                        </wps:txbx>
                        <wps:bodyPr wrap="square" lIns="0" tIns="0" rIns="0" bIns="0" rtlCol="0">
                          <a:noAutofit/>
                        </wps:bodyPr>
                      </wps:wsp>
                      <wps:wsp>
                        <wps:cNvPr id="427" name="Textbox 427"/>
                        <wps:cNvSpPr txBox="1"/>
                        <wps:spPr>
                          <a:xfrm>
                            <a:off x="3951038" y="3117457"/>
                            <a:ext cx="75565" cy="187325"/>
                          </a:xfrm>
                          <a:prstGeom prst="rect">
                            <a:avLst/>
                          </a:prstGeom>
                        </wps:spPr>
                        <wps:txbx>
                          <w:txbxContent>
                            <w:p>
                              <w:pPr>
                                <w:spacing w:line="294" w:lineRule="exact" w:before="0"/>
                                <w:ind w:left="0" w:right="0" w:firstLine="0"/>
                                <w:jc w:val="left"/>
                                <w:rPr>
                                  <w:rFonts w:ascii="Calibri"/>
                                  <w:sz w:val="29"/>
                                </w:rPr>
                              </w:pPr>
                              <w:r>
                                <w:rPr>
                                  <w:rFonts w:ascii="Calibri"/>
                                  <w:spacing w:val="-10"/>
                                  <w:w w:val="75"/>
                                  <w:sz w:val="29"/>
                                </w:rPr>
                                <w:t>2</w:t>
                              </w:r>
                            </w:p>
                          </w:txbxContent>
                        </wps:txbx>
                        <wps:bodyPr wrap="square" lIns="0" tIns="0" rIns="0" bIns="0" rtlCol="0">
                          <a:noAutofit/>
                        </wps:bodyPr>
                      </wps:wsp>
                      <wps:wsp>
                        <wps:cNvPr id="428" name="Textbox 428"/>
                        <wps:cNvSpPr txBox="1"/>
                        <wps:spPr>
                          <a:xfrm>
                            <a:off x="4770391" y="3117457"/>
                            <a:ext cx="180340" cy="187325"/>
                          </a:xfrm>
                          <a:prstGeom prst="rect">
                            <a:avLst/>
                          </a:prstGeom>
                        </wps:spPr>
                        <wps:txbx>
                          <w:txbxContent>
                            <w:p>
                              <w:pPr>
                                <w:spacing w:line="294" w:lineRule="exact" w:before="0"/>
                                <w:ind w:left="0" w:right="0" w:firstLine="0"/>
                                <w:jc w:val="left"/>
                                <w:rPr>
                                  <w:rFonts w:ascii="Calibri"/>
                                  <w:sz w:val="29"/>
                                </w:rPr>
                              </w:pPr>
                              <w:r>
                                <w:rPr>
                                  <w:rFonts w:ascii="Calibri"/>
                                  <w:spacing w:val="-5"/>
                                  <w:w w:val="70"/>
                                  <w:sz w:val="29"/>
                                </w:rPr>
                                <w:t>2.5</w:t>
                              </w:r>
                            </w:p>
                          </w:txbxContent>
                        </wps:txbx>
                        <wps:bodyPr wrap="square" lIns="0" tIns="0" rIns="0" bIns="0" rtlCol="0">
                          <a:noAutofit/>
                        </wps:bodyPr>
                      </wps:wsp>
                      <wps:wsp>
                        <wps:cNvPr id="429" name="Textbox 429"/>
                        <wps:cNvSpPr txBox="1"/>
                        <wps:spPr>
                          <a:xfrm>
                            <a:off x="2379027" y="3563235"/>
                            <a:ext cx="560070" cy="187325"/>
                          </a:xfrm>
                          <a:prstGeom prst="rect">
                            <a:avLst/>
                          </a:prstGeom>
                        </wps:spPr>
                        <wps:txbx>
                          <w:txbxContent>
                            <w:p>
                              <w:pPr>
                                <w:spacing w:line="294" w:lineRule="exact" w:before="0"/>
                                <w:ind w:left="0" w:right="0" w:firstLine="0"/>
                                <w:jc w:val="left"/>
                                <w:rPr>
                                  <w:rFonts w:ascii="Calibri"/>
                                  <w:b/>
                                  <w:sz w:val="29"/>
                                </w:rPr>
                              </w:pPr>
                              <w:r>
                                <w:rPr>
                                  <w:rFonts w:ascii="Calibri"/>
                                  <w:b/>
                                  <w:w w:val="70"/>
                                  <w:sz w:val="29"/>
                                </w:rPr>
                                <w:t>L</w:t>
                              </w:r>
                              <w:r>
                                <w:rPr>
                                  <w:rFonts w:ascii="Calibri"/>
                                  <w:b/>
                                  <w:spacing w:val="-9"/>
                                  <w:w w:val="70"/>
                                  <w:sz w:val="29"/>
                                </w:rPr>
                                <w:t> </w:t>
                              </w:r>
                              <w:r>
                                <w:rPr>
                                  <w:rFonts w:ascii="Calibri"/>
                                  <w:b/>
                                  <w:w w:val="70"/>
                                  <w:sz w:val="29"/>
                                </w:rPr>
                                <w:t>og</w:t>
                              </w:r>
                              <w:r>
                                <w:rPr>
                                  <w:rFonts w:ascii="Calibri"/>
                                  <w:b/>
                                  <w:spacing w:val="22"/>
                                  <w:sz w:val="29"/>
                                </w:rPr>
                                <w:t> </w:t>
                              </w:r>
                              <w:r>
                                <w:rPr>
                                  <w:rFonts w:ascii="Calibri"/>
                                  <w:b/>
                                  <w:spacing w:val="5"/>
                                  <w:w w:val="70"/>
                                  <w:sz w:val="29"/>
                                </w:rPr>
                                <w:t>Dose</w:t>
                              </w:r>
                            </w:p>
                          </w:txbxContent>
                        </wps:txbx>
                        <wps:bodyPr wrap="square" lIns="0" tIns="0" rIns="0" bIns="0" rtlCol="0">
                          <a:noAutofit/>
                        </wps:bodyPr>
                      </wps:wsp>
                    </wpg:wgp>
                  </a:graphicData>
                </a:graphic>
              </wp:anchor>
            </w:drawing>
          </mc:Choice>
          <mc:Fallback>
            <w:pict>
              <v:group style="position:absolute;margin-left:111.33773pt;margin-top:146.077316pt;width:398.7pt;height:301.2pt;mso-position-horizontal-relative:page;mso-position-vertical-relative:paragraph;z-index:15811584" id="docshapegroup300" coordorigin="2227,2922" coordsize="7974,6024">
                <v:rect style="position:absolute;left:2237;top:2932;width:7953;height:6003" id="docshape301" filled="false" stroked="true" strokeweight=".990759pt" strokecolor="#808080">
                  <v:stroke dashstyle="solid"/>
                </v:rect>
                <v:shape style="position:absolute;left:2980;top:3531;width:6887;height:3897" id="docshape302" coordorigin="2980,3532" coordsize="6887,3897" path="m2980,7429l9867,7429m2980,7315l9867,7315m2980,7180l9867,7180m2980,7066l9867,7066m2980,6839l9867,6839m2980,6727l9867,6727m2980,6590l9867,6590m2980,6477l9867,6477m2980,6250l9867,6250m2980,6137l9867,6137m2980,6001l9867,6001m2980,5888l9867,5888m2980,5662l9867,5662m2980,5548l9867,5548m2980,5412l9867,5412m2980,5299l9867,5299m2980,5073l9867,5073m2980,4959l9867,4959m2980,4824l9867,4824m2980,4710l9867,4710m2980,4483l9867,4483m2980,4370l9867,4370m2980,4235l9867,4235m2980,4121l9867,4121m2980,3894l9867,3894m2980,3782l9867,3782m2980,3646l9867,3646m2980,3532l9867,3532e" filled="false" stroked="true" strokeweight=".938716pt" strokecolor="#c0c0c0">
                  <v:path arrowok="t"/>
                  <v:stroke dashstyle="solid"/>
                </v:shape>
                <v:shape style="position:absolute;left:2980;top:3418;width:6887;height:3535" id="docshape303" coordorigin="2980,3419" coordsize="6887,3535" path="m2980,6953l9867,6953m2980,6364l9867,6364m2980,5775l9867,5775m2980,5186l9867,5186m2980,4596l9867,4596m2980,4008l9867,4008m2980,3419l9867,3419e" filled="false" stroked="true" strokeweight=".938716pt" strokecolor="#808080">
                  <v:path arrowok="t"/>
                  <v:stroke dashstyle="solid"/>
                </v:shape>
                <v:shape style="position:absolute;left:3250;top:3418;width:6362;height:4100" id="docshape304" coordorigin="3250,3419" coordsize="6362,4100" path="m3250,3419l3250,7519m3535,3419l3535,7519m3805,3419l3805,7519m4090,3419l4090,7519m4630,3419l4630,7519m4916,3419l4916,7519m5186,3419l5186,7519m5471,3419l5471,7519m6011,3419l6011,7519m6296,3419l6296,7519m6566,3419l6566,7519m6851,3419l6851,7519m7391,3419l7391,7519m7677,3419l7677,7519m7947,3419l7947,7519m8232,3419l8232,7519m8772,3419l8772,7519m9057,3419l9057,7519m9327,3419l9327,7519m9612,3419l9612,7519e" filled="false" stroked="true" strokeweight=".938716pt" strokecolor="#c0c0c0">
                  <v:path arrowok="t"/>
                  <v:stroke dashstyle="solid"/>
                </v:shape>
                <v:shape style="position:absolute;left:4360;top:3418;width:5522;height:4100" id="docshape305" coordorigin="4360,3419" coordsize="5522,4100" path="m4360,3419l4360,7519m5741,3419l5741,7519m7121,3419l7121,7519m8502,3419l8502,7519m9882,3419l9882,7519e" filled="false" stroked="true" strokeweight=".938716pt" strokecolor="#808080">
                  <v:path arrowok="t"/>
                  <v:stroke dashstyle="solid"/>
                </v:shape>
                <v:shape style="position:absolute;left:2920;top:3418;width:6962;height:4214" id="docshape306" coordorigin="2920,3419" coordsize="6962,4214" path="m2980,3419l2980,7519m2920,7542l2965,7542m2920,6953l2965,6953m2920,6364l2965,6364m2920,5775l2965,5775m2920,5186l2965,5186m2920,4596l2965,4596m2920,4008l2965,4008m2920,3419l2965,3419m2980,7542l9867,7542m2980,7632l2980,7565m4360,7632l4360,7565m5741,7632l5741,7565m7121,7632l7121,7565m8502,7632l8502,7565m9882,7632l9882,7565e" filled="false" stroked="true" strokeweight=".938716pt" strokecolor="#808080">
                  <v:path arrowok="t"/>
                  <v:stroke dashstyle="solid"/>
                </v:shape>
                <v:shape style="position:absolute;left:7591;top:5516;width:169;height:246" type="#_x0000_t75" id="docshape307" stroked="false">
                  <v:imagedata r:id="rId53" o:title=""/>
                </v:shape>
                <v:shape style="position:absolute;left:8087;top:5085;width:169;height:246" type="#_x0000_t75" id="docshape308" stroked="false">
                  <v:imagedata r:id="rId54" o:title=""/>
                </v:shape>
                <v:shape style="position:absolute;left:8416;top:4745;width:170;height:246" type="#_x0000_t75" id="docshape309" stroked="false">
                  <v:imagedata r:id="rId55" o:title=""/>
                </v:shape>
                <v:shape style="position:absolute;left:8912;top:3930;width:169;height:246" type="#_x0000_t75" id="docshape310" stroked="false">
                  <v:imagedata r:id="rId56" o:title=""/>
                </v:shape>
                <v:shape style="position:absolute;left:9077;top:3499;width:169;height:246" type="#_x0000_t75" id="docshape311" stroked="false">
                  <v:imagedata r:id="rId57" o:title=""/>
                </v:shape>
                <v:line style="position:absolute" from="7677,5775" to="9147,3827" stroked="true" strokeweight=".886601pt" strokecolor="#000000">
                  <v:stroke dashstyle="solid"/>
                </v:line>
                <v:rect style="position:absolute;left:2237;top:2932;width:7953;height:6003" id="docshape312" filled="false" stroked="true" strokeweight=".990759pt" strokecolor="#808080">
                  <v:stroke dashstyle="solid"/>
                </v:rect>
                <v:shape style="position:absolute;left:2717;top:3277;width:119;height:4418" type="#_x0000_t202" id="docshape313" filled="false" stroked="false">
                  <v:textbox inset="0,0,0,0">
                    <w:txbxContent>
                      <w:p>
                        <w:pPr>
                          <w:spacing w:line="299" w:lineRule="exact" w:before="0"/>
                          <w:ind w:left="0" w:right="0" w:firstLine="0"/>
                          <w:jc w:val="left"/>
                          <w:rPr>
                            <w:rFonts w:ascii="Calibri"/>
                            <w:sz w:val="29"/>
                          </w:rPr>
                        </w:pPr>
                        <w:r>
                          <w:rPr>
                            <w:rFonts w:ascii="Calibri"/>
                            <w:spacing w:val="-10"/>
                            <w:w w:val="75"/>
                            <w:sz w:val="29"/>
                          </w:rPr>
                          <w:t>7</w:t>
                        </w:r>
                      </w:p>
                      <w:p>
                        <w:pPr>
                          <w:spacing w:before="235"/>
                          <w:ind w:left="0" w:right="0" w:firstLine="0"/>
                          <w:jc w:val="left"/>
                          <w:rPr>
                            <w:rFonts w:ascii="Calibri"/>
                            <w:sz w:val="29"/>
                          </w:rPr>
                        </w:pPr>
                        <w:r>
                          <w:rPr>
                            <w:rFonts w:ascii="Calibri"/>
                            <w:spacing w:val="-10"/>
                            <w:w w:val="75"/>
                            <w:sz w:val="29"/>
                          </w:rPr>
                          <w:t>6</w:t>
                        </w:r>
                      </w:p>
                      <w:p>
                        <w:pPr>
                          <w:spacing w:before="235"/>
                          <w:ind w:left="0" w:right="0" w:firstLine="0"/>
                          <w:jc w:val="left"/>
                          <w:rPr>
                            <w:rFonts w:ascii="Calibri"/>
                            <w:sz w:val="29"/>
                          </w:rPr>
                        </w:pPr>
                        <w:r>
                          <w:rPr>
                            <w:rFonts w:ascii="Calibri"/>
                            <w:spacing w:val="-10"/>
                            <w:w w:val="75"/>
                            <w:sz w:val="29"/>
                          </w:rPr>
                          <w:t>5</w:t>
                        </w:r>
                      </w:p>
                      <w:p>
                        <w:pPr>
                          <w:spacing w:before="235"/>
                          <w:ind w:left="0" w:right="0" w:firstLine="0"/>
                          <w:jc w:val="left"/>
                          <w:rPr>
                            <w:rFonts w:ascii="Calibri"/>
                            <w:sz w:val="29"/>
                          </w:rPr>
                        </w:pPr>
                        <w:r>
                          <w:rPr>
                            <w:rFonts w:ascii="Calibri"/>
                            <w:spacing w:val="-10"/>
                            <w:w w:val="75"/>
                            <w:sz w:val="29"/>
                          </w:rPr>
                          <w:t>4</w:t>
                        </w:r>
                      </w:p>
                      <w:p>
                        <w:pPr>
                          <w:spacing w:before="236"/>
                          <w:ind w:left="0" w:right="0" w:firstLine="0"/>
                          <w:jc w:val="left"/>
                          <w:rPr>
                            <w:rFonts w:ascii="Calibri"/>
                            <w:sz w:val="29"/>
                          </w:rPr>
                        </w:pPr>
                        <w:r>
                          <w:rPr>
                            <w:rFonts w:ascii="Calibri"/>
                            <w:spacing w:val="-10"/>
                            <w:w w:val="75"/>
                            <w:sz w:val="29"/>
                          </w:rPr>
                          <w:t>3</w:t>
                        </w:r>
                      </w:p>
                      <w:p>
                        <w:pPr>
                          <w:spacing w:before="234"/>
                          <w:ind w:left="0" w:right="0" w:firstLine="0"/>
                          <w:jc w:val="left"/>
                          <w:rPr>
                            <w:rFonts w:ascii="Calibri"/>
                            <w:sz w:val="29"/>
                          </w:rPr>
                        </w:pPr>
                        <w:r>
                          <w:rPr>
                            <w:rFonts w:ascii="Calibri"/>
                            <w:spacing w:val="-10"/>
                            <w:w w:val="75"/>
                            <w:sz w:val="29"/>
                          </w:rPr>
                          <w:t>2</w:t>
                        </w:r>
                      </w:p>
                      <w:p>
                        <w:pPr>
                          <w:spacing w:before="235"/>
                          <w:ind w:left="0" w:right="0" w:firstLine="0"/>
                          <w:jc w:val="left"/>
                          <w:rPr>
                            <w:rFonts w:ascii="Calibri"/>
                            <w:sz w:val="29"/>
                          </w:rPr>
                        </w:pPr>
                        <w:r>
                          <w:rPr>
                            <w:rFonts w:ascii="Calibri"/>
                            <w:spacing w:val="-10"/>
                            <w:w w:val="75"/>
                            <w:sz w:val="29"/>
                          </w:rPr>
                          <w:t>1</w:t>
                        </w:r>
                      </w:p>
                      <w:p>
                        <w:pPr>
                          <w:spacing w:line="350" w:lineRule="exact" w:before="235"/>
                          <w:ind w:left="0" w:right="0" w:firstLine="0"/>
                          <w:jc w:val="left"/>
                          <w:rPr>
                            <w:rFonts w:ascii="Calibri"/>
                            <w:sz w:val="29"/>
                          </w:rPr>
                        </w:pPr>
                        <w:r>
                          <w:rPr>
                            <w:rFonts w:ascii="Calibri"/>
                            <w:spacing w:val="-10"/>
                            <w:w w:val="75"/>
                            <w:sz w:val="29"/>
                          </w:rPr>
                          <w:t>0</w:t>
                        </w:r>
                      </w:p>
                    </w:txbxContent>
                  </v:textbox>
                  <w10:wrap type="none"/>
                </v:shape>
                <v:shape style="position:absolute;left:2927;top:7830;width:119;height:295" type="#_x0000_t202" id="docshape314" filled="false" stroked="false">
                  <v:textbox inset="0,0,0,0">
                    <w:txbxContent>
                      <w:p>
                        <w:pPr>
                          <w:spacing w:line="294" w:lineRule="exact" w:before="0"/>
                          <w:ind w:left="0" w:right="0" w:firstLine="0"/>
                          <w:jc w:val="left"/>
                          <w:rPr>
                            <w:rFonts w:ascii="Calibri"/>
                            <w:sz w:val="29"/>
                          </w:rPr>
                        </w:pPr>
                        <w:r>
                          <w:rPr>
                            <w:rFonts w:ascii="Calibri"/>
                            <w:spacing w:val="-10"/>
                            <w:w w:val="75"/>
                            <w:sz w:val="29"/>
                          </w:rPr>
                          <w:t>0</w:t>
                        </w:r>
                      </w:p>
                    </w:txbxContent>
                  </v:textbox>
                  <w10:wrap type="none"/>
                </v:shape>
                <v:shape style="position:absolute;left:4218;top:7830;width:284;height:295" type="#_x0000_t202" id="docshape315" filled="false" stroked="false">
                  <v:textbox inset="0,0,0,0">
                    <w:txbxContent>
                      <w:p>
                        <w:pPr>
                          <w:spacing w:line="294" w:lineRule="exact" w:before="0"/>
                          <w:ind w:left="0" w:right="0" w:firstLine="0"/>
                          <w:jc w:val="left"/>
                          <w:rPr>
                            <w:rFonts w:ascii="Calibri"/>
                            <w:sz w:val="29"/>
                          </w:rPr>
                        </w:pPr>
                        <w:r>
                          <w:rPr>
                            <w:rFonts w:ascii="Calibri"/>
                            <w:spacing w:val="-5"/>
                            <w:w w:val="70"/>
                            <w:sz w:val="29"/>
                          </w:rPr>
                          <w:t>0.5</w:t>
                        </w:r>
                      </w:p>
                    </w:txbxContent>
                  </v:textbox>
                  <w10:wrap type="none"/>
                </v:shape>
                <v:shape style="position:absolute;left:5688;top:7830;width:119;height:295" type="#_x0000_t202" id="docshape316" filled="false" stroked="false">
                  <v:textbox inset="0,0,0,0">
                    <w:txbxContent>
                      <w:p>
                        <w:pPr>
                          <w:spacing w:line="294" w:lineRule="exact" w:before="0"/>
                          <w:ind w:left="0" w:right="0" w:firstLine="0"/>
                          <w:jc w:val="left"/>
                          <w:rPr>
                            <w:rFonts w:ascii="Calibri"/>
                            <w:sz w:val="29"/>
                          </w:rPr>
                        </w:pPr>
                        <w:r>
                          <w:rPr>
                            <w:rFonts w:ascii="Calibri"/>
                            <w:spacing w:val="-10"/>
                            <w:w w:val="75"/>
                            <w:sz w:val="29"/>
                          </w:rPr>
                          <w:t>1</w:t>
                        </w:r>
                      </w:p>
                    </w:txbxContent>
                  </v:textbox>
                  <w10:wrap type="none"/>
                </v:shape>
                <v:shape style="position:absolute;left:6978;top:7830;width:284;height:295" type="#_x0000_t202" id="docshape317" filled="false" stroked="false">
                  <v:textbox inset="0,0,0,0">
                    <w:txbxContent>
                      <w:p>
                        <w:pPr>
                          <w:spacing w:line="294" w:lineRule="exact" w:before="0"/>
                          <w:ind w:left="0" w:right="0" w:firstLine="0"/>
                          <w:jc w:val="left"/>
                          <w:rPr>
                            <w:rFonts w:ascii="Calibri"/>
                            <w:sz w:val="29"/>
                          </w:rPr>
                        </w:pPr>
                        <w:r>
                          <w:rPr>
                            <w:rFonts w:ascii="Calibri"/>
                            <w:spacing w:val="-5"/>
                            <w:w w:val="70"/>
                            <w:sz w:val="29"/>
                          </w:rPr>
                          <w:t>1.5</w:t>
                        </w:r>
                      </w:p>
                    </w:txbxContent>
                  </v:textbox>
                  <w10:wrap type="none"/>
                </v:shape>
                <v:shape style="position:absolute;left:8448;top:7830;width:119;height:295" type="#_x0000_t202" id="docshape318" filled="false" stroked="false">
                  <v:textbox inset="0,0,0,0">
                    <w:txbxContent>
                      <w:p>
                        <w:pPr>
                          <w:spacing w:line="294" w:lineRule="exact" w:before="0"/>
                          <w:ind w:left="0" w:right="0" w:firstLine="0"/>
                          <w:jc w:val="left"/>
                          <w:rPr>
                            <w:rFonts w:ascii="Calibri"/>
                            <w:sz w:val="29"/>
                          </w:rPr>
                        </w:pPr>
                        <w:r>
                          <w:rPr>
                            <w:rFonts w:ascii="Calibri"/>
                            <w:spacing w:val="-10"/>
                            <w:w w:val="75"/>
                            <w:sz w:val="29"/>
                          </w:rPr>
                          <w:t>2</w:t>
                        </w:r>
                      </w:p>
                    </w:txbxContent>
                  </v:textbox>
                  <w10:wrap type="none"/>
                </v:shape>
                <v:shape style="position:absolute;left:9739;top:7830;width:284;height:295" type="#_x0000_t202" id="docshape319" filled="false" stroked="false">
                  <v:textbox inset="0,0,0,0">
                    <w:txbxContent>
                      <w:p>
                        <w:pPr>
                          <w:spacing w:line="294" w:lineRule="exact" w:before="0"/>
                          <w:ind w:left="0" w:right="0" w:firstLine="0"/>
                          <w:jc w:val="left"/>
                          <w:rPr>
                            <w:rFonts w:ascii="Calibri"/>
                            <w:sz w:val="29"/>
                          </w:rPr>
                        </w:pPr>
                        <w:r>
                          <w:rPr>
                            <w:rFonts w:ascii="Calibri"/>
                            <w:spacing w:val="-5"/>
                            <w:w w:val="70"/>
                            <w:sz w:val="29"/>
                          </w:rPr>
                          <w:t>2.5</w:t>
                        </w:r>
                      </w:p>
                    </w:txbxContent>
                  </v:textbox>
                  <w10:wrap type="none"/>
                </v:shape>
                <v:shape style="position:absolute;left:5973;top:8532;width:882;height:295" type="#_x0000_t202" id="docshape320" filled="false" stroked="false">
                  <v:textbox inset="0,0,0,0">
                    <w:txbxContent>
                      <w:p>
                        <w:pPr>
                          <w:spacing w:line="294" w:lineRule="exact" w:before="0"/>
                          <w:ind w:left="0" w:right="0" w:firstLine="0"/>
                          <w:jc w:val="left"/>
                          <w:rPr>
                            <w:rFonts w:ascii="Calibri"/>
                            <w:b/>
                            <w:sz w:val="29"/>
                          </w:rPr>
                        </w:pPr>
                        <w:r>
                          <w:rPr>
                            <w:rFonts w:ascii="Calibri"/>
                            <w:b/>
                            <w:w w:val="70"/>
                            <w:sz w:val="29"/>
                          </w:rPr>
                          <w:t>L</w:t>
                        </w:r>
                        <w:r>
                          <w:rPr>
                            <w:rFonts w:ascii="Calibri"/>
                            <w:b/>
                            <w:spacing w:val="-9"/>
                            <w:w w:val="70"/>
                            <w:sz w:val="29"/>
                          </w:rPr>
                          <w:t> </w:t>
                        </w:r>
                        <w:r>
                          <w:rPr>
                            <w:rFonts w:ascii="Calibri"/>
                            <w:b/>
                            <w:w w:val="70"/>
                            <w:sz w:val="29"/>
                          </w:rPr>
                          <w:t>og</w:t>
                        </w:r>
                        <w:r>
                          <w:rPr>
                            <w:rFonts w:ascii="Calibri"/>
                            <w:b/>
                            <w:spacing w:val="22"/>
                            <w:sz w:val="29"/>
                          </w:rPr>
                          <w:t> </w:t>
                        </w:r>
                        <w:r>
                          <w:rPr>
                            <w:rFonts w:ascii="Calibri"/>
                            <w:b/>
                            <w:spacing w:val="5"/>
                            <w:w w:val="70"/>
                            <w:sz w:val="29"/>
                          </w:rPr>
                          <w:t>Dose</w:t>
                        </w:r>
                      </w:p>
                    </w:txbxContent>
                  </v:textbox>
                  <w10:wrap type="none"/>
                </v:shape>
                <w10:wrap type="none"/>
              </v:group>
            </w:pict>
          </mc:Fallback>
        </mc:AlternateContent>
      </w:r>
      <w:r>
        <w:rPr>
          <w:b/>
          <w:sz w:val="24"/>
        </w:rPr>
        <w:t>Log</w:t>
      </w:r>
      <w:r>
        <w:rPr>
          <w:b/>
          <w:spacing w:val="-2"/>
          <w:sz w:val="24"/>
        </w:rPr>
        <w:t> </w:t>
      </w:r>
      <w:r>
        <w:rPr>
          <w:b/>
          <w:sz w:val="24"/>
        </w:rPr>
        <w:t>Dose</w:t>
      </w:r>
      <w:r>
        <w:rPr>
          <w:b/>
          <w:spacing w:val="-2"/>
          <w:sz w:val="24"/>
        </w:rPr>
        <w:t> </w:t>
      </w:r>
      <w:r>
        <w:rPr>
          <w:b/>
          <w:sz w:val="24"/>
        </w:rPr>
        <w:t>– Probit</w:t>
      </w:r>
      <w:r>
        <w:rPr>
          <w:b/>
          <w:spacing w:val="2"/>
          <w:sz w:val="24"/>
        </w:rPr>
        <w:t> </w:t>
      </w:r>
      <w:r>
        <w:rPr>
          <w:b/>
          <w:sz w:val="24"/>
        </w:rPr>
        <w:t>Values</w:t>
      </w:r>
      <w:r>
        <w:rPr>
          <w:b/>
          <w:spacing w:val="-2"/>
          <w:sz w:val="24"/>
        </w:rPr>
        <w:t> </w:t>
      </w:r>
      <w:r>
        <w:rPr>
          <w:b/>
          <w:sz w:val="24"/>
        </w:rPr>
        <w:t>for</w:t>
      </w:r>
      <w:r>
        <w:rPr>
          <w:b/>
          <w:spacing w:val="-7"/>
          <w:sz w:val="24"/>
        </w:rPr>
        <w:t> </w:t>
      </w:r>
      <w:r>
        <w:rPr>
          <w:b/>
          <w:sz w:val="24"/>
        </w:rPr>
        <w:t>TD</w:t>
      </w:r>
      <w:r>
        <w:rPr>
          <w:b/>
          <w:sz w:val="24"/>
          <w:vertAlign w:val="subscript"/>
        </w:rPr>
        <w:t>50</w:t>
      </w:r>
      <w:r>
        <w:rPr>
          <w:b/>
          <w:spacing w:val="-20"/>
          <w:sz w:val="24"/>
          <w:vertAlign w:val="baseline"/>
        </w:rPr>
        <w:t> </w:t>
      </w:r>
      <w:r>
        <w:rPr>
          <w:b/>
          <w:sz w:val="24"/>
          <w:vertAlign w:val="baseline"/>
        </w:rPr>
        <w:t>of</w:t>
      </w:r>
      <w:r>
        <w:rPr>
          <w:b/>
          <w:spacing w:val="-3"/>
          <w:sz w:val="24"/>
          <w:vertAlign w:val="baseline"/>
        </w:rPr>
        <w:t> </w:t>
      </w:r>
      <w:r>
        <w:rPr>
          <w:b/>
          <w:spacing w:val="-4"/>
          <w:sz w:val="24"/>
          <w:vertAlign w:val="baseline"/>
        </w:rPr>
        <w:t>DCP34</w:t>
      </w:r>
    </w:p>
    <w:p>
      <w:pPr>
        <w:pStyle w:val="BodyText"/>
        <w:spacing w:before="104"/>
        <w:rPr>
          <w:b/>
          <w:sz w:val="20"/>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040"/>
      </w:tblGrid>
      <w:tr>
        <w:trPr>
          <w:trHeight w:val="254" w:hRule="atLeast"/>
        </w:trPr>
        <w:tc>
          <w:tcPr>
            <w:tcW w:w="1040" w:type="dxa"/>
          </w:tcPr>
          <w:p>
            <w:pPr>
              <w:pStyle w:val="TableParagraph"/>
              <w:spacing w:line="225" w:lineRule="exact"/>
              <w:ind w:left="50"/>
              <w:rPr>
                <w:rFonts w:ascii="Calibri"/>
                <w:sz w:val="22"/>
              </w:rPr>
            </w:pPr>
            <w:r>
              <w:rPr>
                <w:rFonts w:ascii="Calibri"/>
                <w:sz w:val="22"/>
              </w:rPr>
              <w:t>Log</w:t>
            </w:r>
            <w:r>
              <w:rPr>
                <w:rFonts w:ascii="Calibri"/>
                <w:spacing w:val="-5"/>
                <w:sz w:val="22"/>
              </w:rPr>
              <w:t> </w:t>
            </w:r>
            <w:r>
              <w:rPr>
                <w:rFonts w:ascii="Calibri"/>
                <w:spacing w:val="-4"/>
                <w:sz w:val="22"/>
              </w:rPr>
              <w:t>Dose</w:t>
            </w:r>
          </w:p>
        </w:tc>
        <w:tc>
          <w:tcPr>
            <w:tcW w:w="1040" w:type="dxa"/>
          </w:tcPr>
          <w:p>
            <w:pPr>
              <w:pStyle w:val="TableParagraph"/>
              <w:spacing w:line="225" w:lineRule="exact"/>
              <w:ind w:left="109"/>
              <w:rPr>
                <w:rFonts w:ascii="Calibri"/>
                <w:sz w:val="22"/>
              </w:rPr>
            </w:pPr>
            <w:r>
              <w:rPr>
                <w:rFonts w:ascii="Calibri"/>
                <w:spacing w:val="-2"/>
                <w:sz w:val="22"/>
              </w:rPr>
              <w:t>Probit</w:t>
            </w: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5"/>
                <w:sz w:val="22"/>
              </w:rPr>
              <w:t>1.7</w:t>
            </w:r>
          </w:p>
        </w:tc>
        <w:tc>
          <w:tcPr>
            <w:tcW w:w="1040" w:type="dxa"/>
          </w:tcPr>
          <w:p>
            <w:pPr>
              <w:pStyle w:val="TableParagraph"/>
              <w:spacing w:line="258" w:lineRule="exact"/>
              <w:ind w:right="48"/>
              <w:jc w:val="right"/>
              <w:rPr>
                <w:rFonts w:ascii="Calibri"/>
                <w:sz w:val="22"/>
              </w:rPr>
            </w:pPr>
            <w:r>
              <w:rPr>
                <w:rFonts w:ascii="Calibri"/>
                <w:spacing w:val="-4"/>
                <w:sz w:val="22"/>
              </w:rPr>
              <w:t>3.25</w:t>
            </w:r>
          </w:p>
        </w:tc>
      </w:tr>
      <w:tr>
        <w:trPr>
          <w:trHeight w:val="285" w:hRule="atLeast"/>
        </w:trPr>
        <w:tc>
          <w:tcPr>
            <w:tcW w:w="1040" w:type="dxa"/>
          </w:tcPr>
          <w:p>
            <w:pPr>
              <w:pStyle w:val="TableParagraph"/>
              <w:spacing w:line="256" w:lineRule="exact"/>
              <w:ind w:right="108"/>
              <w:jc w:val="right"/>
              <w:rPr>
                <w:rFonts w:ascii="Calibri"/>
                <w:sz w:val="22"/>
              </w:rPr>
            </w:pPr>
            <w:r>
              <w:rPr>
                <w:rFonts w:ascii="Calibri"/>
                <w:spacing w:val="-4"/>
                <w:sz w:val="22"/>
              </w:rPr>
              <w:t>1.88</w:t>
            </w:r>
          </w:p>
        </w:tc>
        <w:tc>
          <w:tcPr>
            <w:tcW w:w="1040" w:type="dxa"/>
          </w:tcPr>
          <w:p>
            <w:pPr>
              <w:pStyle w:val="TableParagraph"/>
              <w:spacing w:line="256" w:lineRule="exact"/>
              <w:ind w:right="48"/>
              <w:jc w:val="right"/>
              <w:rPr>
                <w:rFonts w:ascii="Calibri"/>
                <w:sz w:val="22"/>
              </w:rPr>
            </w:pPr>
            <w:r>
              <w:rPr>
                <w:rFonts w:ascii="Calibri"/>
                <w:spacing w:val="-4"/>
                <w:sz w:val="22"/>
              </w:rPr>
              <w:t>3.98</w:t>
            </w: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10"/>
                <w:sz w:val="22"/>
              </w:rPr>
              <w:t>2</w:t>
            </w:r>
          </w:p>
        </w:tc>
        <w:tc>
          <w:tcPr>
            <w:tcW w:w="1040" w:type="dxa"/>
          </w:tcPr>
          <w:p>
            <w:pPr>
              <w:pStyle w:val="TableParagraph"/>
              <w:spacing w:line="258" w:lineRule="exact"/>
              <w:ind w:right="48"/>
              <w:jc w:val="right"/>
              <w:rPr>
                <w:rFonts w:ascii="Calibri"/>
                <w:sz w:val="22"/>
              </w:rPr>
            </w:pPr>
            <w:r>
              <w:rPr>
                <w:rFonts w:ascii="Calibri"/>
                <w:spacing w:val="-4"/>
                <w:sz w:val="22"/>
              </w:rPr>
              <w:t>4.53</w:t>
            </w:r>
          </w:p>
        </w:tc>
      </w:tr>
      <w:tr>
        <w:trPr>
          <w:trHeight w:val="283" w:hRule="atLeast"/>
        </w:trPr>
        <w:tc>
          <w:tcPr>
            <w:tcW w:w="1040" w:type="dxa"/>
          </w:tcPr>
          <w:p>
            <w:pPr>
              <w:pStyle w:val="TableParagraph"/>
              <w:spacing w:line="256" w:lineRule="exact"/>
              <w:ind w:right="108"/>
              <w:jc w:val="right"/>
              <w:rPr>
                <w:rFonts w:ascii="Calibri"/>
                <w:sz w:val="22"/>
              </w:rPr>
            </w:pPr>
            <w:r>
              <w:rPr>
                <w:rFonts w:ascii="Calibri"/>
                <w:spacing w:val="-4"/>
                <w:sz w:val="22"/>
              </w:rPr>
              <w:t>2.18</w:t>
            </w:r>
          </w:p>
        </w:tc>
        <w:tc>
          <w:tcPr>
            <w:tcW w:w="1040" w:type="dxa"/>
          </w:tcPr>
          <w:p>
            <w:pPr>
              <w:pStyle w:val="TableParagraph"/>
              <w:spacing w:line="256" w:lineRule="exact"/>
              <w:ind w:right="48"/>
              <w:jc w:val="right"/>
              <w:rPr>
                <w:rFonts w:ascii="Calibri"/>
                <w:sz w:val="22"/>
              </w:rPr>
            </w:pPr>
            <w:r>
              <w:rPr>
                <w:rFonts w:ascii="Calibri"/>
                <w:spacing w:val="-4"/>
                <w:sz w:val="22"/>
              </w:rPr>
              <w:t>5.92</w:t>
            </w:r>
          </w:p>
        </w:tc>
      </w:tr>
      <w:tr>
        <w:trPr>
          <w:trHeight w:val="251" w:hRule="atLeast"/>
        </w:trPr>
        <w:tc>
          <w:tcPr>
            <w:tcW w:w="1040" w:type="dxa"/>
          </w:tcPr>
          <w:p>
            <w:pPr>
              <w:pStyle w:val="TableParagraph"/>
              <w:spacing w:line="232" w:lineRule="exact"/>
              <w:ind w:right="108"/>
              <w:jc w:val="right"/>
              <w:rPr>
                <w:rFonts w:ascii="Calibri"/>
                <w:sz w:val="22"/>
              </w:rPr>
            </w:pPr>
            <w:r>
              <w:rPr>
                <w:rFonts w:ascii="Calibri"/>
                <w:spacing w:val="-4"/>
                <w:sz w:val="22"/>
              </w:rPr>
              <w:t>2.24</w:t>
            </w:r>
          </w:p>
        </w:tc>
        <w:tc>
          <w:tcPr>
            <w:tcW w:w="1040" w:type="dxa"/>
          </w:tcPr>
          <w:p>
            <w:pPr>
              <w:pStyle w:val="TableParagraph"/>
              <w:spacing w:line="232" w:lineRule="exact"/>
              <w:ind w:right="48"/>
              <w:jc w:val="right"/>
              <w:rPr>
                <w:rFonts w:ascii="Calibri"/>
                <w:sz w:val="22"/>
              </w:rPr>
            </w:pPr>
            <w:r>
              <w:rPr>
                <w:rFonts w:ascii="Calibri"/>
                <w:spacing w:val="-4"/>
                <w:sz w:val="22"/>
              </w:rPr>
              <w:t>6.64</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1"/>
        <w:rPr>
          <w:b/>
        </w:rPr>
      </w:pPr>
    </w:p>
    <w:p>
      <w:pPr>
        <w:pStyle w:val="BodyText"/>
        <w:spacing w:line="480" w:lineRule="auto" w:before="1"/>
        <w:ind w:left="681"/>
      </w:pPr>
      <w:r>
        <w:rPr/>
        <mc:AlternateContent>
          <mc:Choice Requires="wps">
            <w:drawing>
              <wp:anchor distT="0" distB="0" distL="0" distR="0" allowOverlap="1" layoutInCell="1" locked="0" behindDoc="0" simplePos="0" relativeHeight="15812096">
                <wp:simplePos x="0" y="0"/>
                <wp:positionH relativeFrom="page">
                  <wp:posOffset>1457977</wp:posOffset>
                </wp:positionH>
                <wp:positionV relativeFrom="paragraph">
                  <wp:posOffset>-2718664</wp:posOffset>
                </wp:positionV>
                <wp:extent cx="149860" cy="57721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49860" cy="577215"/>
                        </a:xfrm>
                        <a:prstGeom prst="rect">
                          <a:avLst/>
                        </a:prstGeom>
                      </wps:spPr>
                      <wps:txbx>
                        <w:txbxContent>
                          <w:p>
                            <w:pPr>
                              <w:spacing w:line="217" w:lineRule="exact" w:before="0"/>
                              <w:ind w:left="20" w:right="0" w:firstLine="0"/>
                              <w:jc w:val="left"/>
                              <w:rPr>
                                <w:rFonts w:ascii="Calibri"/>
                                <w:b/>
                                <w:sz w:val="19"/>
                              </w:rPr>
                            </w:pPr>
                            <w:r>
                              <w:rPr>
                                <w:rFonts w:ascii="Calibri"/>
                                <w:b/>
                                <w:w w:val="150"/>
                                <w:sz w:val="19"/>
                              </w:rPr>
                              <w:t>P</w:t>
                            </w:r>
                            <w:r>
                              <w:rPr>
                                <w:rFonts w:ascii="Calibri"/>
                                <w:b/>
                                <w:spacing w:val="-14"/>
                                <w:w w:val="150"/>
                                <w:sz w:val="19"/>
                              </w:rPr>
                              <w:t> </w:t>
                            </w:r>
                            <w:r>
                              <w:rPr>
                                <w:rFonts w:ascii="Calibri"/>
                                <w:b/>
                                <w:spacing w:val="11"/>
                                <w:w w:val="155"/>
                                <w:sz w:val="19"/>
                              </w:rPr>
                              <w:t>robit</w:t>
                            </w:r>
                          </w:p>
                        </w:txbxContent>
                      </wps:txbx>
                      <wps:bodyPr wrap="square" lIns="0" tIns="0" rIns="0" bIns="0" rtlCol="0" vert="vert270">
                        <a:noAutofit/>
                      </wps:bodyPr>
                    </wps:wsp>
                  </a:graphicData>
                </a:graphic>
              </wp:anchor>
            </w:drawing>
          </mc:Choice>
          <mc:Fallback>
            <w:pict>
              <v:shape style="position:absolute;margin-left:114.801361pt;margin-top:-214.068054pt;width:11.8pt;height:45.45pt;mso-position-horizontal-relative:page;mso-position-vertical-relative:paragraph;z-index:15812096" type="#_x0000_t202" id="docshape321" filled="false" stroked="false">
                <v:textbox inset="0,0,0,0" style="layout-flow:vertical;mso-layout-flow-alt:bottom-to-top">
                  <w:txbxContent>
                    <w:p>
                      <w:pPr>
                        <w:spacing w:line="217" w:lineRule="exact" w:before="0"/>
                        <w:ind w:left="20" w:right="0" w:firstLine="0"/>
                        <w:jc w:val="left"/>
                        <w:rPr>
                          <w:rFonts w:ascii="Calibri"/>
                          <w:b/>
                          <w:sz w:val="19"/>
                        </w:rPr>
                      </w:pPr>
                      <w:r>
                        <w:rPr>
                          <w:rFonts w:ascii="Calibri"/>
                          <w:b/>
                          <w:w w:val="150"/>
                          <w:sz w:val="19"/>
                        </w:rPr>
                        <w:t>P</w:t>
                      </w:r>
                      <w:r>
                        <w:rPr>
                          <w:rFonts w:ascii="Calibri"/>
                          <w:b/>
                          <w:spacing w:val="-14"/>
                          <w:w w:val="150"/>
                          <w:sz w:val="19"/>
                        </w:rPr>
                        <w:t> </w:t>
                      </w:r>
                      <w:r>
                        <w:rPr>
                          <w:rFonts w:ascii="Calibri"/>
                          <w:b/>
                          <w:spacing w:val="11"/>
                          <w:w w:val="155"/>
                          <w:sz w:val="19"/>
                        </w:rPr>
                        <w:t>robit</w:t>
                      </w:r>
                    </w:p>
                  </w:txbxContent>
                </v:textbox>
                <w10:wrap type="none"/>
              </v:shape>
            </w:pict>
          </mc:Fallback>
        </mc:AlternateContent>
      </w:r>
      <w:r>
        <w:rPr>
          <w:b/>
        </w:rPr>
        <w:t>FIGURE 5: </w:t>
      </w:r>
      <w:r>
        <w:rPr/>
        <w:t>Graphical Determination of TD</w:t>
      </w:r>
      <w:r>
        <w:rPr>
          <w:vertAlign w:val="subscript"/>
        </w:rPr>
        <w:t>50</w:t>
      </w:r>
      <w:r>
        <w:rPr>
          <w:vertAlign w:val="baseline"/>
        </w:rPr>
        <w:t> for DCP25 using Beam Walking Test for Motor Coordination Deficit</w:t>
      </w:r>
    </w:p>
    <w:p>
      <w:pPr>
        <w:spacing w:after="0" w:line="480" w:lineRule="auto"/>
        <w:sectPr>
          <w:pgSz w:w="12240" w:h="15840"/>
          <w:pgMar w:header="0" w:footer="1066" w:top="1360" w:bottom="1260" w:left="1480" w:right="1160"/>
        </w:sectPr>
      </w:pPr>
    </w:p>
    <w:p>
      <w:pPr>
        <w:pStyle w:val="Heading2"/>
        <w:spacing w:line="237" w:lineRule="auto" w:before="79"/>
        <w:jc w:val="left"/>
      </w:pPr>
      <w:r>
        <w:rPr/>
        <w:t>APPENDIX</w:t>
      </w:r>
      <w:r>
        <w:rPr>
          <w:spacing w:val="40"/>
        </w:rPr>
        <w:t> </w:t>
      </w:r>
      <w:r>
        <w:rPr/>
        <w:t>F:</w:t>
      </w:r>
      <w:r>
        <w:rPr>
          <w:spacing w:val="40"/>
        </w:rPr>
        <w:t> </w:t>
      </w:r>
      <w:r>
        <w:rPr/>
        <w:t>Determination</w:t>
      </w:r>
      <w:r>
        <w:rPr>
          <w:spacing w:val="40"/>
        </w:rPr>
        <w:t> </w:t>
      </w:r>
      <w:r>
        <w:rPr/>
        <w:t>of</w:t>
      </w:r>
      <w:r>
        <w:rPr>
          <w:spacing w:val="40"/>
        </w:rPr>
        <w:t> </w:t>
      </w:r>
      <w:r>
        <w:rPr/>
        <w:t>ED</w:t>
      </w:r>
      <w:r>
        <w:rPr>
          <w:vertAlign w:val="subscript"/>
        </w:rPr>
        <w:t>50</w:t>
      </w:r>
      <w:r>
        <w:rPr>
          <w:spacing w:val="40"/>
          <w:vertAlign w:val="baseline"/>
        </w:rPr>
        <w:t> </w:t>
      </w:r>
      <w:r>
        <w:rPr>
          <w:vertAlign w:val="baseline"/>
        </w:rPr>
        <w:t>for</w:t>
      </w:r>
      <w:r>
        <w:rPr>
          <w:spacing w:val="40"/>
          <w:vertAlign w:val="baseline"/>
        </w:rPr>
        <w:t> </w:t>
      </w:r>
      <w:r>
        <w:rPr>
          <w:vertAlign w:val="baseline"/>
        </w:rPr>
        <w:t>DCP34</w:t>
      </w:r>
      <w:r>
        <w:rPr>
          <w:spacing w:val="40"/>
          <w:vertAlign w:val="baseline"/>
        </w:rPr>
        <w:t> </w:t>
      </w:r>
      <w:r>
        <w:rPr>
          <w:vertAlign w:val="baseline"/>
        </w:rPr>
        <w:t>Using</w:t>
      </w:r>
      <w:r>
        <w:rPr>
          <w:spacing w:val="40"/>
          <w:vertAlign w:val="baseline"/>
        </w:rPr>
        <w:t> </w:t>
      </w:r>
      <w:r>
        <w:rPr>
          <w:vertAlign w:val="baseline"/>
        </w:rPr>
        <w:t>Maximal</w:t>
      </w:r>
      <w:r>
        <w:rPr>
          <w:spacing w:val="40"/>
          <w:vertAlign w:val="baseline"/>
        </w:rPr>
        <w:t> </w:t>
      </w:r>
      <w:r>
        <w:rPr>
          <w:vertAlign w:val="baseline"/>
        </w:rPr>
        <w:t>electroshock- induced Seizure Test</w:t>
      </w:r>
    </w:p>
    <w:p>
      <w:pPr>
        <w:pStyle w:val="BodyText"/>
        <w:rPr>
          <w:b/>
        </w:rPr>
      </w:pPr>
    </w:p>
    <w:p>
      <w:pPr>
        <w:pStyle w:val="BodyText"/>
        <w:spacing w:before="4"/>
        <w:rPr>
          <w:b/>
        </w:rPr>
      </w:pPr>
    </w:p>
    <w:p>
      <w:pPr>
        <w:spacing w:before="0"/>
        <w:ind w:left="681" w:right="0" w:firstLine="0"/>
        <w:jc w:val="left"/>
        <w:rPr>
          <w:b/>
          <w:sz w:val="24"/>
        </w:rPr>
      </w:pPr>
      <w:r>
        <w:rPr/>
        <mc:AlternateContent>
          <mc:Choice Requires="wps">
            <w:drawing>
              <wp:anchor distT="0" distB="0" distL="0" distR="0" allowOverlap="1" layoutInCell="1" locked="0" behindDoc="0" simplePos="0" relativeHeight="15812608">
                <wp:simplePos x="0" y="0"/>
                <wp:positionH relativeFrom="page">
                  <wp:posOffset>1413930</wp:posOffset>
                </wp:positionH>
                <wp:positionV relativeFrom="paragraph">
                  <wp:posOffset>1855257</wp:posOffset>
                </wp:positionV>
                <wp:extent cx="5063490" cy="3733165"/>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5063490" cy="3733165"/>
                          <a:chExt cx="5063490" cy="3733165"/>
                        </a:xfrm>
                      </wpg:grpSpPr>
                      <wps:wsp>
                        <wps:cNvPr id="432" name="Graphic 432"/>
                        <wps:cNvSpPr/>
                        <wps:spPr>
                          <a:xfrm>
                            <a:off x="6741" y="6741"/>
                            <a:ext cx="5050155" cy="3719829"/>
                          </a:xfrm>
                          <a:custGeom>
                            <a:avLst/>
                            <a:gdLst/>
                            <a:ahLst/>
                            <a:cxnLst/>
                            <a:rect l="l" t="t" r="r" b="b"/>
                            <a:pathLst>
                              <a:path w="5050155" h="3719829">
                                <a:moveTo>
                                  <a:pt x="0" y="3719467"/>
                                </a:moveTo>
                                <a:lnTo>
                                  <a:pt x="5049632" y="3719467"/>
                                </a:lnTo>
                                <a:lnTo>
                                  <a:pt x="5049632" y="0"/>
                                </a:lnTo>
                                <a:lnTo>
                                  <a:pt x="0" y="0"/>
                                </a:lnTo>
                                <a:lnTo>
                                  <a:pt x="0" y="3719467"/>
                                </a:lnTo>
                                <a:close/>
                              </a:path>
                            </a:pathLst>
                          </a:custGeom>
                          <a:ln w="12693">
                            <a:solidFill>
                              <a:srgbClr val="808080"/>
                            </a:solidFill>
                            <a:prstDash val="solid"/>
                          </a:ln>
                        </wps:spPr>
                        <wps:bodyPr wrap="square" lIns="0" tIns="0" rIns="0" bIns="0" rtlCol="0">
                          <a:prstTxWarp prst="textNoShape">
                            <a:avLst/>
                          </a:prstTxWarp>
                          <a:noAutofit/>
                        </wps:bodyPr>
                      </wps:wsp>
                      <wps:wsp>
                        <wps:cNvPr id="433" name="Graphic 433"/>
                        <wps:cNvSpPr/>
                        <wps:spPr>
                          <a:xfrm>
                            <a:off x="478420" y="375419"/>
                            <a:ext cx="4373245" cy="2403475"/>
                          </a:xfrm>
                          <a:custGeom>
                            <a:avLst/>
                            <a:gdLst/>
                            <a:ahLst/>
                            <a:cxnLst/>
                            <a:rect l="l" t="t" r="r" b="b"/>
                            <a:pathLst>
                              <a:path w="4373245" h="2403475">
                                <a:moveTo>
                                  <a:pt x="0" y="2402897"/>
                                </a:moveTo>
                                <a:lnTo>
                                  <a:pt x="4373177" y="2402897"/>
                                </a:lnTo>
                              </a:path>
                              <a:path w="4373245" h="2403475">
                                <a:moveTo>
                                  <a:pt x="0" y="2330315"/>
                                </a:moveTo>
                                <a:lnTo>
                                  <a:pt x="4373177" y="2330315"/>
                                </a:lnTo>
                              </a:path>
                              <a:path w="4373245" h="2403475">
                                <a:moveTo>
                                  <a:pt x="0" y="2272634"/>
                                </a:moveTo>
                                <a:lnTo>
                                  <a:pt x="4373177" y="2272634"/>
                                </a:lnTo>
                              </a:path>
                              <a:path w="4373245" h="2403475">
                                <a:moveTo>
                                  <a:pt x="0" y="2214472"/>
                                </a:moveTo>
                                <a:lnTo>
                                  <a:pt x="4373177" y="2214472"/>
                                </a:lnTo>
                              </a:path>
                              <a:path w="4373245" h="2403475">
                                <a:moveTo>
                                  <a:pt x="0" y="2084209"/>
                                </a:moveTo>
                                <a:lnTo>
                                  <a:pt x="4373177" y="2084209"/>
                                </a:lnTo>
                              </a:path>
                              <a:path w="4373245" h="2403475">
                                <a:moveTo>
                                  <a:pt x="0" y="2026528"/>
                                </a:moveTo>
                                <a:lnTo>
                                  <a:pt x="4373177" y="2026528"/>
                                </a:lnTo>
                              </a:path>
                              <a:path w="4373245" h="2403475">
                                <a:moveTo>
                                  <a:pt x="0" y="1953946"/>
                                </a:moveTo>
                                <a:lnTo>
                                  <a:pt x="4373177" y="1953946"/>
                                </a:lnTo>
                              </a:path>
                              <a:path w="4373245" h="2403475">
                                <a:moveTo>
                                  <a:pt x="0" y="1896265"/>
                                </a:moveTo>
                                <a:lnTo>
                                  <a:pt x="4373177" y="1896265"/>
                                </a:lnTo>
                              </a:path>
                              <a:path w="4373245" h="2403475">
                                <a:moveTo>
                                  <a:pt x="0" y="1766002"/>
                                </a:moveTo>
                                <a:lnTo>
                                  <a:pt x="4373177" y="1766002"/>
                                </a:lnTo>
                              </a:path>
                              <a:path w="4373245" h="2403475">
                                <a:moveTo>
                                  <a:pt x="0" y="1707840"/>
                                </a:moveTo>
                                <a:lnTo>
                                  <a:pt x="4373177" y="1707840"/>
                                </a:lnTo>
                              </a:path>
                              <a:path w="4373245" h="2403475">
                                <a:moveTo>
                                  <a:pt x="0" y="1635738"/>
                                </a:moveTo>
                                <a:lnTo>
                                  <a:pt x="4373177" y="1635738"/>
                                </a:lnTo>
                              </a:path>
                              <a:path w="4373245" h="2403475">
                                <a:moveTo>
                                  <a:pt x="0" y="1577577"/>
                                </a:moveTo>
                                <a:lnTo>
                                  <a:pt x="4373177" y="1577577"/>
                                </a:lnTo>
                              </a:path>
                              <a:path w="4373245" h="2403475">
                                <a:moveTo>
                                  <a:pt x="0" y="1447410"/>
                                </a:moveTo>
                                <a:lnTo>
                                  <a:pt x="4373177" y="1447410"/>
                                </a:lnTo>
                              </a:path>
                              <a:path w="4373245" h="2403475">
                                <a:moveTo>
                                  <a:pt x="0" y="1389729"/>
                                </a:moveTo>
                                <a:lnTo>
                                  <a:pt x="4373177" y="1389729"/>
                                </a:lnTo>
                              </a:path>
                              <a:path w="4373245" h="2403475">
                                <a:moveTo>
                                  <a:pt x="0" y="1332048"/>
                                </a:moveTo>
                                <a:lnTo>
                                  <a:pt x="4373177" y="1332048"/>
                                </a:lnTo>
                              </a:path>
                              <a:path w="4373245" h="2403475">
                                <a:moveTo>
                                  <a:pt x="0" y="1259369"/>
                                </a:moveTo>
                                <a:lnTo>
                                  <a:pt x="4373177" y="1259369"/>
                                </a:lnTo>
                              </a:path>
                              <a:path w="4373245" h="2403475">
                                <a:moveTo>
                                  <a:pt x="0" y="1143623"/>
                                </a:moveTo>
                                <a:lnTo>
                                  <a:pt x="4373177" y="1143623"/>
                                </a:lnTo>
                              </a:path>
                              <a:path w="4373245" h="2403475">
                                <a:moveTo>
                                  <a:pt x="0" y="1071521"/>
                                </a:moveTo>
                                <a:lnTo>
                                  <a:pt x="4373177" y="1071521"/>
                                </a:lnTo>
                              </a:path>
                              <a:path w="4373245" h="2403475">
                                <a:moveTo>
                                  <a:pt x="0" y="1013264"/>
                                </a:moveTo>
                                <a:lnTo>
                                  <a:pt x="4373177" y="1013264"/>
                                </a:lnTo>
                              </a:path>
                              <a:path w="4373245" h="2403475">
                                <a:moveTo>
                                  <a:pt x="0" y="955583"/>
                                </a:moveTo>
                                <a:lnTo>
                                  <a:pt x="4373177" y="955583"/>
                                </a:lnTo>
                              </a:path>
                              <a:path w="4373245" h="2403475">
                                <a:moveTo>
                                  <a:pt x="0" y="825223"/>
                                </a:moveTo>
                                <a:lnTo>
                                  <a:pt x="4373177" y="825223"/>
                                </a:lnTo>
                              </a:path>
                              <a:path w="4373245" h="2403475">
                                <a:moveTo>
                                  <a:pt x="0" y="767158"/>
                                </a:moveTo>
                                <a:lnTo>
                                  <a:pt x="4373177" y="767158"/>
                                </a:lnTo>
                              </a:path>
                              <a:path w="4373245" h="2403475">
                                <a:moveTo>
                                  <a:pt x="0" y="695056"/>
                                </a:moveTo>
                                <a:lnTo>
                                  <a:pt x="4373177" y="695056"/>
                                </a:lnTo>
                              </a:path>
                              <a:path w="4373245" h="2403475">
                                <a:moveTo>
                                  <a:pt x="0" y="636798"/>
                                </a:moveTo>
                                <a:lnTo>
                                  <a:pt x="4373177" y="636798"/>
                                </a:lnTo>
                              </a:path>
                              <a:path w="4373245" h="2403475">
                                <a:moveTo>
                                  <a:pt x="0" y="506632"/>
                                </a:moveTo>
                                <a:lnTo>
                                  <a:pt x="4373177" y="506632"/>
                                </a:lnTo>
                              </a:path>
                              <a:path w="4373245" h="2403475">
                                <a:moveTo>
                                  <a:pt x="0" y="448950"/>
                                </a:moveTo>
                                <a:lnTo>
                                  <a:pt x="4373177" y="448950"/>
                                </a:lnTo>
                              </a:path>
                              <a:path w="4373245" h="2403475">
                                <a:moveTo>
                                  <a:pt x="0" y="376272"/>
                                </a:moveTo>
                                <a:lnTo>
                                  <a:pt x="4373177" y="376272"/>
                                </a:lnTo>
                              </a:path>
                              <a:path w="4373245" h="2403475">
                                <a:moveTo>
                                  <a:pt x="0" y="318591"/>
                                </a:moveTo>
                                <a:lnTo>
                                  <a:pt x="4373177" y="318591"/>
                                </a:lnTo>
                              </a:path>
                              <a:path w="4373245" h="2403475">
                                <a:moveTo>
                                  <a:pt x="0" y="188424"/>
                                </a:moveTo>
                                <a:lnTo>
                                  <a:pt x="4373177" y="188424"/>
                                </a:lnTo>
                              </a:path>
                              <a:path w="4373245" h="2403475">
                                <a:moveTo>
                                  <a:pt x="0" y="130359"/>
                                </a:moveTo>
                                <a:lnTo>
                                  <a:pt x="4373177" y="130359"/>
                                </a:lnTo>
                              </a:path>
                              <a:path w="4373245" h="2403475">
                                <a:moveTo>
                                  <a:pt x="0" y="72678"/>
                                </a:moveTo>
                                <a:lnTo>
                                  <a:pt x="4373177" y="72678"/>
                                </a:lnTo>
                              </a:path>
                              <a:path w="4373245" h="2403475">
                                <a:moveTo>
                                  <a:pt x="0" y="0"/>
                                </a:moveTo>
                                <a:lnTo>
                                  <a:pt x="4373177" y="0"/>
                                </a:lnTo>
                              </a:path>
                            </a:pathLst>
                          </a:custGeom>
                          <a:ln w="11964">
                            <a:solidFill>
                              <a:srgbClr val="C0C0C0"/>
                            </a:solidFill>
                            <a:prstDash val="solid"/>
                          </a:ln>
                        </wps:spPr>
                        <wps:bodyPr wrap="square" lIns="0" tIns="0" rIns="0" bIns="0" rtlCol="0">
                          <a:prstTxWarp prst="textNoShape">
                            <a:avLst/>
                          </a:prstTxWarp>
                          <a:noAutofit/>
                        </wps:bodyPr>
                      </wps:wsp>
                      <wps:wsp>
                        <wps:cNvPr id="434" name="Graphic 434"/>
                        <wps:cNvSpPr/>
                        <wps:spPr>
                          <a:xfrm>
                            <a:off x="478420" y="317738"/>
                            <a:ext cx="4373245" cy="2200275"/>
                          </a:xfrm>
                          <a:custGeom>
                            <a:avLst/>
                            <a:gdLst/>
                            <a:ahLst/>
                            <a:cxnLst/>
                            <a:rect l="l" t="t" r="r" b="b"/>
                            <a:pathLst>
                              <a:path w="4373245" h="2200275">
                                <a:moveTo>
                                  <a:pt x="0" y="2200052"/>
                                </a:moveTo>
                                <a:lnTo>
                                  <a:pt x="4373177" y="2200052"/>
                                </a:lnTo>
                              </a:path>
                              <a:path w="4373245" h="2200275">
                                <a:moveTo>
                                  <a:pt x="0" y="1895784"/>
                                </a:moveTo>
                                <a:lnTo>
                                  <a:pt x="4373177" y="1895784"/>
                                </a:lnTo>
                              </a:path>
                              <a:path w="4373245" h="2200275">
                                <a:moveTo>
                                  <a:pt x="0" y="1577577"/>
                                </a:moveTo>
                                <a:lnTo>
                                  <a:pt x="4373177" y="1577577"/>
                                </a:lnTo>
                              </a:path>
                              <a:path w="4373245" h="2200275">
                                <a:moveTo>
                                  <a:pt x="0" y="1259369"/>
                                </a:moveTo>
                                <a:lnTo>
                                  <a:pt x="4373177" y="1259369"/>
                                </a:lnTo>
                              </a:path>
                              <a:path w="4373245" h="2200275">
                                <a:moveTo>
                                  <a:pt x="0" y="940585"/>
                                </a:moveTo>
                                <a:lnTo>
                                  <a:pt x="4373177" y="940585"/>
                                </a:lnTo>
                              </a:path>
                              <a:path w="4373245" h="2200275">
                                <a:moveTo>
                                  <a:pt x="0" y="636798"/>
                                </a:moveTo>
                                <a:lnTo>
                                  <a:pt x="4373177" y="636798"/>
                                </a:lnTo>
                              </a:path>
                              <a:path w="4373245" h="2200275">
                                <a:moveTo>
                                  <a:pt x="0" y="318207"/>
                                </a:moveTo>
                                <a:lnTo>
                                  <a:pt x="4373177" y="318207"/>
                                </a:lnTo>
                              </a:path>
                              <a:path w="4373245" h="2200275">
                                <a:moveTo>
                                  <a:pt x="0" y="0"/>
                                </a:moveTo>
                                <a:lnTo>
                                  <a:pt x="4373177" y="0"/>
                                </a:lnTo>
                              </a:path>
                            </a:pathLst>
                          </a:custGeom>
                          <a:ln w="11964">
                            <a:solidFill>
                              <a:srgbClr val="808080"/>
                            </a:solidFill>
                            <a:prstDash val="solid"/>
                          </a:ln>
                        </wps:spPr>
                        <wps:bodyPr wrap="square" lIns="0" tIns="0" rIns="0" bIns="0" rtlCol="0">
                          <a:prstTxWarp prst="textNoShape">
                            <a:avLst/>
                          </a:prstTxWarp>
                          <a:noAutofit/>
                        </wps:bodyPr>
                      </wps:wsp>
                      <wps:wsp>
                        <wps:cNvPr id="435" name="Graphic 435"/>
                        <wps:cNvSpPr/>
                        <wps:spPr>
                          <a:xfrm>
                            <a:off x="649911" y="317738"/>
                            <a:ext cx="4039870" cy="2504440"/>
                          </a:xfrm>
                          <a:custGeom>
                            <a:avLst/>
                            <a:gdLst/>
                            <a:ahLst/>
                            <a:cxnLst/>
                            <a:rect l="l" t="t" r="r" b="b"/>
                            <a:pathLst>
                              <a:path w="4039870" h="2504440">
                                <a:moveTo>
                                  <a:pt x="0" y="0"/>
                                </a:moveTo>
                                <a:lnTo>
                                  <a:pt x="0" y="2503839"/>
                                </a:lnTo>
                              </a:path>
                              <a:path w="4039870" h="2504440">
                                <a:moveTo>
                                  <a:pt x="181000" y="0"/>
                                </a:moveTo>
                                <a:lnTo>
                                  <a:pt x="181000" y="2503839"/>
                                </a:lnTo>
                              </a:path>
                              <a:path w="4039870" h="2504440">
                                <a:moveTo>
                                  <a:pt x="352491" y="0"/>
                                </a:moveTo>
                                <a:lnTo>
                                  <a:pt x="352491" y="2503839"/>
                                </a:lnTo>
                              </a:path>
                              <a:path w="4039870" h="2504440">
                                <a:moveTo>
                                  <a:pt x="533492" y="0"/>
                                </a:moveTo>
                                <a:lnTo>
                                  <a:pt x="533492" y="2503839"/>
                                </a:lnTo>
                              </a:path>
                              <a:path w="4039870" h="2504440">
                                <a:moveTo>
                                  <a:pt x="876474" y="0"/>
                                </a:moveTo>
                                <a:lnTo>
                                  <a:pt x="876474" y="2503839"/>
                                </a:lnTo>
                              </a:path>
                              <a:path w="4039870" h="2504440">
                                <a:moveTo>
                                  <a:pt x="1057538" y="0"/>
                                </a:moveTo>
                                <a:lnTo>
                                  <a:pt x="1057538" y="2503839"/>
                                </a:lnTo>
                              </a:path>
                              <a:path w="4039870" h="2504440">
                                <a:moveTo>
                                  <a:pt x="1228965" y="0"/>
                                </a:moveTo>
                                <a:lnTo>
                                  <a:pt x="1228965" y="2503839"/>
                                </a:lnTo>
                              </a:path>
                              <a:path w="4039870" h="2504440">
                                <a:moveTo>
                                  <a:pt x="1410029" y="0"/>
                                </a:moveTo>
                                <a:lnTo>
                                  <a:pt x="1410029" y="2503839"/>
                                </a:lnTo>
                              </a:path>
                              <a:path w="4039870" h="2504440">
                                <a:moveTo>
                                  <a:pt x="1753011" y="0"/>
                                </a:moveTo>
                                <a:lnTo>
                                  <a:pt x="1753011" y="2503839"/>
                                </a:lnTo>
                              </a:path>
                              <a:path w="4039870" h="2504440">
                                <a:moveTo>
                                  <a:pt x="1933948" y="0"/>
                                </a:moveTo>
                                <a:lnTo>
                                  <a:pt x="1933948" y="2503839"/>
                                </a:lnTo>
                              </a:path>
                              <a:path w="4039870" h="2504440">
                                <a:moveTo>
                                  <a:pt x="2105503" y="0"/>
                                </a:moveTo>
                                <a:lnTo>
                                  <a:pt x="2105503" y="2503839"/>
                                </a:lnTo>
                              </a:path>
                              <a:path w="4039870" h="2504440">
                                <a:moveTo>
                                  <a:pt x="2286440" y="0"/>
                                </a:moveTo>
                                <a:lnTo>
                                  <a:pt x="2286440" y="2503839"/>
                                </a:lnTo>
                              </a:path>
                              <a:path w="4039870" h="2504440">
                                <a:moveTo>
                                  <a:pt x="2629422" y="0"/>
                                </a:moveTo>
                                <a:lnTo>
                                  <a:pt x="2629422" y="2503839"/>
                                </a:lnTo>
                              </a:path>
                              <a:path w="4039870" h="2504440">
                                <a:moveTo>
                                  <a:pt x="2810739" y="0"/>
                                </a:moveTo>
                                <a:lnTo>
                                  <a:pt x="2810739" y="2503839"/>
                                </a:lnTo>
                              </a:path>
                              <a:path w="4039870" h="2504440">
                                <a:moveTo>
                                  <a:pt x="2982294" y="0"/>
                                </a:moveTo>
                                <a:lnTo>
                                  <a:pt x="2982294" y="2503839"/>
                                </a:lnTo>
                              </a:path>
                              <a:path w="4039870" h="2504440">
                                <a:moveTo>
                                  <a:pt x="3163231" y="0"/>
                                </a:moveTo>
                                <a:lnTo>
                                  <a:pt x="3163231" y="2503839"/>
                                </a:lnTo>
                              </a:path>
                              <a:path w="4039870" h="2504440">
                                <a:moveTo>
                                  <a:pt x="3506213" y="0"/>
                                </a:moveTo>
                                <a:lnTo>
                                  <a:pt x="3506213" y="2503839"/>
                                </a:lnTo>
                              </a:path>
                              <a:path w="4039870" h="2504440">
                                <a:moveTo>
                                  <a:pt x="3687150" y="0"/>
                                </a:moveTo>
                                <a:lnTo>
                                  <a:pt x="3687150" y="2503839"/>
                                </a:lnTo>
                              </a:path>
                              <a:path w="4039870" h="2504440">
                                <a:moveTo>
                                  <a:pt x="3858705" y="0"/>
                                </a:moveTo>
                                <a:lnTo>
                                  <a:pt x="3858705" y="2503839"/>
                                </a:lnTo>
                              </a:path>
                              <a:path w="4039870" h="2504440">
                                <a:moveTo>
                                  <a:pt x="4039769" y="0"/>
                                </a:moveTo>
                                <a:lnTo>
                                  <a:pt x="4039769" y="2503839"/>
                                </a:lnTo>
                              </a:path>
                            </a:pathLst>
                          </a:custGeom>
                          <a:ln w="11964">
                            <a:solidFill>
                              <a:srgbClr val="C0C0C0"/>
                            </a:solidFill>
                            <a:prstDash val="solid"/>
                          </a:ln>
                        </wps:spPr>
                        <wps:bodyPr wrap="square" lIns="0" tIns="0" rIns="0" bIns="0" rtlCol="0">
                          <a:prstTxWarp prst="textNoShape">
                            <a:avLst/>
                          </a:prstTxWarp>
                          <a:noAutofit/>
                        </wps:bodyPr>
                      </wps:wsp>
                      <wps:wsp>
                        <wps:cNvPr id="436" name="Graphic 436"/>
                        <wps:cNvSpPr/>
                        <wps:spPr>
                          <a:xfrm>
                            <a:off x="1354958" y="317738"/>
                            <a:ext cx="3506470" cy="2504440"/>
                          </a:xfrm>
                          <a:custGeom>
                            <a:avLst/>
                            <a:gdLst/>
                            <a:ahLst/>
                            <a:cxnLst/>
                            <a:rect l="l" t="t" r="r" b="b"/>
                            <a:pathLst>
                              <a:path w="3506470" h="2504440">
                                <a:moveTo>
                                  <a:pt x="0" y="0"/>
                                </a:moveTo>
                                <a:lnTo>
                                  <a:pt x="0" y="2503839"/>
                                </a:lnTo>
                              </a:path>
                              <a:path w="3506470" h="2504440">
                                <a:moveTo>
                                  <a:pt x="876410" y="0"/>
                                </a:moveTo>
                                <a:lnTo>
                                  <a:pt x="876410" y="2503839"/>
                                </a:lnTo>
                              </a:path>
                              <a:path w="3506470" h="2504440">
                                <a:moveTo>
                                  <a:pt x="1752948" y="0"/>
                                </a:moveTo>
                                <a:lnTo>
                                  <a:pt x="1752948" y="2503839"/>
                                </a:lnTo>
                              </a:path>
                              <a:path w="3506470" h="2504440">
                                <a:moveTo>
                                  <a:pt x="2629739" y="0"/>
                                </a:moveTo>
                                <a:lnTo>
                                  <a:pt x="2629739" y="2503839"/>
                                </a:lnTo>
                              </a:path>
                              <a:path w="3506470" h="2504440">
                                <a:moveTo>
                                  <a:pt x="3506150" y="0"/>
                                </a:moveTo>
                                <a:lnTo>
                                  <a:pt x="3506150" y="2503839"/>
                                </a:lnTo>
                              </a:path>
                            </a:pathLst>
                          </a:custGeom>
                          <a:ln w="11964">
                            <a:solidFill>
                              <a:srgbClr val="808080"/>
                            </a:solidFill>
                            <a:prstDash val="solid"/>
                          </a:ln>
                        </wps:spPr>
                        <wps:bodyPr wrap="square" lIns="0" tIns="0" rIns="0" bIns="0" rtlCol="0">
                          <a:prstTxWarp prst="textNoShape">
                            <a:avLst/>
                          </a:prstTxWarp>
                          <a:noAutofit/>
                        </wps:bodyPr>
                      </wps:wsp>
                      <wps:wsp>
                        <wps:cNvPr id="437" name="Graphic 437"/>
                        <wps:cNvSpPr/>
                        <wps:spPr>
                          <a:xfrm>
                            <a:off x="440382" y="317738"/>
                            <a:ext cx="4420870" cy="2576830"/>
                          </a:xfrm>
                          <a:custGeom>
                            <a:avLst/>
                            <a:gdLst/>
                            <a:ahLst/>
                            <a:cxnLst/>
                            <a:rect l="l" t="t" r="r" b="b"/>
                            <a:pathLst>
                              <a:path w="4420870" h="2576830">
                                <a:moveTo>
                                  <a:pt x="38038" y="0"/>
                                </a:moveTo>
                                <a:lnTo>
                                  <a:pt x="38038" y="2503839"/>
                                </a:lnTo>
                              </a:path>
                              <a:path w="4420870" h="2576830">
                                <a:moveTo>
                                  <a:pt x="0" y="2518259"/>
                                </a:moveTo>
                                <a:lnTo>
                                  <a:pt x="28528" y="2518259"/>
                                </a:lnTo>
                              </a:path>
                              <a:path w="4420870" h="2576830">
                                <a:moveTo>
                                  <a:pt x="0" y="2200052"/>
                                </a:moveTo>
                                <a:lnTo>
                                  <a:pt x="28528" y="2200052"/>
                                </a:lnTo>
                              </a:path>
                              <a:path w="4420870" h="2576830">
                                <a:moveTo>
                                  <a:pt x="0" y="1895784"/>
                                </a:moveTo>
                                <a:lnTo>
                                  <a:pt x="28528" y="1895784"/>
                                </a:lnTo>
                              </a:path>
                              <a:path w="4420870" h="2576830">
                                <a:moveTo>
                                  <a:pt x="0" y="1577577"/>
                                </a:moveTo>
                                <a:lnTo>
                                  <a:pt x="28528" y="1577577"/>
                                </a:lnTo>
                              </a:path>
                              <a:path w="4420870" h="2576830">
                                <a:moveTo>
                                  <a:pt x="0" y="1259369"/>
                                </a:moveTo>
                                <a:lnTo>
                                  <a:pt x="28528" y="1259369"/>
                                </a:lnTo>
                              </a:path>
                              <a:path w="4420870" h="2576830">
                                <a:moveTo>
                                  <a:pt x="0" y="940585"/>
                                </a:moveTo>
                                <a:lnTo>
                                  <a:pt x="28528" y="940585"/>
                                </a:lnTo>
                              </a:path>
                              <a:path w="4420870" h="2576830">
                                <a:moveTo>
                                  <a:pt x="0" y="636798"/>
                                </a:moveTo>
                                <a:lnTo>
                                  <a:pt x="28528" y="636798"/>
                                </a:lnTo>
                              </a:path>
                              <a:path w="4420870" h="2576830">
                                <a:moveTo>
                                  <a:pt x="0" y="318207"/>
                                </a:moveTo>
                                <a:lnTo>
                                  <a:pt x="28528" y="318207"/>
                                </a:lnTo>
                              </a:path>
                              <a:path w="4420870" h="2576830">
                                <a:moveTo>
                                  <a:pt x="0" y="0"/>
                                </a:moveTo>
                                <a:lnTo>
                                  <a:pt x="28528" y="0"/>
                                </a:lnTo>
                              </a:path>
                              <a:path w="4420870" h="2576830">
                                <a:moveTo>
                                  <a:pt x="38038" y="2518259"/>
                                </a:moveTo>
                                <a:lnTo>
                                  <a:pt x="4411216" y="2518259"/>
                                </a:lnTo>
                              </a:path>
                              <a:path w="4420870" h="2576830">
                                <a:moveTo>
                                  <a:pt x="38038" y="2576421"/>
                                </a:moveTo>
                                <a:lnTo>
                                  <a:pt x="38038" y="2532679"/>
                                </a:lnTo>
                              </a:path>
                              <a:path w="4420870" h="2576830">
                                <a:moveTo>
                                  <a:pt x="914576" y="2576421"/>
                                </a:moveTo>
                                <a:lnTo>
                                  <a:pt x="914576" y="2532679"/>
                                </a:lnTo>
                              </a:path>
                              <a:path w="4420870" h="2576830">
                                <a:moveTo>
                                  <a:pt x="1790986" y="2576421"/>
                                </a:moveTo>
                                <a:lnTo>
                                  <a:pt x="1790986" y="2532679"/>
                                </a:lnTo>
                              </a:path>
                              <a:path w="4420870" h="2576830">
                                <a:moveTo>
                                  <a:pt x="2667524" y="2576421"/>
                                </a:moveTo>
                                <a:lnTo>
                                  <a:pt x="2667524" y="2532679"/>
                                </a:lnTo>
                              </a:path>
                              <a:path w="4420870" h="2576830">
                                <a:moveTo>
                                  <a:pt x="3544315" y="2576421"/>
                                </a:moveTo>
                                <a:lnTo>
                                  <a:pt x="3544315" y="2532679"/>
                                </a:lnTo>
                              </a:path>
                              <a:path w="4420870" h="2576830">
                                <a:moveTo>
                                  <a:pt x="4420726" y="2576421"/>
                                </a:moveTo>
                                <a:lnTo>
                                  <a:pt x="4420726" y="2532679"/>
                                </a:lnTo>
                              </a:path>
                            </a:pathLst>
                          </a:custGeom>
                          <a:ln w="11964">
                            <a:solidFill>
                              <a:srgbClr val="808080"/>
                            </a:solidFill>
                            <a:prstDash val="solid"/>
                          </a:ln>
                        </wps:spPr>
                        <wps:bodyPr wrap="square" lIns="0" tIns="0" rIns="0" bIns="0" rtlCol="0">
                          <a:prstTxWarp prst="textNoShape">
                            <a:avLst/>
                          </a:prstTxWarp>
                          <a:noAutofit/>
                        </wps:bodyPr>
                      </wps:wsp>
                      <pic:pic>
                        <pic:nvPicPr>
                          <pic:cNvPr id="438" name="Image 438"/>
                          <pic:cNvPicPr/>
                        </pic:nvPicPr>
                        <pic:blipFill>
                          <a:blip r:embed="rId58" cstate="print"/>
                          <a:stretch>
                            <a:fillRect/>
                          </a:stretch>
                        </pic:blipFill>
                        <pic:spPr>
                          <a:xfrm>
                            <a:off x="2349392" y="1759166"/>
                            <a:ext cx="107315" cy="156552"/>
                          </a:xfrm>
                          <a:prstGeom prst="rect">
                            <a:avLst/>
                          </a:prstGeom>
                        </pic:spPr>
                      </pic:pic>
                      <pic:pic>
                        <pic:nvPicPr>
                          <pic:cNvPr id="439" name="Image 439"/>
                          <pic:cNvPicPr/>
                        </pic:nvPicPr>
                        <pic:blipFill>
                          <a:blip r:embed="rId59" cstate="print"/>
                          <a:stretch>
                            <a:fillRect/>
                          </a:stretch>
                        </pic:blipFill>
                        <pic:spPr>
                          <a:xfrm>
                            <a:off x="2882819" y="1527479"/>
                            <a:ext cx="107445" cy="156555"/>
                          </a:xfrm>
                          <a:prstGeom prst="rect">
                            <a:avLst/>
                          </a:prstGeom>
                        </pic:spPr>
                      </pic:pic>
                      <pic:pic>
                        <pic:nvPicPr>
                          <pic:cNvPr id="440" name="Image 440"/>
                          <pic:cNvPicPr/>
                        </pic:nvPicPr>
                        <pic:blipFill>
                          <a:blip r:embed="rId60" cstate="print"/>
                          <a:stretch>
                            <a:fillRect/>
                          </a:stretch>
                        </pic:blipFill>
                        <pic:spPr>
                          <a:xfrm>
                            <a:off x="3406868" y="1252343"/>
                            <a:ext cx="107311" cy="156741"/>
                          </a:xfrm>
                          <a:prstGeom prst="rect">
                            <a:avLst/>
                          </a:prstGeom>
                        </pic:spPr>
                      </pic:pic>
                      <pic:pic>
                        <pic:nvPicPr>
                          <pic:cNvPr id="441" name="Image 441"/>
                          <pic:cNvPicPr/>
                        </pic:nvPicPr>
                        <pic:blipFill>
                          <a:blip r:embed="rId61" cstate="print"/>
                          <a:stretch>
                            <a:fillRect/>
                          </a:stretch>
                        </pic:blipFill>
                        <pic:spPr>
                          <a:xfrm>
                            <a:off x="3721321" y="1020657"/>
                            <a:ext cx="107311" cy="156741"/>
                          </a:xfrm>
                          <a:prstGeom prst="rect">
                            <a:avLst/>
                          </a:prstGeom>
                        </pic:spPr>
                      </pic:pic>
                      <pic:pic>
                        <pic:nvPicPr>
                          <pic:cNvPr id="442" name="Image 442"/>
                          <pic:cNvPicPr/>
                        </pic:nvPicPr>
                        <pic:blipFill>
                          <a:blip r:embed="rId62" cstate="print"/>
                          <a:stretch>
                            <a:fillRect/>
                          </a:stretch>
                        </pic:blipFill>
                        <pic:spPr>
                          <a:xfrm>
                            <a:off x="3930789" y="644386"/>
                            <a:ext cx="107435" cy="157122"/>
                          </a:xfrm>
                          <a:prstGeom prst="rect">
                            <a:avLst/>
                          </a:prstGeom>
                        </pic:spPr>
                      </pic:pic>
                      <wps:wsp>
                        <wps:cNvPr id="443" name="Graphic 443"/>
                        <wps:cNvSpPr/>
                        <wps:spPr>
                          <a:xfrm>
                            <a:off x="2402923" y="882051"/>
                            <a:ext cx="1572260" cy="1028065"/>
                          </a:xfrm>
                          <a:custGeom>
                            <a:avLst/>
                            <a:gdLst/>
                            <a:ahLst/>
                            <a:cxnLst/>
                            <a:rect l="l" t="t" r="r" b="b"/>
                            <a:pathLst>
                              <a:path w="1572260" h="1028065">
                                <a:moveTo>
                                  <a:pt x="0" y="1027684"/>
                                </a:moveTo>
                                <a:lnTo>
                                  <a:pt x="1572264" y="0"/>
                                </a:lnTo>
                              </a:path>
                            </a:pathLst>
                          </a:custGeom>
                          <a:ln w="12950">
                            <a:solidFill>
                              <a:srgbClr val="000000"/>
                            </a:solidFill>
                            <a:prstDash val="solid"/>
                          </a:ln>
                        </wps:spPr>
                        <wps:bodyPr wrap="square" lIns="0" tIns="0" rIns="0" bIns="0" rtlCol="0">
                          <a:prstTxWarp prst="textNoShape">
                            <a:avLst/>
                          </a:prstTxWarp>
                          <a:noAutofit/>
                        </wps:bodyPr>
                      </wps:wsp>
                      <wps:wsp>
                        <wps:cNvPr id="444" name="Graphic 444"/>
                        <wps:cNvSpPr/>
                        <wps:spPr>
                          <a:xfrm>
                            <a:off x="6741" y="6741"/>
                            <a:ext cx="5050155" cy="3719829"/>
                          </a:xfrm>
                          <a:custGeom>
                            <a:avLst/>
                            <a:gdLst/>
                            <a:ahLst/>
                            <a:cxnLst/>
                            <a:rect l="l" t="t" r="r" b="b"/>
                            <a:pathLst>
                              <a:path w="5050155" h="3719829">
                                <a:moveTo>
                                  <a:pt x="0" y="3719467"/>
                                </a:moveTo>
                                <a:lnTo>
                                  <a:pt x="5049632" y="3719467"/>
                                </a:lnTo>
                                <a:lnTo>
                                  <a:pt x="5049632" y="0"/>
                                </a:lnTo>
                                <a:lnTo>
                                  <a:pt x="0" y="0"/>
                                </a:lnTo>
                                <a:lnTo>
                                  <a:pt x="0" y="3719467"/>
                                </a:lnTo>
                                <a:close/>
                              </a:path>
                            </a:pathLst>
                          </a:custGeom>
                          <a:ln w="12693">
                            <a:solidFill>
                              <a:srgbClr val="808080"/>
                            </a:solidFill>
                            <a:prstDash val="solid"/>
                          </a:ln>
                        </wps:spPr>
                        <wps:bodyPr wrap="square" lIns="0" tIns="0" rIns="0" bIns="0" rtlCol="0">
                          <a:prstTxWarp prst="textNoShape">
                            <a:avLst/>
                          </a:prstTxWarp>
                          <a:noAutofit/>
                        </wps:bodyPr>
                      </wps:wsp>
                      <wps:wsp>
                        <wps:cNvPr id="445" name="Textbox 445"/>
                        <wps:cNvSpPr txBox="1"/>
                        <wps:spPr>
                          <a:xfrm>
                            <a:off x="311684" y="227155"/>
                            <a:ext cx="75565" cy="2707005"/>
                          </a:xfrm>
                          <a:prstGeom prst="rect">
                            <a:avLst/>
                          </a:prstGeom>
                        </wps:spPr>
                        <wps:txbx>
                          <w:txbxContent>
                            <w:p>
                              <w:pPr>
                                <w:spacing w:line="300" w:lineRule="exact" w:before="0"/>
                                <w:ind w:left="0" w:right="0" w:firstLine="0"/>
                                <w:jc w:val="left"/>
                                <w:rPr>
                                  <w:rFonts w:ascii="Calibri"/>
                                  <w:sz w:val="29"/>
                                </w:rPr>
                              </w:pPr>
                              <w:r>
                                <w:rPr>
                                  <w:rFonts w:ascii="Calibri"/>
                                  <w:spacing w:val="-10"/>
                                  <w:w w:val="75"/>
                                  <w:sz w:val="29"/>
                                </w:rPr>
                                <w:t>8</w:t>
                              </w:r>
                            </w:p>
                            <w:p>
                              <w:pPr>
                                <w:spacing w:before="148"/>
                                <w:ind w:left="0" w:right="0" w:firstLine="0"/>
                                <w:jc w:val="left"/>
                                <w:rPr>
                                  <w:rFonts w:ascii="Calibri"/>
                                  <w:sz w:val="29"/>
                                </w:rPr>
                              </w:pPr>
                              <w:r>
                                <w:rPr>
                                  <w:rFonts w:ascii="Calibri"/>
                                  <w:spacing w:val="-10"/>
                                  <w:w w:val="75"/>
                                  <w:sz w:val="29"/>
                                </w:rPr>
                                <w:t>7</w:t>
                              </w:r>
                            </w:p>
                            <w:p>
                              <w:pPr>
                                <w:spacing w:before="147"/>
                                <w:ind w:left="0" w:right="0" w:firstLine="0"/>
                                <w:jc w:val="left"/>
                                <w:rPr>
                                  <w:rFonts w:ascii="Calibri"/>
                                  <w:sz w:val="29"/>
                                </w:rPr>
                              </w:pPr>
                              <w:r>
                                <w:rPr>
                                  <w:rFonts w:ascii="Calibri"/>
                                  <w:spacing w:val="-10"/>
                                  <w:w w:val="75"/>
                                  <w:sz w:val="29"/>
                                </w:rPr>
                                <w:t>6</w:t>
                              </w:r>
                            </w:p>
                            <w:p>
                              <w:pPr>
                                <w:spacing w:before="125"/>
                                <w:ind w:left="0" w:right="0" w:firstLine="0"/>
                                <w:jc w:val="left"/>
                                <w:rPr>
                                  <w:rFonts w:ascii="Calibri"/>
                                  <w:sz w:val="29"/>
                                </w:rPr>
                              </w:pPr>
                              <w:r>
                                <w:rPr>
                                  <w:rFonts w:ascii="Calibri"/>
                                  <w:spacing w:val="-10"/>
                                  <w:w w:val="75"/>
                                  <w:sz w:val="29"/>
                                </w:rPr>
                                <w:t>5</w:t>
                              </w:r>
                            </w:p>
                            <w:p>
                              <w:pPr>
                                <w:spacing w:before="147"/>
                                <w:ind w:left="0" w:right="0" w:firstLine="0"/>
                                <w:jc w:val="left"/>
                                <w:rPr>
                                  <w:rFonts w:ascii="Calibri"/>
                                  <w:sz w:val="29"/>
                                </w:rPr>
                              </w:pPr>
                              <w:r>
                                <w:rPr>
                                  <w:rFonts w:ascii="Calibri"/>
                                  <w:spacing w:val="-10"/>
                                  <w:w w:val="75"/>
                                  <w:sz w:val="29"/>
                                </w:rPr>
                                <w:t>4</w:t>
                              </w:r>
                            </w:p>
                            <w:p>
                              <w:pPr>
                                <w:spacing w:before="147"/>
                                <w:ind w:left="0" w:right="0" w:firstLine="0"/>
                                <w:jc w:val="left"/>
                                <w:rPr>
                                  <w:rFonts w:ascii="Calibri"/>
                                  <w:sz w:val="29"/>
                                </w:rPr>
                              </w:pPr>
                              <w:r>
                                <w:rPr>
                                  <w:rFonts w:ascii="Calibri"/>
                                  <w:spacing w:val="-10"/>
                                  <w:w w:val="75"/>
                                  <w:sz w:val="29"/>
                                </w:rPr>
                                <w:t>3</w:t>
                              </w:r>
                            </w:p>
                            <w:p>
                              <w:pPr>
                                <w:spacing w:before="148"/>
                                <w:ind w:left="0" w:right="0" w:firstLine="0"/>
                                <w:jc w:val="left"/>
                                <w:rPr>
                                  <w:rFonts w:ascii="Calibri"/>
                                  <w:sz w:val="29"/>
                                </w:rPr>
                              </w:pPr>
                              <w:r>
                                <w:rPr>
                                  <w:rFonts w:ascii="Calibri"/>
                                  <w:spacing w:val="-10"/>
                                  <w:w w:val="75"/>
                                  <w:sz w:val="29"/>
                                </w:rPr>
                                <w:t>2</w:t>
                              </w:r>
                            </w:p>
                            <w:p>
                              <w:pPr>
                                <w:spacing w:before="124"/>
                                <w:ind w:left="0" w:right="0" w:firstLine="0"/>
                                <w:jc w:val="left"/>
                                <w:rPr>
                                  <w:rFonts w:ascii="Calibri"/>
                                  <w:sz w:val="29"/>
                                </w:rPr>
                              </w:pPr>
                              <w:r>
                                <w:rPr>
                                  <w:rFonts w:ascii="Calibri"/>
                                  <w:spacing w:val="-10"/>
                                  <w:w w:val="75"/>
                                  <w:sz w:val="29"/>
                                </w:rPr>
                                <w:t>1</w:t>
                              </w:r>
                            </w:p>
                            <w:p>
                              <w:pPr>
                                <w:spacing w:line="350" w:lineRule="exact" w:before="148"/>
                                <w:ind w:left="0" w:right="0" w:firstLine="0"/>
                                <w:jc w:val="left"/>
                                <w:rPr>
                                  <w:rFonts w:ascii="Calibri"/>
                                  <w:sz w:val="29"/>
                                </w:rPr>
                              </w:pPr>
                              <w:r>
                                <w:rPr>
                                  <w:rFonts w:ascii="Calibri"/>
                                  <w:spacing w:val="-10"/>
                                  <w:w w:val="75"/>
                                  <w:sz w:val="29"/>
                                </w:rPr>
                                <w:t>0</w:t>
                              </w:r>
                            </w:p>
                          </w:txbxContent>
                        </wps:txbx>
                        <wps:bodyPr wrap="square" lIns="0" tIns="0" rIns="0" bIns="0" rtlCol="0">
                          <a:noAutofit/>
                        </wps:bodyPr>
                      </wps:wsp>
                      <wps:wsp>
                        <wps:cNvPr id="446" name="Textbox 446"/>
                        <wps:cNvSpPr txBox="1"/>
                        <wps:spPr>
                          <a:xfrm>
                            <a:off x="445136" y="3020937"/>
                            <a:ext cx="75565" cy="187960"/>
                          </a:xfrm>
                          <a:prstGeom prst="rect">
                            <a:avLst/>
                          </a:prstGeom>
                        </wps:spPr>
                        <wps:txbx>
                          <w:txbxContent>
                            <w:p>
                              <w:pPr>
                                <w:spacing w:line="296" w:lineRule="exact" w:before="0"/>
                                <w:ind w:left="0" w:right="0" w:firstLine="0"/>
                                <w:jc w:val="left"/>
                                <w:rPr>
                                  <w:rFonts w:ascii="Calibri"/>
                                  <w:sz w:val="29"/>
                                </w:rPr>
                              </w:pPr>
                              <w:r>
                                <w:rPr>
                                  <w:rFonts w:ascii="Calibri"/>
                                  <w:spacing w:val="-10"/>
                                  <w:w w:val="75"/>
                                  <w:sz w:val="29"/>
                                </w:rPr>
                                <w:t>0</w:t>
                              </w:r>
                            </w:p>
                          </w:txbxContent>
                        </wps:txbx>
                        <wps:bodyPr wrap="square" lIns="0" tIns="0" rIns="0" bIns="0" rtlCol="0">
                          <a:noAutofit/>
                        </wps:bodyPr>
                      </wps:wsp>
                      <wps:wsp>
                        <wps:cNvPr id="447" name="Textbox 447"/>
                        <wps:cNvSpPr txBox="1"/>
                        <wps:spPr>
                          <a:xfrm>
                            <a:off x="1264553" y="3020937"/>
                            <a:ext cx="180340" cy="187960"/>
                          </a:xfrm>
                          <a:prstGeom prst="rect">
                            <a:avLst/>
                          </a:prstGeom>
                        </wps:spPr>
                        <wps:txbx>
                          <w:txbxContent>
                            <w:p>
                              <w:pPr>
                                <w:spacing w:line="296" w:lineRule="exact" w:before="0"/>
                                <w:ind w:left="0" w:right="0" w:firstLine="0"/>
                                <w:jc w:val="left"/>
                                <w:rPr>
                                  <w:rFonts w:ascii="Calibri"/>
                                  <w:sz w:val="29"/>
                                </w:rPr>
                              </w:pPr>
                              <w:r>
                                <w:rPr>
                                  <w:rFonts w:ascii="Calibri"/>
                                  <w:spacing w:val="-5"/>
                                  <w:w w:val="70"/>
                                  <w:sz w:val="29"/>
                                </w:rPr>
                                <w:t>0.5</w:t>
                              </w:r>
                            </w:p>
                          </w:txbxContent>
                        </wps:txbx>
                        <wps:bodyPr wrap="square" lIns="0" tIns="0" rIns="0" bIns="0" rtlCol="0">
                          <a:noAutofit/>
                        </wps:bodyPr>
                      </wps:wsp>
                      <wps:wsp>
                        <wps:cNvPr id="448" name="Textbox 448"/>
                        <wps:cNvSpPr txBox="1"/>
                        <wps:spPr>
                          <a:xfrm>
                            <a:off x="2198148" y="3020937"/>
                            <a:ext cx="75565" cy="187960"/>
                          </a:xfrm>
                          <a:prstGeom prst="rect">
                            <a:avLst/>
                          </a:prstGeom>
                        </wps:spPr>
                        <wps:txbx>
                          <w:txbxContent>
                            <w:p>
                              <w:pPr>
                                <w:spacing w:line="296" w:lineRule="exact" w:before="0"/>
                                <w:ind w:left="0" w:right="0" w:firstLine="0"/>
                                <w:jc w:val="left"/>
                                <w:rPr>
                                  <w:rFonts w:ascii="Calibri"/>
                                  <w:sz w:val="29"/>
                                </w:rPr>
                              </w:pPr>
                              <w:r>
                                <w:rPr>
                                  <w:rFonts w:ascii="Calibri"/>
                                  <w:spacing w:val="-10"/>
                                  <w:w w:val="75"/>
                                  <w:sz w:val="29"/>
                                </w:rPr>
                                <w:t>1</w:t>
                              </w:r>
                            </w:p>
                          </w:txbxContent>
                        </wps:txbx>
                        <wps:bodyPr wrap="square" lIns="0" tIns="0" rIns="0" bIns="0" rtlCol="0">
                          <a:noAutofit/>
                        </wps:bodyPr>
                      </wps:wsp>
                      <wps:wsp>
                        <wps:cNvPr id="449" name="Textbox 449"/>
                        <wps:cNvSpPr txBox="1"/>
                        <wps:spPr>
                          <a:xfrm>
                            <a:off x="3017501" y="3020937"/>
                            <a:ext cx="180340" cy="187960"/>
                          </a:xfrm>
                          <a:prstGeom prst="rect">
                            <a:avLst/>
                          </a:prstGeom>
                        </wps:spPr>
                        <wps:txbx>
                          <w:txbxContent>
                            <w:p>
                              <w:pPr>
                                <w:spacing w:line="296" w:lineRule="exact" w:before="0"/>
                                <w:ind w:left="0" w:right="0" w:firstLine="0"/>
                                <w:jc w:val="left"/>
                                <w:rPr>
                                  <w:rFonts w:ascii="Calibri"/>
                                  <w:sz w:val="29"/>
                                </w:rPr>
                              </w:pPr>
                              <w:r>
                                <w:rPr>
                                  <w:rFonts w:ascii="Calibri"/>
                                  <w:spacing w:val="-5"/>
                                  <w:w w:val="70"/>
                                  <w:sz w:val="29"/>
                                </w:rPr>
                                <w:t>1.5</w:t>
                              </w:r>
                            </w:p>
                          </w:txbxContent>
                        </wps:txbx>
                        <wps:bodyPr wrap="square" lIns="0" tIns="0" rIns="0" bIns="0" rtlCol="0">
                          <a:noAutofit/>
                        </wps:bodyPr>
                      </wps:wsp>
                      <wps:wsp>
                        <wps:cNvPr id="450" name="Textbox 450"/>
                        <wps:cNvSpPr txBox="1"/>
                        <wps:spPr>
                          <a:xfrm>
                            <a:off x="3951096" y="3020937"/>
                            <a:ext cx="75565" cy="187960"/>
                          </a:xfrm>
                          <a:prstGeom prst="rect">
                            <a:avLst/>
                          </a:prstGeom>
                        </wps:spPr>
                        <wps:txbx>
                          <w:txbxContent>
                            <w:p>
                              <w:pPr>
                                <w:spacing w:line="296" w:lineRule="exact" w:before="0"/>
                                <w:ind w:left="0" w:right="0" w:firstLine="0"/>
                                <w:jc w:val="left"/>
                                <w:rPr>
                                  <w:rFonts w:ascii="Calibri"/>
                                  <w:sz w:val="29"/>
                                </w:rPr>
                              </w:pPr>
                              <w:r>
                                <w:rPr>
                                  <w:rFonts w:ascii="Calibri"/>
                                  <w:spacing w:val="-10"/>
                                  <w:w w:val="75"/>
                                  <w:sz w:val="29"/>
                                </w:rPr>
                                <w:t>2</w:t>
                              </w:r>
                            </w:p>
                          </w:txbxContent>
                        </wps:txbx>
                        <wps:bodyPr wrap="square" lIns="0" tIns="0" rIns="0" bIns="0" rtlCol="0">
                          <a:noAutofit/>
                        </wps:bodyPr>
                      </wps:wsp>
                      <wps:wsp>
                        <wps:cNvPr id="451" name="Textbox 451"/>
                        <wps:cNvSpPr txBox="1"/>
                        <wps:spPr>
                          <a:xfrm>
                            <a:off x="4770449" y="3020937"/>
                            <a:ext cx="180340" cy="187960"/>
                          </a:xfrm>
                          <a:prstGeom prst="rect">
                            <a:avLst/>
                          </a:prstGeom>
                        </wps:spPr>
                        <wps:txbx>
                          <w:txbxContent>
                            <w:p>
                              <w:pPr>
                                <w:spacing w:line="296" w:lineRule="exact" w:before="0"/>
                                <w:ind w:left="0" w:right="0" w:firstLine="0"/>
                                <w:jc w:val="left"/>
                                <w:rPr>
                                  <w:rFonts w:ascii="Calibri"/>
                                  <w:sz w:val="29"/>
                                </w:rPr>
                              </w:pPr>
                              <w:r>
                                <w:rPr>
                                  <w:rFonts w:ascii="Calibri"/>
                                  <w:spacing w:val="-5"/>
                                  <w:w w:val="70"/>
                                  <w:sz w:val="29"/>
                                </w:rPr>
                                <w:t>2.5</w:t>
                              </w:r>
                            </w:p>
                          </w:txbxContent>
                        </wps:txbx>
                        <wps:bodyPr wrap="square" lIns="0" tIns="0" rIns="0" bIns="0" rtlCol="0">
                          <a:noAutofit/>
                        </wps:bodyPr>
                      </wps:wsp>
                      <wps:wsp>
                        <wps:cNvPr id="452" name="Textbox 452"/>
                        <wps:cNvSpPr txBox="1"/>
                        <wps:spPr>
                          <a:xfrm>
                            <a:off x="2388595" y="3469407"/>
                            <a:ext cx="560070" cy="187960"/>
                          </a:xfrm>
                          <a:prstGeom prst="rect">
                            <a:avLst/>
                          </a:prstGeom>
                        </wps:spPr>
                        <wps:txbx>
                          <w:txbxContent>
                            <w:p>
                              <w:pPr>
                                <w:spacing w:line="296" w:lineRule="exact" w:before="0"/>
                                <w:ind w:left="0" w:right="0" w:firstLine="0"/>
                                <w:jc w:val="left"/>
                                <w:rPr>
                                  <w:rFonts w:ascii="Calibri"/>
                                  <w:b/>
                                  <w:sz w:val="29"/>
                                </w:rPr>
                              </w:pPr>
                              <w:r>
                                <w:rPr>
                                  <w:rFonts w:ascii="Calibri"/>
                                  <w:b/>
                                  <w:w w:val="70"/>
                                  <w:sz w:val="29"/>
                                </w:rPr>
                                <w:t>L</w:t>
                              </w:r>
                              <w:r>
                                <w:rPr>
                                  <w:rFonts w:ascii="Calibri"/>
                                  <w:b/>
                                  <w:spacing w:val="-9"/>
                                  <w:w w:val="70"/>
                                  <w:sz w:val="29"/>
                                </w:rPr>
                                <w:t> </w:t>
                              </w:r>
                              <w:r>
                                <w:rPr>
                                  <w:rFonts w:ascii="Calibri"/>
                                  <w:b/>
                                  <w:w w:val="70"/>
                                  <w:sz w:val="29"/>
                                </w:rPr>
                                <w:t>og</w:t>
                              </w:r>
                              <w:r>
                                <w:rPr>
                                  <w:rFonts w:ascii="Calibri"/>
                                  <w:b/>
                                  <w:spacing w:val="22"/>
                                  <w:sz w:val="29"/>
                                </w:rPr>
                                <w:t> </w:t>
                              </w:r>
                              <w:r>
                                <w:rPr>
                                  <w:rFonts w:ascii="Calibri"/>
                                  <w:b/>
                                  <w:spacing w:val="5"/>
                                  <w:w w:val="70"/>
                                  <w:sz w:val="29"/>
                                </w:rPr>
                                <w:t>Dose</w:t>
                              </w:r>
                            </w:p>
                          </w:txbxContent>
                        </wps:txbx>
                        <wps:bodyPr wrap="square" lIns="0" tIns="0" rIns="0" bIns="0" rtlCol="0">
                          <a:noAutofit/>
                        </wps:bodyPr>
                      </wps:wsp>
                    </wpg:wgp>
                  </a:graphicData>
                </a:graphic>
              </wp:anchor>
            </w:drawing>
          </mc:Choice>
          <mc:Fallback>
            <w:pict>
              <v:group style="position:absolute;margin-left:111.333145pt;margin-top:146.083267pt;width:398.7pt;height:293.95pt;mso-position-horizontal-relative:page;mso-position-vertical-relative:paragraph;z-index:15812608" id="docshapegroup322" coordorigin="2227,2922" coordsize="7974,5879">
                <v:rect style="position:absolute;left:2237;top:2932;width:7953;height:5858" id="docshape323" filled="false" stroked="true" strokeweight=".999456pt" strokecolor="#808080">
                  <v:stroke dashstyle="solid"/>
                </v:rect>
                <v:shape style="position:absolute;left:2980;top:3512;width:6887;height:3785" id="docshape324" coordorigin="2980,3513" coordsize="6887,3785" path="m2980,7297l9867,7297m2980,7183l9867,7183m2980,7092l9867,7092m2980,7000l9867,7000m2980,6795l9867,6795m2980,6704l9867,6704m2980,6590l9867,6590m2980,6499l9867,6499m2980,6294l9867,6294m2980,6202l9867,6202m2980,6089l9867,6089m2980,5997l9867,5997m2980,5792l9867,5792m2980,5701l9867,5701m2980,5611l9867,5611m2980,5496l9867,5496m2980,5314l9867,5314m2980,5200l9867,5200m2980,5109l9867,5109m2980,5018l9867,5018m2980,4812l9867,4812m2980,4721l9867,4721m2980,4607l9867,4607m2980,4516l9867,4516m2980,4311l9867,4311m2980,4220l9867,4220m2980,4105l9867,4105m2980,4015l9867,4015m2980,3810l9867,3810m2980,3718l9867,3718m2980,3627l9867,3627m2980,3513l9867,3513e" filled="false" stroked="true" strokeweight=".942123pt" strokecolor="#c0c0c0">
                  <v:path arrowok="t"/>
                  <v:stroke dashstyle="solid"/>
                </v:shape>
                <v:shape style="position:absolute;left:2980;top:3422;width:6887;height:3465" id="docshape325" coordorigin="2980,3422" coordsize="6887,3465" path="m2980,6887l9867,6887m2980,6408l9867,6408m2980,5906l9867,5906m2980,5405l9867,5405m2980,4903l9867,4903m2980,4425l9867,4425m2980,3923l9867,3923m2980,3422l9867,3422e" filled="false" stroked="true" strokeweight=".942123pt" strokecolor="#808080">
                  <v:path arrowok="t"/>
                  <v:stroke dashstyle="solid"/>
                </v:shape>
                <v:shape style="position:absolute;left:3250;top:3422;width:6362;height:3944" id="docshape326" coordorigin="3250,3422" coordsize="6362,3944" path="m3250,3422l3250,7365m3535,3422l3535,7365m3805,3422l3805,7365m4090,3422l4090,7365m4630,3422l4630,7365m4916,3422l4916,7365m5186,3422l5186,7365m5471,3422l5471,7365m6011,3422l6011,7365m6296,3422l6296,7365m6566,3422l6566,7365m6851,3422l6851,7365m7391,3422l7391,7365m7677,3422l7677,7365m7947,3422l7947,7365m8232,3422l8232,7365m8772,3422l8772,7365m9057,3422l9057,7365m9327,3422l9327,7365m9612,3422l9612,7365e" filled="false" stroked="true" strokeweight=".942123pt" strokecolor="#c0c0c0">
                  <v:path arrowok="t"/>
                  <v:stroke dashstyle="solid"/>
                </v:shape>
                <v:shape style="position:absolute;left:4360;top:3422;width:5522;height:3944" id="docshape327" coordorigin="4360,3422" coordsize="5522,3944" path="m4360,3422l4360,7365m5741,3422l5741,7365m7121,3422l7121,7365m8502,3422l8502,7365m9882,3422l9882,7365e" filled="false" stroked="true" strokeweight=".942123pt" strokecolor="#808080">
                  <v:path arrowok="t"/>
                  <v:stroke dashstyle="solid"/>
                </v:shape>
                <v:shape style="position:absolute;left:2920;top:3422;width:6962;height:4058" id="docshape328" coordorigin="2920,3422" coordsize="6962,4058" path="m2980,3422l2980,7365m2920,7388l2965,7388m2920,6887l2965,6887m2920,6408l2965,6408m2920,5906l2965,5906m2920,5405l2965,5405m2920,4903l2965,4903m2920,4425l2965,4425m2920,3923l2965,3923m2920,3422l2965,3422m2980,7388l9867,7388m2980,7479l2980,7411m4360,7479l4360,7411m5741,7479l5741,7411m7121,7479l7121,7411m8502,7479l8502,7411m9882,7479l9882,7411e" filled="false" stroked="true" strokeweight=".942123pt" strokecolor="#808080">
                  <v:path arrowok="t"/>
                  <v:stroke dashstyle="solid"/>
                </v:shape>
                <v:shape style="position:absolute;left:5926;top:5692;width:169;height:247" type="#_x0000_t75" id="docshape329" stroked="false">
                  <v:imagedata r:id="rId58" o:title=""/>
                </v:shape>
                <v:shape style="position:absolute;left:6766;top:5327;width:170;height:247" type="#_x0000_t75" id="docshape330" stroked="false">
                  <v:imagedata r:id="rId59" o:title=""/>
                </v:shape>
                <v:shape style="position:absolute;left:7591;top:4893;width:169;height:247" type="#_x0000_t75" id="docshape331" stroked="false">
                  <v:imagedata r:id="rId60" o:title=""/>
                </v:shape>
                <v:shape style="position:absolute;left:8087;top:4529;width:169;height:247" type="#_x0000_t75" id="docshape332" stroked="false">
                  <v:imagedata r:id="rId61" o:title=""/>
                </v:shape>
                <v:shape style="position:absolute;left:8416;top:3936;width:170;height:248" type="#_x0000_t75" id="docshape333" stroked="false">
                  <v:imagedata r:id="rId62" o:title=""/>
                </v:shape>
                <v:line style="position:absolute" from="6011,5929" to="8487,4311" stroked="true" strokeweight="1.019709pt" strokecolor="#000000">
                  <v:stroke dashstyle="solid"/>
                </v:line>
                <v:rect style="position:absolute;left:2237;top:2932;width:7953;height:5858" id="docshape334" filled="false" stroked="true" strokeweight=".999456pt" strokecolor="#808080">
                  <v:stroke dashstyle="solid"/>
                </v:rect>
                <v:shape style="position:absolute;left:2717;top:3279;width:119;height:4263" type="#_x0000_t202" id="docshape335" filled="false" stroked="false">
                  <v:textbox inset="0,0,0,0">
                    <w:txbxContent>
                      <w:p>
                        <w:pPr>
                          <w:spacing w:line="300" w:lineRule="exact" w:before="0"/>
                          <w:ind w:left="0" w:right="0" w:firstLine="0"/>
                          <w:jc w:val="left"/>
                          <w:rPr>
                            <w:rFonts w:ascii="Calibri"/>
                            <w:sz w:val="29"/>
                          </w:rPr>
                        </w:pPr>
                        <w:r>
                          <w:rPr>
                            <w:rFonts w:ascii="Calibri"/>
                            <w:spacing w:val="-10"/>
                            <w:w w:val="75"/>
                            <w:sz w:val="29"/>
                          </w:rPr>
                          <w:t>8</w:t>
                        </w:r>
                      </w:p>
                      <w:p>
                        <w:pPr>
                          <w:spacing w:before="148"/>
                          <w:ind w:left="0" w:right="0" w:firstLine="0"/>
                          <w:jc w:val="left"/>
                          <w:rPr>
                            <w:rFonts w:ascii="Calibri"/>
                            <w:sz w:val="29"/>
                          </w:rPr>
                        </w:pPr>
                        <w:r>
                          <w:rPr>
                            <w:rFonts w:ascii="Calibri"/>
                            <w:spacing w:val="-10"/>
                            <w:w w:val="75"/>
                            <w:sz w:val="29"/>
                          </w:rPr>
                          <w:t>7</w:t>
                        </w:r>
                      </w:p>
                      <w:p>
                        <w:pPr>
                          <w:spacing w:before="147"/>
                          <w:ind w:left="0" w:right="0" w:firstLine="0"/>
                          <w:jc w:val="left"/>
                          <w:rPr>
                            <w:rFonts w:ascii="Calibri"/>
                            <w:sz w:val="29"/>
                          </w:rPr>
                        </w:pPr>
                        <w:r>
                          <w:rPr>
                            <w:rFonts w:ascii="Calibri"/>
                            <w:spacing w:val="-10"/>
                            <w:w w:val="75"/>
                            <w:sz w:val="29"/>
                          </w:rPr>
                          <w:t>6</w:t>
                        </w:r>
                      </w:p>
                      <w:p>
                        <w:pPr>
                          <w:spacing w:before="125"/>
                          <w:ind w:left="0" w:right="0" w:firstLine="0"/>
                          <w:jc w:val="left"/>
                          <w:rPr>
                            <w:rFonts w:ascii="Calibri"/>
                            <w:sz w:val="29"/>
                          </w:rPr>
                        </w:pPr>
                        <w:r>
                          <w:rPr>
                            <w:rFonts w:ascii="Calibri"/>
                            <w:spacing w:val="-10"/>
                            <w:w w:val="75"/>
                            <w:sz w:val="29"/>
                          </w:rPr>
                          <w:t>5</w:t>
                        </w:r>
                      </w:p>
                      <w:p>
                        <w:pPr>
                          <w:spacing w:before="147"/>
                          <w:ind w:left="0" w:right="0" w:firstLine="0"/>
                          <w:jc w:val="left"/>
                          <w:rPr>
                            <w:rFonts w:ascii="Calibri"/>
                            <w:sz w:val="29"/>
                          </w:rPr>
                        </w:pPr>
                        <w:r>
                          <w:rPr>
                            <w:rFonts w:ascii="Calibri"/>
                            <w:spacing w:val="-10"/>
                            <w:w w:val="75"/>
                            <w:sz w:val="29"/>
                          </w:rPr>
                          <w:t>4</w:t>
                        </w:r>
                      </w:p>
                      <w:p>
                        <w:pPr>
                          <w:spacing w:before="147"/>
                          <w:ind w:left="0" w:right="0" w:firstLine="0"/>
                          <w:jc w:val="left"/>
                          <w:rPr>
                            <w:rFonts w:ascii="Calibri"/>
                            <w:sz w:val="29"/>
                          </w:rPr>
                        </w:pPr>
                        <w:r>
                          <w:rPr>
                            <w:rFonts w:ascii="Calibri"/>
                            <w:spacing w:val="-10"/>
                            <w:w w:val="75"/>
                            <w:sz w:val="29"/>
                          </w:rPr>
                          <w:t>3</w:t>
                        </w:r>
                      </w:p>
                      <w:p>
                        <w:pPr>
                          <w:spacing w:before="148"/>
                          <w:ind w:left="0" w:right="0" w:firstLine="0"/>
                          <w:jc w:val="left"/>
                          <w:rPr>
                            <w:rFonts w:ascii="Calibri"/>
                            <w:sz w:val="29"/>
                          </w:rPr>
                        </w:pPr>
                        <w:r>
                          <w:rPr>
                            <w:rFonts w:ascii="Calibri"/>
                            <w:spacing w:val="-10"/>
                            <w:w w:val="75"/>
                            <w:sz w:val="29"/>
                          </w:rPr>
                          <w:t>2</w:t>
                        </w:r>
                      </w:p>
                      <w:p>
                        <w:pPr>
                          <w:spacing w:before="124"/>
                          <w:ind w:left="0" w:right="0" w:firstLine="0"/>
                          <w:jc w:val="left"/>
                          <w:rPr>
                            <w:rFonts w:ascii="Calibri"/>
                            <w:sz w:val="29"/>
                          </w:rPr>
                        </w:pPr>
                        <w:r>
                          <w:rPr>
                            <w:rFonts w:ascii="Calibri"/>
                            <w:spacing w:val="-10"/>
                            <w:w w:val="75"/>
                            <w:sz w:val="29"/>
                          </w:rPr>
                          <w:t>1</w:t>
                        </w:r>
                      </w:p>
                      <w:p>
                        <w:pPr>
                          <w:spacing w:line="350" w:lineRule="exact" w:before="148"/>
                          <w:ind w:left="0" w:right="0" w:firstLine="0"/>
                          <w:jc w:val="left"/>
                          <w:rPr>
                            <w:rFonts w:ascii="Calibri"/>
                            <w:sz w:val="29"/>
                          </w:rPr>
                        </w:pPr>
                        <w:r>
                          <w:rPr>
                            <w:rFonts w:ascii="Calibri"/>
                            <w:spacing w:val="-10"/>
                            <w:w w:val="75"/>
                            <w:sz w:val="29"/>
                          </w:rPr>
                          <w:t>0</w:t>
                        </w:r>
                      </w:p>
                    </w:txbxContent>
                  </v:textbox>
                  <w10:wrap type="none"/>
                </v:shape>
                <v:shape style="position:absolute;left:2927;top:7679;width:119;height:296" type="#_x0000_t202" id="docshape336" filled="false" stroked="false">
                  <v:textbox inset="0,0,0,0">
                    <w:txbxContent>
                      <w:p>
                        <w:pPr>
                          <w:spacing w:line="296" w:lineRule="exact" w:before="0"/>
                          <w:ind w:left="0" w:right="0" w:firstLine="0"/>
                          <w:jc w:val="left"/>
                          <w:rPr>
                            <w:rFonts w:ascii="Calibri"/>
                            <w:sz w:val="29"/>
                          </w:rPr>
                        </w:pPr>
                        <w:r>
                          <w:rPr>
                            <w:rFonts w:ascii="Calibri"/>
                            <w:spacing w:val="-10"/>
                            <w:w w:val="75"/>
                            <w:sz w:val="29"/>
                          </w:rPr>
                          <w:t>0</w:t>
                        </w:r>
                      </w:p>
                    </w:txbxContent>
                  </v:textbox>
                  <w10:wrap type="none"/>
                </v:shape>
                <v:shape style="position:absolute;left:4218;top:7679;width:284;height:296" type="#_x0000_t202" id="docshape337" filled="false" stroked="false">
                  <v:textbox inset="0,0,0,0">
                    <w:txbxContent>
                      <w:p>
                        <w:pPr>
                          <w:spacing w:line="296" w:lineRule="exact" w:before="0"/>
                          <w:ind w:left="0" w:right="0" w:firstLine="0"/>
                          <w:jc w:val="left"/>
                          <w:rPr>
                            <w:rFonts w:ascii="Calibri"/>
                            <w:sz w:val="29"/>
                          </w:rPr>
                        </w:pPr>
                        <w:r>
                          <w:rPr>
                            <w:rFonts w:ascii="Calibri"/>
                            <w:spacing w:val="-5"/>
                            <w:w w:val="70"/>
                            <w:sz w:val="29"/>
                          </w:rPr>
                          <w:t>0.5</w:t>
                        </w:r>
                      </w:p>
                    </w:txbxContent>
                  </v:textbox>
                  <w10:wrap type="none"/>
                </v:shape>
                <v:shape style="position:absolute;left:5688;top:7679;width:119;height:296" type="#_x0000_t202" id="docshape338" filled="false" stroked="false">
                  <v:textbox inset="0,0,0,0">
                    <w:txbxContent>
                      <w:p>
                        <w:pPr>
                          <w:spacing w:line="296" w:lineRule="exact" w:before="0"/>
                          <w:ind w:left="0" w:right="0" w:firstLine="0"/>
                          <w:jc w:val="left"/>
                          <w:rPr>
                            <w:rFonts w:ascii="Calibri"/>
                            <w:sz w:val="29"/>
                          </w:rPr>
                        </w:pPr>
                        <w:r>
                          <w:rPr>
                            <w:rFonts w:ascii="Calibri"/>
                            <w:spacing w:val="-10"/>
                            <w:w w:val="75"/>
                            <w:sz w:val="29"/>
                          </w:rPr>
                          <w:t>1</w:t>
                        </w:r>
                      </w:p>
                    </w:txbxContent>
                  </v:textbox>
                  <w10:wrap type="none"/>
                </v:shape>
                <v:shape style="position:absolute;left:6978;top:7679;width:284;height:296" type="#_x0000_t202" id="docshape339" filled="false" stroked="false">
                  <v:textbox inset="0,0,0,0">
                    <w:txbxContent>
                      <w:p>
                        <w:pPr>
                          <w:spacing w:line="296" w:lineRule="exact" w:before="0"/>
                          <w:ind w:left="0" w:right="0" w:firstLine="0"/>
                          <w:jc w:val="left"/>
                          <w:rPr>
                            <w:rFonts w:ascii="Calibri"/>
                            <w:sz w:val="29"/>
                          </w:rPr>
                        </w:pPr>
                        <w:r>
                          <w:rPr>
                            <w:rFonts w:ascii="Calibri"/>
                            <w:spacing w:val="-5"/>
                            <w:w w:val="70"/>
                            <w:sz w:val="29"/>
                          </w:rPr>
                          <w:t>1.5</w:t>
                        </w:r>
                      </w:p>
                    </w:txbxContent>
                  </v:textbox>
                  <w10:wrap type="none"/>
                </v:shape>
                <v:shape style="position:absolute;left:8448;top:7679;width:119;height:296" type="#_x0000_t202" id="docshape340" filled="false" stroked="false">
                  <v:textbox inset="0,0,0,0">
                    <w:txbxContent>
                      <w:p>
                        <w:pPr>
                          <w:spacing w:line="296" w:lineRule="exact" w:before="0"/>
                          <w:ind w:left="0" w:right="0" w:firstLine="0"/>
                          <w:jc w:val="left"/>
                          <w:rPr>
                            <w:rFonts w:ascii="Calibri"/>
                            <w:sz w:val="29"/>
                          </w:rPr>
                        </w:pPr>
                        <w:r>
                          <w:rPr>
                            <w:rFonts w:ascii="Calibri"/>
                            <w:spacing w:val="-10"/>
                            <w:w w:val="75"/>
                            <w:sz w:val="29"/>
                          </w:rPr>
                          <w:t>2</w:t>
                        </w:r>
                      </w:p>
                    </w:txbxContent>
                  </v:textbox>
                  <w10:wrap type="none"/>
                </v:shape>
                <v:shape style="position:absolute;left:9739;top:7679;width:284;height:296" type="#_x0000_t202" id="docshape341" filled="false" stroked="false">
                  <v:textbox inset="0,0,0,0">
                    <w:txbxContent>
                      <w:p>
                        <w:pPr>
                          <w:spacing w:line="296" w:lineRule="exact" w:before="0"/>
                          <w:ind w:left="0" w:right="0" w:firstLine="0"/>
                          <w:jc w:val="left"/>
                          <w:rPr>
                            <w:rFonts w:ascii="Calibri"/>
                            <w:sz w:val="29"/>
                          </w:rPr>
                        </w:pPr>
                        <w:r>
                          <w:rPr>
                            <w:rFonts w:ascii="Calibri"/>
                            <w:spacing w:val="-5"/>
                            <w:w w:val="70"/>
                            <w:sz w:val="29"/>
                          </w:rPr>
                          <w:t>2.5</w:t>
                        </w:r>
                      </w:p>
                    </w:txbxContent>
                  </v:textbox>
                  <w10:wrap type="none"/>
                </v:shape>
                <v:shape style="position:absolute;left:5988;top:8385;width:882;height:296" type="#_x0000_t202" id="docshape342" filled="false" stroked="false">
                  <v:textbox inset="0,0,0,0">
                    <w:txbxContent>
                      <w:p>
                        <w:pPr>
                          <w:spacing w:line="296" w:lineRule="exact" w:before="0"/>
                          <w:ind w:left="0" w:right="0" w:firstLine="0"/>
                          <w:jc w:val="left"/>
                          <w:rPr>
                            <w:rFonts w:ascii="Calibri"/>
                            <w:b/>
                            <w:sz w:val="29"/>
                          </w:rPr>
                        </w:pPr>
                        <w:r>
                          <w:rPr>
                            <w:rFonts w:ascii="Calibri"/>
                            <w:b/>
                            <w:w w:val="70"/>
                            <w:sz w:val="29"/>
                          </w:rPr>
                          <w:t>L</w:t>
                        </w:r>
                        <w:r>
                          <w:rPr>
                            <w:rFonts w:ascii="Calibri"/>
                            <w:b/>
                            <w:spacing w:val="-9"/>
                            <w:w w:val="70"/>
                            <w:sz w:val="29"/>
                          </w:rPr>
                          <w:t> </w:t>
                        </w:r>
                        <w:r>
                          <w:rPr>
                            <w:rFonts w:ascii="Calibri"/>
                            <w:b/>
                            <w:w w:val="70"/>
                            <w:sz w:val="29"/>
                          </w:rPr>
                          <w:t>og</w:t>
                        </w:r>
                        <w:r>
                          <w:rPr>
                            <w:rFonts w:ascii="Calibri"/>
                            <w:b/>
                            <w:spacing w:val="22"/>
                            <w:sz w:val="29"/>
                          </w:rPr>
                          <w:t> </w:t>
                        </w:r>
                        <w:r>
                          <w:rPr>
                            <w:rFonts w:ascii="Calibri"/>
                            <w:b/>
                            <w:spacing w:val="5"/>
                            <w:w w:val="70"/>
                            <w:sz w:val="29"/>
                          </w:rPr>
                          <w:t>Dose</w:t>
                        </w:r>
                      </w:p>
                    </w:txbxContent>
                  </v:textbox>
                  <w10:wrap type="none"/>
                </v:shape>
                <w10:wrap type="none"/>
              </v:group>
            </w:pict>
          </mc:Fallback>
        </mc:AlternateContent>
      </w:r>
      <w:r>
        <w:rPr>
          <w:b/>
          <w:sz w:val="24"/>
        </w:rPr>
        <w:t>Log</w:t>
      </w:r>
      <w:r>
        <w:rPr>
          <w:b/>
          <w:spacing w:val="-2"/>
          <w:sz w:val="24"/>
        </w:rPr>
        <w:t> </w:t>
      </w:r>
      <w:r>
        <w:rPr>
          <w:b/>
          <w:sz w:val="24"/>
        </w:rPr>
        <w:t>Dose</w:t>
      </w:r>
      <w:r>
        <w:rPr>
          <w:b/>
          <w:spacing w:val="-2"/>
          <w:sz w:val="24"/>
        </w:rPr>
        <w:t> </w:t>
      </w:r>
      <w:r>
        <w:rPr>
          <w:b/>
          <w:sz w:val="24"/>
        </w:rPr>
        <w:t>– Probit</w:t>
      </w:r>
      <w:r>
        <w:rPr>
          <w:b/>
          <w:spacing w:val="2"/>
          <w:sz w:val="24"/>
        </w:rPr>
        <w:t> </w:t>
      </w:r>
      <w:r>
        <w:rPr>
          <w:b/>
          <w:sz w:val="24"/>
        </w:rPr>
        <w:t>Values</w:t>
      </w:r>
      <w:r>
        <w:rPr>
          <w:b/>
          <w:spacing w:val="-2"/>
          <w:sz w:val="24"/>
        </w:rPr>
        <w:t> </w:t>
      </w:r>
      <w:r>
        <w:rPr>
          <w:b/>
          <w:sz w:val="24"/>
        </w:rPr>
        <w:t>for</w:t>
      </w:r>
      <w:r>
        <w:rPr>
          <w:b/>
          <w:spacing w:val="-7"/>
          <w:sz w:val="24"/>
        </w:rPr>
        <w:t> </w:t>
      </w:r>
      <w:r>
        <w:rPr>
          <w:b/>
          <w:sz w:val="24"/>
        </w:rPr>
        <w:t>ED</w:t>
      </w:r>
      <w:r>
        <w:rPr>
          <w:b/>
          <w:sz w:val="24"/>
          <w:vertAlign w:val="subscript"/>
        </w:rPr>
        <w:t>50</w:t>
      </w:r>
      <w:r>
        <w:rPr>
          <w:b/>
          <w:spacing w:val="-20"/>
          <w:sz w:val="24"/>
          <w:vertAlign w:val="baseline"/>
        </w:rPr>
        <w:t> </w:t>
      </w:r>
      <w:r>
        <w:rPr>
          <w:b/>
          <w:sz w:val="24"/>
          <w:vertAlign w:val="baseline"/>
        </w:rPr>
        <w:t>of</w:t>
      </w:r>
      <w:r>
        <w:rPr>
          <w:b/>
          <w:spacing w:val="-3"/>
          <w:sz w:val="24"/>
          <w:vertAlign w:val="baseline"/>
        </w:rPr>
        <w:t> </w:t>
      </w:r>
      <w:r>
        <w:rPr>
          <w:b/>
          <w:spacing w:val="-4"/>
          <w:sz w:val="24"/>
          <w:vertAlign w:val="baseline"/>
        </w:rPr>
        <w:t>DCP34</w:t>
      </w:r>
    </w:p>
    <w:p>
      <w:pPr>
        <w:pStyle w:val="BodyText"/>
        <w:spacing w:before="104" w:after="1"/>
        <w:rPr>
          <w:b/>
          <w:sz w:val="20"/>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040"/>
      </w:tblGrid>
      <w:tr>
        <w:trPr>
          <w:trHeight w:val="254" w:hRule="atLeast"/>
        </w:trPr>
        <w:tc>
          <w:tcPr>
            <w:tcW w:w="1040" w:type="dxa"/>
          </w:tcPr>
          <w:p>
            <w:pPr>
              <w:pStyle w:val="TableParagraph"/>
              <w:spacing w:line="225" w:lineRule="exact"/>
              <w:ind w:left="50"/>
              <w:rPr>
                <w:rFonts w:ascii="Calibri"/>
                <w:sz w:val="22"/>
              </w:rPr>
            </w:pPr>
            <w:r>
              <w:rPr>
                <w:rFonts w:ascii="Calibri"/>
                <w:sz w:val="22"/>
              </w:rPr>
              <w:t>Log</w:t>
            </w:r>
            <w:r>
              <w:rPr>
                <w:rFonts w:ascii="Calibri"/>
                <w:spacing w:val="-5"/>
                <w:sz w:val="22"/>
              </w:rPr>
              <w:t> </w:t>
            </w:r>
            <w:r>
              <w:rPr>
                <w:rFonts w:ascii="Calibri"/>
                <w:spacing w:val="-4"/>
                <w:sz w:val="22"/>
              </w:rPr>
              <w:t>Dose</w:t>
            </w:r>
          </w:p>
        </w:tc>
        <w:tc>
          <w:tcPr>
            <w:tcW w:w="1040" w:type="dxa"/>
          </w:tcPr>
          <w:p>
            <w:pPr>
              <w:pStyle w:val="TableParagraph"/>
              <w:spacing w:line="225" w:lineRule="exact"/>
              <w:ind w:left="109"/>
              <w:rPr>
                <w:rFonts w:ascii="Calibri"/>
                <w:sz w:val="22"/>
              </w:rPr>
            </w:pPr>
            <w:r>
              <w:rPr>
                <w:rFonts w:ascii="Calibri"/>
                <w:spacing w:val="-2"/>
                <w:sz w:val="22"/>
              </w:rPr>
              <w:t>Probit</w:t>
            </w: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5"/>
                <w:sz w:val="22"/>
              </w:rPr>
              <w:t>1.1</w:t>
            </w:r>
          </w:p>
        </w:tc>
        <w:tc>
          <w:tcPr>
            <w:tcW w:w="1040" w:type="dxa"/>
          </w:tcPr>
          <w:p>
            <w:pPr>
              <w:pStyle w:val="TableParagraph"/>
              <w:spacing w:line="258" w:lineRule="exact"/>
              <w:ind w:right="48"/>
              <w:jc w:val="right"/>
              <w:rPr>
                <w:rFonts w:ascii="Calibri"/>
                <w:sz w:val="22"/>
              </w:rPr>
            </w:pPr>
            <w:r>
              <w:rPr>
                <w:rFonts w:ascii="Calibri"/>
                <w:spacing w:val="-4"/>
                <w:sz w:val="22"/>
              </w:rPr>
              <w:t>3.19</w:t>
            </w:r>
          </w:p>
        </w:tc>
      </w:tr>
      <w:tr>
        <w:trPr>
          <w:trHeight w:val="285" w:hRule="atLeast"/>
        </w:trPr>
        <w:tc>
          <w:tcPr>
            <w:tcW w:w="1040" w:type="dxa"/>
          </w:tcPr>
          <w:p>
            <w:pPr>
              <w:pStyle w:val="TableParagraph"/>
              <w:spacing w:line="256" w:lineRule="exact"/>
              <w:ind w:right="108"/>
              <w:jc w:val="right"/>
              <w:rPr>
                <w:rFonts w:ascii="Calibri"/>
                <w:sz w:val="22"/>
              </w:rPr>
            </w:pPr>
            <w:r>
              <w:rPr>
                <w:rFonts w:ascii="Calibri"/>
                <w:spacing w:val="-5"/>
                <w:sz w:val="22"/>
              </w:rPr>
              <w:t>1.4</w:t>
            </w:r>
          </w:p>
        </w:tc>
        <w:tc>
          <w:tcPr>
            <w:tcW w:w="1040" w:type="dxa"/>
          </w:tcPr>
          <w:p>
            <w:pPr>
              <w:pStyle w:val="TableParagraph"/>
              <w:spacing w:line="256" w:lineRule="exact"/>
              <w:ind w:right="48"/>
              <w:jc w:val="right"/>
              <w:rPr>
                <w:rFonts w:ascii="Calibri"/>
                <w:sz w:val="22"/>
              </w:rPr>
            </w:pPr>
            <w:r>
              <w:rPr>
                <w:rFonts w:ascii="Calibri"/>
                <w:spacing w:val="-5"/>
                <w:sz w:val="22"/>
              </w:rPr>
              <w:t>3.9</w:t>
            </w: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5"/>
                <w:sz w:val="22"/>
              </w:rPr>
              <w:t>1.7</w:t>
            </w:r>
          </w:p>
        </w:tc>
        <w:tc>
          <w:tcPr>
            <w:tcW w:w="1040" w:type="dxa"/>
          </w:tcPr>
          <w:p>
            <w:pPr>
              <w:pStyle w:val="TableParagraph"/>
              <w:spacing w:line="258" w:lineRule="exact"/>
              <w:ind w:right="48"/>
              <w:jc w:val="right"/>
              <w:rPr>
                <w:rFonts w:ascii="Calibri"/>
                <w:sz w:val="22"/>
              </w:rPr>
            </w:pPr>
            <w:r>
              <w:rPr>
                <w:rFonts w:ascii="Calibri"/>
                <w:spacing w:val="-5"/>
                <w:sz w:val="22"/>
              </w:rPr>
              <w:t>4.8</w:t>
            </w:r>
          </w:p>
        </w:tc>
      </w:tr>
      <w:tr>
        <w:trPr>
          <w:trHeight w:val="283" w:hRule="atLeast"/>
        </w:trPr>
        <w:tc>
          <w:tcPr>
            <w:tcW w:w="1040" w:type="dxa"/>
          </w:tcPr>
          <w:p>
            <w:pPr>
              <w:pStyle w:val="TableParagraph"/>
              <w:spacing w:line="256" w:lineRule="exact"/>
              <w:ind w:right="108"/>
              <w:jc w:val="right"/>
              <w:rPr>
                <w:rFonts w:ascii="Calibri"/>
                <w:sz w:val="22"/>
              </w:rPr>
            </w:pPr>
            <w:r>
              <w:rPr>
                <w:rFonts w:ascii="Calibri"/>
                <w:spacing w:val="-4"/>
                <w:sz w:val="22"/>
              </w:rPr>
              <w:t>1.88</w:t>
            </w:r>
          </w:p>
        </w:tc>
        <w:tc>
          <w:tcPr>
            <w:tcW w:w="1040" w:type="dxa"/>
          </w:tcPr>
          <w:p>
            <w:pPr>
              <w:pStyle w:val="TableParagraph"/>
              <w:spacing w:line="256" w:lineRule="exact"/>
              <w:ind w:right="48"/>
              <w:jc w:val="right"/>
              <w:rPr>
                <w:rFonts w:ascii="Calibri"/>
                <w:sz w:val="22"/>
              </w:rPr>
            </w:pPr>
            <w:r>
              <w:rPr>
                <w:rFonts w:ascii="Calibri"/>
                <w:spacing w:val="-4"/>
                <w:sz w:val="22"/>
              </w:rPr>
              <w:t>5.53</w:t>
            </w:r>
          </w:p>
        </w:tc>
      </w:tr>
      <w:tr>
        <w:trPr>
          <w:trHeight w:val="252" w:hRule="atLeast"/>
        </w:trPr>
        <w:tc>
          <w:tcPr>
            <w:tcW w:w="1040" w:type="dxa"/>
          </w:tcPr>
          <w:p>
            <w:pPr>
              <w:pStyle w:val="TableParagraph"/>
              <w:spacing w:line="232" w:lineRule="exact"/>
              <w:ind w:right="108"/>
              <w:jc w:val="right"/>
              <w:rPr>
                <w:rFonts w:ascii="Calibri"/>
                <w:sz w:val="22"/>
              </w:rPr>
            </w:pPr>
            <w:r>
              <w:rPr>
                <w:rFonts w:ascii="Calibri"/>
                <w:spacing w:val="-10"/>
                <w:sz w:val="22"/>
              </w:rPr>
              <w:t>2</w:t>
            </w:r>
          </w:p>
        </w:tc>
        <w:tc>
          <w:tcPr>
            <w:tcW w:w="1040" w:type="dxa"/>
          </w:tcPr>
          <w:p>
            <w:pPr>
              <w:pStyle w:val="TableParagraph"/>
              <w:spacing w:line="232" w:lineRule="exact"/>
              <w:ind w:right="48"/>
              <w:jc w:val="right"/>
              <w:rPr>
                <w:rFonts w:ascii="Calibri"/>
                <w:sz w:val="22"/>
              </w:rPr>
            </w:pPr>
            <w:r>
              <w:rPr>
                <w:rFonts w:ascii="Calibri"/>
                <w:spacing w:val="-5"/>
                <w:sz w:val="22"/>
              </w:rPr>
              <w:t>6.7</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
        <w:rPr>
          <w:b/>
        </w:rPr>
      </w:pPr>
    </w:p>
    <w:p>
      <w:pPr>
        <w:pStyle w:val="BodyText"/>
        <w:spacing w:line="480" w:lineRule="auto"/>
        <w:ind w:left="681"/>
      </w:pPr>
      <w:r>
        <w:rPr/>
        <mc:AlternateContent>
          <mc:Choice Requires="wps">
            <w:drawing>
              <wp:anchor distT="0" distB="0" distL="0" distR="0" allowOverlap="1" layoutInCell="1" locked="0" behindDoc="0" simplePos="0" relativeHeight="15813120">
                <wp:simplePos x="0" y="0"/>
                <wp:positionH relativeFrom="page">
                  <wp:posOffset>1457977</wp:posOffset>
                </wp:positionH>
                <wp:positionV relativeFrom="paragraph">
                  <wp:posOffset>-2679477</wp:posOffset>
                </wp:positionV>
                <wp:extent cx="149860" cy="581025"/>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149860" cy="581025"/>
                        </a:xfrm>
                        <a:prstGeom prst="rect">
                          <a:avLst/>
                        </a:prstGeom>
                      </wps:spPr>
                      <wps:txbx>
                        <w:txbxContent>
                          <w:p>
                            <w:pPr>
                              <w:spacing w:line="217" w:lineRule="exact" w:before="0"/>
                              <w:ind w:left="20" w:right="0" w:firstLine="0"/>
                              <w:jc w:val="left"/>
                              <w:rPr>
                                <w:rFonts w:ascii="Calibri"/>
                                <w:b/>
                                <w:sz w:val="19"/>
                              </w:rPr>
                            </w:pPr>
                            <w:r>
                              <w:rPr>
                                <w:rFonts w:ascii="Calibri"/>
                                <w:b/>
                                <w:w w:val="155"/>
                                <w:sz w:val="19"/>
                              </w:rPr>
                              <w:t>P</w:t>
                            </w:r>
                            <w:r>
                              <w:rPr>
                                <w:rFonts w:ascii="Calibri"/>
                                <w:b/>
                                <w:spacing w:val="-20"/>
                                <w:w w:val="155"/>
                                <w:sz w:val="19"/>
                              </w:rPr>
                              <w:t> </w:t>
                            </w:r>
                            <w:r>
                              <w:rPr>
                                <w:rFonts w:ascii="Calibri"/>
                                <w:b/>
                                <w:spacing w:val="11"/>
                                <w:w w:val="155"/>
                                <w:sz w:val="19"/>
                              </w:rPr>
                              <w:t>robit</w:t>
                            </w:r>
                          </w:p>
                        </w:txbxContent>
                      </wps:txbx>
                      <wps:bodyPr wrap="square" lIns="0" tIns="0" rIns="0" bIns="0" rtlCol="0" vert="vert270">
                        <a:noAutofit/>
                      </wps:bodyPr>
                    </wps:wsp>
                  </a:graphicData>
                </a:graphic>
              </wp:anchor>
            </w:drawing>
          </mc:Choice>
          <mc:Fallback>
            <w:pict>
              <v:shape style="position:absolute;margin-left:114.801361pt;margin-top:-210.982483pt;width:11.8pt;height:45.75pt;mso-position-horizontal-relative:page;mso-position-vertical-relative:paragraph;z-index:15813120" type="#_x0000_t202" id="docshape343" filled="false" stroked="false">
                <v:textbox inset="0,0,0,0" style="layout-flow:vertical;mso-layout-flow-alt:bottom-to-top">
                  <w:txbxContent>
                    <w:p>
                      <w:pPr>
                        <w:spacing w:line="217" w:lineRule="exact" w:before="0"/>
                        <w:ind w:left="20" w:right="0" w:firstLine="0"/>
                        <w:jc w:val="left"/>
                        <w:rPr>
                          <w:rFonts w:ascii="Calibri"/>
                          <w:b/>
                          <w:sz w:val="19"/>
                        </w:rPr>
                      </w:pPr>
                      <w:r>
                        <w:rPr>
                          <w:rFonts w:ascii="Calibri"/>
                          <w:b/>
                          <w:w w:val="155"/>
                          <w:sz w:val="19"/>
                        </w:rPr>
                        <w:t>P</w:t>
                      </w:r>
                      <w:r>
                        <w:rPr>
                          <w:rFonts w:ascii="Calibri"/>
                          <w:b/>
                          <w:spacing w:val="-20"/>
                          <w:w w:val="155"/>
                          <w:sz w:val="19"/>
                        </w:rPr>
                        <w:t> </w:t>
                      </w:r>
                      <w:r>
                        <w:rPr>
                          <w:rFonts w:ascii="Calibri"/>
                          <w:b/>
                          <w:spacing w:val="11"/>
                          <w:w w:val="155"/>
                          <w:sz w:val="19"/>
                        </w:rPr>
                        <w:t>robit</w:t>
                      </w:r>
                    </w:p>
                  </w:txbxContent>
                </v:textbox>
                <w10:wrap type="none"/>
              </v:shape>
            </w:pict>
          </mc:Fallback>
        </mc:AlternateContent>
      </w:r>
      <w:r>
        <w:rPr>
          <w:b/>
        </w:rPr>
        <w:t>FIGURE 6: </w:t>
      </w:r>
      <w:r>
        <w:rPr/>
        <w:t>Graphical Determination of ED</w:t>
      </w:r>
      <w:r>
        <w:rPr>
          <w:vertAlign w:val="subscript"/>
        </w:rPr>
        <w:t>50</w:t>
      </w:r>
      <w:r>
        <w:rPr>
          <w:vertAlign w:val="baseline"/>
        </w:rPr>
        <w:t> for DCP34 Using Maximal electroshock- induced Seizure Test</w:t>
      </w:r>
    </w:p>
    <w:p>
      <w:pPr>
        <w:spacing w:after="0" w:line="480" w:lineRule="auto"/>
        <w:sectPr>
          <w:pgSz w:w="12240" w:h="15840"/>
          <w:pgMar w:header="0" w:footer="1066" w:top="1360" w:bottom="1260" w:left="1480" w:right="1160"/>
        </w:sectPr>
      </w:pPr>
    </w:p>
    <w:p>
      <w:pPr>
        <w:pStyle w:val="Heading2"/>
        <w:spacing w:before="77"/>
        <w:jc w:val="left"/>
      </w:pPr>
      <w:r>
        <w:rPr/>
        <w:t>APPENDIX</w:t>
      </w:r>
      <w:r>
        <w:rPr>
          <w:spacing w:val="-2"/>
        </w:rPr>
        <w:t> </w:t>
      </w:r>
      <w:r>
        <w:rPr/>
        <w:t>G:</w:t>
      </w:r>
      <w:r>
        <w:rPr>
          <w:spacing w:val="1"/>
        </w:rPr>
        <w:t> </w:t>
      </w:r>
      <w:r>
        <w:rPr/>
        <w:t>Determination of</w:t>
      </w:r>
      <w:r>
        <w:rPr>
          <w:spacing w:val="-4"/>
        </w:rPr>
        <w:t> </w:t>
      </w:r>
      <w:r>
        <w:rPr/>
        <w:t>ED</w:t>
      </w:r>
      <w:r>
        <w:rPr>
          <w:vertAlign w:val="subscript"/>
        </w:rPr>
        <w:t>50</w:t>
      </w:r>
      <w:r>
        <w:rPr>
          <w:spacing w:val="1"/>
          <w:vertAlign w:val="baseline"/>
        </w:rPr>
        <w:t> </w:t>
      </w:r>
      <w:r>
        <w:rPr>
          <w:vertAlign w:val="baseline"/>
        </w:rPr>
        <w:t>for</w:t>
      </w:r>
      <w:r>
        <w:rPr>
          <w:spacing w:val="-7"/>
          <w:vertAlign w:val="baseline"/>
        </w:rPr>
        <w:t> </w:t>
      </w:r>
      <w:r>
        <w:rPr>
          <w:vertAlign w:val="baseline"/>
        </w:rPr>
        <w:t>DCP23</w:t>
      </w:r>
      <w:r>
        <w:rPr>
          <w:spacing w:val="-1"/>
          <w:vertAlign w:val="baseline"/>
        </w:rPr>
        <w:t> </w:t>
      </w:r>
      <w:r>
        <w:rPr>
          <w:vertAlign w:val="baseline"/>
        </w:rPr>
        <w:t>Using</w:t>
      </w:r>
      <w:r>
        <w:rPr>
          <w:spacing w:val="-1"/>
          <w:vertAlign w:val="baseline"/>
        </w:rPr>
        <w:t> </w:t>
      </w:r>
      <w:r>
        <w:rPr>
          <w:vertAlign w:val="baseline"/>
        </w:rPr>
        <w:t>Picrotoxin-induced</w:t>
      </w:r>
      <w:r>
        <w:rPr>
          <w:spacing w:val="-1"/>
          <w:vertAlign w:val="baseline"/>
        </w:rPr>
        <w:t> </w:t>
      </w:r>
      <w:r>
        <w:rPr>
          <w:spacing w:val="-4"/>
          <w:vertAlign w:val="baseline"/>
        </w:rPr>
        <w:t>Test</w:t>
      </w:r>
    </w:p>
    <w:p>
      <w:pPr>
        <w:pStyle w:val="BodyText"/>
        <w:spacing w:before="273"/>
        <w:rPr>
          <w:b/>
        </w:rPr>
      </w:pPr>
    </w:p>
    <w:p>
      <w:pPr>
        <w:spacing w:before="0"/>
        <w:ind w:left="681" w:right="0" w:firstLine="0"/>
        <w:jc w:val="left"/>
        <w:rPr>
          <w:b/>
          <w:sz w:val="24"/>
        </w:rPr>
      </w:pPr>
      <w:r>
        <w:rPr/>
        <mc:AlternateContent>
          <mc:Choice Requires="wps">
            <w:drawing>
              <wp:anchor distT="0" distB="0" distL="0" distR="0" allowOverlap="1" layoutInCell="1" locked="0" behindDoc="0" simplePos="0" relativeHeight="15813632">
                <wp:simplePos x="0" y="0"/>
                <wp:positionH relativeFrom="page">
                  <wp:posOffset>1413953</wp:posOffset>
                </wp:positionH>
                <wp:positionV relativeFrom="paragraph">
                  <wp:posOffset>1858697</wp:posOffset>
                </wp:positionV>
                <wp:extent cx="5063490" cy="3849370"/>
                <wp:effectExtent l="0" t="0" r="0" b="0"/>
                <wp:wrapNone/>
                <wp:docPr id="454" name="Group 454"/>
                <wp:cNvGraphicFramePr>
                  <a:graphicFrameLocks/>
                </wp:cNvGraphicFramePr>
                <a:graphic>
                  <a:graphicData uri="http://schemas.microsoft.com/office/word/2010/wordprocessingGroup">
                    <wpg:wgp>
                      <wpg:cNvPr id="454" name="Group 454"/>
                      <wpg:cNvGrpSpPr/>
                      <wpg:grpSpPr>
                        <a:xfrm>
                          <a:off x="0" y="0"/>
                          <a:ext cx="5063490" cy="3849370"/>
                          <a:chExt cx="5063490" cy="3849370"/>
                        </a:xfrm>
                      </wpg:grpSpPr>
                      <wps:wsp>
                        <wps:cNvPr id="455" name="Graphic 455"/>
                        <wps:cNvSpPr/>
                        <wps:spPr>
                          <a:xfrm>
                            <a:off x="6719" y="6719"/>
                            <a:ext cx="5050155" cy="3836035"/>
                          </a:xfrm>
                          <a:custGeom>
                            <a:avLst/>
                            <a:gdLst/>
                            <a:ahLst/>
                            <a:cxnLst/>
                            <a:rect l="l" t="t" r="r" b="b"/>
                            <a:pathLst>
                              <a:path w="5050155" h="3836035">
                                <a:moveTo>
                                  <a:pt x="0" y="3835688"/>
                                </a:moveTo>
                                <a:lnTo>
                                  <a:pt x="5049632" y="3835688"/>
                                </a:lnTo>
                                <a:lnTo>
                                  <a:pt x="5049632" y="0"/>
                                </a:lnTo>
                                <a:lnTo>
                                  <a:pt x="0" y="0"/>
                                </a:lnTo>
                                <a:lnTo>
                                  <a:pt x="0" y="3835688"/>
                                </a:lnTo>
                                <a:close/>
                              </a:path>
                            </a:pathLst>
                          </a:custGeom>
                          <a:ln w="12625">
                            <a:solidFill>
                              <a:srgbClr val="808080"/>
                            </a:solidFill>
                            <a:prstDash val="solid"/>
                          </a:ln>
                        </wps:spPr>
                        <wps:bodyPr wrap="square" lIns="0" tIns="0" rIns="0" bIns="0" rtlCol="0">
                          <a:prstTxWarp prst="textNoShape">
                            <a:avLst/>
                          </a:prstTxWarp>
                          <a:noAutofit/>
                        </wps:bodyPr>
                      </wps:wsp>
                      <wps:wsp>
                        <wps:cNvPr id="456" name="Graphic 456"/>
                        <wps:cNvSpPr/>
                        <wps:spPr>
                          <a:xfrm>
                            <a:off x="478398" y="389903"/>
                            <a:ext cx="4373245" cy="2490470"/>
                          </a:xfrm>
                          <a:custGeom>
                            <a:avLst/>
                            <a:gdLst/>
                            <a:ahLst/>
                            <a:cxnLst/>
                            <a:rect l="l" t="t" r="r" b="b"/>
                            <a:pathLst>
                              <a:path w="4373245" h="2490470">
                                <a:moveTo>
                                  <a:pt x="0" y="2489976"/>
                                </a:moveTo>
                                <a:lnTo>
                                  <a:pt x="4373177" y="2489976"/>
                                </a:lnTo>
                              </a:path>
                              <a:path w="4373245" h="2490470">
                                <a:moveTo>
                                  <a:pt x="0" y="2417378"/>
                                </a:moveTo>
                                <a:lnTo>
                                  <a:pt x="4373177" y="2417378"/>
                                </a:lnTo>
                              </a:path>
                              <a:path w="4373245" h="2490470">
                                <a:moveTo>
                                  <a:pt x="0" y="2330837"/>
                                </a:moveTo>
                                <a:lnTo>
                                  <a:pt x="4373177" y="2330837"/>
                                </a:lnTo>
                              </a:path>
                              <a:path w="4373245" h="2490470">
                                <a:moveTo>
                                  <a:pt x="0" y="2258238"/>
                                </a:moveTo>
                                <a:lnTo>
                                  <a:pt x="4373177" y="2258238"/>
                                </a:lnTo>
                              </a:path>
                              <a:path w="4373245" h="2490470">
                                <a:moveTo>
                                  <a:pt x="0" y="2113523"/>
                                </a:moveTo>
                                <a:lnTo>
                                  <a:pt x="4373177" y="2113523"/>
                                </a:lnTo>
                              </a:path>
                              <a:path w="4373245" h="2490470">
                                <a:moveTo>
                                  <a:pt x="0" y="2041405"/>
                                </a:moveTo>
                                <a:lnTo>
                                  <a:pt x="4373177" y="2041405"/>
                                </a:lnTo>
                              </a:path>
                              <a:path w="4373245" h="2490470">
                                <a:moveTo>
                                  <a:pt x="0" y="1954383"/>
                                </a:moveTo>
                                <a:lnTo>
                                  <a:pt x="4373177" y="1954383"/>
                                </a:lnTo>
                              </a:path>
                              <a:path w="4373245" h="2490470">
                                <a:moveTo>
                                  <a:pt x="0" y="1881785"/>
                                </a:moveTo>
                                <a:lnTo>
                                  <a:pt x="4373177" y="1881785"/>
                                </a:lnTo>
                              </a:path>
                              <a:path w="4373245" h="2490470">
                                <a:moveTo>
                                  <a:pt x="0" y="1737069"/>
                                </a:moveTo>
                                <a:lnTo>
                                  <a:pt x="4373177" y="1737069"/>
                                </a:lnTo>
                              </a:path>
                              <a:path w="4373245" h="2490470">
                                <a:moveTo>
                                  <a:pt x="0" y="1664952"/>
                                </a:moveTo>
                                <a:lnTo>
                                  <a:pt x="4373177" y="1664952"/>
                                </a:lnTo>
                              </a:path>
                              <a:path w="4373245" h="2490470">
                                <a:moveTo>
                                  <a:pt x="0" y="1577930"/>
                                </a:moveTo>
                                <a:lnTo>
                                  <a:pt x="4373177" y="1577930"/>
                                </a:lnTo>
                              </a:path>
                              <a:path w="4373245" h="2490470">
                                <a:moveTo>
                                  <a:pt x="0" y="1505813"/>
                                </a:moveTo>
                                <a:lnTo>
                                  <a:pt x="4373177" y="1505813"/>
                                </a:lnTo>
                              </a:path>
                              <a:path w="4373245" h="2490470">
                                <a:moveTo>
                                  <a:pt x="0" y="1361193"/>
                                </a:moveTo>
                                <a:lnTo>
                                  <a:pt x="4373177" y="1361193"/>
                                </a:lnTo>
                              </a:path>
                              <a:path w="4373245" h="2490470">
                                <a:moveTo>
                                  <a:pt x="0" y="1288499"/>
                                </a:moveTo>
                                <a:lnTo>
                                  <a:pt x="4373177" y="1288499"/>
                                </a:lnTo>
                              </a:path>
                              <a:path w="4373245" h="2490470">
                                <a:moveTo>
                                  <a:pt x="0" y="1201573"/>
                                </a:moveTo>
                                <a:lnTo>
                                  <a:pt x="4373177" y="1201573"/>
                                </a:lnTo>
                              </a:path>
                              <a:path w="4373245" h="2490470">
                                <a:moveTo>
                                  <a:pt x="0" y="1129455"/>
                                </a:moveTo>
                                <a:lnTo>
                                  <a:pt x="4373177" y="1129455"/>
                                </a:lnTo>
                              </a:path>
                              <a:path w="4373245" h="2490470">
                                <a:moveTo>
                                  <a:pt x="0" y="984644"/>
                                </a:moveTo>
                                <a:lnTo>
                                  <a:pt x="4373177" y="984644"/>
                                </a:lnTo>
                              </a:path>
                              <a:path w="4373245" h="2490470">
                                <a:moveTo>
                                  <a:pt x="0" y="911949"/>
                                </a:moveTo>
                                <a:lnTo>
                                  <a:pt x="4373177" y="911949"/>
                                </a:lnTo>
                              </a:path>
                              <a:path w="4373245" h="2490470">
                                <a:moveTo>
                                  <a:pt x="0" y="825408"/>
                                </a:moveTo>
                                <a:lnTo>
                                  <a:pt x="4373177" y="825408"/>
                                </a:lnTo>
                              </a:path>
                              <a:path w="4373245" h="2490470">
                                <a:moveTo>
                                  <a:pt x="0" y="752906"/>
                                </a:moveTo>
                                <a:lnTo>
                                  <a:pt x="4373177" y="752906"/>
                                </a:lnTo>
                              </a:path>
                              <a:path w="4373245" h="2490470">
                                <a:moveTo>
                                  <a:pt x="0" y="608094"/>
                                </a:moveTo>
                                <a:lnTo>
                                  <a:pt x="4373177" y="608094"/>
                                </a:lnTo>
                              </a:path>
                              <a:path w="4373245" h="2490470">
                                <a:moveTo>
                                  <a:pt x="0" y="535592"/>
                                </a:moveTo>
                                <a:lnTo>
                                  <a:pt x="4373177" y="535592"/>
                                </a:lnTo>
                              </a:path>
                              <a:path w="4373245" h="2490470">
                                <a:moveTo>
                                  <a:pt x="0" y="449051"/>
                                </a:moveTo>
                                <a:lnTo>
                                  <a:pt x="4373177" y="449051"/>
                                </a:lnTo>
                              </a:path>
                              <a:path w="4373245" h="2490470">
                                <a:moveTo>
                                  <a:pt x="0" y="376357"/>
                                </a:moveTo>
                                <a:lnTo>
                                  <a:pt x="4373177" y="376357"/>
                                </a:lnTo>
                              </a:path>
                              <a:path w="4373245" h="2490470">
                                <a:moveTo>
                                  <a:pt x="0" y="231737"/>
                                </a:moveTo>
                                <a:lnTo>
                                  <a:pt x="4373177" y="231737"/>
                                </a:lnTo>
                              </a:path>
                              <a:path w="4373245" h="2490470">
                                <a:moveTo>
                                  <a:pt x="0" y="159620"/>
                                </a:moveTo>
                                <a:lnTo>
                                  <a:pt x="4373177" y="159620"/>
                                </a:lnTo>
                              </a:path>
                              <a:path w="4373245" h="2490470">
                                <a:moveTo>
                                  <a:pt x="0" y="72694"/>
                                </a:moveTo>
                                <a:lnTo>
                                  <a:pt x="4373177" y="72694"/>
                                </a:lnTo>
                              </a:path>
                              <a:path w="4373245" h="2490470">
                                <a:moveTo>
                                  <a:pt x="0" y="0"/>
                                </a:moveTo>
                                <a:lnTo>
                                  <a:pt x="4373177" y="0"/>
                                </a:lnTo>
                              </a:path>
                            </a:pathLst>
                          </a:custGeom>
                          <a:ln w="11966">
                            <a:solidFill>
                              <a:srgbClr val="C0C0C0"/>
                            </a:solidFill>
                            <a:prstDash val="solid"/>
                          </a:ln>
                        </wps:spPr>
                        <wps:bodyPr wrap="square" lIns="0" tIns="0" rIns="0" bIns="0" rtlCol="0">
                          <a:prstTxWarp prst="textNoShape">
                            <a:avLst/>
                          </a:prstTxWarp>
                          <a:noAutofit/>
                        </wps:bodyPr>
                      </wps:wsp>
                      <wps:wsp>
                        <wps:cNvPr id="457" name="Graphic 457"/>
                        <wps:cNvSpPr/>
                        <wps:spPr>
                          <a:xfrm>
                            <a:off x="478398" y="317785"/>
                            <a:ext cx="4373245" cy="2258695"/>
                          </a:xfrm>
                          <a:custGeom>
                            <a:avLst/>
                            <a:gdLst/>
                            <a:ahLst/>
                            <a:cxnLst/>
                            <a:rect l="l" t="t" r="r" b="b"/>
                            <a:pathLst>
                              <a:path w="4373245" h="2258695">
                                <a:moveTo>
                                  <a:pt x="0" y="2258238"/>
                                </a:moveTo>
                                <a:lnTo>
                                  <a:pt x="4373177" y="2258238"/>
                                </a:lnTo>
                              </a:path>
                              <a:path w="4373245" h="2258695">
                                <a:moveTo>
                                  <a:pt x="0" y="1881785"/>
                                </a:moveTo>
                                <a:lnTo>
                                  <a:pt x="4373177" y="1881785"/>
                                </a:lnTo>
                              </a:path>
                              <a:path w="4373245" h="2258695">
                                <a:moveTo>
                                  <a:pt x="0" y="1505428"/>
                                </a:moveTo>
                                <a:lnTo>
                                  <a:pt x="4373177" y="1505428"/>
                                </a:lnTo>
                              </a:path>
                              <a:path w="4373245" h="2258695">
                                <a:moveTo>
                                  <a:pt x="0" y="1128879"/>
                                </a:moveTo>
                                <a:lnTo>
                                  <a:pt x="4373177" y="1128879"/>
                                </a:lnTo>
                              </a:path>
                              <a:path w="4373245" h="2258695">
                                <a:moveTo>
                                  <a:pt x="0" y="752329"/>
                                </a:moveTo>
                                <a:lnTo>
                                  <a:pt x="4373177" y="752329"/>
                                </a:lnTo>
                              </a:path>
                              <a:path w="4373245" h="2258695">
                                <a:moveTo>
                                  <a:pt x="0" y="376357"/>
                                </a:moveTo>
                                <a:lnTo>
                                  <a:pt x="4373177" y="376357"/>
                                </a:lnTo>
                              </a:path>
                              <a:path w="4373245" h="2258695">
                                <a:moveTo>
                                  <a:pt x="0" y="0"/>
                                </a:moveTo>
                                <a:lnTo>
                                  <a:pt x="4373177" y="0"/>
                                </a:lnTo>
                              </a:path>
                            </a:pathLst>
                          </a:custGeom>
                          <a:ln w="11966">
                            <a:solidFill>
                              <a:srgbClr val="808080"/>
                            </a:solidFill>
                            <a:prstDash val="solid"/>
                          </a:ln>
                        </wps:spPr>
                        <wps:bodyPr wrap="square" lIns="0" tIns="0" rIns="0" bIns="0" rtlCol="0">
                          <a:prstTxWarp prst="textNoShape">
                            <a:avLst/>
                          </a:prstTxWarp>
                          <a:noAutofit/>
                        </wps:bodyPr>
                      </wps:wsp>
                      <wps:wsp>
                        <wps:cNvPr id="458" name="Graphic 458"/>
                        <wps:cNvSpPr/>
                        <wps:spPr>
                          <a:xfrm>
                            <a:off x="649889" y="317785"/>
                            <a:ext cx="4039870" cy="2620010"/>
                          </a:xfrm>
                          <a:custGeom>
                            <a:avLst/>
                            <a:gdLst/>
                            <a:ahLst/>
                            <a:cxnLst/>
                            <a:rect l="l" t="t" r="r" b="b"/>
                            <a:pathLst>
                              <a:path w="4039870" h="2620010">
                                <a:moveTo>
                                  <a:pt x="0" y="0"/>
                                </a:moveTo>
                                <a:lnTo>
                                  <a:pt x="0" y="2619787"/>
                                </a:lnTo>
                              </a:path>
                              <a:path w="4039870" h="2620010">
                                <a:moveTo>
                                  <a:pt x="181000" y="0"/>
                                </a:moveTo>
                                <a:lnTo>
                                  <a:pt x="181000" y="2619787"/>
                                </a:lnTo>
                              </a:path>
                              <a:path w="4039870" h="2620010">
                                <a:moveTo>
                                  <a:pt x="352491" y="0"/>
                                </a:moveTo>
                                <a:lnTo>
                                  <a:pt x="352491" y="2619787"/>
                                </a:lnTo>
                              </a:path>
                              <a:path w="4039870" h="2620010">
                                <a:moveTo>
                                  <a:pt x="533492" y="0"/>
                                </a:moveTo>
                                <a:lnTo>
                                  <a:pt x="533492" y="2619787"/>
                                </a:lnTo>
                              </a:path>
                              <a:path w="4039870" h="2620010">
                                <a:moveTo>
                                  <a:pt x="876474" y="0"/>
                                </a:moveTo>
                                <a:lnTo>
                                  <a:pt x="876474" y="2619787"/>
                                </a:lnTo>
                              </a:path>
                              <a:path w="4039870" h="2620010">
                                <a:moveTo>
                                  <a:pt x="1057538" y="0"/>
                                </a:moveTo>
                                <a:lnTo>
                                  <a:pt x="1057538" y="2619787"/>
                                </a:lnTo>
                              </a:path>
                              <a:path w="4039870" h="2620010">
                                <a:moveTo>
                                  <a:pt x="1228965" y="0"/>
                                </a:moveTo>
                                <a:lnTo>
                                  <a:pt x="1228965" y="2619787"/>
                                </a:lnTo>
                              </a:path>
                              <a:path w="4039870" h="2620010">
                                <a:moveTo>
                                  <a:pt x="1410029" y="0"/>
                                </a:moveTo>
                                <a:lnTo>
                                  <a:pt x="1410029" y="2619787"/>
                                </a:lnTo>
                              </a:path>
                              <a:path w="4039870" h="2620010">
                                <a:moveTo>
                                  <a:pt x="1753011" y="0"/>
                                </a:moveTo>
                                <a:lnTo>
                                  <a:pt x="1753011" y="2619787"/>
                                </a:lnTo>
                              </a:path>
                              <a:path w="4039870" h="2620010">
                                <a:moveTo>
                                  <a:pt x="1933948" y="0"/>
                                </a:moveTo>
                                <a:lnTo>
                                  <a:pt x="1933948" y="2619787"/>
                                </a:lnTo>
                              </a:path>
                              <a:path w="4039870" h="2620010">
                                <a:moveTo>
                                  <a:pt x="2105503" y="0"/>
                                </a:moveTo>
                                <a:lnTo>
                                  <a:pt x="2105503" y="2619787"/>
                                </a:lnTo>
                              </a:path>
                              <a:path w="4039870" h="2620010">
                                <a:moveTo>
                                  <a:pt x="2286440" y="0"/>
                                </a:moveTo>
                                <a:lnTo>
                                  <a:pt x="2286440" y="2619787"/>
                                </a:lnTo>
                              </a:path>
                              <a:path w="4039870" h="2620010">
                                <a:moveTo>
                                  <a:pt x="2629422" y="0"/>
                                </a:moveTo>
                                <a:lnTo>
                                  <a:pt x="2629422" y="2619787"/>
                                </a:lnTo>
                              </a:path>
                              <a:path w="4039870" h="2620010">
                                <a:moveTo>
                                  <a:pt x="2810739" y="0"/>
                                </a:moveTo>
                                <a:lnTo>
                                  <a:pt x="2810739" y="2619787"/>
                                </a:lnTo>
                              </a:path>
                              <a:path w="4039870" h="2620010">
                                <a:moveTo>
                                  <a:pt x="2982294" y="0"/>
                                </a:moveTo>
                                <a:lnTo>
                                  <a:pt x="2982294" y="2619787"/>
                                </a:lnTo>
                              </a:path>
                              <a:path w="4039870" h="2620010">
                                <a:moveTo>
                                  <a:pt x="3163231" y="0"/>
                                </a:moveTo>
                                <a:lnTo>
                                  <a:pt x="3163231" y="2619787"/>
                                </a:lnTo>
                              </a:path>
                              <a:path w="4039870" h="2620010">
                                <a:moveTo>
                                  <a:pt x="3506213" y="0"/>
                                </a:moveTo>
                                <a:lnTo>
                                  <a:pt x="3506213" y="2619787"/>
                                </a:lnTo>
                              </a:path>
                              <a:path w="4039870" h="2620010">
                                <a:moveTo>
                                  <a:pt x="3687150" y="0"/>
                                </a:moveTo>
                                <a:lnTo>
                                  <a:pt x="3687150" y="2619787"/>
                                </a:lnTo>
                              </a:path>
                              <a:path w="4039870" h="2620010">
                                <a:moveTo>
                                  <a:pt x="3858705" y="0"/>
                                </a:moveTo>
                                <a:lnTo>
                                  <a:pt x="3858705" y="2619787"/>
                                </a:lnTo>
                              </a:path>
                              <a:path w="4039870" h="2620010">
                                <a:moveTo>
                                  <a:pt x="4039769" y="0"/>
                                </a:moveTo>
                                <a:lnTo>
                                  <a:pt x="4039769" y="2619787"/>
                                </a:lnTo>
                              </a:path>
                            </a:pathLst>
                          </a:custGeom>
                          <a:ln w="11966">
                            <a:solidFill>
                              <a:srgbClr val="C0C0C0"/>
                            </a:solidFill>
                            <a:prstDash val="solid"/>
                          </a:ln>
                        </wps:spPr>
                        <wps:bodyPr wrap="square" lIns="0" tIns="0" rIns="0" bIns="0" rtlCol="0">
                          <a:prstTxWarp prst="textNoShape">
                            <a:avLst/>
                          </a:prstTxWarp>
                          <a:noAutofit/>
                        </wps:bodyPr>
                      </wps:wsp>
                      <wps:wsp>
                        <wps:cNvPr id="459" name="Graphic 459"/>
                        <wps:cNvSpPr/>
                        <wps:spPr>
                          <a:xfrm>
                            <a:off x="1354935" y="317785"/>
                            <a:ext cx="3506470" cy="2620010"/>
                          </a:xfrm>
                          <a:custGeom>
                            <a:avLst/>
                            <a:gdLst/>
                            <a:ahLst/>
                            <a:cxnLst/>
                            <a:rect l="l" t="t" r="r" b="b"/>
                            <a:pathLst>
                              <a:path w="3506470" h="2620010">
                                <a:moveTo>
                                  <a:pt x="0" y="0"/>
                                </a:moveTo>
                                <a:lnTo>
                                  <a:pt x="0" y="2619787"/>
                                </a:lnTo>
                              </a:path>
                              <a:path w="3506470" h="2620010">
                                <a:moveTo>
                                  <a:pt x="876410" y="0"/>
                                </a:moveTo>
                                <a:lnTo>
                                  <a:pt x="876410" y="2619787"/>
                                </a:lnTo>
                              </a:path>
                              <a:path w="3506470" h="2620010">
                                <a:moveTo>
                                  <a:pt x="1752948" y="0"/>
                                </a:moveTo>
                                <a:lnTo>
                                  <a:pt x="1752948" y="2619787"/>
                                </a:lnTo>
                              </a:path>
                              <a:path w="3506470" h="2620010">
                                <a:moveTo>
                                  <a:pt x="2629739" y="0"/>
                                </a:moveTo>
                                <a:lnTo>
                                  <a:pt x="2629739" y="2619787"/>
                                </a:lnTo>
                              </a:path>
                              <a:path w="3506470" h="2620010">
                                <a:moveTo>
                                  <a:pt x="3506150" y="0"/>
                                </a:moveTo>
                                <a:lnTo>
                                  <a:pt x="3506150" y="2619787"/>
                                </a:lnTo>
                              </a:path>
                            </a:pathLst>
                          </a:custGeom>
                          <a:ln w="11966">
                            <a:solidFill>
                              <a:srgbClr val="808080"/>
                            </a:solidFill>
                            <a:prstDash val="solid"/>
                          </a:ln>
                        </wps:spPr>
                        <wps:bodyPr wrap="square" lIns="0" tIns="0" rIns="0" bIns="0" rtlCol="0">
                          <a:prstTxWarp prst="textNoShape">
                            <a:avLst/>
                          </a:prstTxWarp>
                          <a:noAutofit/>
                        </wps:bodyPr>
                      </wps:wsp>
                      <wps:wsp>
                        <wps:cNvPr id="460" name="Graphic 460"/>
                        <wps:cNvSpPr/>
                        <wps:spPr>
                          <a:xfrm>
                            <a:off x="440359" y="317785"/>
                            <a:ext cx="4420870" cy="2692400"/>
                          </a:xfrm>
                          <a:custGeom>
                            <a:avLst/>
                            <a:gdLst/>
                            <a:ahLst/>
                            <a:cxnLst/>
                            <a:rect l="l" t="t" r="r" b="b"/>
                            <a:pathLst>
                              <a:path w="4420870" h="2692400">
                                <a:moveTo>
                                  <a:pt x="38038" y="0"/>
                                </a:moveTo>
                                <a:lnTo>
                                  <a:pt x="38038" y="2619787"/>
                                </a:lnTo>
                              </a:path>
                              <a:path w="4420870" h="2692400">
                                <a:moveTo>
                                  <a:pt x="0" y="2634692"/>
                                </a:moveTo>
                                <a:lnTo>
                                  <a:pt x="28528" y="2634692"/>
                                </a:lnTo>
                              </a:path>
                              <a:path w="4420870" h="2692400">
                                <a:moveTo>
                                  <a:pt x="0" y="2258238"/>
                                </a:moveTo>
                                <a:lnTo>
                                  <a:pt x="28528" y="2258238"/>
                                </a:lnTo>
                              </a:path>
                              <a:path w="4420870" h="2692400">
                                <a:moveTo>
                                  <a:pt x="0" y="1881785"/>
                                </a:moveTo>
                                <a:lnTo>
                                  <a:pt x="28528" y="1881785"/>
                                </a:lnTo>
                              </a:path>
                              <a:path w="4420870" h="2692400">
                                <a:moveTo>
                                  <a:pt x="0" y="1505428"/>
                                </a:moveTo>
                                <a:lnTo>
                                  <a:pt x="28528" y="1505428"/>
                                </a:lnTo>
                              </a:path>
                              <a:path w="4420870" h="2692400">
                                <a:moveTo>
                                  <a:pt x="0" y="1128879"/>
                                </a:moveTo>
                                <a:lnTo>
                                  <a:pt x="28528" y="1128879"/>
                                </a:lnTo>
                              </a:path>
                              <a:path w="4420870" h="2692400">
                                <a:moveTo>
                                  <a:pt x="0" y="752329"/>
                                </a:moveTo>
                                <a:lnTo>
                                  <a:pt x="28528" y="752329"/>
                                </a:lnTo>
                              </a:path>
                              <a:path w="4420870" h="2692400">
                                <a:moveTo>
                                  <a:pt x="0" y="376357"/>
                                </a:moveTo>
                                <a:lnTo>
                                  <a:pt x="28528" y="376357"/>
                                </a:lnTo>
                              </a:path>
                              <a:path w="4420870" h="2692400">
                                <a:moveTo>
                                  <a:pt x="0" y="0"/>
                                </a:moveTo>
                                <a:lnTo>
                                  <a:pt x="28528" y="0"/>
                                </a:lnTo>
                              </a:path>
                              <a:path w="4420870" h="2692400">
                                <a:moveTo>
                                  <a:pt x="38038" y="2634692"/>
                                </a:moveTo>
                                <a:lnTo>
                                  <a:pt x="4411216" y="2634692"/>
                                </a:lnTo>
                              </a:path>
                              <a:path w="4420870" h="2692400">
                                <a:moveTo>
                                  <a:pt x="38038" y="2692386"/>
                                </a:moveTo>
                                <a:lnTo>
                                  <a:pt x="38038" y="2649115"/>
                                </a:lnTo>
                              </a:path>
                              <a:path w="4420870" h="2692400">
                                <a:moveTo>
                                  <a:pt x="914576" y="2692386"/>
                                </a:moveTo>
                                <a:lnTo>
                                  <a:pt x="914576" y="2649115"/>
                                </a:lnTo>
                              </a:path>
                              <a:path w="4420870" h="2692400">
                                <a:moveTo>
                                  <a:pt x="1790986" y="2692386"/>
                                </a:moveTo>
                                <a:lnTo>
                                  <a:pt x="1790986" y="2649115"/>
                                </a:lnTo>
                              </a:path>
                              <a:path w="4420870" h="2692400">
                                <a:moveTo>
                                  <a:pt x="2667524" y="2692386"/>
                                </a:moveTo>
                                <a:lnTo>
                                  <a:pt x="2667524" y="2649115"/>
                                </a:lnTo>
                              </a:path>
                              <a:path w="4420870" h="2692400">
                                <a:moveTo>
                                  <a:pt x="3544315" y="2692386"/>
                                </a:moveTo>
                                <a:lnTo>
                                  <a:pt x="3544315" y="2649115"/>
                                </a:lnTo>
                              </a:path>
                              <a:path w="4420870" h="2692400">
                                <a:moveTo>
                                  <a:pt x="4420726" y="2692386"/>
                                </a:moveTo>
                                <a:lnTo>
                                  <a:pt x="4420726" y="2649115"/>
                                </a:lnTo>
                              </a:path>
                            </a:pathLst>
                          </a:custGeom>
                          <a:ln w="11966">
                            <a:solidFill>
                              <a:srgbClr val="808080"/>
                            </a:solidFill>
                            <a:prstDash val="solid"/>
                          </a:ln>
                        </wps:spPr>
                        <wps:bodyPr wrap="square" lIns="0" tIns="0" rIns="0" bIns="0" rtlCol="0">
                          <a:prstTxWarp prst="textNoShape">
                            <a:avLst/>
                          </a:prstTxWarp>
                          <a:noAutofit/>
                        </wps:bodyPr>
                      </wps:wsp>
                      <pic:pic>
                        <pic:nvPicPr>
                          <pic:cNvPr id="461" name="Image 461"/>
                          <pic:cNvPicPr/>
                        </pic:nvPicPr>
                        <pic:blipFill>
                          <a:blip r:embed="rId63" cstate="print"/>
                          <a:stretch>
                            <a:fillRect/>
                          </a:stretch>
                        </pic:blipFill>
                        <pic:spPr>
                          <a:xfrm>
                            <a:off x="2349371" y="1657997"/>
                            <a:ext cx="107313" cy="156775"/>
                          </a:xfrm>
                          <a:prstGeom prst="rect">
                            <a:avLst/>
                          </a:prstGeom>
                        </pic:spPr>
                      </pic:pic>
                      <pic:pic>
                        <pic:nvPicPr>
                          <pic:cNvPr id="462" name="Image 462"/>
                          <pic:cNvPicPr/>
                        </pic:nvPicPr>
                        <pic:blipFill>
                          <a:blip r:embed="rId64" cstate="print"/>
                          <a:stretch>
                            <a:fillRect/>
                          </a:stretch>
                        </pic:blipFill>
                        <pic:spPr>
                          <a:xfrm>
                            <a:off x="2882798" y="992014"/>
                            <a:ext cx="107443" cy="156778"/>
                          </a:xfrm>
                          <a:prstGeom prst="rect">
                            <a:avLst/>
                          </a:prstGeom>
                        </pic:spPr>
                      </pic:pic>
                      <pic:pic>
                        <pic:nvPicPr>
                          <pic:cNvPr id="463" name="Image 463"/>
                          <pic:cNvPicPr/>
                        </pic:nvPicPr>
                        <pic:blipFill>
                          <a:blip r:embed="rId65" cstate="print"/>
                          <a:stretch>
                            <a:fillRect/>
                          </a:stretch>
                        </pic:blipFill>
                        <pic:spPr>
                          <a:xfrm>
                            <a:off x="3406843" y="832971"/>
                            <a:ext cx="107316" cy="156586"/>
                          </a:xfrm>
                          <a:prstGeom prst="rect">
                            <a:avLst/>
                          </a:prstGeom>
                        </pic:spPr>
                      </pic:pic>
                      <pic:pic>
                        <pic:nvPicPr>
                          <pic:cNvPr id="464" name="Image 464"/>
                          <pic:cNvPicPr/>
                        </pic:nvPicPr>
                        <pic:blipFill>
                          <a:blip r:embed="rId58" cstate="print"/>
                          <a:stretch>
                            <a:fillRect/>
                          </a:stretch>
                        </pic:blipFill>
                        <pic:spPr>
                          <a:xfrm>
                            <a:off x="3721297" y="644504"/>
                            <a:ext cx="107316" cy="156586"/>
                          </a:xfrm>
                          <a:prstGeom prst="rect">
                            <a:avLst/>
                          </a:prstGeom>
                        </pic:spPr>
                      </pic:pic>
                      <pic:pic>
                        <pic:nvPicPr>
                          <pic:cNvPr id="465" name="Image 465"/>
                          <pic:cNvPicPr/>
                        </pic:nvPicPr>
                        <pic:blipFill>
                          <a:blip r:embed="rId66" cstate="print"/>
                          <a:stretch>
                            <a:fillRect/>
                          </a:stretch>
                        </pic:blipFill>
                        <pic:spPr>
                          <a:xfrm>
                            <a:off x="3930763" y="369496"/>
                            <a:ext cx="107443" cy="156778"/>
                          </a:xfrm>
                          <a:prstGeom prst="rect">
                            <a:avLst/>
                          </a:prstGeom>
                        </pic:spPr>
                      </pic:pic>
                      <wps:wsp>
                        <wps:cNvPr id="466" name="Graphic 466"/>
                        <wps:cNvSpPr/>
                        <wps:spPr>
                          <a:xfrm>
                            <a:off x="2402901" y="491444"/>
                            <a:ext cx="1572260" cy="1144270"/>
                          </a:xfrm>
                          <a:custGeom>
                            <a:avLst/>
                            <a:gdLst/>
                            <a:ahLst/>
                            <a:cxnLst/>
                            <a:rect l="l" t="t" r="r" b="b"/>
                            <a:pathLst>
                              <a:path w="1572260" h="1144270">
                                <a:moveTo>
                                  <a:pt x="0" y="1143687"/>
                                </a:moveTo>
                                <a:lnTo>
                                  <a:pt x="1572264" y="0"/>
                                </a:lnTo>
                              </a:path>
                            </a:pathLst>
                          </a:custGeom>
                          <a:ln w="12723">
                            <a:solidFill>
                              <a:srgbClr val="000000"/>
                            </a:solidFill>
                            <a:prstDash val="solid"/>
                          </a:ln>
                        </wps:spPr>
                        <wps:bodyPr wrap="square" lIns="0" tIns="0" rIns="0" bIns="0" rtlCol="0">
                          <a:prstTxWarp prst="textNoShape">
                            <a:avLst/>
                          </a:prstTxWarp>
                          <a:noAutofit/>
                        </wps:bodyPr>
                      </wps:wsp>
                      <wps:wsp>
                        <wps:cNvPr id="467" name="Graphic 467"/>
                        <wps:cNvSpPr/>
                        <wps:spPr>
                          <a:xfrm>
                            <a:off x="6719" y="6719"/>
                            <a:ext cx="5050155" cy="3836035"/>
                          </a:xfrm>
                          <a:custGeom>
                            <a:avLst/>
                            <a:gdLst/>
                            <a:ahLst/>
                            <a:cxnLst/>
                            <a:rect l="l" t="t" r="r" b="b"/>
                            <a:pathLst>
                              <a:path w="5050155" h="3836035">
                                <a:moveTo>
                                  <a:pt x="0" y="3835688"/>
                                </a:moveTo>
                                <a:lnTo>
                                  <a:pt x="5049632" y="3835688"/>
                                </a:lnTo>
                                <a:lnTo>
                                  <a:pt x="5049632" y="0"/>
                                </a:lnTo>
                                <a:lnTo>
                                  <a:pt x="0" y="0"/>
                                </a:lnTo>
                                <a:lnTo>
                                  <a:pt x="0" y="3835688"/>
                                </a:lnTo>
                                <a:close/>
                              </a:path>
                            </a:pathLst>
                          </a:custGeom>
                          <a:ln w="12625">
                            <a:solidFill>
                              <a:srgbClr val="808080"/>
                            </a:solidFill>
                            <a:prstDash val="solid"/>
                          </a:ln>
                        </wps:spPr>
                        <wps:bodyPr wrap="square" lIns="0" tIns="0" rIns="0" bIns="0" rtlCol="0">
                          <a:prstTxWarp prst="textNoShape">
                            <a:avLst/>
                          </a:prstTxWarp>
                          <a:noAutofit/>
                        </wps:bodyPr>
                      </wps:wsp>
                      <wps:wsp>
                        <wps:cNvPr id="468" name="Textbox 468"/>
                        <wps:cNvSpPr txBox="1"/>
                        <wps:spPr>
                          <a:xfrm>
                            <a:off x="311662" y="227182"/>
                            <a:ext cx="75565" cy="2823210"/>
                          </a:xfrm>
                          <a:prstGeom prst="rect">
                            <a:avLst/>
                          </a:prstGeom>
                        </wps:spPr>
                        <wps:txbx>
                          <w:txbxContent>
                            <w:p>
                              <w:pPr>
                                <w:spacing w:line="300" w:lineRule="exact" w:before="0"/>
                                <w:ind w:left="0" w:right="0" w:firstLine="0"/>
                                <w:jc w:val="left"/>
                                <w:rPr>
                                  <w:rFonts w:ascii="Calibri"/>
                                  <w:sz w:val="29"/>
                                </w:rPr>
                              </w:pPr>
                              <w:r>
                                <w:rPr>
                                  <w:rFonts w:ascii="Calibri"/>
                                  <w:spacing w:val="-10"/>
                                  <w:w w:val="75"/>
                                  <w:sz w:val="29"/>
                                </w:rPr>
                                <w:t>7</w:t>
                              </w:r>
                            </w:p>
                            <w:p>
                              <w:pPr>
                                <w:spacing w:before="239"/>
                                <w:ind w:left="0" w:right="0" w:firstLine="0"/>
                                <w:jc w:val="left"/>
                                <w:rPr>
                                  <w:rFonts w:ascii="Calibri"/>
                                  <w:sz w:val="29"/>
                                </w:rPr>
                              </w:pPr>
                              <w:r>
                                <w:rPr>
                                  <w:rFonts w:ascii="Calibri"/>
                                  <w:spacing w:val="-10"/>
                                  <w:w w:val="75"/>
                                  <w:sz w:val="29"/>
                                </w:rPr>
                                <w:t>6</w:t>
                              </w:r>
                            </w:p>
                            <w:p>
                              <w:pPr>
                                <w:spacing w:before="239"/>
                                <w:ind w:left="0" w:right="0" w:firstLine="0"/>
                                <w:jc w:val="left"/>
                                <w:rPr>
                                  <w:rFonts w:ascii="Calibri"/>
                                  <w:sz w:val="29"/>
                                </w:rPr>
                              </w:pPr>
                              <w:r>
                                <w:rPr>
                                  <w:rFonts w:ascii="Calibri"/>
                                  <w:spacing w:val="-10"/>
                                  <w:w w:val="75"/>
                                  <w:sz w:val="29"/>
                                </w:rPr>
                                <w:t>5</w:t>
                              </w:r>
                            </w:p>
                            <w:p>
                              <w:pPr>
                                <w:spacing w:before="238"/>
                                <w:ind w:left="0" w:right="0" w:firstLine="0"/>
                                <w:jc w:val="left"/>
                                <w:rPr>
                                  <w:rFonts w:ascii="Calibri"/>
                                  <w:sz w:val="29"/>
                                </w:rPr>
                              </w:pPr>
                              <w:r>
                                <w:rPr>
                                  <w:rFonts w:ascii="Calibri"/>
                                  <w:spacing w:val="-10"/>
                                  <w:w w:val="75"/>
                                  <w:sz w:val="29"/>
                                </w:rPr>
                                <w:t>4</w:t>
                              </w:r>
                            </w:p>
                            <w:p>
                              <w:pPr>
                                <w:spacing w:before="239"/>
                                <w:ind w:left="0" w:right="0" w:firstLine="0"/>
                                <w:jc w:val="left"/>
                                <w:rPr>
                                  <w:rFonts w:ascii="Calibri"/>
                                  <w:sz w:val="29"/>
                                </w:rPr>
                              </w:pPr>
                              <w:r>
                                <w:rPr>
                                  <w:rFonts w:ascii="Calibri"/>
                                  <w:spacing w:val="-10"/>
                                  <w:w w:val="75"/>
                                  <w:sz w:val="29"/>
                                </w:rPr>
                                <w:t>3</w:t>
                              </w:r>
                            </w:p>
                            <w:p>
                              <w:pPr>
                                <w:spacing w:before="238"/>
                                <w:ind w:left="0" w:right="0" w:firstLine="0"/>
                                <w:jc w:val="left"/>
                                <w:rPr>
                                  <w:rFonts w:ascii="Calibri"/>
                                  <w:sz w:val="29"/>
                                </w:rPr>
                              </w:pPr>
                              <w:r>
                                <w:rPr>
                                  <w:rFonts w:ascii="Calibri"/>
                                  <w:spacing w:val="-10"/>
                                  <w:w w:val="75"/>
                                  <w:sz w:val="29"/>
                                </w:rPr>
                                <w:t>2</w:t>
                              </w:r>
                            </w:p>
                            <w:p>
                              <w:pPr>
                                <w:spacing w:before="239"/>
                                <w:ind w:left="0" w:right="0" w:firstLine="0"/>
                                <w:jc w:val="left"/>
                                <w:rPr>
                                  <w:rFonts w:ascii="Calibri"/>
                                  <w:sz w:val="29"/>
                                </w:rPr>
                              </w:pPr>
                              <w:r>
                                <w:rPr>
                                  <w:rFonts w:ascii="Calibri"/>
                                  <w:spacing w:val="-10"/>
                                  <w:w w:val="75"/>
                                  <w:sz w:val="29"/>
                                </w:rPr>
                                <w:t>1</w:t>
                              </w:r>
                            </w:p>
                            <w:p>
                              <w:pPr>
                                <w:spacing w:line="350" w:lineRule="exact" w:before="239"/>
                                <w:ind w:left="0" w:right="0" w:firstLine="0"/>
                                <w:jc w:val="left"/>
                                <w:rPr>
                                  <w:rFonts w:ascii="Calibri"/>
                                  <w:sz w:val="29"/>
                                </w:rPr>
                              </w:pPr>
                              <w:r>
                                <w:rPr>
                                  <w:rFonts w:ascii="Calibri"/>
                                  <w:spacing w:val="-10"/>
                                  <w:w w:val="75"/>
                                  <w:sz w:val="29"/>
                                </w:rPr>
                                <w:t>0</w:t>
                              </w:r>
                            </w:p>
                          </w:txbxContent>
                        </wps:txbx>
                        <wps:bodyPr wrap="square" lIns="0" tIns="0" rIns="0" bIns="0" rtlCol="0">
                          <a:noAutofit/>
                        </wps:bodyPr>
                      </wps:wsp>
                      <wps:wsp>
                        <wps:cNvPr id="469" name="Textbox 469"/>
                        <wps:cNvSpPr txBox="1"/>
                        <wps:spPr>
                          <a:xfrm>
                            <a:off x="445114" y="3136978"/>
                            <a:ext cx="75565" cy="188595"/>
                          </a:xfrm>
                          <a:prstGeom prst="rect">
                            <a:avLst/>
                          </a:prstGeom>
                        </wps:spPr>
                        <wps:txbx>
                          <w:txbxContent>
                            <w:p>
                              <w:pPr>
                                <w:spacing w:line="296" w:lineRule="exact" w:before="0"/>
                                <w:ind w:left="0" w:right="0" w:firstLine="0"/>
                                <w:jc w:val="left"/>
                                <w:rPr>
                                  <w:rFonts w:ascii="Calibri"/>
                                  <w:sz w:val="29"/>
                                </w:rPr>
                              </w:pPr>
                              <w:r>
                                <w:rPr>
                                  <w:rFonts w:ascii="Calibri"/>
                                  <w:spacing w:val="-10"/>
                                  <w:w w:val="75"/>
                                  <w:sz w:val="29"/>
                                </w:rPr>
                                <w:t>0</w:t>
                              </w:r>
                            </w:p>
                          </w:txbxContent>
                        </wps:txbx>
                        <wps:bodyPr wrap="square" lIns="0" tIns="0" rIns="0" bIns="0" rtlCol="0">
                          <a:noAutofit/>
                        </wps:bodyPr>
                      </wps:wsp>
                      <wps:wsp>
                        <wps:cNvPr id="470" name="Textbox 470"/>
                        <wps:cNvSpPr txBox="1"/>
                        <wps:spPr>
                          <a:xfrm>
                            <a:off x="1264530" y="3136978"/>
                            <a:ext cx="180340" cy="188595"/>
                          </a:xfrm>
                          <a:prstGeom prst="rect">
                            <a:avLst/>
                          </a:prstGeom>
                        </wps:spPr>
                        <wps:txbx>
                          <w:txbxContent>
                            <w:p>
                              <w:pPr>
                                <w:spacing w:line="296" w:lineRule="exact" w:before="0"/>
                                <w:ind w:left="0" w:right="0" w:firstLine="0"/>
                                <w:jc w:val="left"/>
                                <w:rPr>
                                  <w:rFonts w:ascii="Calibri"/>
                                  <w:sz w:val="29"/>
                                </w:rPr>
                              </w:pPr>
                              <w:r>
                                <w:rPr>
                                  <w:rFonts w:ascii="Calibri"/>
                                  <w:spacing w:val="-5"/>
                                  <w:w w:val="70"/>
                                  <w:sz w:val="29"/>
                                </w:rPr>
                                <w:t>0.5</w:t>
                              </w:r>
                            </w:p>
                          </w:txbxContent>
                        </wps:txbx>
                        <wps:bodyPr wrap="square" lIns="0" tIns="0" rIns="0" bIns="0" rtlCol="0">
                          <a:noAutofit/>
                        </wps:bodyPr>
                      </wps:wsp>
                      <wps:wsp>
                        <wps:cNvPr id="471" name="Textbox 471"/>
                        <wps:cNvSpPr txBox="1"/>
                        <wps:spPr>
                          <a:xfrm>
                            <a:off x="2198126" y="3136978"/>
                            <a:ext cx="75565" cy="188595"/>
                          </a:xfrm>
                          <a:prstGeom prst="rect">
                            <a:avLst/>
                          </a:prstGeom>
                        </wps:spPr>
                        <wps:txbx>
                          <w:txbxContent>
                            <w:p>
                              <w:pPr>
                                <w:spacing w:line="296" w:lineRule="exact" w:before="0"/>
                                <w:ind w:left="0" w:right="0" w:firstLine="0"/>
                                <w:jc w:val="left"/>
                                <w:rPr>
                                  <w:rFonts w:ascii="Calibri"/>
                                  <w:sz w:val="29"/>
                                </w:rPr>
                              </w:pPr>
                              <w:r>
                                <w:rPr>
                                  <w:rFonts w:ascii="Calibri"/>
                                  <w:spacing w:val="-10"/>
                                  <w:w w:val="75"/>
                                  <w:sz w:val="29"/>
                                </w:rPr>
                                <w:t>1</w:t>
                              </w:r>
                            </w:p>
                          </w:txbxContent>
                        </wps:txbx>
                        <wps:bodyPr wrap="square" lIns="0" tIns="0" rIns="0" bIns="0" rtlCol="0">
                          <a:noAutofit/>
                        </wps:bodyPr>
                      </wps:wsp>
                      <wps:wsp>
                        <wps:cNvPr id="472" name="Textbox 472"/>
                        <wps:cNvSpPr txBox="1"/>
                        <wps:spPr>
                          <a:xfrm>
                            <a:off x="3017478" y="3136978"/>
                            <a:ext cx="180340" cy="188595"/>
                          </a:xfrm>
                          <a:prstGeom prst="rect">
                            <a:avLst/>
                          </a:prstGeom>
                        </wps:spPr>
                        <wps:txbx>
                          <w:txbxContent>
                            <w:p>
                              <w:pPr>
                                <w:spacing w:line="296" w:lineRule="exact" w:before="0"/>
                                <w:ind w:left="0" w:right="0" w:firstLine="0"/>
                                <w:jc w:val="left"/>
                                <w:rPr>
                                  <w:rFonts w:ascii="Calibri"/>
                                  <w:sz w:val="29"/>
                                </w:rPr>
                              </w:pPr>
                              <w:r>
                                <w:rPr>
                                  <w:rFonts w:ascii="Calibri"/>
                                  <w:spacing w:val="-5"/>
                                  <w:w w:val="70"/>
                                  <w:sz w:val="29"/>
                                </w:rPr>
                                <w:t>1.5</w:t>
                              </w:r>
                            </w:p>
                          </w:txbxContent>
                        </wps:txbx>
                        <wps:bodyPr wrap="square" lIns="0" tIns="0" rIns="0" bIns="0" rtlCol="0">
                          <a:noAutofit/>
                        </wps:bodyPr>
                      </wps:wsp>
                      <wps:wsp>
                        <wps:cNvPr id="473" name="Textbox 473"/>
                        <wps:cNvSpPr txBox="1"/>
                        <wps:spPr>
                          <a:xfrm>
                            <a:off x="3951074" y="3136978"/>
                            <a:ext cx="75565" cy="188595"/>
                          </a:xfrm>
                          <a:prstGeom prst="rect">
                            <a:avLst/>
                          </a:prstGeom>
                        </wps:spPr>
                        <wps:txbx>
                          <w:txbxContent>
                            <w:p>
                              <w:pPr>
                                <w:spacing w:line="296" w:lineRule="exact" w:before="0"/>
                                <w:ind w:left="0" w:right="0" w:firstLine="0"/>
                                <w:jc w:val="left"/>
                                <w:rPr>
                                  <w:rFonts w:ascii="Calibri"/>
                                  <w:sz w:val="29"/>
                                </w:rPr>
                              </w:pPr>
                              <w:r>
                                <w:rPr>
                                  <w:rFonts w:ascii="Calibri"/>
                                  <w:spacing w:val="-10"/>
                                  <w:w w:val="75"/>
                                  <w:sz w:val="29"/>
                                </w:rPr>
                                <w:t>2</w:t>
                              </w:r>
                            </w:p>
                          </w:txbxContent>
                        </wps:txbx>
                        <wps:bodyPr wrap="square" lIns="0" tIns="0" rIns="0" bIns="0" rtlCol="0">
                          <a:noAutofit/>
                        </wps:bodyPr>
                      </wps:wsp>
                      <wps:wsp>
                        <wps:cNvPr id="474" name="Textbox 474"/>
                        <wps:cNvSpPr txBox="1"/>
                        <wps:spPr>
                          <a:xfrm>
                            <a:off x="4770427" y="3136978"/>
                            <a:ext cx="180340" cy="188595"/>
                          </a:xfrm>
                          <a:prstGeom prst="rect">
                            <a:avLst/>
                          </a:prstGeom>
                        </wps:spPr>
                        <wps:txbx>
                          <w:txbxContent>
                            <w:p>
                              <w:pPr>
                                <w:spacing w:line="296" w:lineRule="exact" w:before="0"/>
                                <w:ind w:left="0" w:right="0" w:firstLine="0"/>
                                <w:jc w:val="left"/>
                                <w:rPr>
                                  <w:rFonts w:ascii="Calibri"/>
                                  <w:sz w:val="29"/>
                                </w:rPr>
                              </w:pPr>
                              <w:r>
                                <w:rPr>
                                  <w:rFonts w:ascii="Calibri"/>
                                  <w:spacing w:val="-5"/>
                                  <w:w w:val="70"/>
                                  <w:sz w:val="29"/>
                                </w:rPr>
                                <w:t>2.5</w:t>
                              </w:r>
                            </w:p>
                          </w:txbxContent>
                        </wps:txbx>
                        <wps:bodyPr wrap="square" lIns="0" tIns="0" rIns="0" bIns="0" rtlCol="0">
                          <a:noAutofit/>
                        </wps:bodyPr>
                      </wps:wsp>
                      <wps:wsp>
                        <wps:cNvPr id="475" name="Textbox 475"/>
                        <wps:cNvSpPr txBox="1"/>
                        <wps:spPr>
                          <a:xfrm>
                            <a:off x="2379063" y="3585549"/>
                            <a:ext cx="560070" cy="188595"/>
                          </a:xfrm>
                          <a:prstGeom prst="rect">
                            <a:avLst/>
                          </a:prstGeom>
                        </wps:spPr>
                        <wps:txbx>
                          <w:txbxContent>
                            <w:p>
                              <w:pPr>
                                <w:spacing w:line="296" w:lineRule="exact" w:before="0"/>
                                <w:ind w:left="0" w:right="0" w:firstLine="0"/>
                                <w:jc w:val="left"/>
                                <w:rPr>
                                  <w:rFonts w:ascii="Calibri"/>
                                  <w:b/>
                                  <w:sz w:val="29"/>
                                </w:rPr>
                              </w:pPr>
                              <w:r>
                                <w:rPr>
                                  <w:rFonts w:ascii="Calibri"/>
                                  <w:b/>
                                  <w:w w:val="70"/>
                                  <w:sz w:val="29"/>
                                </w:rPr>
                                <w:t>L</w:t>
                              </w:r>
                              <w:r>
                                <w:rPr>
                                  <w:rFonts w:ascii="Calibri"/>
                                  <w:b/>
                                  <w:spacing w:val="-9"/>
                                  <w:w w:val="70"/>
                                  <w:sz w:val="29"/>
                                </w:rPr>
                                <w:t> </w:t>
                              </w:r>
                              <w:r>
                                <w:rPr>
                                  <w:rFonts w:ascii="Calibri"/>
                                  <w:b/>
                                  <w:w w:val="70"/>
                                  <w:sz w:val="29"/>
                                </w:rPr>
                                <w:t>og</w:t>
                              </w:r>
                              <w:r>
                                <w:rPr>
                                  <w:rFonts w:ascii="Calibri"/>
                                  <w:b/>
                                  <w:spacing w:val="22"/>
                                  <w:sz w:val="29"/>
                                </w:rPr>
                                <w:t> </w:t>
                              </w:r>
                              <w:r>
                                <w:rPr>
                                  <w:rFonts w:ascii="Calibri"/>
                                  <w:b/>
                                  <w:spacing w:val="5"/>
                                  <w:w w:val="70"/>
                                  <w:sz w:val="29"/>
                                </w:rPr>
                                <w:t>Dose</w:t>
                              </w:r>
                            </w:p>
                          </w:txbxContent>
                        </wps:txbx>
                        <wps:bodyPr wrap="square" lIns="0" tIns="0" rIns="0" bIns="0" rtlCol="0">
                          <a:noAutofit/>
                        </wps:bodyPr>
                      </wps:wsp>
                    </wpg:wgp>
                  </a:graphicData>
                </a:graphic>
              </wp:anchor>
            </w:drawing>
          </mc:Choice>
          <mc:Fallback>
            <w:pict>
              <v:group style="position:absolute;margin-left:111.3349pt;margin-top:146.354141pt;width:398.7pt;height:303.1pt;mso-position-horizontal-relative:page;mso-position-vertical-relative:paragraph;z-index:15813632" id="docshapegroup344" coordorigin="2227,2927" coordsize="7974,6062">
                <v:rect style="position:absolute;left:2237;top:2937;width:7953;height:6041" id="docshape345" filled="false" stroked="true" strokeweight=".994144pt" strokecolor="#808080">
                  <v:stroke dashstyle="solid"/>
                </v:rect>
                <v:shape style="position:absolute;left:2980;top:3541;width:6887;height:3922" id="docshape346" coordorigin="2980,3541" coordsize="6887,3922" path="m2980,7462l9867,7462m2980,7348l9867,7348m2980,7212l9867,7212m2980,7097l9867,7097m2980,6869l9867,6869m2980,6756l9867,6756m2980,6619l9867,6619m2980,6505l9867,6505m2980,6277l9867,6277m2980,6163l9867,6163m2980,6026l9867,6026m2980,5912l9867,5912m2980,5685l9867,5685m2980,5570l9867,5570m2980,5433l9867,5433m2980,5320l9867,5320m2980,5092l9867,5092m2980,4977l9867,4977m2980,4841l9867,4841m2980,4727l9867,4727m2980,4499l9867,4499m2980,4385l9867,4385m2980,4248l9867,4248m2980,4134l9867,4134m2980,3906l9867,3906m2980,3792l9867,3792m2980,3656l9867,3656m2980,3541l9867,3541e" filled="false" stroked="true" strokeweight=".94225pt" strokecolor="#c0c0c0">
                  <v:path arrowok="t"/>
                  <v:stroke dashstyle="solid"/>
                </v:shape>
                <v:shape style="position:absolute;left:2980;top:3427;width:6887;height:3557" id="docshape347" coordorigin="2980,3428" coordsize="6887,3557" path="m2980,6984l9867,6984m2980,6391l9867,6391m2980,5798l9867,5798m2980,5205l9867,5205m2980,4612l9867,4612m2980,4020l9867,4020m2980,3428l9867,3428e" filled="false" stroked="true" strokeweight=".94225pt" strokecolor="#808080">
                  <v:path arrowok="t"/>
                  <v:stroke dashstyle="solid"/>
                </v:shape>
                <v:shape style="position:absolute;left:3250;top:3427;width:6362;height:4126" id="docshape348" coordorigin="3250,3428" coordsize="6362,4126" path="m3250,3428l3250,7553m3535,3428l3535,7553m3805,3428l3805,7553m4090,3428l4090,7553m4630,3428l4630,7553m4916,3428l4916,7553m5186,3428l5186,7553m5471,3428l5471,7553m6011,3428l6011,7553m6296,3428l6296,7553m6566,3428l6566,7553m6851,3428l6851,7553m7391,3428l7391,7553m7677,3428l7677,7553m7947,3428l7947,7553m8232,3428l8232,7553m8772,3428l8772,7553m9057,3428l9057,7553m9327,3428l9327,7553m9612,3428l9612,7553e" filled="false" stroked="true" strokeweight=".94225pt" strokecolor="#c0c0c0">
                  <v:path arrowok="t"/>
                  <v:stroke dashstyle="solid"/>
                </v:shape>
                <v:shape style="position:absolute;left:4360;top:3427;width:5522;height:4126" id="docshape349" coordorigin="4360,3428" coordsize="5522,4126" path="m4360,3428l4360,7553m5741,3428l5741,7553m7121,3428l7121,7553m8502,3428l8502,7553m9882,3428l9882,7553e" filled="false" stroked="true" strokeweight=".94225pt" strokecolor="#808080">
                  <v:path arrowok="t"/>
                  <v:stroke dashstyle="solid"/>
                </v:shape>
                <v:shape style="position:absolute;left:2920;top:3427;width:6962;height:4240" id="docshape350" coordorigin="2920,3428" coordsize="6962,4240" path="m2980,3428l2980,7553m2920,7577l2965,7577m2920,6984l2965,6984m2920,6391l2965,6391m2920,5798l2965,5798m2920,5205l2965,5205m2920,4612l2965,4612m2920,4020l2965,4020m2920,3428l2965,3428m2980,7577l9867,7577m2980,7668l2980,7599m4360,7668l4360,7599m5741,7668l5741,7599m7121,7668l7121,7599m8502,7668l8502,7599m9882,7668l9882,7599e" filled="false" stroked="true" strokeweight=".94225pt" strokecolor="#808080">
                  <v:path arrowok="t"/>
                  <v:stroke dashstyle="solid"/>
                </v:shape>
                <v:shape style="position:absolute;left:5926;top:5538;width:169;height:247" type="#_x0000_t75" id="docshape351" stroked="false">
                  <v:imagedata r:id="rId63" o:title=""/>
                </v:shape>
                <v:shape style="position:absolute;left:6766;top:4489;width:170;height:247" type="#_x0000_t75" id="docshape352" stroked="false">
                  <v:imagedata r:id="rId64" o:title=""/>
                </v:shape>
                <v:shape style="position:absolute;left:7591;top:4238;width:169;height:247" type="#_x0000_t75" id="docshape353" stroked="false">
                  <v:imagedata r:id="rId65" o:title=""/>
                </v:shape>
                <v:shape style="position:absolute;left:8087;top:3942;width:169;height:247" type="#_x0000_t75" id="docshape354" stroked="false">
                  <v:imagedata r:id="rId58" o:title=""/>
                </v:shape>
                <v:shape style="position:absolute;left:8416;top:3508;width:170;height:247" type="#_x0000_t75" id="docshape355" stroked="false">
                  <v:imagedata r:id="rId66" o:title=""/>
                </v:shape>
                <v:line style="position:absolute" from="6011,5502" to="8487,3701" stroked="true" strokeweight="1.001822pt" strokecolor="#000000">
                  <v:stroke dashstyle="solid"/>
                </v:line>
                <v:rect style="position:absolute;left:2237;top:2937;width:7953;height:6041" id="docshape356" filled="false" stroked="true" strokeweight=".994144pt" strokecolor="#808080">
                  <v:stroke dashstyle="solid"/>
                </v:rect>
                <v:shape style="position:absolute;left:2717;top:3284;width:119;height:4446" type="#_x0000_t202" id="docshape357" filled="false" stroked="false">
                  <v:textbox inset="0,0,0,0">
                    <w:txbxContent>
                      <w:p>
                        <w:pPr>
                          <w:spacing w:line="300" w:lineRule="exact" w:before="0"/>
                          <w:ind w:left="0" w:right="0" w:firstLine="0"/>
                          <w:jc w:val="left"/>
                          <w:rPr>
                            <w:rFonts w:ascii="Calibri"/>
                            <w:sz w:val="29"/>
                          </w:rPr>
                        </w:pPr>
                        <w:r>
                          <w:rPr>
                            <w:rFonts w:ascii="Calibri"/>
                            <w:spacing w:val="-10"/>
                            <w:w w:val="75"/>
                            <w:sz w:val="29"/>
                          </w:rPr>
                          <w:t>7</w:t>
                        </w:r>
                      </w:p>
                      <w:p>
                        <w:pPr>
                          <w:spacing w:before="239"/>
                          <w:ind w:left="0" w:right="0" w:firstLine="0"/>
                          <w:jc w:val="left"/>
                          <w:rPr>
                            <w:rFonts w:ascii="Calibri"/>
                            <w:sz w:val="29"/>
                          </w:rPr>
                        </w:pPr>
                        <w:r>
                          <w:rPr>
                            <w:rFonts w:ascii="Calibri"/>
                            <w:spacing w:val="-10"/>
                            <w:w w:val="75"/>
                            <w:sz w:val="29"/>
                          </w:rPr>
                          <w:t>6</w:t>
                        </w:r>
                      </w:p>
                      <w:p>
                        <w:pPr>
                          <w:spacing w:before="239"/>
                          <w:ind w:left="0" w:right="0" w:firstLine="0"/>
                          <w:jc w:val="left"/>
                          <w:rPr>
                            <w:rFonts w:ascii="Calibri"/>
                            <w:sz w:val="29"/>
                          </w:rPr>
                        </w:pPr>
                        <w:r>
                          <w:rPr>
                            <w:rFonts w:ascii="Calibri"/>
                            <w:spacing w:val="-10"/>
                            <w:w w:val="75"/>
                            <w:sz w:val="29"/>
                          </w:rPr>
                          <w:t>5</w:t>
                        </w:r>
                      </w:p>
                      <w:p>
                        <w:pPr>
                          <w:spacing w:before="238"/>
                          <w:ind w:left="0" w:right="0" w:firstLine="0"/>
                          <w:jc w:val="left"/>
                          <w:rPr>
                            <w:rFonts w:ascii="Calibri"/>
                            <w:sz w:val="29"/>
                          </w:rPr>
                        </w:pPr>
                        <w:r>
                          <w:rPr>
                            <w:rFonts w:ascii="Calibri"/>
                            <w:spacing w:val="-10"/>
                            <w:w w:val="75"/>
                            <w:sz w:val="29"/>
                          </w:rPr>
                          <w:t>4</w:t>
                        </w:r>
                      </w:p>
                      <w:p>
                        <w:pPr>
                          <w:spacing w:before="239"/>
                          <w:ind w:left="0" w:right="0" w:firstLine="0"/>
                          <w:jc w:val="left"/>
                          <w:rPr>
                            <w:rFonts w:ascii="Calibri"/>
                            <w:sz w:val="29"/>
                          </w:rPr>
                        </w:pPr>
                        <w:r>
                          <w:rPr>
                            <w:rFonts w:ascii="Calibri"/>
                            <w:spacing w:val="-10"/>
                            <w:w w:val="75"/>
                            <w:sz w:val="29"/>
                          </w:rPr>
                          <w:t>3</w:t>
                        </w:r>
                      </w:p>
                      <w:p>
                        <w:pPr>
                          <w:spacing w:before="238"/>
                          <w:ind w:left="0" w:right="0" w:firstLine="0"/>
                          <w:jc w:val="left"/>
                          <w:rPr>
                            <w:rFonts w:ascii="Calibri"/>
                            <w:sz w:val="29"/>
                          </w:rPr>
                        </w:pPr>
                        <w:r>
                          <w:rPr>
                            <w:rFonts w:ascii="Calibri"/>
                            <w:spacing w:val="-10"/>
                            <w:w w:val="75"/>
                            <w:sz w:val="29"/>
                          </w:rPr>
                          <w:t>2</w:t>
                        </w:r>
                      </w:p>
                      <w:p>
                        <w:pPr>
                          <w:spacing w:before="239"/>
                          <w:ind w:left="0" w:right="0" w:firstLine="0"/>
                          <w:jc w:val="left"/>
                          <w:rPr>
                            <w:rFonts w:ascii="Calibri"/>
                            <w:sz w:val="29"/>
                          </w:rPr>
                        </w:pPr>
                        <w:r>
                          <w:rPr>
                            <w:rFonts w:ascii="Calibri"/>
                            <w:spacing w:val="-10"/>
                            <w:w w:val="75"/>
                            <w:sz w:val="29"/>
                          </w:rPr>
                          <w:t>1</w:t>
                        </w:r>
                      </w:p>
                      <w:p>
                        <w:pPr>
                          <w:spacing w:line="350" w:lineRule="exact" w:before="239"/>
                          <w:ind w:left="0" w:right="0" w:firstLine="0"/>
                          <w:jc w:val="left"/>
                          <w:rPr>
                            <w:rFonts w:ascii="Calibri"/>
                            <w:sz w:val="29"/>
                          </w:rPr>
                        </w:pPr>
                        <w:r>
                          <w:rPr>
                            <w:rFonts w:ascii="Calibri"/>
                            <w:spacing w:val="-10"/>
                            <w:w w:val="75"/>
                            <w:sz w:val="29"/>
                          </w:rPr>
                          <w:t>0</w:t>
                        </w:r>
                      </w:p>
                    </w:txbxContent>
                  </v:textbox>
                  <w10:wrap type="none"/>
                </v:shape>
                <v:shape style="position:absolute;left:2927;top:7867;width:119;height:297" type="#_x0000_t202" id="docshape358" filled="false" stroked="false">
                  <v:textbox inset="0,0,0,0">
                    <w:txbxContent>
                      <w:p>
                        <w:pPr>
                          <w:spacing w:line="296" w:lineRule="exact" w:before="0"/>
                          <w:ind w:left="0" w:right="0" w:firstLine="0"/>
                          <w:jc w:val="left"/>
                          <w:rPr>
                            <w:rFonts w:ascii="Calibri"/>
                            <w:sz w:val="29"/>
                          </w:rPr>
                        </w:pPr>
                        <w:r>
                          <w:rPr>
                            <w:rFonts w:ascii="Calibri"/>
                            <w:spacing w:val="-10"/>
                            <w:w w:val="75"/>
                            <w:sz w:val="29"/>
                          </w:rPr>
                          <w:t>0</w:t>
                        </w:r>
                      </w:p>
                    </w:txbxContent>
                  </v:textbox>
                  <w10:wrap type="none"/>
                </v:shape>
                <v:shape style="position:absolute;left:4218;top:7867;width:284;height:297" type="#_x0000_t202" id="docshape359" filled="false" stroked="false">
                  <v:textbox inset="0,0,0,0">
                    <w:txbxContent>
                      <w:p>
                        <w:pPr>
                          <w:spacing w:line="296" w:lineRule="exact" w:before="0"/>
                          <w:ind w:left="0" w:right="0" w:firstLine="0"/>
                          <w:jc w:val="left"/>
                          <w:rPr>
                            <w:rFonts w:ascii="Calibri"/>
                            <w:sz w:val="29"/>
                          </w:rPr>
                        </w:pPr>
                        <w:r>
                          <w:rPr>
                            <w:rFonts w:ascii="Calibri"/>
                            <w:spacing w:val="-5"/>
                            <w:w w:val="70"/>
                            <w:sz w:val="29"/>
                          </w:rPr>
                          <w:t>0.5</w:t>
                        </w:r>
                      </w:p>
                    </w:txbxContent>
                  </v:textbox>
                  <w10:wrap type="none"/>
                </v:shape>
                <v:shape style="position:absolute;left:5688;top:7867;width:119;height:297" type="#_x0000_t202" id="docshape360" filled="false" stroked="false">
                  <v:textbox inset="0,0,0,0">
                    <w:txbxContent>
                      <w:p>
                        <w:pPr>
                          <w:spacing w:line="296" w:lineRule="exact" w:before="0"/>
                          <w:ind w:left="0" w:right="0" w:firstLine="0"/>
                          <w:jc w:val="left"/>
                          <w:rPr>
                            <w:rFonts w:ascii="Calibri"/>
                            <w:sz w:val="29"/>
                          </w:rPr>
                        </w:pPr>
                        <w:r>
                          <w:rPr>
                            <w:rFonts w:ascii="Calibri"/>
                            <w:spacing w:val="-10"/>
                            <w:w w:val="75"/>
                            <w:sz w:val="29"/>
                          </w:rPr>
                          <w:t>1</w:t>
                        </w:r>
                      </w:p>
                    </w:txbxContent>
                  </v:textbox>
                  <w10:wrap type="none"/>
                </v:shape>
                <v:shape style="position:absolute;left:6978;top:7867;width:284;height:297" type="#_x0000_t202" id="docshape361" filled="false" stroked="false">
                  <v:textbox inset="0,0,0,0">
                    <w:txbxContent>
                      <w:p>
                        <w:pPr>
                          <w:spacing w:line="296" w:lineRule="exact" w:before="0"/>
                          <w:ind w:left="0" w:right="0" w:firstLine="0"/>
                          <w:jc w:val="left"/>
                          <w:rPr>
                            <w:rFonts w:ascii="Calibri"/>
                            <w:sz w:val="29"/>
                          </w:rPr>
                        </w:pPr>
                        <w:r>
                          <w:rPr>
                            <w:rFonts w:ascii="Calibri"/>
                            <w:spacing w:val="-5"/>
                            <w:w w:val="70"/>
                            <w:sz w:val="29"/>
                          </w:rPr>
                          <w:t>1.5</w:t>
                        </w:r>
                      </w:p>
                    </w:txbxContent>
                  </v:textbox>
                  <w10:wrap type="none"/>
                </v:shape>
                <v:shape style="position:absolute;left:8448;top:7867;width:119;height:297" type="#_x0000_t202" id="docshape362" filled="false" stroked="false">
                  <v:textbox inset="0,0,0,0">
                    <w:txbxContent>
                      <w:p>
                        <w:pPr>
                          <w:spacing w:line="296" w:lineRule="exact" w:before="0"/>
                          <w:ind w:left="0" w:right="0" w:firstLine="0"/>
                          <w:jc w:val="left"/>
                          <w:rPr>
                            <w:rFonts w:ascii="Calibri"/>
                            <w:sz w:val="29"/>
                          </w:rPr>
                        </w:pPr>
                        <w:r>
                          <w:rPr>
                            <w:rFonts w:ascii="Calibri"/>
                            <w:spacing w:val="-10"/>
                            <w:w w:val="75"/>
                            <w:sz w:val="29"/>
                          </w:rPr>
                          <w:t>2</w:t>
                        </w:r>
                      </w:p>
                    </w:txbxContent>
                  </v:textbox>
                  <w10:wrap type="none"/>
                </v:shape>
                <v:shape style="position:absolute;left:9739;top:7867;width:284;height:297" type="#_x0000_t202" id="docshape363" filled="false" stroked="false">
                  <v:textbox inset="0,0,0,0">
                    <w:txbxContent>
                      <w:p>
                        <w:pPr>
                          <w:spacing w:line="296" w:lineRule="exact" w:before="0"/>
                          <w:ind w:left="0" w:right="0" w:firstLine="0"/>
                          <w:jc w:val="left"/>
                          <w:rPr>
                            <w:rFonts w:ascii="Calibri"/>
                            <w:sz w:val="29"/>
                          </w:rPr>
                        </w:pPr>
                        <w:r>
                          <w:rPr>
                            <w:rFonts w:ascii="Calibri"/>
                            <w:spacing w:val="-5"/>
                            <w:w w:val="70"/>
                            <w:sz w:val="29"/>
                          </w:rPr>
                          <w:t>2.5</w:t>
                        </w:r>
                      </w:p>
                    </w:txbxContent>
                  </v:textbox>
                  <w10:wrap type="none"/>
                </v:shape>
                <v:shape style="position:absolute;left:5973;top:8573;width:882;height:297" type="#_x0000_t202" id="docshape364" filled="false" stroked="false">
                  <v:textbox inset="0,0,0,0">
                    <w:txbxContent>
                      <w:p>
                        <w:pPr>
                          <w:spacing w:line="296" w:lineRule="exact" w:before="0"/>
                          <w:ind w:left="0" w:right="0" w:firstLine="0"/>
                          <w:jc w:val="left"/>
                          <w:rPr>
                            <w:rFonts w:ascii="Calibri"/>
                            <w:b/>
                            <w:sz w:val="29"/>
                          </w:rPr>
                        </w:pPr>
                        <w:r>
                          <w:rPr>
                            <w:rFonts w:ascii="Calibri"/>
                            <w:b/>
                            <w:w w:val="70"/>
                            <w:sz w:val="29"/>
                          </w:rPr>
                          <w:t>L</w:t>
                        </w:r>
                        <w:r>
                          <w:rPr>
                            <w:rFonts w:ascii="Calibri"/>
                            <w:b/>
                            <w:spacing w:val="-9"/>
                            <w:w w:val="70"/>
                            <w:sz w:val="29"/>
                          </w:rPr>
                          <w:t> </w:t>
                        </w:r>
                        <w:r>
                          <w:rPr>
                            <w:rFonts w:ascii="Calibri"/>
                            <w:b/>
                            <w:w w:val="70"/>
                            <w:sz w:val="29"/>
                          </w:rPr>
                          <w:t>og</w:t>
                        </w:r>
                        <w:r>
                          <w:rPr>
                            <w:rFonts w:ascii="Calibri"/>
                            <w:b/>
                            <w:spacing w:val="22"/>
                            <w:sz w:val="29"/>
                          </w:rPr>
                          <w:t> </w:t>
                        </w:r>
                        <w:r>
                          <w:rPr>
                            <w:rFonts w:ascii="Calibri"/>
                            <w:b/>
                            <w:spacing w:val="5"/>
                            <w:w w:val="70"/>
                            <w:sz w:val="29"/>
                          </w:rPr>
                          <w:t>Dose</w:t>
                        </w:r>
                      </w:p>
                    </w:txbxContent>
                  </v:textbox>
                  <w10:wrap type="none"/>
                </v:shape>
                <w10:wrap type="none"/>
              </v:group>
            </w:pict>
          </mc:Fallback>
        </mc:AlternateContent>
      </w:r>
      <w:r>
        <w:rPr>
          <w:b/>
          <w:sz w:val="24"/>
        </w:rPr>
        <w:t>Log</w:t>
      </w:r>
      <w:r>
        <w:rPr>
          <w:b/>
          <w:spacing w:val="-2"/>
          <w:sz w:val="24"/>
        </w:rPr>
        <w:t> </w:t>
      </w:r>
      <w:r>
        <w:rPr>
          <w:b/>
          <w:sz w:val="24"/>
        </w:rPr>
        <w:t>Dose</w:t>
      </w:r>
      <w:r>
        <w:rPr>
          <w:b/>
          <w:spacing w:val="-2"/>
          <w:sz w:val="24"/>
        </w:rPr>
        <w:t> </w:t>
      </w:r>
      <w:r>
        <w:rPr>
          <w:b/>
          <w:sz w:val="24"/>
        </w:rPr>
        <w:t>– Probit</w:t>
      </w:r>
      <w:r>
        <w:rPr>
          <w:b/>
          <w:spacing w:val="2"/>
          <w:sz w:val="24"/>
        </w:rPr>
        <w:t> </w:t>
      </w:r>
      <w:r>
        <w:rPr>
          <w:b/>
          <w:sz w:val="24"/>
        </w:rPr>
        <w:t>Values</w:t>
      </w:r>
      <w:r>
        <w:rPr>
          <w:b/>
          <w:spacing w:val="-2"/>
          <w:sz w:val="24"/>
        </w:rPr>
        <w:t> </w:t>
      </w:r>
      <w:r>
        <w:rPr>
          <w:b/>
          <w:sz w:val="24"/>
        </w:rPr>
        <w:t>for</w:t>
      </w:r>
      <w:r>
        <w:rPr>
          <w:b/>
          <w:spacing w:val="-7"/>
          <w:sz w:val="24"/>
        </w:rPr>
        <w:t> </w:t>
      </w:r>
      <w:r>
        <w:rPr>
          <w:b/>
          <w:sz w:val="24"/>
        </w:rPr>
        <w:t>ED</w:t>
      </w:r>
      <w:r>
        <w:rPr>
          <w:b/>
          <w:sz w:val="24"/>
          <w:vertAlign w:val="subscript"/>
        </w:rPr>
        <w:t>50</w:t>
      </w:r>
      <w:r>
        <w:rPr>
          <w:b/>
          <w:spacing w:val="-20"/>
          <w:sz w:val="24"/>
          <w:vertAlign w:val="baseline"/>
        </w:rPr>
        <w:t> </w:t>
      </w:r>
      <w:r>
        <w:rPr>
          <w:b/>
          <w:sz w:val="24"/>
          <w:vertAlign w:val="baseline"/>
        </w:rPr>
        <w:t>of</w:t>
      </w:r>
      <w:r>
        <w:rPr>
          <w:b/>
          <w:spacing w:val="-3"/>
          <w:sz w:val="24"/>
          <w:vertAlign w:val="baseline"/>
        </w:rPr>
        <w:t> </w:t>
      </w:r>
      <w:r>
        <w:rPr>
          <w:b/>
          <w:spacing w:val="-4"/>
          <w:sz w:val="24"/>
          <w:vertAlign w:val="baseline"/>
        </w:rPr>
        <w:t>DCP23</w:t>
      </w:r>
    </w:p>
    <w:p>
      <w:pPr>
        <w:pStyle w:val="BodyText"/>
        <w:spacing w:before="110"/>
        <w:rPr>
          <w:b/>
          <w:sz w:val="20"/>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097"/>
        <w:gridCol w:w="1274"/>
      </w:tblGrid>
      <w:tr>
        <w:trPr>
          <w:trHeight w:val="251" w:hRule="atLeast"/>
        </w:trPr>
        <w:tc>
          <w:tcPr>
            <w:tcW w:w="1040" w:type="dxa"/>
          </w:tcPr>
          <w:p>
            <w:pPr>
              <w:pStyle w:val="TableParagraph"/>
              <w:spacing w:line="225" w:lineRule="exact"/>
              <w:ind w:left="50"/>
              <w:rPr>
                <w:rFonts w:ascii="Calibri"/>
                <w:sz w:val="22"/>
              </w:rPr>
            </w:pPr>
            <w:r>
              <w:rPr>
                <w:rFonts w:ascii="Calibri"/>
                <w:sz w:val="22"/>
              </w:rPr>
              <w:t>Log</w:t>
            </w:r>
            <w:r>
              <w:rPr>
                <w:rFonts w:ascii="Calibri"/>
                <w:spacing w:val="-5"/>
                <w:sz w:val="22"/>
              </w:rPr>
              <w:t> </w:t>
            </w:r>
            <w:r>
              <w:rPr>
                <w:rFonts w:ascii="Calibri"/>
                <w:spacing w:val="-4"/>
                <w:sz w:val="22"/>
              </w:rPr>
              <w:t>Dose</w:t>
            </w:r>
          </w:p>
        </w:tc>
        <w:tc>
          <w:tcPr>
            <w:tcW w:w="1097" w:type="dxa"/>
          </w:tcPr>
          <w:p>
            <w:pPr>
              <w:pStyle w:val="TableParagraph"/>
              <w:spacing w:line="225" w:lineRule="exact"/>
              <w:ind w:left="109"/>
              <w:rPr>
                <w:rFonts w:ascii="Calibri"/>
                <w:sz w:val="22"/>
              </w:rPr>
            </w:pPr>
            <w:r>
              <w:rPr>
                <w:rFonts w:ascii="Calibri"/>
                <w:spacing w:val="-2"/>
                <w:sz w:val="22"/>
              </w:rPr>
              <w:t>Probit</w:t>
            </w:r>
          </w:p>
        </w:tc>
        <w:tc>
          <w:tcPr>
            <w:tcW w:w="1274" w:type="dxa"/>
          </w:tcPr>
          <w:p>
            <w:pPr>
              <w:pStyle w:val="TableParagraph"/>
              <w:spacing w:line="225" w:lineRule="exact"/>
              <w:ind w:left="107"/>
              <w:rPr>
                <w:rFonts w:ascii="Calibri"/>
                <w:sz w:val="22"/>
              </w:rPr>
            </w:pPr>
            <w:r>
              <w:rPr>
                <w:rFonts w:ascii="Calibri"/>
                <w:spacing w:val="-2"/>
                <w:sz w:val="22"/>
              </w:rPr>
              <w:t>PICROTOXIN</w:t>
            </w:r>
          </w:p>
        </w:tc>
      </w:tr>
      <w:tr>
        <w:trPr>
          <w:trHeight w:val="285" w:hRule="atLeast"/>
        </w:trPr>
        <w:tc>
          <w:tcPr>
            <w:tcW w:w="1040" w:type="dxa"/>
          </w:tcPr>
          <w:p>
            <w:pPr>
              <w:pStyle w:val="TableParagraph"/>
              <w:spacing w:line="256" w:lineRule="exact"/>
              <w:ind w:right="108"/>
              <w:jc w:val="right"/>
              <w:rPr>
                <w:rFonts w:ascii="Calibri"/>
                <w:sz w:val="22"/>
              </w:rPr>
            </w:pPr>
            <w:r>
              <w:rPr>
                <w:rFonts w:ascii="Calibri"/>
                <w:spacing w:val="-5"/>
                <w:sz w:val="22"/>
              </w:rPr>
              <w:t>1.1</w:t>
            </w:r>
          </w:p>
        </w:tc>
        <w:tc>
          <w:tcPr>
            <w:tcW w:w="1097" w:type="dxa"/>
          </w:tcPr>
          <w:p>
            <w:pPr>
              <w:pStyle w:val="TableParagraph"/>
              <w:spacing w:line="256" w:lineRule="exact"/>
              <w:ind w:right="105"/>
              <w:jc w:val="right"/>
              <w:rPr>
                <w:rFonts w:ascii="Calibri"/>
                <w:sz w:val="22"/>
              </w:rPr>
            </w:pPr>
            <w:r>
              <w:rPr>
                <w:rFonts w:ascii="Calibri"/>
                <w:spacing w:val="-4"/>
                <w:sz w:val="22"/>
              </w:rPr>
              <w:t>3.25</w:t>
            </w:r>
          </w:p>
        </w:tc>
        <w:tc>
          <w:tcPr>
            <w:tcW w:w="1274" w:type="dxa"/>
          </w:tcPr>
          <w:p>
            <w:pPr>
              <w:pStyle w:val="TableParagraph"/>
              <w:rPr>
                <w:sz w:val="20"/>
              </w:rPr>
            </w:pP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5"/>
                <w:sz w:val="22"/>
              </w:rPr>
              <w:t>1.4</w:t>
            </w:r>
          </w:p>
        </w:tc>
        <w:tc>
          <w:tcPr>
            <w:tcW w:w="1097" w:type="dxa"/>
          </w:tcPr>
          <w:p>
            <w:pPr>
              <w:pStyle w:val="TableParagraph"/>
              <w:spacing w:line="258" w:lineRule="exact"/>
              <w:ind w:right="105"/>
              <w:jc w:val="right"/>
              <w:rPr>
                <w:rFonts w:ascii="Calibri"/>
                <w:sz w:val="22"/>
              </w:rPr>
            </w:pPr>
            <w:r>
              <w:rPr>
                <w:rFonts w:ascii="Calibri"/>
                <w:spacing w:val="-10"/>
                <w:sz w:val="22"/>
              </w:rPr>
              <w:t>5</w:t>
            </w:r>
          </w:p>
        </w:tc>
        <w:tc>
          <w:tcPr>
            <w:tcW w:w="1274" w:type="dxa"/>
          </w:tcPr>
          <w:p>
            <w:pPr>
              <w:pStyle w:val="TableParagraph"/>
              <w:rPr>
                <w:sz w:val="20"/>
              </w:rPr>
            </w:pPr>
          </w:p>
        </w:tc>
      </w:tr>
      <w:tr>
        <w:trPr>
          <w:trHeight w:val="283" w:hRule="atLeast"/>
        </w:trPr>
        <w:tc>
          <w:tcPr>
            <w:tcW w:w="1040" w:type="dxa"/>
          </w:tcPr>
          <w:p>
            <w:pPr>
              <w:pStyle w:val="TableParagraph"/>
              <w:spacing w:line="256" w:lineRule="exact"/>
              <w:ind w:right="108"/>
              <w:jc w:val="right"/>
              <w:rPr>
                <w:rFonts w:ascii="Calibri"/>
                <w:sz w:val="22"/>
              </w:rPr>
            </w:pPr>
            <w:r>
              <w:rPr>
                <w:rFonts w:ascii="Calibri"/>
                <w:spacing w:val="-5"/>
                <w:sz w:val="22"/>
              </w:rPr>
              <w:t>1.7</w:t>
            </w:r>
          </w:p>
        </w:tc>
        <w:tc>
          <w:tcPr>
            <w:tcW w:w="1097" w:type="dxa"/>
          </w:tcPr>
          <w:p>
            <w:pPr>
              <w:pStyle w:val="TableParagraph"/>
              <w:spacing w:line="256" w:lineRule="exact"/>
              <w:ind w:right="105"/>
              <w:jc w:val="right"/>
              <w:rPr>
                <w:rFonts w:ascii="Calibri"/>
                <w:sz w:val="22"/>
              </w:rPr>
            </w:pPr>
            <w:r>
              <w:rPr>
                <w:rFonts w:ascii="Calibri"/>
                <w:spacing w:val="-4"/>
                <w:sz w:val="22"/>
              </w:rPr>
              <w:t>5.41</w:t>
            </w:r>
          </w:p>
        </w:tc>
        <w:tc>
          <w:tcPr>
            <w:tcW w:w="1274" w:type="dxa"/>
          </w:tcPr>
          <w:p>
            <w:pPr>
              <w:pStyle w:val="TableParagraph"/>
              <w:rPr>
                <w:sz w:val="20"/>
              </w:rPr>
            </w:pPr>
          </w:p>
        </w:tc>
      </w:tr>
      <w:tr>
        <w:trPr>
          <w:trHeight w:val="285" w:hRule="atLeast"/>
        </w:trPr>
        <w:tc>
          <w:tcPr>
            <w:tcW w:w="1040" w:type="dxa"/>
          </w:tcPr>
          <w:p>
            <w:pPr>
              <w:pStyle w:val="TableParagraph"/>
              <w:spacing w:line="256" w:lineRule="exact"/>
              <w:ind w:right="108"/>
              <w:jc w:val="right"/>
              <w:rPr>
                <w:rFonts w:ascii="Calibri"/>
                <w:sz w:val="22"/>
              </w:rPr>
            </w:pPr>
            <w:r>
              <w:rPr>
                <w:rFonts w:ascii="Calibri"/>
                <w:spacing w:val="-4"/>
                <w:sz w:val="22"/>
              </w:rPr>
              <w:t>1.88</w:t>
            </w:r>
          </w:p>
        </w:tc>
        <w:tc>
          <w:tcPr>
            <w:tcW w:w="1097" w:type="dxa"/>
          </w:tcPr>
          <w:p>
            <w:pPr>
              <w:pStyle w:val="TableParagraph"/>
              <w:spacing w:line="256" w:lineRule="exact"/>
              <w:ind w:right="105"/>
              <w:jc w:val="right"/>
              <w:rPr>
                <w:rFonts w:ascii="Calibri"/>
                <w:sz w:val="22"/>
              </w:rPr>
            </w:pPr>
            <w:r>
              <w:rPr>
                <w:rFonts w:ascii="Calibri"/>
                <w:spacing w:val="-4"/>
                <w:sz w:val="22"/>
              </w:rPr>
              <w:t>5.92</w:t>
            </w:r>
          </w:p>
        </w:tc>
        <w:tc>
          <w:tcPr>
            <w:tcW w:w="1274" w:type="dxa"/>
          </w:tcPr>
          <w:p>
            <w:pPr>
              <w:pStyle w:val="TableParagraph"/>
              <w:rPr>
                <w:sz w:val="20"/>
              </w:rPr>
            </w:pPr>
          </w:p>
        </w:tc>
      </w:tr>
      <w:tr>
        <w:trPr>
          <w:trHeight w:val="254" w:hRule="atLeast"/>
        </w:trPr>
        <w:tc>
          <w:tcPr>
            <w:tcW w:w="1040" w:type="dxa"/>
          </w:tcPr>
          <w:p>
            <w:pPr>
              <w:pStyle w:val="TableParagraph"/>
              <w:spacing w:line="235" w:lineRule="exact"/>
              <w:ind w:right="108"/>
              <w:jc w:val="right"/>
              <w:rPr>
                <w:rFonts w:ascii="Calibri"/>
                <w:sz w:val="22"/>
              </w:rPr>
            </w:pPr>
            <w:r>
              <w:rPr>
                <w:rFonts w:ascii="Calibri"/>
                <w:spacing w:val="-10"/>
                <w:sz w:val="22"/>
              </w:rPr>
              <w:t>2</w:t>
            </w:r>
          </w:p>
        </w:tc>
        <w:tc>
          <w:tcPr>
            <w:tcW w:w="1097" w:type="dxa"/>
          </w:tcPr>
          <w:p>
            <w:pPr>
              <w:pStyle w:val="TableParagraph"/>
              <w:spacing w:line="235" w:lineRule="exact"/>
              <w:ind w:right="105"/>
              <w:jc w:val="right"/>
              <w:rPr>
                <w:rFonts w:ascii="Calibri"/>
                <w:sz w:val="22"/>
              </w:rPr>
            </w:pPr>
            <w:r>
              <w:rPr>
                <w:rFonts w:ascii="Calibri"/>
                <w:spacing w:val="-4"/>
                <w:sz w:val="22"/>
              </w:rPr>
              <w:t>6.64</w:t>
            </w:r>
          </w:p>
        </w:tc>
        <w:tc>
          <w:tcPr>
            <w:tcW w:w="1274" w:type="dxa"/>
          </w:tcPr>
          <w:p>
            <w:pPr>
              <w:pStyle w:val="TableParagraph"/>
              <w:rPr>
                <w:sz w:val="18"/>
              </w:rPr>
            </w:pP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9"/>
        <w:rPr>
          <w:b/>
        </w:rPr>
      </w:pPr>
    </w:p>
    <w:p>
      <w:pPr>
        <w:pStyle w:val="BodyText"/>
        <w:spacing w:line="480" w:lineRule="auto" w:before="1"/>
        <w:ind w:left="681" w:right="284"/>
      </w:pPr>
      <w:r>
        <w:rPr/>
        <mc:AlternateContent>
          <mc:Choice Requires="wps">
            <w:drawing>
              <wp:anchor distT="0" distB="0" distL="0" distR="0" allowOverlap="1" layoutInCell="1" locked="0" behindDoc="0" simplePos="0" relativeHeight="15814144">
                <wp:simplePos x="0" y="0"/>
                <wp:positionH relativeFrom="page">
                  <wp:posOffset>1457977</wp:posOffset>
                </wp:positionH>
                <wp:positionV relativeFrom="paragraph">
                  <wp:posOffset>-2734174</wp:posOffset>
                </wp:positionV>
                <wp:extent cx="149860" cy="58102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149860" cy="581025"/>
                        </a:xfrm>
                        <a:prstGeom prst="rect">
                          <a:avLst/>
                        </a:prstGeom>
                      </wps:spPr>
                      <wps:txbx>
                        <w:txbxContent>
                          <w:p>
                            <w:pPr>
                              <w:spacing w:line="217" w:lineRule="exact" w:before="0"/>
                              <w:ind w:left="20" w:right="0" w:firstLine="0"/>
                              <w:jc w:val="left"/>
                              <w:rPr>
                                <w:rFonts w:ascii="Calibri"/>
                                <w:b/>
                                <w:sz w:val="19"/>
                              </w:rPr>
                            </w:pPr>
                            <w:r>
                              <w:rPr>
                                <w:rFonts w:ascii="Calibri"/>
                                <w:b/>
                                <w:w w:val="155"/>
                                <w:sz w:val="19"/>
                              </w:rPr>
                              <w:t>P</w:t>
                            </w:r>
                            <w:r>
                              <w:rPr>
                                <w:rFonts w:ascii="Calibri"/>
                                <w:b/>
                                <w:spacing w:val="-20"/>
                                <w:w w:val="155"/>
                                <w:sz w:val="19"/>
                              </w:rPr>
                              <w:t> </w:t>
                            </w:r>
                            <w:r>
                              <w:rPr>
                                <w:rFonts w:ascii="Calibri"/>
                                <w:b/>
                                <w:spacing w:val="11"/>
                                <w:w w:val="155"/>
                                <w:sz w:val="19"/>
                              </w:rPr>
                              <w:t>robit</w:t>
                            </w:r>
                          </w:p>
                        </w:txbxContent>
                      </wps:txbx>
                      <wps:bodyPr wrap="square" lIns="0" tIns="0" rIns="0" bIns="0" rtlCol="0" vert="vert270">
                        <a:noAutofit/>
                      </wps:bodyPr>
                    </wps:wsp>
                  </a:graphicData>
                </a:graphic>
              </wp:anchor>
            </w:drawing>
          </mc:Choice>
          <mc:Fallback>
            <w:pict>
              <v:shape style="position:absolute;margin-left:114.801361pt;margin-top:-215.289307pt;width:11.8pt;height:45.75pt;mso-position-horizontal-relative:page;mso-position-vertical-relative:paragraph;z-index:15814144" type="#_x0000_t202" id="docshape365" filled="false" stroked="false">
                <v:textbox inset="0,0,0,0" style="layout-flow:vertical;mso-layout-flow-alt:bottom-to-top">
                  <w:txbxContent>
                    <w:p>
                      <w:pPr>
                        <w:spacing w:line="217" w:lineRule="exact" w:before="0"/>
                        <w:ind w:left="20" w:right="0" w:firstLine="0"/>
                        <w:jc w:val="left"/>
                        <w:rPr>
                          <w:rFonts w:ascii="Calibri"/>
                          <w:b/>
                          <w:sz w:val="19"/>
                        </w:rPr>
                      </w:pPr>
                      <w:r>
                        <w:rPr>
                          <w:rFonts w:ascii="Calibri"/>
                          <w:b/>
                          <w:w w:val="155"/>
                          <w:sz w:val="19"/>
                        </w:rPr>
                        <w:t>P</w:t>
                      </w:r>
                      <w:r>
                        <w:rPr>
                          <w:rFonts w:ascii="Calibri"/>
                          <w:b/>
                          <w:spacing w:val="-20"/>
                          <w:w w:val="155"/>
                          <w:sz w:val="19"/>
                        </w:rPr>
                        <w:t> </w:t>
                      </w:r>
                      <w:r>
                        <w:rPr>
                          <w:rFonts w:ascii="Calibri"/>
                          <w:b/>
                          <w:spacing w:val="11"/>
                          <w:w w:val="155"/>
                          <w:sz w:val="19"/>
                        </w:rPr>
                        <w:t>robit</w:t>
                      </w:r>
                    </w:p>
                  </w:txbxContent>
                </v:textbox>
                <w10:wrap type="none"/>
              </v:shape>
            </w:pict>
          </mc:Fallback>
        </mc:AlternateContent>
      </w:r>
      <w:r>
        <w:rPr>
          <w:b/>
        </w:rPr>
        <w:t>FIGURE</w:t>
      </w:r>
      <w:r>
        <w:rPr>
          <w:b/>
          <w:spacing w:val="40"/>
        </w:rPr>
        <w:t> </w:t>
      </w:r>
      <w:r>
        <w:rPr>
          <w:b/>
        </w:rPr>
        <w:t>7:</w:t>
      </w:r>
      <w:r>
        <w:rPr>
          <w:b/>
          <w:spacing w:val="40"/>
        </w:rPr>
        <w:t> </w:t>
      </w:r>
      <w:r>
        <w:rPr/>
        <w:t>Graphical</w:t>
      </w:r>
      <w:r>
        <w:rPr>
          <w:spacing w:val="40"/>
        </w:rPr>
        <w:t> </w:t>
      </w:r>
      <w:r>
        <w:rPr/>
        <w:t>Determination</w:t>
      </w:r>
      <w:r>
        <w:rPr>
          <w:spacing w:val="40"/>
        </w:rPr>
        <w:t> </w:t>
      </w:r>
      <w:r>
        <w:rPr/>
        <w:t>of</w:t>
      </w:r>
      <w:r>
        <w:rPr>
          <w:spacing w:val="40"/>
        </w:rPr>
        <w:t> </w:t>
      </w:r>
      <w:r>
        <w:rPr/>
        <w:t>ED</w:t>
      </w:r>
      <w:r>
        <w:rPr>
          <w:vertAlign w:val="subscript"/>
        </w:rPr>
        <w:t>50</w:t>
      </w:r>
      <w:r>
        <w:rPr>
          <w:spacing w:val="40"/>
          <w:vertAlign w:val="baseline"/>
        </w:rPr>
        <w:t> </w:t>
      </w:r>
      <w:r>
        <w:rPr>
          <w:vertAlign w:val="baseline"/>
        </w:rPr>
        <w:t>for</w:t>
      </w:r>
      <w:r>
        <w:rPr>
          <w:spacing w:val="40"/>
          <w:vertAlign w:val="baseline"/>
        </w:rPr>
        <w:t> </w:t>
      </w:r>
      <w:r>
        <w:rPr>
          <w:vertAlign w:val="baseline"/>
        </w:rPr>
        <w:t>DCP23</w:t>
      </w:r>
      <w:r>
        <w:rPr>
          <w:spacing w:val="40"/>
          <w:vertAlign w:val="baseline"/>
        </w:rPr>
        <w:t> </w:t>
      </w:r>
      <w:r>
        <w:rPr>
          <w:vertAlign w:val="baseline"/>
        </w:rPr>
        <w:t>Using</w:t>
      </w:r>
      <w:r>
        <w:rPr>
          <w:spacing w:val="40"/>
          <w:vertAlign w:val="baseline"/>
        </w:rPr>
        <w:t> </w:t>
      </w:r>
      <w:r>
        <w:rPr>
          <w:vertAlign w:val="baseline"/>
        </w:rPr>
        <w:t>Picrotoxin-induced Seizure Test</w:t>
      </w:r>
    </w:p>
    <w:p>
      <w:pPr>
        <w:spacing w:after="0" w:line="480" w:lineRule="auto"/>
        <w:sectPr>
          <w:pgSz w:w="12240" w:h="15840"/>
          <w:pgMar w:header="0" w:footer="1066" w:top="1360" w:bottom="1260" w:left="1480" w:right="1160"/>
        </w:sectPr>
      </w:pPr>
    </w:p>
    <w:p>
      <w:pPr>
        <w:pStyle w:val="Heading2"/>
        <w:spacing w:before="77"/>
        <w:jc w:val="left"/>
      </w:pPr>
      <w:r>
        <w:rPr/>
        <w:t>APPENDIX</w:t>
      </w:r>
      <w:r>
        <w:rPr>
          <w:spacing w:val="-2"/>
        </w:rPr>
        <w:t> </w:t>
      </w:r>
      <w:r>
        <w:rPr/>
        <w:t>H:</w:t>
      </w:r>
      <w:r>
        <w:rPr>
          <w:spacing w:val="1"/>
        </w:rPr>
        <w:t> </w:t>
      </w:r>
      <w:r>
        <w:rPr/>
        <w:t>Determination of</w:t>
      </w:r>
      <w:r>
        <w:rPr>
          <w:spacing w:val="-4"/>
        </w:rPr>
        <w:t> </w:t>
      </w:r>
      <w:r>
        <w:rPr/>
        <w:t>ED</w:t>
      </w:r>
      <w:r>
        <w:rPr>
          <w:vertAlign w:val="subscript"/>
        </w:rPr>
        <w:t>50</w:t>
      </w:r>
      <w:r>
        <w:rPr>
          <w:spacing w:val="1"/>
          <w:vertAlign w:val="baseline"/>
        </w:rPr>
        <w:t> </w:t>
      </w:r>
      <w:r>
        <w:rPr>
          <w:vertAlign w:val="baseline"/>
        </w:rPr>
        <w:t>for</w:t>
      </w:r>
      <w:r>
        <w:rPr>
          <w:spacing w:val="-7"/>
          <w:vertAlign w:val="baseline"/>
        </w:rPr>
        <w:t> </w:t>
      </w:r>
      <w:r>
        <w:rPr>
          <w:vertAlign w:val="baseline"/>
        </w:rPr>
        <w:t>DCP25</w:t>
      </w:r>
      <w:r>
        <w:rPr>
          <w:spacing w:val="-1"/>
          <w:vertAlign w:val="baseline"/>
        </w:rPr>
        <w:t> </w:t>
      </w:r>
      <w:r>
        <w:rPr>
          <w:vertAlign w:val="baseline"/>
        </w:rPr>
        <w:t>Using</w:t>
      </w:r>
      <w:r>
        <w:rPr>
          <w:spacing w:val="-1"/>
          <w:vertAlign w:val="baseline"/>
        </w:rPr>
        <w:t> </w:t>
      </w:r>
      <w:r>
        <w:rPr>
          <w:vertAlign w:val="baseline"/>
        </w:rPr>
        <w:t>Picrotoxin-induced</w:t>
      </w:r>
      <w:r>
        <w:rPr>
          <w:spacing w:val="-1"/>
          <w:vertAlign w:val="baseline"/>
        </w:rPr>
        <w:t> </w:t>
      </w:r>
      <w:r>
        <w:rPr>
          <w:spacing w:val="-4"/>
          <w:vertAlign w:val="baseline"/>
        </w:rPr>
        <w:t>Test</w:t>
      </w:r>
    </w:p>
    <w:p>
      <w:pPr>
        <w:pStyle w:val="BodyText"/>
        <w:spacing w:before="273"/>
        <w:rPr>
          <w:b/>
        </w:rPr>
      </w:pPr>
    </w:p>
    <w:p>
      <w:pPr>
        <w:spacing w:before="0"/>
        <w:ind w:left="681" w:right="0" w:firstLine="0"/>
        <w:jc w:val="left"/>
        <w:rPr>
          <w:b/>
          <w:sz w:val="24"/>
        </w:rPr>
      </w:pPr>
      <w:r>
        <w:rPr/>
        <mc:AlternateContent>
          <mc:Choice Requires="wps">
            <w:drawing>
              <wp:anchor distT="0" distB="0" distL="0" distR="0" allowOverlap="1" layoutInCell="1" locked="0" behindDoc="0" simplePos="0" relativeHeight="15814656">
                <wp:simplePos x="0" y="0"/>
                <wp:positionH relativeFrom="page">
                  <wp:posOffset>1413573</wp:posOffset>
                </wp:positionH>
                <wp:positionV relativeFrom="paragraph">
                  <wp:posOffset>1680222</wp:posOffset>
                </wp:positionV>
                <wp:extent cx="5064125" cy="4102735"/>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5064125" cy="4102735"/>
                          <a:chExt cx="5064125" cy="4102735"/>
                        </a:xfrm>
                      </wpg:grpSpPr>
                      <wps:wsp>
                        <wps:cNvPr id="478" name="Graphic 478"/>
                        <wps:cNvSpPr/>
                        <wps:spPr>
                          <a:xfrm>
                            <a:off x="7098" y="7098"/>
                            <a:ext cx="5050155" cy="4088765"/>
                          </a:xfrm>
                          <a:custGeom>
                            <a:avLst/>
                            <a:gdLst/>
                            <a:ahLst/>
                            <a:cxnLst/>
                            <a:rect l="l" t="t" r="r" b="b"/>
                            <a:pathLst>
                              <a:path w="5050155" h="4088765">
                                <a:moveTo>
                                  <a:pt x="0" y="4088376"/>
                                </a:moveTo>
                                <a:lnTo>
                                  <a:pt x="5049632" y="4088376"/>
                                </a:lnTo>
                                <a:lnTo>
                                  <a:pt x="5049632" y="0"/>
                                </a:lnTo>
                                <a:lnTo>
                                  <a:pt x="0" y="0"/>
                                </a:lnTo>
                                <a:lnTo>
                                  <a:pt x="0" y="4088376"/>
                                </a:lnTo>
                                <a:close/>
                              </a:path>
                            </a:pathLst>
                          </a:custGeom>
                          <a:ln w="13051">
                            <a:solidFill>
                              <a:srgbClr val="808080"/>
                            </a:solidFill>
                            <a:prstDash val="solid"/>
                          </a:ln>
                        </wps:spPr>
                        <wps:bodyPr wrap="square" lIns="0" tIns="0" rIns="0" bIns="0" rtlCol="0">
                          <a:prstTxWarp prst="textNoShape">
                            <a:avLst/>
                          </a:prstTxWarp>
                          <a:noAutofit/>
                        </wps:bodyPr>
                      </wps:wsp>
                      <wps:wsp>
                        <wps:cNvPr id="479" name="Graphic 479"/>
                        <wps:cNvSpPr/>
                        <wps:spPr>
                          <a:xfrm>
                            <a:off x="478778" y="415526"/>
                            <a:ext cx="4373245" cy="2654300"/>
                          </a:xfrm>
                          <a:custGeom>
                            <a:avLst/>
                            <a:gdLst/>
                            <a:ahLst/>
                            <a:cxnLst/>
                            <a:rect l="l" t="t" r="r" b="b"/>
                            <a:pathLst>
                              <a:path w="4373245" h="2654300">
                                <a:moveTo>
                                  <a:pt x="0" y="2654011"/>
                                </a:moveTo>
                                <a:lnTo>
                                  <a:pt x="4373177" y="2654011"/>
                                </a:lnTo>
                              </a:path>
                              <a:path w="4373245" h="2654300">
                                <a:moveTo>
                                  <a:pt x="0" y="2592516"/>
                                </a:moveTo>
                                <a:lnTo>
                                  <a:pt x="4373177" y="2592516"/>
                                </a:lnTo>
                              </a:path>
                              <a:path w="4373245" h="2654300">
                                <a:moveTo>
                                  <a:pt x="0" y="2515135"/>
                                </a:moveTo>
                                <a:lnTo>
                                  <a:pt x="4373177" y="2515135"/>
                                </a:lnTo>
                              </a:path>
                              <a:path w="4373245" h="2654300">
                                <a:moveTo>
                                  <a:pt x="0" y="2453640"/>
                                </a:moveTo>
                                <a:lnTo>
                                  <a:pt x="4373177" y="2453640"/>
                                </a:lnTo>
                              </a:path>
                              <a:path w="4373245" h="2654300">
                                <a:moveTo>
                                  <a:pt x="0" y="2314764"/>
                                </a:moveTo>
                                <a:lnTo>
                                  <a:pt x="4373177" y="2314764"/>
                                </a:lnTo>
                              </a:path>
                              <a:path w="4373245" h="2654300">
                                <a:moveTo>
                                  <a:pt x="0" y="2237384"/>
                                </a:moveTo>
                                <a:lnTo>
                                  <a:pt x="4373177" y="2237384"/>
                                </a:lnTo>
                              </a:path>
                              <a:path w="4373245" h="2654300">
                                <a:moveTo>
                                  <a:pt x="0" y="2175889"/>
                                </a:moveTo>
                                <a:lnTo>
                                  <a:pt x="4373177" y="2175889"/>
                                </a:lnTo>
                              </a:path>
                              <a:path w="4373245" h="2654300">
                                <a:moveTo>
                                  <a:pt x="0" y="2098508"/>
                                </a:moveTo>
                                <a:lnTo>
                                  <a:pt x="4373177" y="2098508"/>
                                </a:lnTo>
                              </a:path>
                              <a:path w="4373245" h="2654300">
                                <a:moveTo>
                                  <a:pt x="0" y="1959632"/>
                                </a:moveTo>
                                <a:lnTo>
                                  <a:pt x="4373177" y="1959632"/>
                                </a:lnTo>
                              </a:path>
                              <a:path w="4373245" h="2654300">
                                <a:moveTo>
                                  <a:pt x="0" y="1882764"/>
                                </a:moveTo>
                                <a:lnTo>
                                  <a:pt x="4373177" y="1882764"/>
                                </a:lnTo>
                              </a:path>
                              <a:path w="4373245" h="2654300">
                                <a:moveTo>
                                  <a:pt x="0" y="1820757"/>
                                </a:moveTo>
                                <a:lnTo>
                                  <a:pt x="4373177" y="1820757"/>
                                </a:lnTo>
                              </a:path>
                              <a:path w="4373245" h="2654300">
                                <a:moveTo>
                                  <a:pt x="0" y="1743888"/>
                                </a:moveTo>
                                <a:lnTo>
                                  <a:pt x="4373177" y="1743888"/>
                                </a:lnTo>
                              </a:path>
                              <a:path w="4373245" h="2654300">
                                <a:moveTo>
                                  <a:pt x="0" y="1605013"/>
                                </a:moveTo>
                                <a:lnTo>
                                  <a:pt x="4373177" y="1605013"/>
                                </a:lnTo>
                              </a:path>
                              <a:path w="4373245" h="2654300">
                                <a:moveTo>
                                  <a:pt x="0" y="1543108"/>
                                </a:moveTo>
                                <a:lnTo>
                                  <a:pt x="4373177" y="1543108"/>
                                </a:lnTo>
                              </a:path>
                              <a:path w="4373245" h="2654300">
                                <a:moveTo>
                                  <a:pt x="0" y="1466239"/>
                                </a:moveTo>
                                <a:lnTo>
                                  <a:pt x="4373177" y="1466239"/>
                                </a:lnTo>
                              </a:path>
                              <a:path w="4373245" h="2654300">
                                <a:moveTo>
                                  <a:pt x="0" y="1404130"/>
                                </a:moveTo>
                                <a:lnTo>
                                  <a:pt x="4373177" y="1404130"/>
                                </a:lnTo>
                              </a:path>
                              <a:path w="4373245" h="2654300">
                                <a:moveTo>
                                  <a:pt x="0" y="1249983"/>
                                </a:moveTo>
                                <a:lnTo>
                                  <a:pt x="4373177" y="1249983"/>
                                </a:lnTo>
                              </a:path>
                              <a:path w="4373245" h="2654300">
                                <a:moveTo>
                                  <a:pt x="0" y="1188488"/>
                                </a:moveTo>
                                <a:lnTo>
                                  <a:pt x="4373177" y="1188488"/>
                                </a:lnTo>
                              </a:path>
                              <a:path w="4373245" h="2654300">
                                <a:moveTo>
                                  <a:pt x="0" y="1111005"/>
                                </a:moveTo>
                                <a:lnTo>
                                  <a:pt x="4373177" y="1111005"/>
                                </a:lnTo>
                              </a:path>
                              <a:path w="4373245" h="2654300">
                                <a:moveTo>
                                  <a:pt x="0" y="1049510"/>
                                </a:moveTo>
                                <a:lnTo>
                                  <a:pt x="4373177" y="1049510"/>
                                </a:lnTo>
                              </a:path>
                              <a:path w="4373245" h="2654300">
                                <a:moveTo>
                                  <a:pt x="0" y="910532"/>
                                </a:moveTo>
                                <a:lnTo>
                                  <a:pt x="4373177" y="910532"/>
                                </a:lnTo>
                              </a:path>
                              <a:path w="4373245" h="2654300">
                                <a:moveTo>
                                  <a:pt x="0" y="833253"/>
                                </a:moveTo>
                                <a:lnTo>
                                  <a:pt x="4373177" y="833253"/>
                                </a:lnTo>
                              </a:path>
                              <a:path w="4373245" h="2654300">
                                <a:moveTo>
                                  <a:pt x="0" y="771759"/>
                                </a:moveTo>
                                <a:lnTo>
                                  <a:pt x="4373177" y="771759"/>
                                </a:lnTo>
                              </a:path>
                              <a:path w="4373245" h="2654300">
                                <a:moveTo>
                                  <a:pt x="0" y="694275"/>
                                </a:moveTo>
                                <a:lnTo>
                                  <a:pt x="4373177" y="694275"/>
                                </a:lnTo>
                              </a:path>
                              <a:path w="4373245" h="2654300">
                                <a:moveTo>
                                  <a:pt x="0" y="555502"/>
                                </a:moveTo>
                                <a:lnTo>
                                  <a:pt x="4373177" y="555502"/>
                                </a:lnTo>
                              </a:path>
                              <a:path w="4373245" h="2654300">
                                <a:moveTo>
                                  <a:pt x="0" y="478634"/>
                                </a:moveTo>
                                <a:lnTo>
                                  <a:pt x="4373177" y="478634"/>
                                </a:lnTo>
                              </a:path>
                              <a:path w="4373245" h="2654300">
                                <a:moveTo>
                                  <a:pt x="0" y="416524"/>
                                </a:moveTo>
                                <a:lnTo>
                                  <a:pt x="4373177" y="416524"/>
                                </a:lnTo>
                              </a:path>
                              <a:path w="4373245" h="2654300">
                                <a:moveTo>
                                  <a:pt x="0" y="339656"/>
                                </a:moveTo>
                                <a:lnTo>
                                  <a:pt x="4373177" y="339656"/>
                                </a:lnTo>
                              </a:path>
                              <a:path w="4373245" h="2654300">
                                <a:moveTo>
                                  <a:pt x="0" y="200882"/>
                                </a:moveTo>
                                <a:lnTo>
                                  <a:pt x="4373177" y="200882"/>
                                </a:lnTo>
                              </a:path>
                              <a:path w="4373245" h="2654300">
                                <a:moveTo>
                                  <a:pt x="0" y="138978"/>
                                </a:moveTo>
                                <a:lnTo>
                                  <a:pt x="4373177" y="138978"/>
                                </a:lnTo>
                              </a:path>
                              <a:path w="4373245" h="2654300">
                                <a:moveTo>
                                  <a:pt x="0" y="62109"/>
                                </a:moveTo>
                                <a:lnTo>
                                  <a:pt x="4373177" y="62109"/>
                                </a:lnTo>
                              </a:path>
                              <a:path w="4373245" h="2654300">
                                <a:moveTo>
                                  <a:pt x="0" y="0"/>
                                </a:moveTo>
                                <a:lnTo>
                                  <a:pt x="4373177" y="0"/>
                                </a:lnTo>
                              </a:path>
                            </a:pathLst>
                          </a:custGeom>
                          <a:ln w="12441">
                            <a:solidFill>
                              <a:srgbClr val="C0C0C0"/>
                            </a:solidFill>
                            <a:prstDash val="solid"/>
                          </a:ln>
                        </wps:spPr>
                        <wps:bodyPr wrap="square" lIns="0" tIns="0" rIns="0" bIns="0" rtlCol="0">
                          <a:prstTxWarp prst="textNoShape">
                            <a:avLst/>
                          </a:prstTxWarp>
                          <a:noAutofit/>
                        </wps:bodyPr>
                      </wps:wsp>
                      <wps:wsp>
                        <wps:cNvPr id="480" name="Graphic 480"/>
                        <wps:cNvSpPr/>
                        <wps:spPr>
                          <a:xfrm>
                            <a:off x="478778" y="338658"/>
                            <a:ext cx="4373245" cy="2453640"/>
                          </a:xfrm>
                          <a:custGeom>
                            <a:avLst/>
                            <a:gdLst/>
                            <a:ahLst/>
                            <a:cxnLst/>
                            <a:rect l="l" t="t" r="r" b="b"/>
                            <a:pathLst>
                              <a:path w="4373245" h="2453640">
                                <a:moveTo>
                                  <a:pt x="0" y="2453128"/>
                                </a:moveTo>
                                <a:lnTo>
                                  <a:pt x="4373177" y="2453128"/>
                                </a:lnTo>
                              </a:path>
                              <a:path w="4373245" h="2453640">
                                <a:moveTo>
                                  <a:pt x="0" y="2113882"/>
                                </a:moveTo>
                                <a:lnTo>
                                  <a:pt x="4373177" y="2113882"/>
                                </a:lnTo>
                              </a:path>
                              <a:path w="4373245" h="2453640">
                                <a:moveTo>
                                  <a:pt x="0" y="1758749"/>
                                </a:moveTo>
                                <a:lnTo>
                                  <a:pt x="4373177" y="1758749"/>
                                </a:lnTo>
                              </a:path>
                              <a:path w="4373245" h="2453640">
                                <a:moveTo>
                                  <a:pt x="0" y="1404130"/>
                                </a:moveTo>
                                <a:lnTo>
                                  <a:pt x="4373177" y="1404130"/>
                                </a:lnTo>
                              </a:path>
                              <a:path w="4373245" h="2453640">
                                <a:moveTo>
                                  <a:pt x="0" y="1048895"/>
                                </a:moveTo>
                                <a:lnTo>
                                  <a:pt x="4373177" y="1048895"/>
                                </a:lnTo>
                              </a:path>
                              <a:path w="4373245" h="2453640">
                                <a:moveTo>
                                  <a:pt x="0" y="709649"/>
                                </a:moveTo>
                                <a:lnTo>
                                  <a:pt x="4373177" y="709649"/>
                                </a:lnTo>
                              </a:path>
                              <a:path w="4373245" h="2453640">
                                <a:moveTo>
                                  <a:pt x="0" y="354619"/>
                                </a:moveTo>
                                <a:lnTo>
                                  <a:pt x="4373177" y="354619"/>
                                </a:lnTo>
                              </a:path>
                              <a:path w="4373245" h="2453640">
                                <a:moveTo>
                                  <a:pt x="0" y="0"/>
                                </a:moveTo>
                                <a:lnTo>
                                  <a:pt x="4373177" y="0"/>
                                </a:lnTo>
                              </a:path>
                            </a:pathLst>
                          </a:custGeom>
                          <a:ln w="12441">
                            <a:solidFill>
                              <a:srgbClr val="808080"/>
                            </a:solidFill>
                            <a:prstDash val="solid"/>
                          </a:ln>
                        </wps:spPr>
                        <wps:bodyPr wrap="square" lIns="0" tIns="0" rIns="0" bIns="0" rtlCol="0">
                          <a:prstTxWarp prst="textNoShape">
                            <a:avLst/>
                          </a:prstTxWarp>
                          <a:noAutofit/>
                        </wps:bodyPr>
                      </wps:wsp>
                      <wps:wsp>
                        <wps:cNvPr id="481" name="Graphic 481"/>
                        <wps:cNvSpPr/>
                        <wps:spPr>
                          <a:xfrm>
                            <a:off x="697817" y="338658"/>
                            <a:ext cx="3944620" cy="2792730"/>
                          </a:xfrm>
                          <a:custGeom>
                            <a:avLst/>
                            <a:gdLst/>
                            <a:ahLst/>
                            <a:cxnLst/>
                            <a:rect l="l" t="t" r="r" b="b"/>
                            <a:pathLst>
                              <a:path w="3944620" h="2792730">
                                <a:moveTo>
                                  <a:pt x="0" y="0"/>
                                </a:moveTo>
                                <a:lnTo>
                                  <a:pt x="0" y="2792374"/>
                                </a:lnTo>
                              </a:path>
                              <a:path w="3944620" h="2792730">
                                <a:moveTo>
                                  <a:pt x="219356" y="0"/>
                                </a:moveTo>
                                <a:lnTo>
                                  <a:pt x="219356" y="2792374"/>
                                </a:lnTo>
                              </a:path>
                              <a:path w="3944620" h="2792730">
                                <a:moveTo>
                                  <a:pt x="438395" y="0"/>
                                </a:moveTo>
                                <a:lnTo>
                                  <a:pt x="438395" y="2792374"/>
                                </a:lnTo>
                              </a:path>
                              <a:path w="3944620" h="2792730">
                                <a:moveTo>
                                  <a:pt x="657498" y="0"/>
                                </a:moveTo>
                                <a:lnTo>
                                  <a:pt x="657498" y="2792374"/>
                                </a:lnTo>
                              </a:path>
                              <a:path w="3944620" h="2792730">
                                <a:moveTo>
                                  <a:pt x="1095830" y="0"/>
                                </a:moveTo>
                                <a:lnTo>
                                  <a:pt x="1095830" y="2792374"/>
                                </a:lnTo>
                              </a:path>
                              <a:path w="3944620" h="2792730">
                                <a:moveTo>
                                  <a:pt x="1314933" y="0"/>
                                </a:moveTo>
                                <a:lnTo>
                                  <a:pt x="1314933" y="2792374"/>
                                </a:lnTo>
                              </a:path>
                              <a:path w="3944620" h="2792730">
                                <a:moveTo>
                                  <a:pt x="1533908" y="0"/>
                                </a:moveTo>
                                <a:lnTo>
                                  <a:pt x="1533908" y="2792374"/>
                                </a:lnTo>
                              </a:path>
                              <a:path w="3944620" h="2792730">
                                <a:moveTo>
                                  <a:pt x="1753265" y="0"/>
                                </a:moveTo>
                                <a:lnTo>
                                  <a:pt x="1753265" y="2792374"/>
                                </a:lnTo>
                              </a:path>
                              <a:path w="3944620" h="2792730">
                                <a:moveTo>
                                  <a:pt x="2191343" y="0"/>
                                </a:moveTo>
                                <a:lnTo>
                                  <a:pt x="2191343" y="2792374"/>
                                </a:lnTo>
                              </a:path>
                              <a:path w="3944620" h="2792730">
                                <a:moveTo>
                                  <a:pt x="2410446" y="0"/>
                                </a:moveTo>
                                <a:lnTo>
                                  <a:pt x="2410446" y="2792374"/>
                                </a:lnTo>
                              </a:path>
                              <a:path w="3944620" h="2792730">
                                <a:moveTo>
                                  <a:pt x="2629802" y="0"/>
                                </a:moveTo>
                                <a:lnTo>
                                  <a:pt x="2629802" y="2792374"/>
                                </a:lnTo>
                              </a:path>
                              <a:path w="3944620" h="2792730">
                                <a:moveTo>
                                  <a:pt x="2848778" y="0"/>
                                </a:moveTo>
                                <a:lnTo>
                                  <a:pt x="2848778" y="2792374"/>
                                </a:lnTo>
                              </a:path>
                              <a:path w="3944620" h="2792730">
                                <a:moveTo>
                                  <a:pt x="3287237" y="0"/>
                                </a:moveTo>
                                <a:lnTo>
                                  <a:pt x="3287237" y="2792374"/>
                                </a:lnTo>
                              </a:path>
                              <a:path w="3944620" h="2792730">
                                <a:moveTo>
                                  <a:pt x="3506213" y="0"/>
                                </a:moveTo>
                                <a:lnTo>
                                  <a:pt x="3506213" y="2792374"/>
                                </a:lnTo>
                              </a:path>
                              <a:path w="3944620" h="2792730">
                                <a:moveTo>
                                  <a:pt x="3725189" y="0"/>
                                </a:moveTo>
                                <a:lnTo>
                                  <a:pt x="3725189" y="2792374"/>
                                </a:lnTo>
                              </a:path>
                              <a:path w="3944620" h="2792730">
                                <a:moveTo>
                                  <a:pt x="3944292" y="0"/>
                                </a:moveTo>
                                <a:lnTo>
                                  <a:pt x="3944292" y="2792374"/>
                                </a:lnTo>
                              </a:path>
                            </a:pathLst>
                          </a:custGeom>
                          <a:ln w="12441">
                            <a:solidFill>
                              <a:srgbClr val="C0C0C0"/>
                            </a:solidFill>
                            <a:prstDash val="solid"/>
                          </a:ln>
                        </wps:spPr>
                        <wps:bodyPr wrap="square" lIns="0" tIns="0" rIns="0" bIns="0" rtlCol="0">
                          <a:prstTxWarp prst="textNoShape">
                            <a:avLst/>
                          </a:prstTxWarp>
                          <a:noAutofit/>
                        </wps:bodyPr>
                      </wps:wsp>
                      <wps:wsp>
                        <wps:cNvPr id="482" name="Graphic 482"/>
                        <wps:cNvSpPr/>
                        <wps:spPr>
                          <a:xfrm>
                            <a:off x="1574291" y="338658"/>
                            <a:ext cx="3287395" cy="2792730"/>
                          </a:xfrm>
                          <a:custGeom>
                            <a:avLst/>
                            <a:gdLst/>
                            <a:ahLst/>
                            <a:cxnLst/>
                            <a:rect l="l" t="t" r="r" b="b"/>
                            <a:pathLst>
                              <a:path w="3287395" h="2792730">
                                <a:moveTo>
                                  <a:pt x="0" y="0"/>
                                </a:moveTo>
                                <a:lnTo>
                                  <a:pt x="0" y="2792374"/>
                                </a:lnTo>
                              </a:path>
                              <a:path w="3287395" h="2792730">
                                <a:moveTo>
                                  <a:pt x="1095893" y="0"/>
                                </a:moveTo>
                                <a:lnTo>
                                  <a:pt x="1095893" y="2792374"/>
                                </a:lnTo>
                              </a:path>
                              <a:path w="3287395" h="2792730">
                                <a:moveTo>
                                  <a:pt x="2191407" y="0"/>
                                </a:moveTo>
                                <a:lnTo>
                                  <a:pt x="2191407" y="2792374"/>
                                </a:lnTo>
                              </a:path>
                              <a:path w="3287395" h="2792730">
                                <a:moveTo>
                                  <a:pt x="3287174" y="0"/>
                                </a:moveTo>
                                <a:lnTo>
                                  <a:pt x="3287174" y="2792374"/>
                                </a:lnTo>
                              </a:path>
                            </a:pathLst>
                          </a:custGeom>
                          <a:ln w="12441">
                            <a:solidFill>
                              <a:srgbClr val="808080"/>
                            </a:solidFill>
                            <a:prstDash val="solid"/>
                          </a:ln>
                        </wps:spPr>
                        <wps:bodyPr wrap="square" lIns="0" tIns="0" rIns="0" bIns="0" rtlCol="0">
                          <a:prstTxWarp prst="textNoShape">
                            <a:avLst/>
                          </a:prstTxWarp>
                          <a:noAutofit/>
                        </wps:bodyPr>
                      </wps:wsp>
                      <wps:wsp>
                        <wps:cNvPr id="483" name="Graphic 483"/>
                        <wps:cNvSpPr/>
                        <wps:spPr>
                          <a:xfrm>
                            <a:off x="440739" y="338658"/>
                            <a:ext cx="4420870" cy="2870200"/>
                          </a:xfrm>
                          <a:custGeom>
                            <a:avLst/>
                            <a:gdLst/>
                            <a:ahLst/>
                            <a:cxnLst/>
                            <a:rect l="l" t="t" r="r" b="b"/>
                            <a:pathLst>
                              <a:path w="4420870" h="2870200">
                                <a:moveTo>
                                  <a:pt x="38038" y="0"/>
                                </a:moveTo>
                                <a:lnTo>
                                  <a:pt x="38038" y="2792374"/>
                                </a:lnTo>
                              </a:path>
                              <a:path w="4420870" h="2870200">
                                <a:moveTo>
                                  <a:pt x="0" y="2808260"/>
                                </a:moveTo>
                                <a:lnTo>
                                  <a:pt x="28528" y="2808260"/>
                                </a:lnTo>
                              </a:path>
                              <a:path w="4420870" h="2870200">
                                <a:moveTo>
                                  <a:pt x="0" y="2453128"/>
                                </a:moveTo>
                                <a:lnTo>
                                  <a:pt x="28528" y="2453128"/>
                                </a:lnTo>
                              </a:path>
                              <a:path w="4420870" h="2870200">
                                <a:moveTo>
                                  <a:pt x="0" y="2113882"/>
                                </a:moveTo>
                                <a:lnTo>
                                  <a:pt x="28528" y="2113882"/>
                                </a:lnTo>
                              </a:path>
                              <a:path w="4420870" h="2870200">
                                <a:moveTo>
                                  <a:pt x="0" y="1758749"/>
                                </a:moveTo>
                                <a:lnTo>
                                  <a:pt x="28528" y="1758749"/>
                                </a:lnTo>
                              </a:path>
                              <a:path w="4420870" h="2870200">
                                <a:moveTo>
                                  <a:pt x="0" y="1404130"/>
                                </a:moveTo>
                                <a:lnTo>
                                  <a:pt x="28528" y="1404130"/>
                                </a:lnTo>
                              </a:path>
                              <a:path w="4420870" h="2870200">
                                <a:moveTo>
                                  <a:pt x="0" y="1048895"/>
                                </a:moveTo>
                                <a:lnTo>
                                  <a:pt x="28528" y="1048895"/>
                                </a:lnTo>
                              </a:path>
                              <a:path w="4420870" h="2870200">
                                <a:moveTo>
                                  <a:pt x="0" y="709649"/>
                                </a:moveTo>
                                <a:lnTo>
                                  <a:pt x="28528" y="709649"/>
                                </a:lnTo>
                              </a:path>
                              <a:path w="4420870" h="2870200">
                                <a:moveTo>
                                  <a:pt x="0" y="354619"/>
                                </a:moveTo>
                                <a:lnTo>
                                  <a:pt x="28528" y="354619"/>
                                </a:lnTo>
                              </a:path>
                              <a:path w="4420870" h="2870200">
                                <a:moveTo>
                                  <a:pt x="0" y="0"/>
                                </a:moveTo>
                                <a:lnTo>
                                  <a:pt x="28528" y="0"/>
                                </a:lnTo>
                              </a:path>
                              <a:path w="4420870" h="2870200">
                                <a:moveTo>
                                  <a:pt x="38038" y="2808260"/>
                                </a:moveTo>
                                <a:lnTo>
                                  <a:pt x="4411216" y="2808260"/>
                                </a:lnTo>
                              </a:path>
                              <a:path w="4420870" h="2870200">
                                <a:moveTo>
                                  <a:pt x="38038" y="2869755"/>
                                </a:moveTo>
                                <a:lnTo>
                                  <a:pt x="38038" y="2823634"/>
                                </a:lnTo>
                              </a:path>
                              <a:path w="4420870" h="2870200">
                                <a:moveTo>
                                  <a:pt x="1133552" y="2869755"/>
                                </a:moveTo>
                                <a:lnTo>
                                  <a:pt x="1133552" y="2823634"/>
                                </a:lnTo>
                              </a:path>
                              <a:path w="4420870" h="2870200">
                                <a:moveTo>
                                  <a:pt x="2229445" y="2869755"/>
                                </a:moveTo>
                                <a:lnTo>
                                  <a:pt x="2229445" y="2823634"/>
                                </a:lnTo>
                              </a:path>
                              <a:path w="4420870" h="2870200">
                                <a:moveTo>
                                  <a:pt x="3324959" y="2869755"/>
                                </a:moveTo>
                                <a:lnTo>
                                  <a:pt x="3324959" y="2823634"/>
                                </a:lnTo>
                              </a:path>
                              <a:path w="4420870" h="2870200">
                                <a:moveTo>
                                  <a:pt x="4420726" y="2869755"/>
                                </a:moveTo>
                                <a:lnTo>
                                  <a:pt x="4420726" y="2823634"/>
                                </a:lnTo>
                              </a:path>
                            </a:pathLst>
                          </a:custGeom>
                          <a:ln w="12441">
                            <a:solidFill>
                              <a:srgbClr val="808080"/>
                            </a:solidFill>
                            <a:prstDash val="solid"/>
                          </a:ln>
                        </wps:spPr>
                        <wps:bodyPr wrap="square" lIns="0" tIns="0" rIns="0" bIns="0" rtlCol="0">
                          <a:prstTxWarp prst="textNoShape">
                            <a:avLst/>
                          </a:prstTxWarp>
                          <a:noAutofit/>
                        </wps:bodyPr>
                      </wps:wsp>
                      <pic:pic>
                        <pic:nvPicPr>
                          <pic:cNvPr id="484" name="Image 484"/>
                          <pic:cNvPicPr/>
                        </pic:nvPicPr>
                        <pic:blipFill>
                          <a:blip r:embed="rId67" cstate="print"/>
                          <a:stretch>
                            <a:fillRect/>
                          </a:stretch>
                        </pic:blipFill>
                        <pic:spPr>
                          <a:xfrm>
                            <a:off x="2835396" y="1921670"/>
                            <a:ext cx="107530" cy="166580"/>
                          </a:xfrm>
                          <a:prstGeom prst="rect">
                            <a:avLst/>
                          </a:prstGeom>
                        </pic:spPr>
                      </pic:pic>
                      <pic:pic>
                        <pic:nvPicPr>
                          <pic:cNvPr id="485" name="Image 485"/>
                          <pic:cNvPicPr/>
                        </pic:nvPicPr>
                        <pic:blipFill>
                          <a:blip r:embed="rId68" cstate="print"/>
                          <a:stretch>
                            <a:fillRect/>
                          </a:stretch>
                        </pic:blipFill>
                        <pic:spPr>
                          <a:xfrm>
                            <a:off x="3492830" y="1165695"/>
                            <a:ext cx="107530" cy="166580"/>
                          </a:xfrm>
                          <a:prstGeom prst="rect">
                            <a:avLst/>
                          </a:prstGeom>
                        </pic:spPr>
                      </pic:pic>
                      <pic:pic>
                        <pic:nvPicPr>
                          <pic:cNvPr id="486" name="Image 486"/>
                          <pic:cNvPicPr/>
                        </pic:nvPicPr>
                        <pic:blipFill>
                          <a:blip r:embed="rId67" cstate="print"/>
                          <a:stretch>
                            <a:fillRect/>
                          </a:stretch>
                        </pic:blipFill>
                        <pic:spPr>
                          <a:xfrm>
                            <a:off x="4150265" y="980185"/>
                            <a:ext cx="107530" cy="166580"/>
                          </a:xfrm>
                          <a:prstGeom prst="rect">
                            <a:avLst/>
                          </a:prstGeom>
                        </pic:spPr>
                      </pic:pic>
                      <pic:pic>
                        <pic:nvPicPr>
                          <pic:cNvPr id="487" name="Image 487"/>
                          <pic:cNvPicPr/>
                        </pic:nvPicPr>
                        <pic:blipFill>
                          <a:blip r:embed="rId69" cstate="print"/>
                          <a:stretch>
                            <a:fillRect/>
                          </a:stretch>
                        </pic:blipFill>
                        <pic:spPr>
                          <a:xfrm>
                            <a:off x="4540798" y="733593"/>
                            <a:ext cx="107526" cy="166781"/>
                          </a:xfrm>
                          <a:prstGeom prst="rect">
                            <a:avLst/>
                          </a:prstGeom>
                        </pic:spPr>
                      </pic:pic>
                      <wps:wsp>
                        <wps:cNvPr id="488" name="Graphic 488"/>
                        <wps:cNvSpPr/>
                        <wps:spPr>
                          <a:xfrm>
                            <a:off x="2889161" y="770556"/>
                            <a:ext cx="1696085" cy="1111250"/>
                          </a:xfrm>
                          <a:custGeom>
                            <a:avLst/>
                            <a:gdLst/>
                            <a:ahLst/>
                            <a:cxnLst/>
                            <a:rect l="l" t="t" r="r" b="b"/>
                            <a:pathLst>
                              <a:path w="1696085" h="1111250">
                                <a:moveTo>
                                  <a:pt x="0" y="1111210"/>
                                </a:moveTo>
                                <a:lnTo>
                                  <a:pt x="1695890" y="0"/>
                                </a:lnTo>
                              </a:path>
                            </a:pathLst>
                          </a:custGeom>
                          <a:ln w="13612">
                            <a:solidFill>
                              <a:srgbClr val="000000"/>
                            </a:solidFill>
                            <a:prstDash val="solid"/>
                          </a:ln>
                        </wps:spPr>
                        <wps:bodyPr wrap="square" lIns="0" tIns="0" rIns="0" bIns="0" rtlCol="0">
                          <a:prstTxWarp prst="textNoShape">
                            <a:avLst/>
                          </a:prstTxWarp>
                          <a:noAutofit/>
                        </wps:bodyPr>
                      </wps:wsp>
                      <wps:wsp>
                        <wps:cNvPr id="489" name="Graphic 489"/>
                        <wps:cNvSpPr/>
                        <wps:spPr>
                          <a:xfrm>
                            <a:off x="7098" y="7098"/>
                            <a:ext cx="5050155" cy="4088765"/>
                          </a:xfrm>
                          <a:custGeom>
                            <a:avLst/>
                            <a:gdLst/>
                            <a:ahLst/>
                            <a:cxnLst/>
                            <a:rect l="l" t="t" r="r" b="b"/>
                            <a:pathLst>
                              <a:path w="5050155" h="4088765">
                                <a:moveTo>
                                  <a:pt x="0" y="4088376"/>
                                </a:moveTo>
                                <a:lnTo>
                                  <a:pt x="5049632" y="4088376"/>
                                </a:lnTo>
                                <a:lnTo>
                                  <a:pt x="5049632" y="0"/>
                                </a:lnTo>
                                <a:lnTo>
                                  <a:pt x="0" y="0"/>
                                </a:lnTo>
                                <a:lnTo>
                                  <a:pt x="0" y="4088376"/>
                                </a:lnTo>
                                <a:close/>
                              </a:path>
                            </a:pathLst>
                          </a:custGeom>
                          <a:ln w="13051">
                            <a:solidFill>
                              <a:srgbClr val="808080"/>
                            </a:solidFill>
                            <a:prstDash val="solid"/>
                          </a:ln>
                        </wps:spPr>
                        <wps:bodyPr wrap="square" lIns="0" tIns="0" rIns="0" bIns="0" rtlCol="0">
                          <a:prstTxWarp prst="textNoShape">
                            <a:avLst/>
                          </a:prstTxWarp>
                          <a:noAutofit/>
                        </wps:bodyPr>
                      </wps:wsp>
                      <wps:wsp>
                        <wps:cNvPr id="490" name="Textbox 490"/>
                        <wps:cNvSpPr txBox="1"/>
                        <wps:spPr>
                          <a:xfrm>
                            <a:off x="312042" y="242085"/>
                            <a:ext cx="75565" cy="3009265"/>
                          </a:xfrm>
                          <a:prstGeom prst="rect">
                            <a:avLst/>
                          </a:prstGeom>
                        </wps:spPr>
                        <wps:txbx>
                          <w:txbxContent>
                            <w:p>
                              <w:pPr>
                                <w:spacing w:line="320" w:lineRule="exact" w:before="0"/>
                                <w:ind w:left="0" w:right="0" w:firstLine="0"/>
                                <w:jc w:val="left"/>
                                <w:rPr>
                                  <w:rFonts w:ascii="Calibri"/>
                                  <w:sz w:val="31"/>
                                </w:rPr>
                              </w:pPr>
                              <w:r>
                                <w:rPr>
                                  <w:rFonts w:ascii="Calibri"/>
                                  <w:spacing w:val="-10"/>
                                  <w:w w:val="70"/>
                                  <w:sz w:val="31"/>
                                </w:rPr>
                                <w:t>8</w:t>
                              </w:r>
                            </w:p>
                            <w:p>
                              <w:pPr>
                                <w:spacing w:before="181"/>
                                <w:ind w:left="0" w:right="0" w:firstLine="0"/>
                                <w:jc w:val="left"/>
                                <w:rPr>
                                  <w:rFonts w:ascii="Calibri"/>
                                  <w:sz w:val="31"/>
                                </w:rPr>
                              </w:pPr>
                              <w:r>
                                <w:rPr>
                                  <w:rFonts w:ascii="Calibri"/>
                                  <w:spacing w:val="-10"/>
                                  <w:w w:val="70"/>
                                  <w:sz w:val="31"/>
                                </w:rPr>
                                <w:t>7</w:t>
                              </w:r>
                            </w:p>
                            <w:p>
                              <w:pPr>
                                <w:spacing w:before="180"/>
                                <w:ind w:left="0" w:right="0" w:firstLine="0"/>
                                <w:jc w:val="left"/>
                                <w:rPr>
                                  <w:rFonts w:ascii="Calibri"/>
                                  <w:sz w:val="31"/>
                                </w:rPr>
                              </w:pPr>
                              <w:r>
                                <w:rPr>
                                  <w:rFonts w:ascii="Calibri"/>
                                  <w:spacing w:val="-10"/>
                                  <w:w w:val="70"/>
                                  <w:sz w:val="31"/>
                                </w:rPr>
                                <w:t>6</w:t>
                              </w:r>
                            </w:p>
                            <w:p>
                              <w:pPr>
                                <w:spacing w:before="156"/>
                                <w:ind w:left="0" w:right="0" w:firstLine="0"/>
                                <w:jc w:val="left"/>
                                <w:rPr>
                                  <w:rFonts w:ascii="Calibri"/>
                                  <w:sz w:val="31"/>
                                </w:rPr>
                              </w:pPr>
                              <w:r>
                                <w:rPr>
                                  <w:rFonts w:ascii="Calibri"/>
                                  <w:spacing w:val="-10"/>
                                  <w:w w:val="70"/>
                                  <w:sz w:val="31"/>
                                </w:rPr>
                                <w:t>5</w:t>
                              </w:r>
                            </w:p>
                            <w:p>
                              <w:pPr>
                                <w:spacing w:before="180"/>
                                <w:ind w:left="0" w:right="0" w:firstLine="0"/>
                                <w:jc w:val="left"/>
                                <w:rPr>
                                  <w:rFonts w:ascii="Calibri"/>
                                  <w:sz w:val="31"/>
                                </w:rPr>
                              </w:pPr>
                              <w:r>
                                <w:rPr>
                                  <w:rFonts w:ascii="Calibri"/>
                                  <w:spacing w:val="-10"/>
                                  <w:w w:val="70"/>
                                  <w:sz w:val="31"/>
                                </w:rPr>
                                <w:t>4</w:t>
                              </w:r>
                            </w:p>
                            <w:p>
                              <w:pPr>
                                <w:spacing w:before="181"/>
                                <w:ind w:left="0" w:right="0" w:firstLine="0"/>
                                <w:jc w:val="left"/>
                                <w:rPr>
                                  <w:rFonts w:ascii="Calibri"/>
                                  <w:sz w:val="31"/>
                                </w:rPr>
                              </w:pPr>
                              <w:r>
                                <w:rPr>
                                  <w:rFonts w:ascii="Calibri"/>
                                  <w:spacing w:val="-10"/>
                                  <w:w w:val="70"/>
                                  <w:sz w:val="31"/>
                                </w:rPr>
                                <w:t>3</w:t>
                              </w:r>
                            </w:p>
                            <w:p>
                              <w:pPr>
                                <w:spacing w:before="180"/>
                                <w:ind w:left="0" w:right="0" w:firstLine="0"/>
                                <w:jc w:val="left"/>
                                <w:rPr>
                                  <w:rFonts w:ascii="Calibri"/>
                                  <w:sz w:val="31"/>
                                </w:rPr>
                              </w:pPr>
                              <w:r>
                                <w:rPr>
                                  <w:rFonts w:ascii="Calibri"/>
                                  <w:spacing w:val="-10"/>
                                  <w:w w:val="70"/>
                                  <w:sz w:val="31"/>
                                </w:rPr>
                                <w:t>2</w:t>
                              </w:r>
                            </w:p>
                            <w:p>
                              <w:pPr>
                                <w:spacing w:before="156"/>
                                <w:ind w:left="0" w:right="0" w:firstLine="0"/>
                                <w:jc w:val="left"/>
                                <w:rPr>
                                  <w:rFonts w:ascii="Calibri"/>
                                  <w:sz w:val="31"/>
                                </w:rPr>
                              </w:pPr>
                              <w:r>
                                <w:rPr>
                                  <w:rFonts w:ascii="Calibri"/>
                                  <w:spacing w:val="-10"/>
                                  <w:w w:val="70"/>
                                  <w:sz w:val="31"/>
                                </w:rPr>
                                <w:t>1</w:t>
                              </w:r>
                            </w:p>
                            <w:p>
                              <w:pPr>
                                <w:spacing w:line="374" w:lineRule="exact" w:before="181"/>
                                <w:ind w:left="0" w:right="0" w:firstLine="0"/>
                                <w:jc w:val="left"/>
                                <w:rPr>
                                  <w:rFonts w:ascii="Calibri"/>
                                  <w:sz w:val="31"/>
                                </w:rPr>
                              </w:pPr>
                              <w:r>
                                <w:rPr>
                                  <w:rFonts w:ascii="Calibri"/>
                                  <w:spacing w:val="-10"/>
                                  <w:w w:val="70"/>
                                  <w:sz w:val="31"/>
                                </w:rPr>
                                <w:t>0</w:t>
                              </w:r>
                            </w:p>
                          </w:txbxContent>
                        </wps:txbx>
                        <wps:bodyPr wrap="square" lIns="0" tIns="0" rIns="0" bIns="0" rtlCol="0">
                          <a:noAutofit/>
                        </wps:bodyPr>
                      </wps:wsp>
                      <wps:wsp>
                        <wps:cNvPr id="491" name="Textbox 491"/>
                        <wps:cNvSpPr txBox="1"/>
                        <wps:spPr>
                          <a:xfrm>
                            <a:off x="445494" y="3343573"/>
                            <a:ext cx="75565" cy="200660"/>
                          </a:xfrm>
                          <a:prstGeom prst="rect">
                            <a:avLst/>
                          </a:prstGeom>
                        </wps:spPr>
                        <wps:txbx>
                          <w:txbxContent>
                            <w:p>
                              <w:pPr>
                                <w:spacing w:line="316" w:lineRule="exact" w:before="0"/>
                                <w:ind w:left="0" w:right="0" w:firstLine="0"/>
                                <w:jc w:val="left"/>
                                <w:rPr>
                                  <w:rFonts w:ascii="Calibri"/>
                                  <w:sz w:val="31"/>
                                </w:rPr>
                              </w:pPr>
                              <w:r>
                                <w:rPr>
                                  <w:rFonts w:ascii="Calibri"/>
                                  <w:spacing w:val="-10"/>
                                  <w:w w:val="70"/>
                                  <w:sz w:val="31"/>
                                </w:rPr>
                                <w:t>0</w:t>
                              </w:r>
                            </w:p>
                          </w:txbxContent>
                        </wps:txbx>
                        <wps:bodyPr wrap="square" lIns="0" tIns="0" rIns="0" bIns="0" rtlCol="0">
                          <a:noAutofit/>
                        </wps:bodyPr>
                      </wps:wsp>
                      <wps:wsp>
                        <wps:cNvPr id="492" name="Textbox 492"/>
                        <wps:cNvSpPr txBox="1"/>
                        <wps:spPr>
                          <a:xfrm>
                            <a:off x="1483886" y="3343573"/>
                            <a:ext cx="180340" cy="200660"/>
                          </a:xfrm>
                          <a:prstGeom prst="rect">
                            <a:avLst/>
                          </a:prstGeom>
                        </wps:spPr>
                        <wps:txbx>
                          <w:txbxContent>
                            <w:p>
                              <w:pPr>
                                <w:spacing w:line="316" w:lineRule="exact" w:before="0"/>
                                <w:ind w:left="0" w:right="0" w:firstLine="0"/>
                                <w:jc w:val="left"/>
                                <w:rPr>
                                  <w:rFonts w:ascii="Calibri"/>
                                  <w:sz w:val="31"/>
                                </w:rPr>
                              </w:pPr>
                              <w:r>
                                <w:rPr>
                                  <w:rFonts w:ascii="Calibri"/>
                                  <w:spacing w:val="-5"/>
                                  <w:w w:val="65"/>
                                  <w:sz w:val="31"/>
                                </w:rPr>
                                <w:t>0.5</w:t>
                              </w:r>
                            </w:p>
                          </w:txbxContent>
                        </wps:txbx>
                        <wps:bodyPr wrap="square" lIns="0" tIns="0" rIns="0" bIns="0" rtlCol="0">
                          <a:noAutofit/>
                        </wps:bodyPr>
                      </wps:wsp>
                      <wps:wsp>
                        <wps:cNvPr id="493" name="Textbox 493"/>
                        <wps:cNvSpPr txBox="1"/>
                        <wps:spPr>
                          <a:xfrm>
                            <a:off x="2636838" y="3343573"/>
                            <a:ext cx="75565" cy="200660"/>
                          </a:xfrm>
                          <a:prstGeom prst="rect">
                            <a:avLst/>
                          </a:prstGeom>
                        </wps:spPr>
                        <wps:txbx>
                          <w:txbxContent>
                            <w:p>
                              <w:pPr>
                                <w:spacing w:line="316" w:lineRule="exact" w:before="0"/>
                                <w:ind w:left="0" w:right="0" w:firstLine="0"/>
                                <w:jc w:val="left"/>
                                <w:rPr>
                                  <w:rFonts w:ascii="Calibri"/>
                                  <w:sz w:val="31"/>
                                </w:rPr>
                              </w:pPr>
                              <w:r>
                                <w:rPr>
                                  <w:rFonts w:ascii="Calibri"/>
                                  <w:spacing w:val="-10"/>
                                  <w:w w:val="70"/>
                                  <w:sz w:val="31"/>
                                </w:rPr>
                                <w:t>1</w:t>
                              </w:r>
                            </w:p>
                          </w:txbxContent>
                        </wps:txbx>
                        <wps:bodyPr wrap="square" lIns="0" tIns="0" rIns="0" bIns="0" rtlCol="0">
                          <a:noAutofit/>
                        </wps:bodyPr>
                      </wps:wsp>
                      <wps:wsp>
                        <wps:cNvPr id="494" name="Textbox 494"/>
                        <wps:cNvSpPr txBox="1"/>
                        <wps:spPr>
                          <a:xfrm>
                            <a:off x="3675293" y="3343573"/>
                            <a:ext cx="180340" cy="200660"/>
                          </a:xfrm>
                          <a:prstGeom prst="rect">
                            <a:avLst/>
                          </a:prstGeom>
                        </wps:spPr>
                        <wps:txbx>
                          <w:txbxContent>
                            <w:p>
                              <w:pPr>
                                <w:spacing w:line="316" w:lineRule="exact" w:before="0"/>
                                <w:ind w:left="0" w:right="0" w:firstLine="0"/>
                                <w:jc w:val="left"/>
                                <w:rPr>
                                  <w:rFonts w:ascii="Calibri"/>
                                  <w:sz w:val="31"/>
                                </w:rPr>
                              </w:pPr>
                              <w:r>
                                <w:rPr>
                                  <w:rFonts w:ascii="Calibri"/>
                                  <w:spacing w:val="-5"/>
                                  <w:w w:val="65"/>
                                  <w:sz w:val="31"/>
                                </w:rPr>
                                <w:t>1.5</w:t>
                              </w:r>
                            </w:p>
                          </w:txbxContent>
                        </wps:txbx>
                        <wps:bodyPr wrap="square" lIns="0" tIns="0" rIns="0" bIns="0" rtlCol="0">
                          <a:noAutofit/>
                        </wps:bodyPr>
                      </wps:wsp>
                      <wps:wsp>
                        <wps:cNvPr id="495" name="Textbox 495"/>
                        <wps:cNvSpPr txBox="1"/>
                        <wps:spPr>
                          <a:xfrm>
                            <a:off x="4828245" y="3343573"/>
                            <a:ext cx="75565" cy="200660"/>
                          </a:xfrm>
                          <a:prstGeom prst="rect">
                            <a:avLst/>
                          </a:prstGeom>
                        </wps:spPr>
                        <wps:txbx>
                          <w:txbxContent>
                            <w:p>
                              <w:pPr>
                                <w:spacing w:line="316" w:lineRule="exact" w:before="0"/>
                                <w:ind w:left="0" w:right="0" w:firstLine="0"/>
                                <w:jc w:val="left"/>
                                <w:rPr>
                                  <w:rFonts w:ascii="Calibri"/>
                                  <w:sz w:val="31"/>
                                </w:rPr>
                              </w:pPr>
                              <w:r>
                                <w:rPr>
                                  <w:rFonts w:ascii="Calibri"/>
                                  <w:spacing w:val="-10"/>
                                  <w:w w:val="70"/>
                                  <w:sz w:val="31"/>
                                </w:rPr>
                                <w:t>2</w:t>
                              </w:r>
                            </w:p>
                          </w:txbxContent>
                        </wps:txbx>
                        <wps:bodyPr wrap="square" lIns="0" tIns="0" rIns="0" bIns="0" rtlCol="0">
                          <a:noAutofit/>
                        </wps:bodyPr>
                      </wps:wsp>
                      <wps:wsp>
                        <wps:cNvPr id="496" name="Textbox 496"/>
                        <wps:cNvSpPr txBox="1"/>
                        <wps:spPr>
                          <a:xfrm>
                            <a:off x="2388953" y="3821695"/>
                            <a:ext cx="560070" cy="200660"/>
                          </a:xfrm>
                          <a:prstGeom prst="rect">
                            <a:avLst/>
                          </a:prstGeom>
                        </wps:spPr>
                        <wps:txbx>
                          <w:txbxContent>
                            <w:p>
                              <w:pPr>
                                <w:spacing w:line="316" w:lineRule="exact" w:before="0"/>
                                <w:ind w:left="0" w:right="0" w:firstLine="0"/>
                                <w:jc w:val="left"/>
                                <w:rPr>
                                  <w:rFonts w:ascii="Calibri"/>
                                  <w:b/>
                                  <w:sz w:val="31"/>
                                </w:rPr>
                              </w:pPr>
                              <w:r>
                                <w:rPr>
                                  <w:rFonts w:ascii="Calibri"/>
                                  <w:b/>
                                  <w:w w:val="65"/>
                                  <w:sz w:val="31"/>
                                </w:rPr>
                                <w:t>L</w:t>
                              </w:r>
                              <w:r>
                                <w:rPr>
                                  <w:rFonts w:ascii="Calibri"/>
                                  <w:b/>
                                  <w:spacing w:val="-9"/>
                                  <w:w w:val="65"/>
                                  <w:sz w:val="31"/>
                                </w:rPr>
                                <w:t> </w:t>
                              </w:r>
                              <w:r>
                                <w:rPr>
                                  <w:rFonts w:ascii="Calibri"/>
                                  <w:b/>
                                  <w:w w:val="65"/>
                                  <w:sz w:val="31"/>
                                </w:rPr>
                                <w:t>og</w:t>
                              </w:r>
                              <w:r>
                                <w:rPr>
                                  <w:rFonts w:ascii="Calibri"/>
                                  <w:b/>
                                  <w:spacing w:val="17"/>
                                  <w:sz w:val="31"/>
                                </w:rPr>
                                <w:t> </w:t>
                              </w:r>
                              <w:r>
                                <w:rPr>
                                  <w:rFonts w:ascii="Calibri"/>
                                  <w:b/>
                                  <w:spacing w:val="5"/>
                                  <w:w w:val="65"/>
                                  <w:sz w:val="31"/>
                                </w:rPr>
                                <w:t>Dose</w:t>
                              </w:r>
                            </w:p>
                          </w:txbxContent>
                        </wps:txbx>
                        <wps:bodyPr wrap="square" lIns="0" tIns="0" rIns="0" bIns="0" rtlCol="0">
                          <a:noAutofit/>
                        </wps:bodyPr>
                      </wps:wsp>
                    </wpg:wgp>
                  </a:graphicData>
                </a:graphic>
              </wp:anchor>
            </w:drawing>
          </mc:Choice>
          <mc:Fallback>
            <w:pict>
              <v:group style="position:absolute;margin-left:111.304993pt;margin-top:132.30101pt;width:398.75pt;height:323.05pt;mso-position-horizontal-relative:page;mso-position-vertical-relative:paragraph;z-index:15814656" id="docshapegroup366" coordorigin="2226,2646" coordsize="7975,6461">
                <v:rect style="position:absolute;left:2237;top:2657;width:7953;height:6439" id="docshape367" filled="false" stroked="true" strokeweight="1.027699pt" strokecolor="#808080">
                  <v:stroke dashstyle="solid"/>
                </v:rect>
                <v:shape style="position:absolute;left:2980;top:3300;width:6887;height:4180" id="docshape368" coordorigin="2980,3300" coordsize="6887,4180" path="m2980,7480l9867,7480m2980,7383l9867,7383m2980,7261l9867,7261m2980,7164l9867,7164m2980,6946l9867,6946m2980,6824l9867,6824m2980,6727l9867,6727m2980,6605l9867,6605m2980,6386l9867,6386m2980,6265l9867,6265m2980,6168l9867,6168m2980,6047l9867,6047m2980,5828l9867,5828m2980,5730l9867,5730m2980,5609l9867,5609m2980,5512l9867,5512m2980,5269l9867,5269m2980,5172l9867,5172m2980,5050l9867,5050m2980,4953l9867,4953m2980,4734l9867,4734m2980,4613l9867,4613m2980,4516l9867,4516m2980,4394l9867,4394m2980,4175l9867,4175m2980,4054l9867,4054m2980,3956l9867,3956m2980,3835l9867,3835m2980,3617l9867,3617m2980,3519l9867,3519m2980,3398l9867,3398m2980,3300l9867,3300e" filled="false" stroked="true" strokeweight=".97966pt" strokecolor="#c0c0c0">
                  <v:path arrowok="t"/>
                  <v:stroke dashstyle="solid"/>
                </v:shape>
                <v:shape style="position:absolute;left:2980;top:3179;width:6887;height:3864" id="docshape369" coordorigin="2980,3179" coordsize="6887,3864" path="m2980,7043l9867,7043m2980,6508l9867,6508m2980,5949l9867,5949m2980,5391l9867,5391m2980,4831l9867,4831m2980,4297l9867,4297m2980,3738l9867,3738m2980,3179l9867,3179e" filled="false" stroked="true" strokeweight=".97966pt" strokecolor="#808080">
                  <v:path arrowok="t"/>
                  <v:stroke dashstyle="solid"/>
                </v:shape>
                <v:shape style="position:absolute;left:3325;top:3179;width:6212;height:4398" id="docshape370" coordorigin="3325,3179" coordsize="6212,4398" path="m3325,3179l3325,7577m3670,3179l3670,7577m4015,3179l4015,7577m4360,3179l4360,7577m5051,3179l5051,7577m5396,3179l5396,7577m5741,3179l5741,7577m6086,3179l6086,7577m6776,3179l6776,7577m7121,3179l7121,7577m7466,3179l7466,7577m7811,3179l7811,7577m8502,3179l8502,7577m8847,3179l8847,7577m9191,3179l9191,7577m9537,3179l9537,7577e" filled="false" stroked="true" strokeweight=".97966pt" strokecolor="#c0c0c0">
                  <v:path arrowok="t"/>
                  <v:stroke dashstyle="solid"/>
                </v:shape>
                <v:shape style="position:absolute;left:4705;top:3179;width:5177;height:4398" id="docshape371" coordorigin="4705,3179" coordsize="5177,4398" path="m4705,3179l4705,7577m6431,3179l6431,7577m8156,3179l8156,7577m9882,3179l9882,7577e" filled="false" stroked="true" strokeweight=".97966pt" strokecolor="#808080">
                  <v:path arrowok="t"/>
                  <v:stroke dashstyle="solid"/>
                </v:shape>
                <v:shape style="position:absolute;left:2920;top:3179;width:6962;height:4520" id="docshape372" coordorigin="2920,3179" coordsize="6962,4520" path="m2980,3179l2980,7577m2920,7602l2965,7602m2920,7043l2965,7043m2920,6508l2965,6508m2920,5949l2965,5949m2920,5391l2965,5391m2920,4831l2965,4831m2920,4297l2965,4297m2920,3738l2965,3738m2920,3179l2965,3179m2980,7602l9867,7602m2980,7699l2980,7626m4705,7699l4705,7626m6431,7699l6431,7626m8156,7699l8156,7626m9882,7699l9882,7626e" filled="false" stroked="true" strokeweight=".97966pt" strokecolor="#808080">
                  <v:path arrowok="t"/>
                  <v:stroke dashstyle="solid"/>
                </v:shape>
                <v:shape style="position:absolute;left:6691;top:5672;width:170;height:263" type="#_x0000_t75" id="docshape373" stroked="false">
                  <v:imagedata r:id="rId67" o:title=""/>
                </v:shape>
                <v:shape style="position:absolute;left:7726;top:4481;width:170;height:263" type="#_x0000_t75" id="docshape374" stroked="false">
                  <v:imagedata r:id="rId68" o:title=""/>
                </v:shape>
                <v:shape style="position:absolute;left:8761;top:4189;width:170;height:263" type="#_x0000_t75" id="docshape375" stroked="false">
                  <v:imagedata r:id="rId67" o:title=""/>
                </v:shape>
                <v:shape style="position:absolute;left:9376;top:3801;width:170;height:263" type="#_x0000_t75" id="docshape376" stroked="false">
                  <v:imagedata r:id="rId69" o:title=""/>
                </v:shape>
                <v:line style="position:absolute" from="6776,5609" to="9447,3859" stroked="true" strokeweight="1.071834pt" strokecolor="#000000">
                  <v:stroke dashstyle="solid"/>
                </v:line>
                <v:rect style="position:absolute;left:2237;top:2657;width:7953;height:6439" id="docshape377" filled="false" stroked="true" strokeweight="1.027699pt" strokecolor="#808080">
                  <v:stroke dashstyle="solid"/>
                </v:rect>
                <v:shape style="position:absolute;left:2717;top:3027;width:119;height:4739" type="#_x0000_t202" id="docshape378" filled="false" stroked="false">
                  <v:textbox inset="0,0,0,0">
                    <w:txbxContent>
                      <w:p>
                        <w:pPr>
                          <w:spacing w:line="320" w:lineRule="exact" w:before="0"/>
                          <w:ind w:left="0" w:right="0" w:firstLine="0"/>
                          <w:jc w:val="left"/>
                          <w:rPr>
                            <w:rFonts w:ascii="Calibri"/>
                            <w:sz w:val="31"/>
                          </w:rPr>
                        </w:pPr>
                        <w:r>
                          <w:rPr>
                            <w:rFonts w:ascii="Calibri"/>
                            <w:spacing w:val="-10"/>
                            <w:w w:val="70"/>
                            <w:sz w:val="31"/>
                          </w:rPr>
                          <w:t>8</w:t>
                        </w:r>
                      </w:p>
                      <w:p>
                        <w:pPr>
                          <w:spacing w:before="181"/>
                          <w:ind w:left="0" w:right="0" w:firstLine="0"/>
                          <w:jc w:val="left"/>
                          <w:rPr>
                            <w:rFonts w:ascii="Calibri"/>
                            <w:sz w:val="31"/>
                          </w:rPr>
                        </w:pPr>
                        <w:r>
                          <w:rPr>
                            <w:rFonts w:ascii="Calibri"/>
                            <w:spacing w:val="-10"/>
                            <w:w w:val="70"/>
                            <w:sz w:val="31"/>
                          </w:rPr>
                          <w:t>7</w:t>
                        </w:r>
                      </w:p>
                      <w:p>
                        <w:pPr>
                          <w:spacing w:before="180"/>
                          <w:ind w:left="0" w:right="0" w:firstLine="0"/>
                          <w:jc w:val="left"/>
                          <w:rPr>
                            <w:rFonts w:ascii="Calibri"/>
                            <w:sz w:val="31"/>
                          </w:rPr>
                        </w:pPr>
                        <w:r>
                          <w:rPr>
                            <w:rFonts w:ascii="Calibri"/>
                            <w:spacing w:val="-10"/>
                            <w:w w:val="70"/>
                            <w:sz w:val="31"/>
                          </w:rPr>
                          <w:t>6</w:t>
                        </w:r>
                      </w:p>
                      <w:p>
                        <w:pPr>
                          <w:spacing w:before="156"/>
                          <w:ind w:left="0" w:right="0" w:firstLine="0"/>
                          <w:jc w:val="left"/>
                          <w:rPr>
                            <w:rFonts w:ascii="Calibri"/>
                            <w:sz w:val="31"/>
                          </w:rPr>
                        </w:pPr>
                        <w:r>
                          <w:rPr>
                            <w:rFonts w:ascii="Calibri"/>
                            <w:spacing w:val="-10"/>
                            <w:w w:val="70"/>
                            <w:sz w:val="31"/>
                          </w:rPr>
                          <w:t>5</w:t>
                        </w:r>
                      </w:p>
                      <w:p>
                        <w:pPr>
                          <w:spacing w:before="180"/>
                          <w:ind w:left="0" w:right="0" w:firstLine="0"/>
                          <w:jc w:val="left"/>
                          <w:rPr>
                            <w:rFonts w:ascii="Calibri"/>
                            <w:sz w:val="31"/>
                          </w:rPr>
                        </w:pPr>
                        <w:r>
                          <w:rPr>
                            <w:rFonts w:ascii="Calibri"/>
                            <w:spacing w:val="-10"/>
                            <w:w w:val="70"/>
                            <w:sz w:val="31"/>
                          </w:rPr>
                          <w:t>4</w:t>
                        </w:r>
                      </w:p>
                      <w:p>
                        <w:pPr>
                          <w:spacing w:before="181"/>
                          <w:ind w:left="0" w:right="0" w:firstLine="0"/>
                          <w:jc w:val="left"/>
                          <w:rPr>
                            <w:rFonts w:ascii="Calibri"/>
                            <w:sz w:val="31"/>
                          </w:rPr>
                        </w:pPr>
                        <w:r>
                          <w:rPr>
                            <w:rFonts w:ascii="Calibri"/>
                            <w:spacing w:val="-10"/>
                            <w:w w:val="70"/>
                            <w:sz w:val="31"/>
                          </w:rPr>
                          <w:t>3</w:t>
                        </w:r>
                      </w:p>
                      <w:p>
                        <w:pPr>
                          <w:spacing w:before="180"/>
                          <w:ind w:left="0" w:right="0" w:firstLine="0"/>
                          <w:jc w:val="left"/>
                          <w:rPr>
                            <w:rFonts w:ascii="Calibri"/>
                            <w:sz w:val="31"/>
                          </w:rPr>
                        </w:pPr>
                        <w:r>
                          <w:rPr>
                            <w:rFonts w:ascii="Calibri"/>
                            <w:spacing w:val="-10"/>
                            <w:w w:val="70"/>
                            <w:sz w:val="31"/>
                          </w:rPr>
                          <w:t>2</w:t>
                        </w:r>
                      </w:p>
                      <w:p>
                        <w:pPr>
                          <w:spacing w:before="156"/>
                          <w:ind w:left="0" w:right="0" w:firstLine="0"/>
                          <w:jc w:val="left"/>
                          <w:rPr>
                            <w:rFonts w:ascii="Calibri"/>
                            <w:sz w:val="31"/>
                          </w:rPr>
                        </w:pPr>
                        <w:r>
                          <w:rPr>
                            <w:rFonts w:ascii="Calibri"/>
                            <w:spacing w:val="-10"/>
                            <w:w w:val="70"/>
                            <w:sz w:val="31"/>
                          </w:rPr>
                          <w:t>1</w:t>
                        </w:r>
                      </w:p>
                      <w:p>
                        <w:pPr>
                          <w:spacing w:line="374" w:lineRule="exact" w:before="181"/>
                          <w:ind w:left="0" w:right="0" w:firstLine="0"/>
                          <w:jc w:val="left"/>
                          <w:rPr>
                            <w:rFonts w:ascii="Calibri"/>
                            <w:sz w:val="31"/>
                          </w:rPr>
                        </w:pPr>
                        <w:r>
                          <w:rPr>
                            <w:rFonts w:ascii="Calibri"/>
                            <w:spacing w:val="-10"/>
                            <w:w w:val="70"/>
                            <w:sz w:val="31"/>
                          </w:rPr>
                          <w:t>0</w:t>
                        </w:r>
                      </w:p>
                    </w:txbxContent>
                  </v:textbox>
                  <w10:wrap type="none"/>
                </v:shape>
                <v:shape style="position:absolute;left:2927;top:7911;width:119;height:316" type="#_x0000_t202" id="docshape379" filled="false" stroked="false">
                  <v:textbox inset="0,0,0,0">
                    <w:txbxContent>
                      <w:p>
                        <w:pPr>
                          <w:spacing w:line="316" w:lineRule="exact" w:before="0"/>
                          <w:ind w:left="0" w:right="0" w:firstLine="0"/>
                          <w:jc w:val="left"/>
                          <w:rPr>
                            <w:rFonts w:ascii="Calibri"/>
                            <w:sz w:val="31"/>
                          </w:rPr>
                        </w:pPr>
                        <w:r>
                          <w:rPr>
                            <w:rFonts w:ascii="Calibri"/>
                            <w:spacing w:val="-10"/>
                            <w:w w:val="70"/>
                            <w:sz w:val="31"/>
                          </w:rPr>
                          <w:t>0</w:t>
                        </w:r>
                      </w:p>
                    </w:txbxContent>
                  </v:textbox>
                  <w10:wrap type="none"/>
                </v:shape>
                <v:shape style="position:absolute;left:4562;top:7911;width:284;height:316" type="#_x0000_t202" id="docshape380" filled="false" stroked="false">
                  <v:textbox inset="0,0,0,0">
                    <w:txbxContent>
                      <w:p>
                        <w:pPr>
                          <w:spacing w:line="316" w:lineRule="exact" w:before="0"/>
                          <w:ind w:left="0" w:right="0" w:firstLine="0"/>
                          <w:jc w:val="left"/>
                          <w:rPr>
                            <w:rFonts w:ascii="Calibri"/>
                            <w:sz w:val="31"/>
                          </w:rPr>
                        </w:pPr>
                        <w:r>
                          <w:rPr>
                            <w:rFonts w:ascii="Calibri"/>
                            <w:spacing w:val="-5"/>
                            <w:w w:val="65"/>
                            <w:sz w:val="31"/>
                          </w:rPr>
                          <w:t>0.5</w:t>
                        </w:r>
                      </w:p>
                    </w:txbxContent>
                  </v:textbox>
                  <w10:wrap type="none"/>
                </v:shape>
                <v:shape style="position:absolute;left:6378;top:7911;width:119;height:316" type="#_x0000_t202" id="docshape381" filled="false" stroked="false">
                  <v:textbox inset="0,0,0,0">
                    <w:txbxContent>
                      <w:p>
                        <w:pPr>
                          <w:spacing w:line="316" w:lineRule="exact" w:before="0"/>
                          <w:ind w:left="0" w:right="0" w:firstLine="0"/>
                          <w:jc w:val="left"/>
                          <w:rPr>
                            <w:rFonts w:ascii="Calibri"/>
                            <w:sz w:val="31"/>
                          </w:rPr>
                        </w:pPr>
                        <w:r>
                          <w:rPr>
                            <w:rFonts w:ascii="Calibri"/>
                            <w:spacing w:val="-10"/>
                            <w:w w:val="70"/>
                            <w:sz w:val="31"/>
                          </w:rPr>
                          <w:t>1</w:t>
                        </w:r>
                      </w:p>
                    </w:txbxContent>
                  </v:textbox>
                  <w10:wrap type="none"/>
                </v:shape>
                <v:shape style="position:absolute;left:8013;top:7911;width:284;height:316" type="#_x0000_t202" id="docshape382" filled="false" stroked="false">
                  <v:textbox inset="0,0,0,0">
                    <w:txbxContent>
                      <w:p>
                        <w:pPr>
                          <w:spacing w:line="316" w:lineRule="exact" w:before="0"/>
                          <w:ind w:left="0" w:right="0" w:firstLine="0"/>
                          <w:jc w:val="left"/>
                          <w:rPr>
                            <w:rFonts w:ascii="Calibri"/>
                            <w:sz w:val="31"/>
                          </w:rPr>
                        </w:pPr>
                        <w:r>
                          <w:rPr>
                            <w:rFonts w:ascii="Calibri"/>
                            <w:spacing w:val="-5"/>
                            <w:w w:val="65"/>
                            <w:sz w:val="31"/>
                          </w:rPr>
                          <w:t>1.5</w:t>
                        </w:r>
                      </w:p>
                    </w:txbxContent>
                  </v:textbox>
                  <w10:wrap type="none"/>
                </v:shape>
                <v:shape style="position:absolute;left:9829;top:7911;width:119;height:316" type="#_x0000_t202" id="docshape383" filled="false" stroked="false">
                  <v:textbox inset="0,0,0,0">
                    <w:txbxContent>
                      <w:p>
                        <w:pPr>
                          <w:spacing w:line="316" w:lineRule="exact" w:before="0"/>
                          <w:ind w:left="0" w:right="0" w:firstLine="0"/>
                          <w:jc w:val="left"/>
                          <w:rPr>
                            <w:rFonts w:ascii="Calibri"/>
                            <w:sz w:val="31"/>
                          </w:rPr>
                        </w:pPr>
                        <w:r>
                          <w:rPr>
                            <w:rFonts w:ascii="Calibri"/>
                            <w:spacing w:val="-10"/>
                            <w:w w:val="70"/>
                            <w:sz w:val="31"/>
                          </w:rPr>
                          <w:t>2</w:t>
                        </w:r>
                      </w:p>
                    </w:txbxContent>
                  </v:textbox>
                  <w10:wrap type="none"/>
                </v:shape>
                <v:shape style="position:absolute;left:5988;top:8664;width:882;height:316" type="#_x0000_t202" id="docshape384" filled="false" stroked="false">
                  <v:textbox inset="0,0,0,0">
                    <w:txbxContent>
                      <w:p>
                        <w:pPr>
                          <w:spacing w:line="316" w:lineRule="exact" w:before="0"/>
                          <w:ind w:left="0" w:right="0" w:firstLine="0"/>
                          <w:jc w:val="left"/>
                          <w:rPr>
                            <w:rFonts w:ascii="Calibri"/>
                            <w:b/>
                            <w:sz w:val="31"/>
                          </w:rPr>
                        </w:pPr>
                        <w:r>
                          <w:rPr>
                            <w:rFonts w:ascii="Calibri"/>
                            <w:b/>
                            <w:w w:val="65"/>
                            <w:sz w:val="31"/>
                          </w:rPr>
                          <w:t>L</w:t>
                        </w:r>
                        <w:r>
                          <w:rPr>
                            <w:rFonts w:ascii="Calibri"/>
                            <w:b/>
                            <w:spacing w:val="-9"/>
                            <w:w w:val="65"/>
                            <w:sz w:val="31"/>
                          </w:rPr>
                          <w:t> </w:t>
                        </w:r>
                        <w:r>
                          <w:rPr>
                            <w:rFonts w:ascii="Calibri"/>
                            <w:b/>
                            <w:w w:val="65"/>
                            <w:sz w:val="31"/>
                          </w:rPr>
                          <w:t>og</w:t>
                        </w:r>
                        <w:r>
                          <w:rPr>
                            <w:rFonts w:ascii="Calibri"/>
                            <w:b/>
                            <w:spacing w:val="17"/>
                            <w:sz w:val="31"/>
                          </w:rPr>
                          <w:t> </w:t>
                        </w:r>
                        <w:r>
                          <w:rPr>
                            <w:rFonts w:ascii="Calibri"/>
                            <w:b/>
                            <w:spacing w:val="5"/>
                            <w:w w:val="65"/>
                            <w:sz w:val="31"/>
                          </w:rPr>
                          <w:t>Dose</w:t>
                        </w:r>
                      </w:p>
                    </w:txbxContent>
                  </v:textbox>
                  <w10:wrap type="none"/>
                </v:shape>
                <w10:wrap type="none"/>
              </v:group>
            </w:pict>
          </mc:Fallback>
        </mc:AlternateContent>
      </w:r>
      <w:r>
        <w:rPr>
          <w:b/>
          <w:sz w:val="24"/>
        </w:rPr>
        <w:t>Log</w:t>
      </w:r>
      <w:r>
        <w:rPr>
          <w:b/>
          <w:spacing w:val="-2"/>
          <w:sz w:val="24"/>
        </w:rPr>
        <w:t> </w:t>
      </w:r>
      <w:r>
        <w:rPr>
          <w:b/>
          <w:sz w:val="24"/>
        </w:rPr>
        <w:t>Dose</w:t>
      </w:r>
      <w:r>
        <w:rPr>
          <w:b/>
          <w:spacing w:val="-2"/>
          <w:sz w:val="24"/>
        </w:rPr>
        <w:t> </w:t>
      </w:r>
      <w:r>
        <w:rPr>
          <w:b/>
          <w:sz w:val="24"/>
        </w:rPr>
        <w:t>– Probit</w:t>
      </w:r>
      <w:r>
        <w:rPr>
          <w:b/>
          <w:spacing w:val="2"/>
          <w:sz w:val="24"/>
        </w:rPr>
        <w:t> </w:t>
      </w:r>
      <w:r>
        <w:rPr>
          <w:b/>
          <w:sz w:val="24"/>
        </w:rPr>
        <w:t>Values</w:t>
      </w:r>
      <w:r>
        <w:rPr>
          <w:b/>
          <w:spacing w:val="-2"/>
          <w:sz w:val="24"/>
        </w:rPr>
        <w:t> </w:t>
      </w:r>
      <w:r>
        <w:rPr>
          <w:b/>
          <w:sz w:val="24"/>
        </w:rPr>
        <w:t>for</w:t>
      </w:r>
      <w:r>
        <w:rPr>
          <w:b/>
          <w:spacing w:val="-7"/>
          <w:sz w:val="24"/>
        </w:rPr>
        <w:t> </w:t>
      </w:r>
      <w:r>
        <w:rPr>
          <w:b/>
          <w:sz w:val="24"/>
        </w:rPr>
        <w:t>ED</w:t>
      </w:r>
      <w:r>
        <w:rPr>
          <w:b/>
          <w:sz w:val="24"/>
          <w:vertAlign w:val="subscript"/>
        </w:rPr>
        <w:t>50</w:t>
      </w:r>
      <w:r>
        <w:rPr>
          <w:b/>
          <w:spacing w:val="-20"/>
          <w:sz w:val="24"/>
          <w:vertAlign w:val="baseline"/>
        </w:rPr>
        <w:t> </w:t>
      </w:r>
      <w:r>
        <w:rPr>
          <w:b/>
          <w:sz w:val="24"/>
          <w:vertAlign w:val="baseline"/>
        </w:rPr>
        <w:t>of</w:t>
      </w:r>
      <w:r>
        <w:rPr>
          <w:b/>
          <w:spacing w:val="-3"/>
          <w:sz w:val="24"/>
          <w:vertAlign w:val="baseline"/>
        </w:rPr>
        <w:t> </w:t>
      </w:r>
      <w:r>
        <w:rPr>
          <w:b/>
          <w:spacing w:val="-4"/>
          <w:sz w:val="24"/>
          <w:vertAlign w:val="baseline"/>
        </w:rPr>
        <w:t>DCP25</w:t>
      </w:r>
    </w:p>
    <w:p>
      <w:pPr>
        <w:pStyle w:val="BodyText"/>
        <w:spacing w:before="110"/>
        <w:rPr>
          <w:b/>
          <w:sz w:val="20"/>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0"/>
        <w:gridCol w:w="1097"/>
        <w:gridCol w:w="1274"/>
      </w:tblGrid>
      <w:tr>
        <w:trPr>
          <w:trHeight w:val="251" w:hRule="atLeast"/>
        </w:trPr>
        <w:tc>
          <w:tcPr>
            <w:tcW w:w="1040" w:type="dxa"/>
          </w:tcPr>
          <w:p>
            <w:pPr>
              <w:pStyle w:val="TableParagraph"/>
              <w:spacing w:line="225" w:lineRule="exact"/>
              <w:ind w:left="50"/>
              <w:rPr>
                <w:rFonts w:ascii="Calibri"/>
                <w:sz w:val="22"/>
              </w:rPr>
            </w:pPr>
            <w:r>
              <w:rPr>
                <w:rFonts w:ascii="Calibri"/>
                <w:sz w:val="22"/>
              </w:rPr>
              <w:t>Log</w:t>
            </w:r>
            <w:r>
              <w:rPr>
                <w:rFonts w:ascii="Calibri"/>
                <w:spacing w:val="-5"/>
                <w:sz w:val="22"/>
              </w:rPr>
              <w:t> </w:t>
            </w:r>
            <w:r>
              <w:rPr>
                <w:rFonts w:ascii="Calibri"/>
                <w:spacing w:val="-4"/>
                <w:sz w:val="22"/>
              </w:rPr>
              <w:t>Dose</w:t>
            </w:r>
          </w:p>
        </w:tc>
        <w:tc>
          <w:tcPr>
            <w:tcW w:w="1097" w:type="dxa"/>
          </w:tcPr>
          <w:p>
            <w:pPr>
              <w:pStyle w:val="TableParagraph"/>
              <w:spacing w:line="225" w:lineRule="exact"/>
              <w:ind w:left="109"/>
              <w:rPr>
                <w:rFonts w:ascii="Calibri"/>
                <w:sz w:val="22"/>
              </w:rPr>
            </w:pPr>
            <w:r>
              <w:rPr>
                <w:rFonts w:ascii="Calibri"/>
                <w:spacing w:val="-2"/>
                <w:sz w:val="22"/>
              </w:rPr>
              <w:t>Probit</w:t>
            </w:r>
          </w:p>
        </w:tc>
        <w:tc>
          <w:tcPr>
            <w:tcW w:w="1274" w:type="dxa"/>
          </w:tcPr>
          <w:p>
            <w:pPr>
              <w:pStyle w:val="TableParagraph"/>
              <w:spacing w:line="225" w:lineRule="exact"/>
              <w:ind w:left="107"/>
              <w:rPr>
                <w:rFonts w:ascii="Calibri"/>
                <w:sz w:val="22"/>
              </w:rPr>
            </w:pPr>
            <w:r>
              <w:rPr>
                <w:rFonts w:ascii="Calibri"/>
                <w:spacing w:val="-2"/>
                <w:sz w:val="22"/>
              </w:rPr>
              <w:t>PICROTOXIN</w:t>
            </w:r>
          </w:p>
        </w:tc>
      </w:tr>
      <w:tr>
        <w:trPr>
          <w:trHeight w:val="285" w:hRule="atLeast"/>
        </w:trPr>
        <w:tc>
          <w:tcPr>
            <w:tcW w:w="1040" w:type="dxa"/>
          </w:tcPr>
          <w:p>
            <w:pPr>
              <w:pStyle w:val="TableParagraph"/>
              <w:spacing w:line="256" w:lineRule="exact"/>
              <w:ind w:right="108"/>
              <w:jc w:val="right"/>
              <w:rPr>
                <w:rFonts w:ascii="Calibri"/>
                <w:sz w:val="22"/>
              </w:rPr>
            </w:pPr>
            <w:r>
              <w:rPr>
                <w:rFonts w:ascii="Calibri"/>
                <w:spacing w:val="-5"/>
                <w:sz w:val="22"/>
              </w:rPr>
              <w:t>1.1</w:t>
            </w:r>
          </w:p>
        </w:tc>
        <w:tc>
          <w:tcPr>
            <w:tcW w:w="1097" w:type="dxa"/>
          </w:tcPr>
          <w:p>
            <w:pPr>
              <w:pStyle w:val="TableParagraph"/>
              <w:spacing w:line="256" w:lineRule="exact"/>
              <w:ind w:right="105"/>
              <w:jc w:val="right"/>
              <w:rPr>
                <w:rFonts w:ascii="Calibri"/>
                <w:sz w:val="22"/>
              </w:rPr>
            </w:pPr>
            <w:r>
              <w:rPr>
                <w:rFonts w:ascii="Calibri"/>
                <w:spacing w:val="-4"/>
                <w:sz w:val="22"/>
              </w:rPr>
              <w:t>3.25</w:t>
            </w:r>
          </w:p>
        </w:tc>
        <w:tc>
          <w:tcPr>
            <w:tcW w:w="1274" w:type="dxa"/>
          </w:tcPr>
          <w:p>
            <w:pPr>
              <w:pStyle w:val="TableParagraph"/>
              <w:rPr>
                <w:sz w:val="20"/>
              </w:rPr>
            </w:pPr>
          </w:p>
        </w:tc>
      </w:tr>
      <w:tr>
        <w:trPr>
          <w:trHeight w:val="285" w:hRule="atLeast"/>
        </w:trPr>
        <w:tc>
          <w:tcPr>
            <w:tcW w:w="1040" w:type="dxa"/>
          </w:tcPr>
          <w:p>
            <w:pPr>
              <w:pStyle w:val="TableParagraph"/>
              <w:spacing w:line="258" w:lineRule="exact"/>
              <w:ind w:right="108"/>
              <w:jc w:val="right"/>
              <w:rPr>
                <w:rFonts w:ascii="Calibri"/>
                <w:sz w:val="22"/>
              </w:rPr>
            </w:pPr>
            <w:r>
              <w:rPr>
                <w:rFonts w:ascii="Calibri"/>
                <w:spacing w:val="-5"/>
                <w:sz w:val="22"/>
              </w:rPr>
              <w:t>1.4</w:t>
            </w:r>
          </w:p>
        </w:tc>
        <w:tc>
          <w:tcPr>
            <w:tcW w:w="1097" w:type="dxa"/>
          </w:tcPr>
          <w:p>
            <w:pPr>
              <w:pStyle w:val="TableParagraph"/>
              <w:spacing w:line="258" w:lineRule="exact"/>
              <w:ind w:right="105"/>
              <w:jc w:val="right"/>
              <w:rPr>
                <w:rFonts w:ascii="Calibri"/>
                <w:sz w:val="22"/>
              </w:rPr>
            </w:pPr>
            <w:r>
              <w:rPr>
                <w:rFonts w:ascii="Calibri"/>
                <w:spacing w:val="-4"/>
                <w:sz w:val="22"/>
              </w:rPr>
              <w:t>5.41</w:t>
            </w:r>
          </w:p>
        </w:tc>
        <w:tc>
          <w:tcPr>
            <w:tcW w:w="1274" w:type="dxa"/>
          </w:tcPr>
          <w:p>
            <w:pPr>
              <w:pStyle w:val="TableParagraph"/>
              <w:rPr>
                <w:sz w:val="20"/>
              </w:rPr>
            </w:pPr>
          </w:p>
        </w:tc>
      </w:tr>
      <w:tr>
        <w:trPr>
          <w:trHeight w:val="283" w:hRule="atLeast"/>
        </w:trPr>
        <w:tc>
          <w:tcPr>
            <w:tcW w:w="1040" w:type="dxa"/>
          </w:tcPr>
          <w:p>
            <w:pPr>
              <w:pStyle w:val="TableParagraph"/>
              <w:spacing w:line="256" w:lineRule="exact"/>
              <w:ind w:right="108"/>
              <w:jc w:val="right"/>
              <w:rPr>
                <w:rFonts w:ascii="Calibri"/>
                <w:sz w:val="22"/>
              </w:rPr>
            </w:pPr>
            <w:r>
              <w:rPr>
                <w:rFonts w:ascii="Calibri"/>
                <w:spacing w:val="-5"/>
                <w:sz w:val="22"/>
              </w:rPr>
              <w:t>1.7</w:t>
            </w:r>
          </w:p>
        </w:tc>
        <w:tc>
          <w:tcPr>
            <w:tcW w:w="1097" w:type="dxa"/>
          </w:tcPr>
          <w:p>
            <w:pPr>
              <w:pStyle w:val="TableParagraph"/>
              <w:spacing w:line="256" w:lineRule="exact"/>
              <w:ind w:right="105"/>
              <w:jc w:val="right"/>
              <w:rPr>
                <w:rFonts w:ascii="Calibri"/>
                <w:sz w:val="22"/>
              </w:rPr>
            </w:pPr>
            <w:r>
              <w:rPr>
                <w:rFonts w:ascii="Calibri"/>
                <w:spacing w:val="-4"/>
                <w:sz w:val="22"/>
              </w:rPr>
              <w:t>5.92</w:t>
            </w:r>
          </w:p>
        </w:tc>
        <w:tc>
          <w:tcPr>
            <w:tcW w:w="1274" w:type="dxa"/>
          </w:tcPr>
          <w:p>
            <w:pPr>
              <w:pStyle w:val="TableParagraph"/>
              <w:rPr>
                <w:sz w:val="20"/>
              </w:rPr>
            </w:pPr>
          </w:p>
        </w:tc>
      </w:tr>
      <w:tr>
        <w:trPr>
          <w:trHeight w:val="252" w:hRule="atLeast"/>
        </w:trPr>
        <w:tc>
          <w:tcPr>
            <w:tcW w:w="1040" w:type="dxa"/>
          </w:tcPr>
          <w:p>
            <w:pPr>
              <w:pStyle w:val="TableParagraph"/>
              <w:spacing w:line="232" w:lineRule="exact"/>
              <w:ind w:right="108"/>
              <w:jc w:val="right"/>
              <w:rPr>
                <w:rFonts w:ascii="Calibri"/>
                <w:sz w:val="22"/>
              </w:rPr>
            </w:pPr>
            <w:r>
              <w:rPr>
                <w:rFonts w:ascii="Calibri"/>
                <w:spacing w:val="-4"/>
                <w:sz w:val="22"/>
              </w:rPr>
              <w:t>1.88</w:t>
            </w:r>
          </w:p>
        </w:tc>
        <w:tc>
          <w:tcPr>
            <w:tcW w:w="1097" w:type="dxa"/>
          </w:tcPr>
          <w:p>
            <w:pPr>
              <w:pStyle w:val="TableParagraph"/>
              <w:spacing w:line="232" w:lineRule="exact"/>
              <w:ind w:right="105"/>
              <w:jc w:val="right"/>
              <w:rPr>
                <w:rFonts w:ascii="Calibri"/>
                <w:sz w:val="22"/>
              </w:rPr>
            </w:pPr>
            <w:r>
              <w:rPr>
                <w:rFonts w:ascii="Calibri"/>
                <w:spacing w:val="-4"/>
                <w:sz w:val="22"/>
              </w:rPr>
              <w:t>6.64</w:t>
            </w:r>
          </w:p>
        </w:tc>
        <w:tc>
          <w:tcPr>
            <w:tcW w:w="1274" w:type="dxa"/>
          </w:tcPr>
          <w:p>
            <w:pPr>
              <w:pStyle w:val="TableParagraph"/>
              <w:rPr>
                <w:sz w:val="18"/>
              </w:rPr>
            </w:pP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6"/>
        <w:rPr>
          <w:b/>
        </w:rPr>
      </w:pPr>
    </w:p>
    <w:p>
      <w:pPr>
        <w:pStyle w:val="BodyText"/>
        <w:spacing w:line="237" w:lineRule="auto" w:before="1"/>
        <w:ind w:left="681" w:right="947"/>
      </w:pPr>
      <w:r>
        <w:rPr/>
        <mc:AlternateContent>
          <mc:Choice Requires="wps">
            <w:drawing>
              <wp:anchor distT="0" distB="0" distL="0" distR="0" allowOverlap="1" layoutInCell="1" locked="0" behindDoc="0" simplePos="0" relativeHeight="15815168">
                <wp:simplePos x="0" y="0"/>
                <wp:positionH relativeFrom="page">
                  <wp:posOffset>1457977</wp:posOffset>
                </wp:positionH>
                <wp:positionV relativeFrom="paragraph">
                  <wp:posOffset>-2906763</wp:posOffset>
                </wp:positionV>
                <wp:extent cx="149860" cy="617855"/>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149860" cy="617855"/>
                        </a:xfrm>
                        <a:prstGeom prst="rect">
                          <a:avLst/>
                        </a:prstGeom>
                      </wps:spPr>
                      <wps:txbx>
                        <w:txbxContent>
                          <w:p>
                            <w:pPr>
                              <w:spacing w:line="217" w:lineRule="exact" w:before="0"/>
                              <w:ind w:left="20" w:right="0" w:firstLine="0"/>
                              <w:jc w:val="left"/>
                              <w:rPr>
                                <w:rFonts w:ascii="Calibri"/>
                                <w:b/>
                                <w:sz w:val="19"/>
                              </w:rPr>
                            </w:pPr>
                            <w:r>
                              <w:rPr>
                                <w:rFonts w:ascii="Calibri"/>
                                <w:b/>
                                <w:w w:val="165"/>
                                <w:sz w:val="19"/>
                              </w:rPr>
                              <w:t>P</w:t>
                            </w:r>
                            <w:r>
                              <w:rPr>
                                <w:rFonts w:ascii="Calibri"/>
                                <w:b/>
                                <w:spacing w:val="-20"/>
                                <w:w w:val="165"/>
                                <w:sz w:val="19"/>
                              </w:rPr>
                              <w:t> </w:t>
                            </w:r>
                            <w:r>
                              <w:rPr>
                                <w:rFonts w:ascii="Calibri"/>
                                <w:b/>
                                <w:spacing w:val="12"/>
                                <w:w w:val="165"/>
                                <w:sz w:val="19"/>
                              </w:rPr>
                              <w:t>robit</w:t>
                            </w:r>
                          </w:p>
                        </w:txbxContent>
                      </wps:txbx>
                      <wps:bodyPr wrap="square" lIns="0" tIns="0" rIns="0" bIns="0" rtlCol="0" vert="vert270">
                        <a:noAutofit/>
                      </wps:bodyPr>
                    </wps:wsp>
                  </a:graphicData>
                </a:graphic>
              </wp:anchor>
            </w:drawing>
          </mc:Choice>
          <mc:Fallback>
            <w:pict>
              <v:shape style="position:absolute;margin-left:114.801361pt;margin-top:-228.879013pt;width:11.8pt;height:48.65pt;mso-position-horizontal-relative:page;mso-position-vertical-relative:paragraph;z-index:15815168" type="#_x0000_t202" id="docshape385" filled="false" stroked="false">
                <v:textbox inset="0,0,0,0" style="layout-flow:vertical;mso-layout-flow-alt:bottom-to-top">
                  <w:txbxContent>
                    <w:p>
                      <w:pPr>
                        <w:spacing w:line="217" w:lineRule="exact" w:before="0"/>
                        <w:ind w:left="20" w:right="0" w:firstLine="0"/>
                        <w:jc w:val="left"/>
                        <w:rPr>
                          <w:rFonts w:ascii="Calibri"/>
                          <w:b/>
                          <w:sz w:val="19"/>
                        </w:rPr>
                      </w:pPr>
                      <w:r>
                        <w:rPr>
                          <w:rFonts w:ascii="Calibri"/>
                          <w:b/>
                          <w:w w:val="165"/>
                          <w:sz w:val="19"/>
                        </w:rPr>
                        <w:t>P</w:t>
                      </w:r>
                      <w:r>
                        <w:rPr>
                          <w:rFonts w:ascii="Calibri"/>
                          <w:b/>
                          <w:spacing w:val="-20"/>
                          <w:w w:val="165"/>
                          <w:sz w:val="19"/>
                        </w:rPr>
                        <w:t> </w:t>
                      </w:r>
                      <w:r>
                        <w:rPr>
                          <w:rFonts w:ascii="Calibri"/>
                          <w:b/>
                          <w:spacing w:val="12"/>
                          <w:w w:val="165"/>
                          <w:sz w:val="19"/>
                        </w:rPr>
                        <w:t>robit</w:t>
                      </w:r>
                    </w:p>
                  </w:txbxContent>
                </v:textbox>
                <w10:wrap type="none"/>
              </v:shape>
            </w:pict>
          </mc:Fallback>
        </mc:AlternateContent>
      </w:r>
      <w:r>
        <w:rPr>
          <w:b/>
        </w:rPr>
        <w:t>FIGURE</w:t>
      </w:r>
      <w:r>
        <w:rPr>
          <w:b/>
          <w:spacing w:val="-5"/>
        </w:rPr>
        <w:t> </w:t>
      </w:r>
      <w:r>
        <w:rPr>
          <w:b/>
        </w:rPr>
        <w:t>8:</w:t>
      </w:r>
      <w:r>
        <w:rPr>
          <w:b/>
          <w:spacing w:val="-1"/>
        </w:rPr>
        <w:t> </w:t>
      </w:r>
      <w:r>
        <w:rPr/>
        <w:t>Log</w:t>
      </w:r>
      <w:r>
        <w:rPr>
          <w:spacing w:val="-3"/>
        </w:rPr>
        <w:t> </w:t>
      </w:r>
      <w:r>
        <w:rPr/>
        <w:t>Dose</w:t>
      </w:r>
      <w:r>
        <w:rPr>
          <w:spacing w:val="-3"/>
        </w:rPr>
        <w:t> </w:t>
      </w:r>
      <w:r>
        <w:rPr/>
        <w:t>-</w:t>
      </w:r>
      <w:r>
        <w:rPr>
          <w:spacing w:val="-6"/>
        </w:rPr>
        <w:t> </w:t>
      </w:r>
      <w:r>
        <w:rPr/>
        <w:t>Probit Graphical</w:t>
      </w:r>
      <w:r>
        <w:rPr>
          <w:spacing w:val="-8"/>
        </w:rPr>
        <w:t> </w:t>
      </w:r>
      <w:r>
        <w:rPr/>
        <w:t>Determination</w:t>
      </w:r>
      <w:r>
        <w:rPr>
          <w:spacing w:val="-8"/>
        </w:rPr>
        <w:t> </w:t>
      </w:r>
      <w:r>
        <w:rPr/>
        <w:t>of</w:t>
      </w:r>
      <w:r>
        <w:rPr>
          <w:spacing w:val="-10"/>
        </w:rPr>
        <w:t> </w:t>
      </w:r>
      <w:r>
        <w:rPr/>
        <w:t>ED</w:t>
      </w:r>
      <w:r>
        <w:rPr>
          <w:vertAlign w:val="subscript"/>
        </w:rPr>
        <w:t>50</w:t>
      </w:r>
      <w:r>
        <w:rPr>
          <w:vertAlign w:val="baseline"/>
        </w:rPr>
        <w:t> for</w:t>
      </w:r>
      <w:r>
        <w:rPr>
          <w:spacing w:val="-2"/>
          <w:vertAlign w:val="baseline"/>
        </w:rPr>
        <w:t> </w:t>
      </w:r>
      <w:r>
        <w:rPr>
          <w:vertAlign w:val="baseline"/>
        </w:rPr>
        <w:t>DCP25</w:t>
      </w:r>
      <w:r>
        <w:rPr>
          <w:spacing w:val="-3"/>
          <w:vertAlign w:val="baseline"/>
        </w:rPr>
        <w:t> </w:t>
      </w:r>
      <w:r>
        <w:rPr>
          <w:vertAlign w:val="baseline"/>
        </w:rPr>
        <w:t>Using Picrotoxin-induced Seizure Test</w:t>
      </w:r>
    </w:p>
    <w:p>
      <w:pPr>
        <w:spacing w:after="0" w:line="237" w:lineRule="auto"/>
        <w:sectPr>
          <w:pgSz w:w="12240" w:h="15840"/>
          <w:pgMar w:header="0" w:footer="1066" w:top="1360" w:bottom="1260" w:left="1480" w:right="1160"/>
        </w:sectPr>
      </w:pPr>
    </w:p>
    <w:p>
      <w:pPr>
        <w:pStyle w:val="Heading2"/>
        <w:spacing w:line="237" w:lineRule="auto" w:before="79"/>
        <w:jc w:val="left"/>
      </w:pPr>
      <w:r>
        <w:rPr/>
        <w:t>APPENDIX</w:t>
      </w:r>
      <w:r>
        <w:rPr>
          <w:spacing w:val="-6"/>
        </w:rPr>
        <w:t> </w:t>
      </w:r>
      <w:r>
        <w:rPr/>
        <w:t>I:</w:t>
      </w:r>
      <w:r>
        <w:rPr>
          <w:spacing w:val="-4"/>
        </w:rPr>
        <w:t> </w:t>
      </w:r>
      <w:r>
        <w:rPr/>
        <w:t>SAMPLE</w:t>
      </w:r>
      <w:r>
        <w:rPr>
          <w:spacing w:val="-7"/>
        </w:rPr>
        <w:t> </w:t>
      </w:r>
      <w:r>
        <w:rPr/>
        <w:t>OF</w:t>
      </w:r>
      <w:r>
        <w:rPr>
          <w:spacing w:val="-7"/>
        </w:rPr>
        <w:t> </w:t>
      </w:r>
      <w:r>
        <w:rPr/>
        <w:t>POLYGRAPHS</w:t>
      </w:r>
      <w:r>
        <w:rPr>
          <w:spacing w:val="-4"/>
        </w:rPr>
        <w:t> </w:t>
      </w:r>
      <w:r>
        <w:rPr/>
        <w:t>RECORDINGS</w:t>
      </w:r>
      <w:r>
        <w:rPr>
          <w:spacing w:val="-5"/>
        </w:rPr>
        <w:t> </w:t>
      </w:r>
      <w:r>
        <w:rPr/>
        <w:t>FOR</w:t>
      </w:r>
      <w:r>
        <w:rPr>
          <w:spacing w:val="-5"/>
        </w:rPr>
        <w:t> </w:t>
      </w:r>
      <w:r>
        <w:rPr/>
        <w:t>Nav 1,6 </w:t>
      </w:r>
      <w:r>
        <w:rPr>
          <w:spacing w:val="-2"/>
        </w:rPr>
        <w:t>CURRENTS</w:t>
      </w:r>
    </w:p>
    <w:p>
      <w:pPr>
        <w:pStyle w:val="BodyText"/>
        <w:spacing w:before="1"/>
        <w:rPr>
          <w:b/>
        </w:rPr>
      </w:pPr>
    </w:p>
    <w:p>
      <w:pPr>
        <w:spacing w:line="480" w:lineRule="auto" w:before="0"/>
        <w:ind w:left="681" w:right="415" w:firstLine="0"/>
        <w:jc w:val="left"/>
        <w:rPr>
          <w:b/>
          <w:sz w:val="24"/>
        </w:rPr>
      </w:pPr>
      <w:r>
        <w:rPr>
          <w:b/>
          <w:sz w:val="24"/>
        </w:rPr>
        <w:t>Polygraphs</w:t>
      </w:r>
      <w:r>
        <w:rPr>
          <w:b/>
          <w:spacing w:val="-4"/>
          <w:sz w:val="24"/>
        </w:rPr>
        <w:t> </w:t>
      </w:r>
      <w:r>
        <w:rPr>
          <w:b/>
          <w:sz w:val="24"/>
        </w:rPr>
        <w:t>for</w:t>
      </w:r>
      <w:r>
        <w:rPr>
          <w:b/>
          <w:spacing w:val="-8"/>
          <w:sz w:val="24"/>
        </w:rPr>
        <w:t> </w:t>
      </w:r>
      <w:r>
        <w:rPr>
          <w:b/>
          <w:sz w:val="24"/>
        </w:rPr>
        <w:t>the</w:t>
      </w:r>
      <w:r>
        <w:rPr>
          <w:b/>
          <w:spacing w:val="-3"/>
          <w:sz w:val="24"/>
        </w:rPr>
        <w:t> </w:t>
      </w:r>
      <w:r>
        <w:rPr>
          <w:b/>
          <w:sz w:val="24"/>
        </w:rPr>
        <w:t>Effect</w:t>
      </w:r>
      <w:r>
        <w:rPr>
          <w:b/>
          <w:spacing w:val="-1"/>
          <w:sz w:val="24"/>
        </w:rPr>
        <w:t> </w:t>
      </w:r>
      <w:r>
        <w:rPr>
          <w:b/>
          <w:sz w:val="24"/>
        </w:rPr>
        <w:t>of</w:t>
      </w:r>
      <w:r>
        <w:rPr>
          <w:b/>
          <w:spacing w:val="-5"/>
          <w:sz w:val="24"/>
        </w:rPr>
        <w:t> </w:t>
      </w:r>
      <w:r>
        <w:rPr>
          <w:b/>
          <w:sz w:val="24"/>
        </w:rPr>
        <w:t>100</w:t>
      </w:r>
      <w:r>
        <w:rPr>
          <w:b/>
          <w:spacing w:val="-2"/>
          <w:sz w:val="24"/>
        </w:rPr>
        <w:t> </w:t>
      </w:r>
      <w:r>
        <w:rPr>
          <w:b/>
          <w:sz w:val="24"/>
        </w:rPr>
        <w:t>µM DCP23 on</w:t>
      </w:r>
      <w:r>
        <w:rPr>
          <w:b/>
          <w:spacing w:val="-10"/>
          <w:sz w:val="24"/>
        </w:rPr>
        <w:t> </w:t>
      </w:r>
      <w:r>
        <w:rPr>
          <w:b/>
          <w:sz w:val="24"/>
        </w:rPr>
        <w:t>Current-Voltage</w:t>
      </w:r>
      <w:r>
        <w:rPr>
          <w:b/>
          <w:spacing w:val="-3"/>
          <w:sz w:val="24"/>
        </w:rPr>
        <w:t> </w:t>
      </w:r>
      <w:r>
        <w:rPr>
          <w:b/>
          <w:sz w:val="24"/>
        </w:rPr>
        <w:t>(I-V)</w:t>
      </w:r>
      <w:r>
        <w:rPr>
          <w:b/>
          <w:spacing w:val="-1"/>
          <w:sz w:val="24"/>
        </w:rPr>
        <w:t> </w:t>
      </w:r>
      <w:r>
        <w:rPr>
          <w:b/>
          <w:sz w:val="24"/>
        </w:rPr>
        <w:t>of</w:t>
      </w:r>
      <w:r>
        <w:rPr>
          <w:b/>
          <w:spacing w:val="-5"/>
          <w:sz w:val="24"/>
        </w:rPr>
        <w:t> </w:t>
      </w:r>
      <w:r>
        <w:rPr>
          <w:b/>
          <w:sz w:val="24"/>
        </w:rPr>
        <w:t>Na</w:t>
      </w:r>
      <w:r>
        <w:rPr>
          <w:b/>
          <w:sz w:val="24"/>
          <w:vertAlign w:val="subscript"/>
        </w:rPr>
        <w:t>v</w:t>
      </w:r>
      <w:r>
        <w:rPr>
          <w:b/>
          <w:spacing w:val="-4"/>
          <w:sz w:val="24"/>
          <w:vertAlign w:val="baseline"/>
        </w:rPr>
        <w:t> </w:t>
      </w:r>
      <w:r>
        <w:rPr>
          <w:b/>
          <w:sz w:val="24"/>
          <w:vertAlign w:val="baseline"/>
        </w:rPr>
        <w:t>1.6 </w:t>
      </w:r>
      <w:r>
        <w:rPr>
          <w:b/>
          <w:spacing w:val="-2"/>
          <w:sz w:val="24"/>
          <w:vertAlign w:val="baseline"/>
        </w:rPr>
        <w:t>Control</w:t>
      </w:r>
    </w:p>
    <w:p>
      <w:pPr>
        <w:pStyle w:val="BodyText"/>
        <w:rPr>
          <w:b/>
          <w:sz w:val="20"/>
        </w:rPr>
      </w:pPr>
    </w:p>
    <w:p>
      <w:pPr>
        <w:pStyle w:val="BodyText"/>
        <w:spacing w:before="180"/>
        <w:rPr>
          <w:b/>
          <w:sz w:val="20"/>
        </w:rPr>
      </w:pPr>
    </w:p>
    <w:p>
      <w:pPr>
        <w:spacing w:after="0"/>
        <w:rPr>
          <w:sz w:val="20"/>
        </w:rPr>
        <w:sectPr>
          <w:pgSz w:w="12240" w:h="15840"/>
          <w:pgMar w:header="0" w:footer="1066" w:top="1360" w:bottom="1260" w:left="1480" w:right="1160"/>
        </w:sectPr>
      </w:pPr>
    </w:p>
    <w:p>
      <w:pPr>
        <w:spacing w:before="94"/>
        <w:ind w:left="0" w:right="0" w:firstLine="0"/>
        <w:jc w:val="right"/>
        <w:rPr>
          <w:rFonts w:ascii="Arial MT"/>
          <w:sz w:val="19"/>
        </w:rPr>
      </w:pPr>
      <w:r>
        <w:rPr/>
        <mc:AlternateContent>
          <mc:Choice Requires="wps">
            <w:drawing>
              <wp:anchor distT="0" distB="0" distL="0" distR="0" allowOverlap="1" layoutInCell="1" locked="0" behindDoc="0" simplePos="0" relativeHeight="15819776">
                <wp:simplePos x="0" y="0"/>
                <wp:positionH relativeFrom="page">
                  <wp:posOffset>1369650</wp:posOffset>
                </wp:positionH>
                <wp:positionV relativeFrom="paragraph">
                  <wp:posOffset>113790</wp:posOffset>
                </wp:positionV>
                <wp:extent cx="137160" cy="699135"/>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137160" cy="699135"/>
                        </a:xfrm>
                        <a:prstGeom prst="rect">
                          <a:avLst/>
                        </a:prstGeom>
                      </wps:spPr>
                      <wps:txbx>
                        <w:txbxContent>
                          <w:p>
                            <w:pPr>
                              <w:spacing w:before="21"/>
                              <w:ind w:left="20" w:right="0" w:firstLine="0"/>
                              <w:jc w:val="left"/>
                              <w:rPr>
                                <w:rFonts w:ascii="Arial MT"/>
                                <w:sz w:val="15"/>
                              </w:rPr>
                            </w:pPr>
                            <w:r>
                              <w:rPr>
                                <w:rFonts w:ascii="Arial MT"/>
                                <w:w w:val="125"/>
                                <w:sz w:val="15"/>
                              </w:rPr>
                              <w:t>Current</w:t>
                            </w:r>
                            <w:r>
                              <w:rPr>
                                <w:rFonts w:ascii="Arial MT"/>
                                <w:spacing w:val="12"/>
                                <w:w w:val="125"/>
                                <w:sz w:val="15"/>
                              </w:rPr>
                              <w:t> </w:t>
                            </w:r>
                            <w:r>
                              <w:rPr>
                                <w:rFonts w:ascii="Arial MT"/>
                                <w:spacing w:val="-4"/>
                                <w:w w:val="125"/>
                                <w:sz w:val="15"/>
                              </w:rPr>
                              <w:t>(pA)</w:t>
                            </w:r>
                          </w:p>
                        </w:txbxContent>
                      </wps:txbx>
                      <wps:bodyPr wrap="square" lIns="0" tIns="0" rIns="0" bIns="0" rtlCol="0" vert="vert270">
                        <a:noAutofit/>
                      </wps:bodyPr>
                    </wps:wsp>
                  </a:graphicData>
                </a:graphic>
              </wp:anchor>
            </w:drawing>
          </mc:Choice>
          <mc:Fallback>
            <w:pict>
              <v:shape style="position:absolute;margin-left:107.846519pt;margin-top:8.959891pt;width:10.8pt;height:55.05pt;mso-position-horizontal-relative:page;mso-position-vertical-relative:paragraph;z-index:15819776" type="#_x0000_t202" id="docshape386" filled="false" stroked="false">
                <v:textbox inset="0,0,0,0" style="layout-flow:vertical;mso-layout-flow-alt:bottom-to-top">
                  <w:txbxContent>
                    <w:p>
                      <w:pPr>
                        <w:spacing w:before="21"/>
                        <w:ind w:left="20" w:right="0" w:firstLine="0"/>
                        <w:jc w:val="left"/>
                        <w:rPr>
                          <w:rFonts w:ascii="Arial MT"/>
                          <w:sz w:val="15"/>
                        </w:rPr>
                      </w:pPr>
                      <w:r>
                        <w:rPr>
                          <w:rFonts w:ascii="Arial MT"/>
                          <w:w w:val="125"/>
                          <w:sz w:val="15"/>
                        </w:rPr>
                        <w:t>Current</w:t>
                      </w:r>
                      <w:r>
                        <w:rPr>
                          <w:rFonts w:ascii="Arial MT"/>
                          <w:spacing w:val="12"/>
                          <w:w w:val="125"/>
                          <w:sz w:val="15"/>
                        </w:rPr>
                        <w:t> </w:t>
                      </w:r>
                      <w:r>
                        <w:rPr>
                          <w:rFonts w:ascii="Arial MT"/>
                          <w:spacing w:val="-4"/>
                          <w:w w:val="125"/>
                          <w:sz w:val="15"/>
                        </w:rPr>
                        <w:t>(pA)</w:t>
                      </w:r>
                    </w:p>
                  </w:txbxContent>
                </v:textbox>
                <w10:wrap type="none"/>
              </v:shape>
            </w:pict>
          </mc:Fallback>
        </mc:AlternateContent>
      </w:r>
      <w:r>
        <w:rPr>
          <w:rFonts w:ascii="Arial MT"/>
          <w:spacing w:val="-10"/>
          <w:w w:val="90"/>
          <w:sz w:val="19"/>
        </w:rPr>
        <w:t>0</w:t>
      </w:r>
    </w:p>
    <w:p>
      <w:pPr>
        <w:pStyle w:val="BodyText"/>
        <w:rPr>
          <w:rFonts w:ascii="Arial MT"/>
          <w:sz w:val="19"/>
        </w:rPr>
      </w:pPr>
    </w:p>
    <w:p>
      <w:pPr>
        <w:pStyle w:val="BodyText"/>
        <w:rPr>
          <w:rFonts w:ascii="Arial MT"/>
          <w:sz w:val="19"/>
        </w:rPr>
      </w:pPr>
    </w:p>
    <w:p>
      <w:pPr>
        <w:pStyle w:val="BodyText"/>
        <w:rPr>
          <w:rFonts w:ascii="Arial MT"/>
          <w:sz w:val="19"/>
        </w:rPr>
      </w:pPr>
    </w:p>
    <w:p>
      <w:pPr>
        <w:pStyle w:val="BodyText"/>
        <w:spacing w:before="164"/>
        <w:rPr>
          <w:rFonts w:ascii="Arial MT"/>
          <w:sz w:val="19"/>
        </w:rPr>
      </w:pPr>
    </w:p>
    <w:p>
      <w:pPr>
        <w:spacing w:before="0"/>
        <w:ind w:left="0" w:right="0" w:firstLine="0"/>
        <w:jc w:val="right"/>
        <w:rPr>
          <w:rFonts w:ascii="Arial MT"/>
          <w:sz w:val="19"/>
        </w:rPr>
      </w:pPr>
      <w:r>
        <w:rPr>
          <w:rFonts w:ascii="Arial MT"/>
          <w:w w:val="80"/>
          <w:sz w:val="19"/>
        </w:rPr>
        <w:t>-</w:t>
      </w:r>
      <w:r>
        <w:rPr>
          <w:rFonts w:ascii="Arial MT"/>
          <w:spacing w:val="-5"/>
          <w:w w:val="90"/>
          <w:sz w:val="19"/>
        </w:rPr>
        <w:t>500</w:t>
      </w:r>
    </w:p>
    <w:p>
      <w:pPr>
        <w:spacing w:line="240" w:lineRule="auto" w:before="0"/>
        <w:rPr>
          <w:rFonts w:ascii="Arial MT"/>
          <w:sz w:val="19"/>
        </w:rPr>
      </w:pPr>
      <w:r>
        <w:rPr/>
        <w:br w:type="column"/>
      </w:r>
      <w:r>
        <w:rPr>
          <w:rFonts w:ascii="Arial MT"/>
          <w:sz w:val="19"/>
        </w:rPr>
      </w:r>
    </w:p>
    <w:p>
      <w:pPr>
        <w:pStyle w:val="BodyText"/>
        <w:rPr>
          <w:rFonts w:ascii="Arial MT"/>
          <w:sz w:val="19"/>
        </w:rPr>
      </w:pPr>
    </w:p>
    <w:p>
      <w:pPr>
        <w:pStyle w:val="BodyText"/>
        <w:rPr>
          <w:rFonts w:ascii="Arial MT"/>
          <w:sz w:val="19"/>
        </w:rPr>
      </w:pPr>
    </w:p>
    <w:p>
      <w:pPr>
        <w:pStyle w:val="BodyText"/>
        <w:rPr>
          <w:rFonts w:ascii="Arial MT"/>
          <w:sz w:val="19"/>
        </w:rPr>
      </w:pPr>
    </w:p>
    <w:p>
      <w:pPr>
        <w:pStyle w:val="BodyText"/>
        <w:rPr>
          <w:rFonts w:ascii="Arial MT"/>
          <w:sz w:val="19"/>
        </w:rPr>
      </w:pPr>
    </w:p>
    <w:p>
      <w:pPr>
        <w:pStyle w:val="BodyText"/>
        <w:rPr>
          <w:rFonts w:ascii="Arial MT"/>
          <w:sz w:val="19"/>
        </w:rPr>
      </w:pPr>
    </w:p>
    <w:p>
      <w:pPr>
        <w:pStyle w:val="BodyText"/>
        <w:rPr>
          <w:rFonts w:ascii="Arial MT"/>
          <w:sz w:val="19"/>
        </w:rPr>
      </w:pPr>
    </w:p>
    <w:p>
      <w:pPr>
        <w:pStyle w:val="BodyText"/>
        <w:rPr>
          <w:rFonts w:ascii="Arial MT"/>
          <w:sz w:val="19"/>
        </w:rPr>
      </w:pPr>
    </w:p>
    <w:p>
      <w:pPr>
        <w:pStyle w:val="BodyText"/>
        <w:rPr>
          <w:rFonts w:ascii="Arial MT"/>
          <w:sz w:val="19"/>
        </w:rPr>
      </w:pPr>
    </w:p>
    <w:p>
      <w:pPr>
        <w:pStyle w:val="BodyText"/>
        <w:spacing w:before="57"/>
        <w:rPr>
          <w:rFonts w:ascii="Arial MT"/>
          <w:sz w:val="19"/>
        </w:rPr>
      </w:pPr>
    </w:p>
    <w:p>
      <w:pPr>
        <w:tabs>
          <w:tab w:pos="1804" w:val="left" w:leader="none"/>
          <w:tab w:pos="3122" w:val="left" w:leader="none"/>
          <w:tab w:pos="4506" w:val="left" w:leader="none"/>
          <w:tab w:pos="5889" w:val="left" w:leader="none"/>
          <w:tab w:pos="7260" w:val="left" w:leader="none"/>
        </w:tabs>
        <w:spacing w:before="0"/>
        <w:ind w:left="420" w:right="0" w:firstLine="0"/>
        <w:jc w:val="left"/>
        <w:rPr>
          <w:rFonts w:ascii="Arial MT"/>
          <w:sz w:val="19"/>
        </w:rPr>
      </w:pPr>
      <w:r>
        <w:rPr/>
        <w:drawing>
          <wp:anchor distT="0" distB="0" distL="0" distR="0" allowOverlap="1" layoutInCell="1" locked="0" behindDoc="0" simplePos="0" relativeHeight="15815680">
            <wp:simplePos x="0" y="0"/>
            <wp:positionH relativeFrom="page">
              <wp:posOffset>2039606</wp:posOffset>
            </wp:positionH>
            <wp:positionV relativeFrom="paragraph">
              <wp:posOffset>-1729652</wp:posOffset>
            </wp:positionV>
            <wp:extent cx="4519092" cy="1565101"/>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70" cstate="print"/>
                    <a:stretch>
                      <a:fillRect/>
                    </a:stretch>
                  </pic:blipFill>
                  <pic:spPr>
                    <a:xfrm>
                      <a:off x="0" y="0"/>
                      <a:ext cx="4519092" cy="1565101"/>
                    </a:xfrm>
                    <a:prstGeom prst="rect">
                      <a:avLst/>
                    </a:prstGeom>
                  </pic:spPr>
                </pic:pic>
              </a:graphicData>
            </a:graphic>
          </wp:anchor>
        </w:drawing>
      </w:r>
      <w:r>
        <w:rPr/>
        <mc:AlternateContent>
          <mc:Choice Requires="wps">
            <w:drawing>
              <wp:anchor distT="0" distB="0" distL="0" distR="0" allowOverlap="1" layoutInCell="1" locked="0" behindDoc="0" simplePos="0" relativeHeight="15816192">
                <wp:simplePos x="0" y="0"/>
                <wp:positionH relativeFrom="page">
                  <wp:posOffset>1729680</wp:posOffset>
                </wp:positionH>
                <wp:positionV relativeFrom="paragraph">
                  <wp:posOffset>-1815774</wp:posOffset>
                </wp:positionV>
                <wp:extent cx="5073015" cy="1808480"/>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5073015" cy="1808480"/>
                          <a:chExt cx="5073015" cy="1808480"/>
                        </a:xfrm>
                      </wpg:grpSpPr>
                      <wps:wsp>
                        <wps:cNvPr id="501" name="Graphic 501"/>
                        <wps:cNvSpPr/>
                        <wps:spPr>
                          <a:xfrm>
                            <a:off x="66211" y="1731984"/>
                            <a:ext cx="5006340" cy="10160"/>
                          </a:xfrm>
                          <a:custGeom>
                            <a:avLst/>
                            <a:gdLst/>
                            <a:ahLst/>
                            <a:cxnLst/>
                            <a:rect l="l" t="t" r="r" b="b"/>
                            <a:pathLst>
                              <a:path w="5006340" h="10160">
                                <a:moveTo>
                                  <a:pt x="0" y="10053"/>
                                </a:moveTo>
                                <a:lnTo>
                                  <a:pt x="5006297" y="10053"/>
                                </a:lnTo>
                                <a:lnTo>
                                  <a:pt x="5006297" y="0"/>
                                </a:lnTo>
                                <a:lnTo>
                                  <a:pt x="0" y="0"/>
                                </a:lnTo>
                                <a:lnTo>
                                  <a:pt x="0" y="10053"/>
                                </a:lnTo>
                                <a:close/>
                              </a:path>
                            </a:pathLst>
                          </a:custGeom>
                          <a:solidFill>
                            <a:srgbClr val="000000"/>
                          </a:solidFill>
                        </wps:spPr>
                        <wps:bodyPr wrap="square" lIns="0" tIns="0" rIns="0" bIns="0" rtlCol="0">
                          <a:prstTxWarp prst="textNoShape">
                            <a:avLst/>
                          </a:prstTxWarp>
                          <a:noAutofit/>
                        </wps:bodyPr>
                      </wps:wsp>
                      <wps:wsp>
                        <wps:cNvPr id="502" name="Graphic 502"/>
                        <wps:cNvSpPr/>
                        <wps:spPr>
                          <a:xfrm>
                            <a:off x="0" y="0"/>
                            <a:ext cx="5039995" cy="1808480"/>
                          </a:xfrm>
                          <a:custGeom>
                            <a:avLst/>
                            <a:gdLst/>
                            <a:ahLst/>
                            <a:cxnLst/>
                            <a:rect l="l" t="t" r="r" b="b"/>
                            <a:pathLst>
                              <a:path w="5039995" h="1808480">
                                <a:moveTo>
                                  <a:pt x="140925" y="1737011"/>
                                </a:moveTo>
                                <a:lnTo>
                                  <a:pt x="140925" y="1767449"/>
                                </a:lnTo>
                              </a:path>
                              <a:path w="5039995" h="1808480">
                                <a:moveTo>
                                  <a:pt x="314953" y="1737011"/>
                                </a:moveTo>
                                <a:lnTo>
                                  <a:pt x="314953" y="1807942"/>
                                </a:lnTo>
                              </a:path>
                              <a:path w="5039995" h="1808480">
                                <a:moveTo>
                                  <a:pt x="488980" y="1737011"/>
                                </a:moveTo>
                                <a:lnTo>
                                  <a:pt x="488980" y="1767449"/>
                                </a:lnTo>
                              </a:path>
                              <a:path w="5039995" h="1808480">
                                <a:moveTo>
                                  <a:pt x="663016" y="1737011"/>
                                </a:moveTo>
                                <a:lnTo>
                                  <a:pt x="663016" y="1767449"/>
                                </a:lnTo>
                              </a:path>
                              <a:path w="5039995" h="1808480">
                                <a:moveTo>
                                  <a:pt x="845574" y="1737011"/>
                                </a:moveTo>
                                <a:lnTo>
                                  <a:pt x="845574" y="1767449"/>
                                </a:lnTo>
                              </a:path>
                              <a:path w="5039995" h="1808480">
                                <a:moveTo>
                                  <a:pt x="1019535" y="1737011"/>
                                </a:moveTo>
                                <a:lnTo>
                                  <a:pt x="1019535" y="1767449"/>
                                </a:lnTo>
                              </a:path>
                              <a:path w="5039995" h="1808480">
                                <a:moveTo>
                                  <a:pt x="1193591" y="1737011"/>
                                </a:moveTo>
                                <a:lnTo>
                                  <a:pt x="1193591" y="1807942"/>
                                </a:lnTo>
                              </a:path>
                              <a:path w="5039995" h="1808480">
                                <a:moveTo>
                                  <a:pt x="1367646" y="1737011"/>
                                </a:moveTo>
                                <a:lnTo>
                                  <a:pt x="1367646" y="1767449"/>
                                </a:lnTo>
                              </a:path>
                              <a:path w="5039995" h="1808480">
                                <a:moveTo>
                                  <a:pt x="1541608" y="1737011"/>
                                </a:moveTo>
                                <a:lnTo>
                                  <a:pt x="1541608" y="1767449"/>
                                </a:lnTo>
                              </a:path>
                              <a:path w="5039995" h="1808480">
                                <a:moveTo>
                                  <a:pt x="1715663" y="1737011"/>
                                </a:moveTo>
                                <a:lnTo>
                                  <a:pt x="1715663" y="1767449"/>
                                </a:lnTo>
                              </a:path>
                              <a:path w="5039995" h="1808480">
                                <a:moveTo>
                                  <a:pt x="1889718" y="1737011"/>
                                </a:moveTo>
                                <a:lnTo>
                                  <a:pt x="1889718" y="1767449"/>
                                </a:lnTo>
                              </a:path>
                              <a:path w="5039995" h="1808480">
                                <a:moveTo>
                                  <a:pt x="2063960" y="1737011"/>
                                </a:moveTo>
                                <a:lnTo>
                                  <a:pt x="2063960" y="1807942"/>
                                </a:lnTo>
                              </a:path>
                              <a:path w="5039995" h="1808480">
                                <a:moveTo>
                                  <a:pt x="2246237" y="1737011"/>
                                </a:moveTo>
                                <a:lnTo>
                                  <a:pt x="2246237" y="1767449"/>
                                </a:lnTo>
                              </a:path>
                              <a:path w="5039995" h="1808480">
                                <a:moveTo>
                                  <a:pt x="2420292" y="1737011"/>
                                </a:moveTo>
                                <a:lnTo>
                                  <a:pt x="2420292" y="1767449"/>
                                </a:lnTo>
                              </a:path>
                              <a:path w="5039995" h="1808480">
                                <a:moveTo>
                                  <a:pt x="2594348" y="1737011"/>
                                </a:moveTo>
                                <a:lnTo>
                                  <a:pt x="2594348" y="1767449"/>
                                </a:lnTo>
                              </a:path>
                              <a:path w="5039995" h="1808480">
                                <a:moveTo>
                                  <a:pt x="2768309" y="1737011"/>
                                </a:moveTo>
                                <a:lnTo>
                                  <a:pt x="2768309" y="1767449"/>
                                </a:lnTo>
                              </a:path>
                              <a:path w="5039995" h="1808480">
                                <a:moveTo>
                                  <a:pt x="2942365" y="1737011"/>
                                </a:moveTo>
                                <a:lnTo>
                                  <a:pt x="2942365" y="1807942"/>
                                </a:lnTo>
                              </a:path>
                              <a:path w="5039995" h="1808480">
                                <a:moveTo>
                                  <a:pt x="3116420" y="1737011"/>
                                </a:moveTo>
                                <a:lnTo>
                                  <a:pt x="3116420" y="1767449"/>
                                </a:lnTo>
                              </a:path>
                              <a:path w="5039995" h="1808480">
                                <a:moveTo>
                                  <a:pt x="3290662" y="1737011"/>
                                </a:moveTo>
                                <a:lnTo>
                                  <a:pt x="3290662" y="1767449"/>
                                </a:lnTo>
                              </a:path>
                              <a:path w="5039995" h="1808480">
                                <a:moveTo>
                                  <a:pt x="3464717" y="1737011"/>
                                </a:moveTo>
                                <a:lnTo>
                                  <a:pt x="3464717" y="1767449"/>
                                </a:lnTo>
                              </a:path>
                              <a:path w="5039995" h="1808480">
                                <a:moveTo>
                                  <a:pt x="3638679" y="1737011"/>
                                </a:moveTo>
                                <a:lnTo>
                                  <a:pt x="3638679" y="1767449"/>
                                </a:lnTo>
                              </a:path>
                              <a:path w="5039995" h="1808480">
                                <a:moveTo>
                                  <a:pt x="3821049" y="1737011"/>
                                </a:moveTo>
                                <a:lnTo>
                                  <a:pt x="3821049" y="1807942"/>
                                </a:lnTo>
                              </a:path>
                              <a:path w="5039995" h="1808480">
                                <a:moveTo>
                                  <a:pt x="3995011" y="1737011"/>
                                </a:moveTo>
                                <a:lnTo>
                                  <a:pt x="3995011" y="1767449"/>
                                </a:lnTo>
                              </a:path>
                              <a:path w="5039995" h="1808480">
                                <a:moveTo>
                                  <a:pt x="4169066" y="1737011"/>
                                </a:moveTo>
                                <a:lnTo>
                                  <a:pt x="4169066" y="1767449"/>
                                </a:lnTo>
                              </a:path>
                              <a:path w="5039995" h="1808480">
                                <a:moveTo>
                                  <a:pt x="4343122" y="1737011"/>
                                </a:moveTo>
                                <a:lnTo>
                                  <a:pt x="4343122" y="1767449"/>
                                </a:lnTo>
                              </a:path>
                              <a:path w="5039995" h="1808480">
                                <a:moveTo>
                                  <a:pt x="4517364" y="1737011"/>
                                </a:moveTo>
                                <a:lnTo>
                                  <a:pt x="4517364" y="1767449"/>
                                </a:lnTo>
                              </a:path>
                              <a:path w="5039995" h="1808480">
                                <a:moveTo>
                                  <a:pt x="4691419" y="1737011"/>
                                </a:moveTo>
                                <a:lnTo>
                                  <a:pt x="4691419" y="1807942"/>
                                </a:lnTo>
                              </a:path>
                              <a:path w="5039995" h="1808480">
                                <a:moveTo>
                                  <a:pt x="4865381" y="1737011"/>
                                </a:moveTo>
                                <a:lnTo>
                                  <a:pt x="4865381" y="1767449"/>
                                </a:lnTo>
                              </a:path>
                              <a:path w="5039995" h="1808480">
                                <a:moveTo>
                                  <a:pt x="5039436" y="1737011"/>
                                </a:moveTo>
                                <a:lnTo>
                                  <a:pt x="5039436" y="1767449"/>
                                </a:lnTo>
                              </a:path>
                              <a:path w="5039995" h="1808480">
                                <a:moveTo>
                                  <a:pt x="57934" y="0"/>
                                </a:moveTo>
                                <a:lnTo>
                                  <a:pt x="57934" y="1747338"/>
                                </a:lnTo>
                              </a:path>
                              <a:path w="5039995" h="1808480">
                                <a:moveTo>
                                  <a:pt x="57934" y="1646253"/>
                                </a:moveTo>
                                <a:lnTo>
                                  <a:pt x="33110" y="1646253"/>
                                </a:lnTo>
                              </a:path>
                              <a:path w="5039995" h="1808480">
                                <a:moveTo>
                                  <a:pt x="57934" y="1484565"/>
                                </a:moveTo>
                                <a:lnTo>
                                  <a:pt x="33110" y="1484565"/>
                                </a:lnTo>
                              </a:path>
                              <a:path w="5039995" h="1808480">
                                <a:moveTo>
                                  <a:pt x="57934" y="1323149"/>
                                </a:moveTo>
                                <a:lnTo>
                                  <a:pt x="0" y="1323149"/>
                                </a:lnTo>
                              </a:path>
                              <a:path w="5039995" h="1808480">
                                <a:moveTo>
                                  <a:pt x="57934" y="1161461"/>
                                </a:moveTo>
                                <a:lnTo>
                                  <a:pt x="33110" y="1161461"/>
                                </a:lnTo>
                              </a:path>
                              <a:path w="5039995" h="1808480">
                                <a:moveTo>
                                  <a:pt x="57934" y="1010100"/>
                                </a:moveTo>
                                <a:lnTo>
                                  <a:pt x="33110" y="1010100"/>
                                </a:lnTo>
                              </a:path>
                              <a:path w="5039995" h="1808480">
                                <a:moveTo>
                                  <a:pt x="57934" y="848446"/>
                                </a:moveTo>
                                <a:lnTo>
                                  <a:pt x="33110" y="848446"/>
                                </a:lnTo>
                              </a:path>
                              <a:path w="5039995" h="1808480">
                                <a:moveTo>
                                  <a:pt x="57934" y="686724"/>
                                </a:moveTo>
                                <a:lnTo>
                                  <a:pt x="33110" y="686724"/>
                                </a:lnTo>
                              </a:path>
                              <a:path w="5039995" h="1808480">
                                <a:moveTo>
                                  <a:pt x="57934" y="525342"/>
                                </a:moveTo>
                                <a:lnTo>
                                  <a:pt x="0" y="525342"/>
                                </a:lnTo>
                              </a:path>
                              <a:path w="5039995" h="1808480">
                                <a:moveTo>
                                  <a:pt x="57934" y="363619"/>
                                </a:moveTo>
                                <a:lnTo>
                                  <a:pt x="33110" y="363619"/>
                                </a:lnTo>
                              </a:path>
                              <a:path w="5039995" h="1808480">
                                <a:moveTo>
                                  <a:pt x="57934" y="201897"/>
                                </a:moveTo>
                                <a:lnTo>
                                  <a:pt x="33110" y="201897"/>
                                </a:lnTo>
                              </a:path>
                              <a:path w="5039995" h="1808480">
                                <a:moveTo>
                                  <a:pt x="57934" y="50616"/>
                                </a:moveTo>
                                <a:lnTo>
                                  <a:pt x="33110" y="50616"/>
                                </a:lnTo>
                              </a:path>
                            </a:pathLst>
                          </a:custGeom>
                          <a:ln w="91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6.195297pt;margin-top:-142.974365pt;width:399.45pt;height:142.4pt;mso-position-horizontal-relative:page;mso-position-vertical-relative:paragraph;z-index:15816192" id="docshapegroup387" coordorigin="2724,-2859" coordsize="7989,2848">
                <v:rect style="position:absolute;left:2828;top:-132;width:7884;height:16" id="docshape388" filled="true" fillcolor="#000000" stroked="false">
                  <v:fill type="solid"/>
                </v:rect>
                <v:shape style="position:absolute;left:2723;top:-2860;width:7937;height:2848" id="docshape389" coordorigin="2724,-2859" coordsize="7937,2848" path="m2946,-124l2946,-76m3220,-124l3220,-12m3494,-124l3494,-76m3768,-124l3768,-76m4056,-124l4056,-76m4329,-124l4329,-76m4604,-124l4604,-12m4878,-124l4878,-76m5152,-124l5152,-76m5426,-124l5426,-76m5700,-124l5700,-76m5974,-124l5974,-12m6261,-124l6261,-76m6535,-124l6535,-76m6809,-124l6809,-76m7083,-124l7083,-76m7358,-124l7358,-12m7632,-124l7632,-76m7906,-124l7906,-76m8180,-124l8180,-76m8454,-124l8454,-76m8741,-124l8741,-12m9015,-124l9015,-76m9289,-124l9289,-76m9563,-124l9563,-76m9838,-124l9838,-76m10112,-124l10112,-12m10386,-124l10386,-76m10660,-124l10660,-76m2815,-2859l2815,-108m2815,-267l2776,-267m2815,-522l2776,-522m2815,-776l2724,-776m2815,-1030l2776,-1030m2815,-1269l2776,-1269m2815,-1523l2776,-1523m2815,-1778l2776,-1778m2815,-2032l2724,-2032m2815,-2287l2776,-2287m2815,-2542l2776,-2542m2815,-2780l2776,-2780e" filled="false" stroked="true" strokeweight=".721626pt" strokecolor="#000000">
                  <v:path arrowok="t"/>
                  <v:stroke dashstyle="solid"/>
                </v:shape>
                <w10:wrap type="none"/>
              </v:group>
            </w:pict>
          </mc:Fallback>
        </mc:AlternateContent>
      </w:r>
      <w:r>
        <w:rPr>
          <w:rFonts w:ascii="Arial MT"/>
          <w:spacing w:val="-10"/>
          <w:w w:val="90"/>
          <w:sz w:val="19"/>
        </w:rPr>
        <w:t>0</w:t>
      </w:r>
      <w:r>
        <w:rPr>
          <w:rFonts w:ascii="Arial MT"/>
          <w:sz w:val="19"/>
        </w:rPr>
        <w:tab/>
      </w:r>
      <w:r>
        <w:rPr>
          <w:rFonts w:ascii="Arial MT"/>
          <w:spacing w:val="-12"/>
          <w:w w:val="90"/>
          <w:sz w:val="19"/>
        </w:rPr>
        <w:t>5</w:t>
      </w:r>
      <w:r>
        <w:rPr>
          <w:rFonts w:ascii="Arial MT"/>
          <w:sz w:val="19"/>
        </w:rPr>
        <w:tab/>
      </w:r>
      <w:r>
        <w:rPr>
          <w:rFonts w:ascii="Arial MT"/>
          <w:spacing w:val="-5"/>
          <w:w w:val="90"/>
          <w:sz w:val="19"/>
        </w:rPr>
        <w:t>10</w:t>
      </w:r>
      <w:r>
        <w:rPr>
          <w:rFonts w:ascii="Arial MT"/>
          <w:sz w:val="19"/>
        </w:rPr>
        <w:tab/>
      </w:r>
      <w:r>
        <w:rPr>
          <w:rFonts w:ascii="Arial MT"/>
          <w:spacing w:val="-5"/>
          <w:w w:val="90"/>
          <w:sz w:val="19"/>
        </w:rPr>
        <w:t>15</w:t>
      </w:r>
      <w:r>
        <w:rPr>
          <w:rFonts w:ascii="Arial MT"/>
          <w:sz w:val="19"/>
        </w:rPr>
        <w:tab/>
      </w:r>
      <w:r>
        <w:rPr>
          <w:rFonts w:ascii="Arial MT"/>
          <w:spacing w:val="-5"/>
          <w:w w:val="90"/>
          <w:sz w:val="19"/>
        </w:rPr>
        <w:t>20</w:t>
      </w:r>
      <w:r>
        <w:rPr>
          <w:rFonts w:ascii="Arial MT"/>
          <w:sz w:val="19"/>
        </w:rPr>
        <w:tab/>
      </w:r>
      <w:r>
        <w:rPr>
          <w:rFonts w:ascii="Arial MT"/>
          <w:spacing w:val="-5"/>
          <w:w w:val="90"/>
          <w:sz w:val="19"/>
        </w:rPr>
        <w:t>25</w:t>
      </w:r>
    </w:p>
    <w:p>
      <w:pPr>
        <w:spacing w:before="20"/>
        <w:ind w:left="3644" w:right="0" w:firstLine="0"/>
        <w:jc w:val="left"/>
        <w:rPr>
          <w:rFonts w:ascii="Arial MT"/>
          <w:sz w:val="19"/>
        </w:rPr>
      </w:pPr>
      <w:r>
        <w:rPr>
          <w:rFonts w:ascii="Arial MT"/>
          <w:w w:val="80"/>
          <w:sz w:val="19"/>
        </w:rPr>
        <w:t>Time</w:t>
      </w:r>
      <w:r>
        <w:rPr>
          <w:rFonts w:ascii="Arial MT"/>
          <w:spacing w:val="9"/>
          <w:sz w:val="19"/>
        </w:rPr>
        <w:t> </w:t>
      </w:r>
      <w:r>
        <w:rPr>
          <w:rFonts w:ascii="Arial MT"/>
          <w:spacing w:val="-4"/>
          <w:w w:val="90"/>
          <w:sz w:val="19"/>
        </w:rPr>
        <w:t>(ms)</w:t>
      </w:r>
    </w:p>
    <w:p>
      <w:pPr>
        <w:spacing w:after="0"/>
        <w:jc w:val="left"/>
        <w:rPr>
          <w:rFonts w:ascii="Arial MT"/>
          <w:sz w:val="19"/>
        </w:rPr>
        <w:sectPr>
          <w:type w:val="continuous"/>
          <w:pgSz w:w="12240" w:h="15840"/>
          <w:pgMar w:header="0" w:footer="1066" w:top="1320" w:bottom="960" w:left="1480" w:right="1160"/>
          <w:cols w:num="2" w:equalWidth="0">
            <w:col w:w="1241" w:space="40"/>
            <w:col w:w="8319"/>
          </w:cols>
        </w:sectPr>
      </w:pPr>
    </w:p>
    <w:p>
      <w:pPr>
        <w:pStyle w:val="BodyText"/>
        <w:spacing w:before="54"/>
        <w:rPr>
          <w:rFonts w:ascii="Arial MT"/>
        </w:rPr>
      </w:pPr>
    </w:p>
    <w:p>
      <w:pPr>
        <w:pStyle w:val="Heading1"/>
        <w:jc w:val="left"/>
      </w:pPr>
      <w:r>
        <w:rPr>
          <w:spacing w:val="-2"/>
        </w:rPr>
        <w:t>DCP23</w:t>
      </w:r>
    </w:p>
    <w:p>
      <w:pPr>
        <w:pStyle w:val="BodyText"/>
        <w:rPr>
          <w:b/>
          <w:sz w:val="20"/>
        </w:rPr>
      </w:pPr>
    </w:p>
    <w:p>
      <w:pPr>
        <w:pStyle w:val="BodyText"/>
        <w:rPr>
          <w:b/>
          <w:sz w:val="20"/>
        </w:rPr>
      </w:pPr>
    </w:p>
    <w:p>
      <w:pPr>
        <w:pStyle w:val="BodyText"/>
        <w:rPr>
          <w:b/>
          <w:sz w:val="20"/>
        </w:rPr>
      </w:pPr>
    </w:p>
    <w:p>
      <w:pPr>
        <w:pStyle w:val="BodyText"/>
        <w:spacing w:before="181"/>
        <w:rPr>
          <w:b/>
          <w:sz w:val="20"/>
        </w:rPr>
      </w:pPr>
    </w:p>
    <w:p>
      <w:pPr>
        <w:spacing w:after="0"/>
        <w:rPr>
          <w:sz w:val="20"/>
        </w:rPr>
        <w:sectPr>
          <w:type w:val="continuous"/>
          <w:pgSz w:w="12240" w:h="15840"/>
          <w:pgMar w:header="0" w:footer="1066" w:top="1320" w:bottom="960" w:left="1480" w:right="1160"/>
        </w:sectPr>
      </w:pPr>
    </w:p>
    <w:p>
      <w:pPr>
        <w:spacing w:before="97"/>
        <w:ind w:left="0" w:right="0" w:firstLine="0"/>
        <w:jc w:val="right"/>
        <w:rPr>
          <w:rFonts w:ascii="Arial MT"/>
          <w:sz w:val="18"/>
        </w:rPr>
      </w:pPr>
      <w:r>
        <w:rPr/>
        <mc:AlternateContent>
          <mc:Choice Requires="wps">
            <w:drawing>
              <wp:anchor distT="0" distB="0" distL="0" distR="0" allowOverlap="1" layoutInCell="1" locked="0" behindDoc="0" simplePos="0" relativeHeight="15819264">
                <wp:simplePos x="0" y="0"/>
                <wp:positionH relativeFrom="page">
                  <wp:posOffset>1369650</wp:posOffset>
                </wp:positionH>
                <wp:positionV relativeFrom="paragraph">
                  <wp:posOffset>-24864</wp:posOffset>
                </wp:positionV>
                <wp:extent cx="137160" cy="67310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137160" cy="673100"/>
                        </a:xfrm>
                        <a:prstGeom prst="rect">
                          <a:avLst/>
                        </a:prstGeom>
                      </wps:spPr>
                      <wps:txbx>
                        <w:txbxContent>
                          <w:p>
                            <w:pPr>
                              <w:spacing w:before="21"/>
                              <w:ind w:left="20" w:right="0" w:firstLine="0"/>
                              <w:jc w:val="left"/>
                              <w:rPr>
                                <w:rFonts w:ascii="Arial MT"/>
                                <w:sz w:val="15"/>
                              </w:rPr>
                            </w:pPr>
                            <w:r>
                              <w:rPr>
                                <w:rFonts w:ascii="Arial MT"/>
                                <w:w w:val="120"/>
                                <w:sz w:val="15"/>
                              </w:rPr>
                              <w:t>Current</w:t>
                            </w:r>
                            <w:r>
                              <w:rPr>
                                <w:rFonts w:ascii="Arial MT"/>
                                <w:spacing w:val="12"/>
                                <w:w w:val="120"/>
                                <w:sz w:val="15"/>
                              </w:rPr>
                              <w:t> </w:t>
                            </w:r>
                            <w:r>
                              <w:rPr>
                                <w:rFonts w:ascii="Arial MT"/>
                                <w:spacing w:val="-4"/>
                                <w:w w:val="120"/>
                                <w:sz w:val="15"/>
                              </w:rPr>
                              <w:t>(pA)</w:t>
                            </w:r>
                          </w:p>
                        </w:txbxContent>
                      </wps:txbx>
                      <wps:bodyPr wrap="square" lIns="0" tIns="0" rIns="0" bIns="0" rtlCol="0" vert="vert270">
                        <a:noAutofit/>
                      </wps:bodyPr>
                    </wps:wsp>
                  </a:graphicData>
                </a:graphic>
              </wp:anchor>
            </w:drawing>
          </mc:Choice>
          <mc:Fallback>
            <w:pict>
              <v:shape style="position:absolute;margin-left:107.846519pt;margin-top:-1.957857pt;width:10.8pt;height:53pt;mso-position-horizontal-relative:page;mso-position-vertical-relative:paragraph;z-index:15819264" type="#_x0000_t202" id="docshape390" filled="false" stroked="false">
                <v:textbox inset="0,0,0,0" style="layout-flow:vertical;mso-layout-flow-alt:bottom-to-top">
                  <w:txbxContent>
                    <w:p>
                      <w:pPr>
                        <w:spacing w:before="21"/>
                        <w:ind w:left="20" w:right="0" w:firstLine="0"/>
                        <w:jc w:val="left"/>
                        <w:rPr>
                          <w:rFonts w:ascii="Arial MT"/>
                          <w:sz w:val="15"/>
                        </w:rPr>
                      </w:pPr>
                      <w:r>
                        <w:rPr>
                          <w:rFonts w:ascii="Arial MT"/>
                          <w:w w:val="120"/>
                          <w:sz w:val="15"/>
                        </w:rPr>
                        <w:t>Current</w:t>
                      </w:r>
                      <w:r>
                        <w:rPr>
                          <w:rFonts w:ascii="Arial MT"/>
                          <w:spacing w:val="12"/>
                          <w:w w:val="120"/>
                          <w:sz w:val="15"/>
                        </w:rPr>
                        <w:t> </w:t>
                      </w:r>
                      <w:r>
                        <w:rPr>
                          <w:rFonts w:ascii="Arial MT"/>
                          <w:spacing w:val="-4"/>
                          <w:w w:val="120"/>
                          <w:sz w:val="15"/>
                        </w:rPr>
                        <w:t>(pA)</w:t>
                      </w:r>
                    </w:p>
                  </w:txbxContent>
                </v:textbox>
                <w10:wrap type="none"/>
              </v:shape>
            </w:pict>
          </mc:Fallback>
        </mc:AlternateContent>
      </w:r>
      <w:r>
        <w:rPr>
          <w:rFonts w:ascii="Arial MT"/>
          <w:spacing w:val="-10"/>
          <w:w w:val="95"/>
          <w:sz w:val="18"/>
        </w:rPr>
        <w:t>0</w:t>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204"/>
        <w:rPr>
          <w:rFonts w:ascii="Arial MT"/>
          <w:sz w:val="18"/>
        </w:rPr>
      </w:pPr>
    </w:p>
    <w:p>
      <w:pPr>
        <w:spacing w:before="0"/>
        <w:ind w:left="0" w:right="0" w:firstLine="0"/>
        <w:jc w:val="right"/>
        <w:rPr>
          <w:rFonts w:ascii="Arial MT"/>
          <w:sz w:val="18"/>
        </w:rPr>
      </w:pPr>
      <w:r>
        <w:rPr>
          <w:rFonts w:ascii="Arial MT"/>
          <w:w w:val="85"/>
          <w:sz w:val="18"/>
        </w:rPr>
        <w:t>-</w:t>
      </w:r>
      <w:r>
        <w:rPr>
          <w:rFonts w:ascii="Arial MT"/>
          <w:spacing w:val="-5"/>
          <w:w w:val="95"/>
          <w:sz w:val="18"/>
        </w:rPr>
        <w:t>400</w:t>
      </w:r>
    </w:p>
    <w:p>
      <w:pPr>
        <w:spacing w:line="240" w:lineRule="auto" w:before="0"/>
        <w:rPr>
          <w:rFonts w:ascii="Arial MT"/>
          <w:sz w:val="18"/>
        </w:rPr>
      </w:pPr>
      <w:r>
        <w:rPr/>
        <w:br w:type="column"/>
      </w:r>
      <w:r>
        <w:rPr>
          <w:rFonts w:ascii="Arial MT"/>
          <w:sz w:val="18"/>
        </w:rPr>
      </w: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85"/>
        <w:rPr>
          <w:rFonts w:ascii="Arial MT"/>
          <w:sz w:val="18"/>
        </w:rPr>
      </w:pPr>
    </w:p>
    <w:p>
      <w:pPr>
        <w:tabs>
          <w:tab w:pos="1804" w:val="left" w:leader="none"/>
          <w:tab w:pos="3122" w:val="left" w:leader="none"/>
          <w:tab w:pos="4506" w:val="left" w:leader="none"/>
          <w:tab w:pos="5889" w:val="left" w:leader="none"/>
          <w:tab w:pos="7260" w:val="left" w:leader="none"/>
        </w:tabs>
        <w:spacing w:before="0"/>
        <w:ind w:left="420" w:right="0" w:firstLine="0"/>
        <w:jc w:val="left"/>
        <w:rPr>
          <w:rFonts w:ascii="Arial MT"/>
          <w:sz w:val="18"/>
        </w:rPr>
      </w:pPr>
      <w:r>
        <w:rPr/>
        <w:drawing>
          <wp:anchor distT="0" distB="0" distL="0" distR="0" allowOverlap="1" layoutInCell="1" locked="0" behindDoc="0" simplePos="0" relativeHeight="15816704">
            <wp:simplePos x="0" y="0"/>
            <wp:positionH relativeFrom="page">
              <wp:posOffset>2039798</wp:posOffset>
            </wp:positionH>
            <wp:positionV relativeFrom="paragraph">
              <wp:posOffset>-1665162</wp:posOffset>
            </wp:positionV>
            <wp:extent cx="4518709" cy="1505512"/>
            <wp:effectExtent l="0" t="0" r="0" b="0"/>
            <wp:wrapNone/>
            <wp:docPr id="504" name="Image 504"/>
            <wp:cNvGraphicFramePr>
              <a:graphicFrameLocks/>
            </wp:cNvGraphicFramePr>
            <a:graphic>
              <a:graphicData uri="http://schemas.openxmlformats.org/drawingml/2006/picture">
                <pic:pic>
                  <pic:nvPicPr>
                    <pic:cNvPr id="504" name="Image 504"/>
                    <pic:cNvPicPr/>
                  </pic:nvPicPr>
                  <pic:blipFill>
                    <a:blip r:embed="rId71" cstate="print"/>
                    <a:stretch>
                      <a:fillRect/>
                    </a:stretch>
                  </pic:blipFill>
                  <pic:spPr>
                    <a:xfrm>
                      <a:off x="0" y="0"/>
                      <a:ext cx="4518709" cy="1505512"/>
                    </a:xfrm>
                    <a:prstGeom prst="rect">
                      <a:avLst/>
                    </a:prstGeom>
                  </pic:spPr>
                </pic:pic>
              </a:graphicData>
            </a:graphic>
          </wp:anchor>
        </w:drawing>
      </w:r>
      <w:r>
        <w:rPr/>
        <mc:AlternateContent>
          <mc:Choice Requires="wps">
            <w:drawing>
              <wp:anchor distT="0" distB="0" distL="0" distR="0" allowOverlap="1" layoutInCell="1" locked="0" behindDoc="0" simplePos="0" relativeHeight="15817216">
                <wp:simplePos x="0" y="0"/>
                <wp:positionH relativeFrom="page">
                  <wp:posOffset>1729680</wp:posOffset>
                </wp:positionH>
                <wp:positionV relativeFrom="paragraph">
                  <wp:posOffset>-1748003</wp:posOffset>
                </wp:positionV>
                <wp:extent cx="5073015" cy="1739264"/>
                <wp:effectExtent l="0" t="0" r="0" b="0"/>
                <wp:wrapNone/>
                <wp:docPr id="505" name="Group 505"/>
                <wp:cNvGraphicFramePr>
                  <a:graphicFrameLocks/>
                </wp:cNvGraphicFramePr>
                <a:graphic>
                  <a:graphicData uri="http://schemas.microsoft.com/office/word/2010/wordprocessingGroup">
                    <wpg:wgp>
                      <wpg:cNvPr id="505" name="Group 505"/>
                      <wpg:cNvGrpSpPr/>
                      <wpg:grpSpPr>
                        <a:xfrm>
                          <a:off x="0" y="0"/>
                          <a:ext cx="5073015" cy="1739264"/>
                          <a:chExt cx="5073015" cy="1739264"/>
                        </a:xfrm>
                      </wpg:grpSpPr>
                      <wps:wsp>
                        <wps:cNvPr id="506" name="Graphic 506"/>
                        <wps:cNvSpPr/>
                        <wps:spPr>
                          <a:xfrm>
                            <a:off x="66211" y="1666026"/>
                            <a:ext cx="5006340" cy="10160"/>
                          </a:xfrm>
                          <a:custGeom>
                            <a:avLst/>
                            <a:gdLst/>
                            <a:ahLst/>
                            <a:cxnLst/>
                            <a:rect l="l" t="t" r="r" b="b"/>
                            <a:pathLst>
                              <a:path w="5006340" h="10160">
                                <a:moveTo>
                                  <a:pt x="0" y="9670"/>
                                </a:moveTo>
                                <a:lnTo>
                                  <a:pt x="5006297" y="9670"/>
                                </a:lnTo>
                                <a:lnTo>
                                  <a:pt x="5006297" y="0"/>
                                </a:lnTo>
                                <a:lnTo>
                                  <a:pt x="0" y="0"/>
                                </a:lnTo>
                                <a:lnTo>
                                  <a:pt x="0" y="967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0" y="0"/>
                            <a:ext cx="5039995" cy="1739264"/>
                          </a:xfrm>
                          <a:custGeom>
                            <a:avLst/>
                            <a:gdLst/>
                            <a:ahLst/>
                            <a:cxnLst/>
                            <a:rect l="l" t="t" r="r" b="b"/>
                            <a:pathLst>
                              <a:path w="5039995" h="1739264">
                                <a:moveTo>
                                  <a:pt x="140925" y="1670861"/>
                                </a:moveTo>
                                <a:lnTo>
                                  <a:pt x="140925" y="1700140"/>
                                </a:lnTo>
                              </a:path>
                              <a:path w="5039995" h="1739264">
                                <a:moveTo>
                                  <a:pt x="314953" y="1670861"/>
                                </a:moveTo>
                                <a:lnTo>
                                  <a:pt x="314953" y="1739091"/>
                                </a:lnTo>
                              </a:path>
                              <a:path w="5039995" h="1739264">
                                <a:moveTo>
                                  <a:pt x="488980" y="1670861"/>
                                </a:moveTo>
                                <a:lnTo>
                                  <a:pt x="488980" y="1700140"/>
                                </a:lnTo>
                              </a:path>
                              <a:path w="5039995" h="1739264">
                                <a:moveTo>
                                  <a:pt x="663016" y="1670861"/>
                                </a:moveTo>
                                <a:lnTo>
                                  <a:pt x="663016" y="1700140"/>
                                </a:lnTo>
                              </a:path>
                              <a:path w="5039995" h="1739264">
                                <a:moveTo>
                                  <a:pt x="845574" y="1670861"/>
                                </a:moveTo>
                                <a:lnTo>
                                  <a:pt x="845574" y="1700140"/>
                                </a:lnTo>
                              </a:path>
                              <a:path w="5039995" h="1739264">
                                <a:moveTo>
                                  <a:pt x="1019535" y="1670861"/>
                                </a:moveTo>
                                <a:lnTo>
                                  <a:pt x="1019535" y="1700140"/>
                                </a:lnTo>
                              </a:path>
                              <a:path w="5039995" h="1739264">
                                <a:moveTo>
                                  <a:pt x="1193591" y="1670861"/>
                                </a:moveTo>
                                <a:lnTo>
                                  <a:pt x="1193591" y="1739091"/>
                                </a:lnTo>
                              </a:path>
                              <a:path w="5039995" h="1739264">
                                <a:moveTo>
                                  <a:pt x="1367646" y="1670861"/>
                                </a:moveTo>
                                <a:lnTo>
                                  <a:pt x="1367646" y="1700140"/>
                                </a:lnTo>
                              </a:path>
                              <a:path w="5039995" h="1739264">
                                <a:moveTo>
                                  <a:pt x="1541608" y="1670861"/>
                                </a:moveTo>
                                <a:lnTo>
                                  <a:pt x="1541608" y="1700140"/>
                                </a:lnTo>
                              </a:path>
                              <a:path w="5039995" h="1739264">
                                <a:moveTo>
                                  <a:pt x="1715663" y="1670861"/>
                                </a:moveTo>
                                <a:lnTo>
                                  <a:pt x="1715663" y="1700140"/>
                                </a:lnTo>
                              </a:path>
                              <a:path w="5039995" h="1739264">
                                <a:moveTo>
                                  <a:pt x="1889718" y="1670861"/>
                                </a:moveTo>
                                <a:lnTo>
                                  <a:pt x="1889718" y="1700140"/>
                                </a:lnTo>
                              </a:path>
                              <a:path w="5039995" h="1739264">
                                <a:moveTo>
                                  <a:pt x="2063960" y="1670861"/>
                                </a:moveTo>
                                <a:lnTo>
                                  <a:pt x="2063960" y="1739091"/>
                                </a:lnTo>
                              </a:path>
                              <a:path w="5039995" h="1739264">
                                <a:moveTo>
                                  <a:pt x="2246237" y="1670861"/>
                                </a:moveTo>
                                <a:lnTo>
                                  <a:pt x="2246237" y="1700140"/>
                                </a:lnTo>
                              </a:path>
                              <a:path w="5039995" h="1739264">
                                <a:moveTo>
                                  <a:pt x="2420292" y="1670861"/>
                                </a:moveTo>
                                <a:lnTo>
                                  <a:pt x="2420292" y="1700140"/>
                                </a:lnTo>
                              </a:path>
                              <a:path w="5039995" h="1739264">
                                <a:moveTo>
                                  <a:pt x="2594348" y="1670861"/>
                                </a:moveTo>
                                <a:lnTo>
                                  <a:pt x="2594348" y="1700140"/>
                                </a:lnTo>
                              </a:path>
                              <a:path w="5039995" h="1739264">
                                <a:moveTo>
                                  <a:pt x="2768309" y="1670861"/>
                                </a:moveTo>
                                <a:lnTo>
                                  <a:pt x="2768309" y="1700140"/>
                                </a:lnTo>
                              </a:path>
                              <a:path w="5039995" h="1739264">
                                <a:moveTo>
                                  <a:pt x="2942365" y="1670861"/>
                                </a:moveTo>
                                <a:lnTo>
                                  <a:pt x="2942365" y="1739091"/>
                                </a:lnTo>
                              </a:path>
                              <a:path w="5039995" h="1739264">
                                <a:moveTo>
                                  <a:pt x="3116420" y="1670861"/>
                                </a:moveTo>
                                <a:lnTo>
                                  <a:pt x="3116420" y="1700140"/>
                                </a:lnTo>
                              </a:path>
                              <a:path w="5039995" h="1739264">
                                <a:moveTo>
                                  <a:pt x="3290662" y="1670861"/>
                                </a:moveTo>
                                <a:lnTo>
                                  <a:pt x="3290662" y="1700140"/>
                                </a:lnTo>
                              </a:path>
                              <a:path w="5039995" h="1739264">
                                <a:moveTo>
                                  <a:pt x="3464717" y="1670861"/>
                                </a:moveTo>
                                <a:lnTo>
                                  <a:pt x="3464717" y="1700140"/>
                                </a:lnTo>
                              </a:path>
                              <a:path w="5039995" h="1739264">
                                <a:moveTo>
                                  <a:pt x="3638679" y="1670861"/>
                                </a:moveTo>
                                <a:lnTo>
                                  <a:pt x="3638679" y="1700140"/>
                                </a:lnTo>
                              </a:path>
                              <a:path w="5039995" h="1739264">
                                <a:moveTo>
                                  <a:pt x="3821049" y="1670861"/>
                                </a:moveTo>
                                <a:lnTo>
                                  <a:pt x="3821049" y="1739091"/>
                                </a:lnTo>
                              </a:path>
                              <a:path w="5039995" h="1739264">
                                <a:moveTo>
                                  <a:pt x="3995011" y="1670861"/>
                                </a:moveTo>
                                <a:lnTo>
                                  <a:pt x="3995011" y="1700140"/>
                                </a:lnTo>
                              </a:path>
                              <a:path w="5039995" h="1739264">
                                <a:moveTo>
                                  <a:pt x="4169066" y="1670861"/>
                                </a:moveTo>
                                <a:lnTo>
                                  <a:pt x="4169066" y="1700140"/>
                                </a:lnTo>
                              </a:path>
                              <a:path w="5039995" h="1739264">
                                <a:moveTo>
                                  <a:pt x="4343122" y="1670861"/>
                                </a:moveTo>
                                <a:lnTo>
                                  <a:pt x="4343122" y="1700140"/>
                                </a:lnTo>
                              </a:path>
                              <a:path w="5039995" h="1739264">
                                <a:moveTo>
                                  <a:pt x="4517364" y="1670861"/>
                                </a:moveTo>
                                <a:lnTo>
                                  <a:pt x="4517364" y="1700140"/>
                                </a:lnTo>
                              </a:path>
                              <a:path w="5039995" h="1739264">
                                <a:moveTo>
                                  <a:pt x="4691419" y="1670861"/>
                                </a:moveTo>
                                <a:lnTo>
                                  <a:pt x="4691419" y="1739091"/>
                                </a:lnTo>
                              </a:path>
                              <a:path w="5039995" h="1739264">
                                <a:moveTo>
                                  <a:pt x="4865381" y="1670861"/>
                                </a:moveTo>
                                <a:lnTo>
                                  <a:pt x="4865381" y="1700140"/>
                                </a:lnTo>
                              </a:path>
                              <a:path w="5039995" h="1739264">
                                <a:moveTo>
                                  <a:pt x="5039436" y="1670861"/>
                                </a:moveTo>
                                <a:lnTo>
                                  <a:pt x="5039436" y="1700140"/>
                                </a:lnTo>
                              </a:path>
                              <a:path w="5039995" h="1739264">
                                <a:moveTo>
                                  <a:pt x="57934" y="0"/>
                                </a:moveTo>
                                <a:lnTo>
                                  <a:pt x="57934" y="1680796"/>
                                </a:lnTo>
                              </a:path>
                              <a:path w="5039995" h="1739264">
                                <a:moveTo>
                                  <a:pt x="57934" y="1622511"/>
                                </a:moveTo>
                                <a:lnTo>
                                  <a:pt x="33110" y="1622511"/>
                                </a:lnTo>
                              </a:path>
                              <a:path w="5039995" h="1739264">
                                <a:moveTo>
                                  <a:pt x="57934" y="1428029"/>
                                </a:moveTo>
                                <a:lnTo>
                                  <a:pt x="0" y="1428029"/>
                                </a:lnTo>
                              </a:path>
                              <a:path w="5039995" h="1739264">
                                <a:moveTo>
                                  <a:pt x="57934" y="1233810"/>
                                </a:moveTo>
                                <a:lnTo>
                                  <a:pt x="33110" y="1233810"/>
                                </a:lnTo>
                              </a:path>
                              <a:path w="5039995" h="1739264">
                                <a:moveTo>
                                  <a:pt x="57934" y="1039601"/>
                                </a:moveTo>
                                <a:lnTo>
                                  <a:pt x="33110" y="1039601"/>
                                </a:lnTo>
                              </a:path>
                              <a:path w="5039995" h="1739264">
                                <a:moveTo>
                                  <a:pt x="57934" y="835458"/>
                                </a:moveTo>
                                <a:lnTo>
                                  <a:pt x="33110" y="835458"/>
                                </a:lnTo>
                              </a:path>
                              <a:path w="5039995" h="1739264">
                                <a:moveTo>
                                  <a:pt x="57934" y="641249"/>
                                </a:moveTo>
                                <a:lnTo>
                                  <a:pt x="0" y="641249"/>
                                </a:lnTo>
                              </a:path>
                              <a:path w="5039995" h="1739264">
                                <a:moveTo>
                                  <a:pt x="57934" y="447040"/>
                                </a:moveTo>
                                <a:lnTo>
                                  <a:pt x="33110" y="447040"/>
                                </a:lnTo>
                              </a:path>
                              <a:path w="5039995" h="1739264">
                                <a:moveTo>
                                  <a:pt x="57934" y="242897"/>
                                </a:moveTo>
                                <a:lnTo>
                                  <a:pt x="33110" y="242897"/>
                                </a:lnTo>
                              </a:path>
                              <a:path w="5039995" h="1739264">
                                <a:moveTo>
                                  <a:pt x="57934" y="48688"/>
                                </a:moveTo>
                                <a:lnTo>
                                  <a:pt x="33110" y="48688"/>
                                </a:lnTo>
                              </a:path>
                            </a:pathLst>
                          </a:custGeom>
                          <a:ln w="89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6.195297pt;margin-top:-137.638062pt;width:399.45pt;height:136.950pt;mso-position-horizontal-relative:page;mso-position-vertical-relative:paragraph;z-index:15817216" id="docshapegroup391" coordorigin="2724,-2753" coordsize="7989,2739">
                <v:rect style="position:absolute;left:2828;top:-130;width:7884;height:16" id="docshape392" filled="true" fillcolor="#000000" stroked="false">
                  <v:fill type="solid"/>
                </v:rect>
                <v:shape style="position:absolute;left:2723;top:-2753;width:7937;height:2739" id="docshape393" coordorigin="2724,-2753" coordsize="7937,2739" path="m2946,-121l2946,-75m3220,-121l3220,-14m3494,-121l3494,-75m3768,-121l3768,-75m4056,-121l4056,-75m4329,-121l4329,-75m4604,-121l4604,-14m4878,-121l4878,-75m5152,-121l5152,-75m5426,-121l5426,-75m5700,-121l5700,-75m5974,-121l5974,-14m6261,-121l6261,-75m6535,-121l6535,-75m6809,-121l6809,-75m7083,-121l7083,-75m7358,-121l7358,-14m7632,-121l7632,-75m7906,-121l7906,-75m8180,-121l8180,-75m8454,-121l8454,-75m8741,-121l8741,-14m9015,-121l9015,-75m9289,-121l9289,-75m9563,-121l9563,-75m9838,-121l9838,-75m10112,-121l10112,-14m10386,-121l10386,-75m10660,-121l10660,-75m2815,-2753l2815,-106m2815,-198l2776,-198m2815,-504l2724,-504m2815,-810l2776,-810m2815,-1116l2776,-1116m2815,-1437l2776,-1437m2815,-1743l2724,-1743m2815,-2049l2776,-2049m2815,-2370l2776,-2370m2815,-2676l2776,-2676e" filled="false" stroked="true" strokeweight=".706553pt" strokecolor="#000000">
                  <v:path arrowok="t"/>
                  <v:stroke dashstyle="solid"/>
                </v:shape>
                <w10:wrap type="none"/>
              </v:group>
            </w:pict>
          </mc:Fallback>
        </mc:AlternateContent>
      </w:r>
      <w:r>
        <w:rPr>
          <w:rFonts w:ascii="Arial MT"/>
          <w:spacing w:val="-10"/>
          <w:w w:val="95"/>
          <w:sz w:val="18"/>
        </w:rPr>
        <w:t>0</w:t>
      </w:r>
      <w:r>
        <w:rPr>
          <w:rFonts w:ascii="Arial MT"/>
          <w:sz w:val="18"/>
        </w:rPr>
        <w:tab/>
      </w:r>
      <w:r>
        <w:rPr>
          <w:rFonts w:ascii="Arial MT"/>
          <w:spacing w:val="-12"/>
          <w:w w:val="95"/>
          <w:sz w:val="18"/>
        </w:rPr>
        <w:t>5</w:t>
      </w:r>
      <w:r>
        <w:rPr>
          <w:rFonts w:ascii="Arial MT"/>
          <w:sz w:val="18"/>
        </w:rPr>
        <w:tab/>
      </w:r>
      <w:r>
        <w:rPr>
          <w:rFonts w:ascii="Arial MT"/>
          <w:spacing w:val="-5"/>
          <w:w w:val="95"/>
          <w:sz w:val="18"/>
        </w:rPr>
        <w:t>10</w:t>
      </w:r>
      <w:r>
        <w:rPr>
          <w:rFonts w:ascii="Arial MT"/>
          <w:sz w:val="18"/>
        </w:rPr>
        <w:tab/>
      </w:r>
      <w:r>
        <w:rPr>
          <w:rFonts w:ascii="Arial MT"/>
          <w:spacing w:val="-5"/>
          <w:w w:val="95"/>
          <w:sz w:val="18"/>
        </w:rPr>
        <w:t>15</w:t>
      </w:r>
      <w:r>
        <w:rPr>
          <w:rFonts w:ascii="Arial MT"/>
          <w:sz w:val="18"/>
        </w:rPr>
        <w:tab/>
      </w:r>
      <w:r>
        <w:rPr>
          <w:rFonts w:ascii="Arial MT"/>
          <w:spacing w:val="-5"/>
          <w:w w:val="95"/>
          <w:sz w:val="18"/>
        </w:rPr>
        <w:t>20</w:t>
      </w:r>
      <w:r>
        <w:rPr>
          <w:rFonts w:ascii="Arial MT"/>
          <w:sz w:val="18"/>
        </w:rPr>
        <w:tab/>
      </w:r>
      <w:r>
        <w:rPr>
          <w:rFonts w:ascii="Arial MT"/>
          <w:spacing w:val="-5"/>
          <w:w w:val="95"/>
          <w:sz w:val="18"/>
        </w:rPr>
        <w:t>25</w:t>
      </w:r>
    </w:p>
    <w:p>
      <w:pPr>
        <w:spacing w:before="23"/>
        <w:ind w:left="3644" w:right="0" w:firstLine="0"/>
        <w:jc w:val="left"/>
        <w:rPr>
          <w:rFonts w:ascii="Arial MT"/>
          <w:sz w:val="18"/>
        </w:rPr>
      </w:pPr>
      <w:r>
        <w:rPr>
          <w:rFonts w:ascii="Arial MT"/>
          <w:w w:val="85"/>
          <w:sz w:val="18"/>
        </w:rPr>
        <w:t>Time</w:t>
      </w:r>
      <w:r>
        <w:rPr>
          <w:rFonts w:ascii="Arial MT"/>
          <w:spacing w:val="9"/>
          <w:sz w:val="18"/>
        </w:rPr>
        <w:t> </w:t>
      </w:r>
      <w:r>
        <w:rPr>
          <w:rFonts w:ascii="Arial MT"/>
          <w:spacing w:val="-4"/>
          <w:w w:val="95"/>
          <w:sz w:val="18"/>
        </w:rPr>
        <w:t>(ms)</w:t>
      </w:r>
    </w:p>
    <w:p>
      <w:pPr>
        <w:spacing w:after="0"/>
        <w:jc w:val="left"/>
        <w:rPr>
          <w:rFonts w:ascii="Arial MT"/>
          <w:sz w:val="18"/>
        </w:rPr>
        <w:sectPr>
          <w:type w:val="continuous"/>
          <w:pgSz w:w="12240" w:h="15840"/>
          <w:pgMar w:header="0" w:footer="1066" w:top="1320" w:bottom="960" w:left="1480" w:right="1160"/>
          <w:cols w:num="2" w:equalWidth="0">
            <w:col w:w="1241" w:space="40"/>
            <w:col w:w="8319"/>
          </w:cols>
        </w:sectPr>
      </w:pPr>
    </w:p>
    <w:p>
      <w:pPr>
        <w:pStyle w:val="Heading2"/>
        <w:spacing w:before="51"/>
        <w:jc w:val="left"/>
      </w:pPr>
      <w:r>
        <w:rPr/>
        <w:t>After</w:t>
      </w:r>
      <w:r>
        <w:rPr>
          <w:spacing w:val="-4"/>
        </w:rPr>
        <w:t> wash</w:t>
      </w:r>
    </w:p>
    <w:p>
      <w:pPr>
        <w:pStyle w:val="BodyText"/>
        <w:spacing w:before="213"/>
        <w:rPr>
          <w:b/>
          <w:sz w:val="20"/>
        </w:rPr>
      </w:pPr>
    </w:p>
    <w:p>
      <w:pPr>
        <w:spacing w:after="0"/>
        <w:rPr>
          <w:sz w:val="20"/>
        </w:rPr>
        <w:sectPr>
          <w:type w:val="continuous"/>
          <w:pgSz w:w="12240" w:h="15840"/>
          <w:pgMar w:header="0" w:footer="1066" w:top="1320" w:bottom="960" w:left="1480" w:right="1160"/>
        </w:sectPr>
      </w:pPr>
    </w:p>
    <w:p>
      <w:pPr>
        <w:spacing w:before="95"/>
        <w:ind w:left="0" w:right="0" w:firstLine="0"/>
        <w:jc w:val="right"/>
        <w:rPr>
          <w:rFonts w:ascii="Arial MT"/>
          <w:sz w:val="16"/>
        </w:rPr>
      </w:pPr>
      <w:r>
        <w:rPr>
          <w:rFonts w:ascii="Arial MT"/>
          <w:spacing w:val="-5"/>
          <w:sz w:val="16"/>
        </w:rPr>
        <w:t>400</w:t>
      </w:r>
    </w:p>
    <w:p>
      <w:pPr>
        <w:pStyle w:val="BodyText"/>
        <w:rPr>
          <w:rFonts w:ascii="Arial MT"/>
          <w:sz w:val="16"/>
        </w:rPr>
      </w:pPr>
    </w:p>
    <w:p>
      <w:pPr>
        <w:pStyle w:val="BodyText"/>
        <w:spacing w:before="63"/>
        <w:rPr>
          <w:rFonts w:ascii="Arial MT"/>
          <w:sz w:val="16"/>
        </w:rPr>
      </w:pPr>
    </w:p>
    <w:p>
      <w:pPr>
        <w:spacing w:before="0"/>
        <w:ind w:left="0" w:right="1" w:firstLine="0"/>
        <w:jc w:val="right"/>
        <w:rPr>
          <w:rFonts w:ascii="Arial MT"/>
          <w:sz w:val="16"/>
        </w:rPr>
      </w:pPr>
      <w:r>
        <w:rPr/>
        <mc:AlternateContent>
          <mc:Choice Requires="wps">
            <w:drawing>
              <wp:anchor distT="0" distB="0" distL="0" distR="0" allowOverlap="1" layoutInCell="1" locked="0" behindDoc="0" simplePos="0" relativeHeight="15818752">
                <wp:simplePos x="0" y="0"/>
                <wp:positionH relativeFrom="page">
                  <wp:posOffset>1369650</wp:posOffset>
                </wp:positionH>
                <wp:positionV relativeFrom="paragraph">
                  <wp:posOffset>-126489</wp:posOffset>
                </wp:positionV>
                <wp:extent cx="137160" cy="591185"/>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37160" cy="591185"/>
                        </a:xfrm>
                        <a:prstGeom prst="rect">
                          <a:avLst/>
                        </a:prstGeom>
                      </wps:spPr>
                      <wps:txbx>
                        <w:txbxContent>
                          <w:p>
                            <w:pPr>
                              <w:spacing w:before="21"/>
                              <w:ind w:left="20" w:right="0" w:firstLine="0"/>
                              <w:jc w:val="left"/>
                              <w:rPr>
                                <w:rFonts w:ascii="Arial MT"/>
                                <w:sz w:val="15"/>
                              </w:rPr>
                            </w:pPr>
                            <w:r>
                              <w:rPr>
                                <w:rFonts w:ascii="Arial MT"/>
                                <w:w w:val="105"/>
                                <w:sz w:val="15"/>
                              </w:rPr>
                              <w:t>Current</w:t>
                            </w:r>
                            <w:r>
                              <w:rPr>
                                <w:rFonts w:ascii="Arial MT"/>
                                <w:spacing w:val="5"/>
                                <w:w w:val="105"/>
                                <w:sz w:val="15"/>
                              </w:rPr>
                              <w:t> </w:t>
                            </w:r>
                            <w:r>
                              <w:rPr>
                                <w:rFonts w:ascii="Arial MT"/>
                                <w:spacing w:val="-4"/>
                                <w:w w:val="105"/>
                                <w:sz w:val="15"/>
                              </w:rPr>
                              <w:t>(pA)</w:t>
                            </w:r>
                          </w:p>
                        </w:txbxContent>
                      </wps:txbx>
                      <wps:bodyPr wrap="square" lIns="0" tIns="0" rIns="0" bIns="0" rtlCol="0" vert="vert270">
                        <a:noAutofit/>
                      </wps:bodyPr>
                    </wps:wsp>
                  </a:graphicData>
                </a:graphic>
              </wp:anchor>
            </w:drawing>
          </mc:Choice>
          <mc:Fallback>
            <w:pict>
              <v:shape style="position:absolute;margin-left:107.846519pt;margin-top:-9.95978pt;width:10.8pt;height:46.55pt;mso-position-horizontal-relative:page;mso-position-vertical-relative:paragraph;z-index:15818752" type="#_x0000_t202" id="docshape394" filled="false" stroked="false">
                <v:textbox inset="0,0,0,0" style="layout-flow:vertical;mso-layout-flow-alt:bottom-to-top">
                  <w:txbxContent>
                    <w:p>
                      <w:pPr>
                        <w:spacing w:before="21"/>
                        <w:ind w:left="20" w:right="0" w:firstLine="0"/>
                        <w:jc w:val="left"/>
                        <w:rPr>
                          <w:rFonts w:ascii="Arial MT"/>
                          <w:sz w:val="15"/>
                        </w:rPr>
                      </w:pPr>
                      <w:r>
                        <w:rPr>
                          <w:rFonts w:ascii="Arial MT"/>
                          <w:w w:val="105"/>
                          <w:sz w:val="15"/>
                        </w:rPr>
                        <w:t>Current</w:t>
                      </w:r>
                      <w:r>
                        <w:rPr>
                          <w:rFonts w:ascii="Arial MT"/>
                          <w:spacing w:val="5"/>
                          <w:w w:val="105"/>
                          <w:sz w:val="15"/>
                        </w:rPr>
                        <w:t> </w:t>
                      </w:r>
                      <w:r>
                        <w:rPr>
                          <w:rFonts w:ascii="Arial MT"/>
                          <w:spacing w:val="-4"/>
                          <w:w w:val="105"/>
                          <w:sz w:val="15"/>
                        </w:rPr>
                        <w:t>(pA)</w:t>
                      </w:r>
                    </w:p>
                  </w:txbxContent>
                </v:textbox>
                <w10:wrap type="none"/>
              </v:shape>
            </w:pict>
          </mc:Fallback>
        </mc:AlternateContent>
      </w:r>
      <w:r>
        <w:rPr>
          <w:rFonts w:ascii="Arial MT"/>
          <w:spacing w:val="-10"/>
          <w:sz w:val="16"/>
        </w:rPr>
        <w:t>0</w:t>
      </w:r>
    </w:p>
    <w:p>
      <w:pPr>
        <w:pStyle w:val="BodyText"/>
        <w:rPr>
          <w:rFonts w:ascii="Arial MT"/>
          <w:sz w:val="16"/>
        </w:rPr>
      </w:pPr>
    </w:p>
    <w:p>
      <w:pPr>
        <w:pStyle w:val="BodyText"/>
        <w:spacing w:before="76"/>
        <w:rPr>
          <w:rFonts w:ascii="Arial MT"/>
          <w:sz w:val="16"/>
        </w:rPr>
      </w:pPr>
    </w:p>
    <w:p>
      <w:pPr>
        <w:spacing w:before="0"/>
        <w:ind w:left="0" w:right="2" w:firstLine="0"/>
        <w:jc w:val="right"/>
        <w:rPr>
          <w:rFonts w:ascii="Arial MT"/>
          <w:sz w:val="16"/>
        </w:rPr>
      </w:pPr>
      <w:r>
        <w:rPr>
          <w:rFonts w:ascii="Arial MT"/>
          <w:spacing w:val="-2"/>
          <w:sz w:val="16"/>
        </w:rPr>
        <w:t>-</w:t>
      </w:r>
      <w:r>
        <w:rPr>
          <w:rFonts w:ascii="Arial MT"/>
          <w:spacing w:val="-5"/>
          <w:sz w:val="16"/>
        </w:rPr>
        <w:t>400</w:t>
      </w:r>
    </w:p>
    <w:p>
      <w:pPr>
        <w:pStyle w:val="BodyText"/>
        <w:rPr>
          <w:rFonts w:ascii="Arial MT"/>
          <w:sz w:val="16"/>
        </w:rPr>
      </w:pPr>
    </w:p>
    <w:p>
      <w:pPr>
        <w:pStyle w:val="BodyText"/>
        <w:spacing w:before="49"/>
        <w:rPr>
          <w:rFonts w:ascii="Arial MT"/>
          <w:sz w:val="16"/>
        </w:rPr>
      </w:pPr>
    </w:p>
    <w:p>
      <w:pPr>
        <w:spacing w:before="1"/>
        <w:ind w:left="0" w:right="2" w:firstLine="0"/>
        <w:jc w:val="right"/>
        <w:rPr>
          <w:rFonts w:ascii="Arial MT"/>
          <w:sz w:val="16"/>
        </w:rPr>
      </w:pPr>
      <w:r>
        <w:rPr>
          <w:rFonts w:ascii="Arial MT"/>
          <w:spacing w:val="-2"/>
          <w:sz w:val="16"/>
        </w:rPr>
        <w:t>-</w:t>
      </w:r>
      <w:r>
        <w:rPr>
          <w:rFonts w:ascii="Arial MT"/>
          <w:spacing w:val="-5"/>
          <w:sz w:val="16"/>
        </w:rPr>
        <w:t>800</w:t>
      </w:r>
    </w:p>
    <w:p>
      <w:pPr>
        <w:spacing w:line="240" w:lineRule="auto" w:before="0"/>
        <w:rPr>
          <w:rFonts w:ascii="Arial MT"/>
          <w:sz w:val="16"/>
        </w:rPr>
      </w:pPr>
      <w:r>
        <w:rPr/>
        <w:br w:type="column"/>
      </w:r>
      <w:r>
        <w:rPr>
          <w:rFonts w:ascii="Arial MT"/>
          <w:sz w:val="16"/>
        </w:rPr>
      </w: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spacing w:before="39"/>
        <w:rPr>
          <w:rFonts w:ascii="Arial MT"/>
          <w:sz w:val="16"/>
        </w:rPr>
      </w:pPr>
    </w:p>
    <w:p>
      <w:pPr>
        <w:tabs>
          <w:tab w:pos="1800" w:val="left" w:leader="none"/>
          <w:tab w:pos="3118" w:val="left" w:leader="none"/>
          <w:tab w:pos="4502" w:val="left" w:leader="none"/>
          <w:tab w:pos="5886" w:val="left" w:leader="none"/>
          <w:tab w:pos="7256" w:val="left" w:leader="none"/>
        </w:tabs>
        <w:spacing w:before="0"/>
        <w:ind w:left="417" w:right="0" w:firstLine="0"/>
        <w:jc w:val="left"/>
        <w:rPr>
          <w:rFonts w:ascii="Arial MT"/>
          <w:sz w:val="16"/>
        </w:rPr>
      </w:pPr>
      <w:r>
        <w:rPr/>
        <w:drawing>
          <wp:anchor distT="0" distB="0" distL="0" distR="0" allowOverlap="1" layoutInCell="1" locked="0" behindDoc="0" simplePos="0" relativeHeight="15817728">
            <wp:simplePos x="0" y="0"/>
            <wp:positionH relativeFrom="page">
              <wp:posOffset>2040409</wp:posOffset>
            </wp:positionH>
            <wp:positionV relativeFrom="paragraph">
              <wp:posOffset>-1453221</wp:posOffset>
            </wp:positionV>
            <wp:extent cx="4521691" cy="1315237"/>
            <wp:effectExtent l="0" t="0" r="0" b="0"/>
            <wp:wrapNone/>
            <wp:docPr id="509" name="Image 509"/>
            <wp:cNvGraphicFramePr>
              <a:graphicFrameLocks/>
            </wp:cNvGraphicFramePr>
            <a:graphic>
              <a:graphicData uri="http://schemas.openxmlformats.org/drawingml/2006/picture">
                <pic:pic>
                  <pic:nvPicPr>
                    <pic:cNvPr id="509" name="Image 509"/>
                    <pic:cNvPicPr/>
                  </pic:nvPicPr>
                  <pic:blipFill>
                    <a:blip r:embed="rId72" cstate="print"/>
                    <a:stretch>
                      <a:fillRect/>
                    </a:stretch>
                  </pic:blipFill>
                  <pic:spPr>
                    <a:xfrm>
                      <a:off x="0" y="0"/>
                      <a:ext cx="4521691" cy="1315237"/>
                    </a:xfrm>
                    <a:prstGeom prst="rect">
                      <a:avLst/>
                    </a:prstGeom>
                  </pic:spPr>
                </pic:pic>
              </a:graphicData>
            </a:graphic>
          </wp:anchor>
        </w:drawing>
      </w:r>
      <w:r>
        <w:rPr/>
        <mc:AlternateContent>
          <mc:Choice Requires="wps">
            <w:drawing>
              <wp:anchor distT="0" distB="0" distL="0" distR="0" allowOverlap="1" layoutInCell="1" locked="0" behindDoc="0" simplePos="0" relativeHeight="15818240">
                <wp:simplePos x="0" y="0"/>
                <wp:positionH relativeFrom="page">
                  <wp:posOffset>1729680</wp:posOffset>
                </wp:positionH>
                <wp:positionV relativeFrom="paragraph">
                  <wp:posOffset>-1525578</wp:posOffset>
                </wp:positionV>
                <wp:extent cx="5073015" cy="1519555"/>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5073015" cy="1519555"/>
                          <a:chExt cx="5073015" cy="1519555"/>
                        </a:xfrm>
                      </wpg:grpSpPr>
                      <wps:wsp>
                        <wps:cNvPr id="511" name="Graphic 511"/>
                        <wps:cNvSpPr/>
                        <wps:spPr>
                          <a:xfrm>
                            <a:off x="66212" y="1455417"/>
                            <a:ext cx="5006340" cy="8890"/>
                          </a:xfrm>
                          <a:custGeom>
                            <a:avLst/>
                            <a:gdLst/>
                            <a:ahLst/>
                            <a:cxnLst/>
                            <a:rect l="l" t="t" r="r" b="b"/>
                            <a:pathLst>
                              <a:path w="5006340" h="8890">
                                <a:moveTo>
                                  <a:pt x="0" y="8447"/>
                                </a:moveTo>
                                <a:lnTo>
                                  <a:pt x="5006298" y="8447"/>
                                </a:lnTo>
                                <a:lnTo>
                                  <a:pt x="5006298" y="0"/>
                                </a:lnTo>
                                <a:lnTo>
                                  <a:pt x="0" y="0"/>
                                </a:lnTo>
                                <a:lnTo>
                                  <a:pt x="0" y="8447"/>
                                </a:lnTo>
                                <a:close/>
                              </a:path>
                            </a:pathLst>
                          </a:custGeom>
                          <a:solidFill>
                            <a:srgbClr val="000000"/>
                          </a:solidFill>
                        </wps:spPr>
                        <wps:bodyPr wrap="square" lIns="0" tIns="0" rIns="0" bIns="0" rtlCol="0">
                          <a:prstTxWarp prst="textNoShape">
                            <a:avLst/>
                          </a:prstTxWarp>
                          <a:noAutofit/>
                        </wps:bodyPr>
                      </wps:wsp>
                      <wps:wsp>
                        <wps:cNvPr id="512" name="Graphic 512"/>
                        <wps:cNvSpPr/>
                        <wps:spPr>
                          <a:xfrm>
                            <a:off x="0" y="0"/>
                            <a:ext cx="5039995" cy="1519555"/>
                          </a:xfrm>
                          <a:custGeom>
                            <a:avLst/>
                            <a:gdLst/>
                            <a:ahLst/>
                            <a:cxnLst/>
                            <a:rect l="l" t="t" r="r" b="b"/>
                            <a:pathLst>
                              <a:path w="5039995" h="1519555">
                                <a:moveTo>
                                  <a:pt x="140925" y="1459641"/>
                                </a:moveTo>
                                <a:lnTo>
                                  <a:pt x="140925" y="1485219"/>
                                </a:lnTo>
                              </a:path>
                              <a:path w="5039995" h="1519555">
                                <a:moveTo>
                                  <a:pt x="314953" y="1459641"/>
                                </a:moveTo>
                                <a:lnTo>
                                  <a:pt x="314953" y="1519246"/>
                                </a:lnTo>
                              </a:path>
                              <a:path w="5039995" h="1519555">
                                <a:moveTo>
                                  <a:pt x="488980" y="1459641"/>
                                </a:moveTo>
                                <a:lnTo>
                                  <a:pt x="488980" y="1485219"/>
                                </a:lnTo>
                              </a:path>
                              <a:path w="5039995" h="1519555">
                                <a:moveTo>
                                  <a:pt x="663016" y="1459641"/>
                                </a:moveTo>
                                <a:lnTo>
                                  <a:pt x="663016" y="1485219"/>
                                </a:lnTo>
                              </a:path>
                              <a:path w="5039995" h="1519555">
                                <a:moveTo>
                                  <a:pt x="845574" y="1459641"/>
                                </a:moveTo>
                                <a:lnTo>
                                  <a:pt x="845574" y="1485219"/>
                                </a:lnTo>
                              </a:path>
                              <a:path w="5039995" h="1519555">
                                <a:moveTo>
                                  <a:pt x="1019535" y="1459641"/>
                                </a:moveTo>
                                <a:lnTo>
                                  <a:pt x="1019535" y="1485219"/>
                                </a:lnTo>
                              </a:path>
                              <a:path w="5039995" h="1519555">
                                <a:moveTo>
                                  <a:pt x="1193591" y="1459641"/>
                                </a:moveTo>
                                <a:lnTo>
                                  <a:pt x="1193591" y="1519246"/>
                                </a:lnTo>
                              </a:path>
                              <a:path w="5039995" h="1519555">
                                <a:moveTo>
                                  <a:pt x="1367646" y="1459641"/>
                                </a:moveTo>
                                <a:lnTo>
                                  <a:pt x="1367646" y="1485219"/>
                                </a:lnTo>
                              </a:path>
                              <a:path w="5039995" h="1519555">
                                <a:moveTo>
                                  <a:pt x="1541608" y="1459641"/>
                                </a:moveTo>
                                <a:lnTo>
                                  <a:pt x="1541608" y="1485219"/>
                                </a:lnTo>
                              </a:path>
                              <a:path w="5039995" h="1519555">
                                <a:moveTo>
                                  <a:pt x="1715663" y="1459641"/>
                                </a:moveTo>
                                <a:lnTo>
                                  <a:pt x="1715663" y="1485219"/>
                                </a:lnTo>
                              </a:path>
                              <a:path w="5039995" h="1519555">
                                <a:moveTo>
                                  <a:pt x="1889718" y="1459641"/>
                                </a:moveTo>
                                <a:lnTo>
                                  <a:pt x="1889718" y="1485219"/>
                                </a:lnTo>
                              </a:path>
                              <a:path w="5039995" h="1519555">
                                <a:moveTo>
                                  <a:pt x="2063960" y="1459641"/>
                                </a:moveTo>
                                <a:lnTo>
                                  <a:pt x="2063960" y="1519246"/>
                                </a:lnTo>
                              </a:path>
                              <a:path w="5039995" h="1519555">
                                <a:moveTo>
                                  <a:pt x="2246237" y="1459641"/>
                                </a:moveTo>
                                <a:lnTo>
                                  <a:pt x="2246237" y="1485219"/>
                                </a:lnTo>
                              </a:path>
                              <a:path w="5039995" h="1519555">
                                <a:moveTo>
                                  <a:pt x="2420292" y="1459641"/>
                                </a:moveTo>
                                <a:lnTo>
                                  <a:pt x="2420292" y="1485219"/>
                                </a:lnTo>
                              </a:path>
                              <a:path w="5039995" h="1519555">
                                <a:moveTo>
                                  <a:pt x="2594348" y="1459641"/>
                                </a:moveTo>
                                <a:lnTo>
                                  <a:pt x="2594348" y="1485219"/>
                                </a:lnTo>
                              </a:path>
                              <a:path w="5039995" h="1519555">
                                <a:moveTo>
                                  <a:pt x="2768309" y="1459641"/>
                                </a:moveTo>
                                <a:lnTo>
                                  <a:pt x="2768309" y="1485219"/>
                                </a:lnTo>
                              </a:path>
                              <a:path w="5039995" h="1519555">
                                <a:moveTo>
                                  <a:pt x="2942365" y="1459641"/>
                                </a:moveTo>
                                <a:lnTo>
                                  <a:pt x="2942365" y="1519246"/>
                                </a:lnTo>
                              </a:path>
                              <a:path w="5039995" h="1519555">
                                <a:moveTo>
                                  <a:pt x="3116420" y="1459641"/>
                                </a:moveTo>
                                <a:lnTo>
                                  <a:pt x="3116420" y="1485219"/>
                                </a:lnTo>
                              </a:path>
                              <a:path w="5039995" h="1519555">
                                <a:moveTo>
                                  <a:pt x="3290662" y="1459641"/>
                                </a:moveTo>
                                <a:lnTo>
                                  <a:pt x="3290662" y="1485219"/>
                                </a:lnTo>
                              </a:path>
                              <a:path w="5039995" h="1519555">
                                <a:moveTo>
                                  <a:pt x="3464717" y="1459641"/>
                                </a:moveTo>
                                <a:lnTo>
                                  <a:pt x="3464717" y="1485219"/>
                                </a:lnTo>
                              </a:path>
                              <a:path w="5039995" h="1519555">
                                <a:moveTo>
                                  <a:pt x="3638679" y="1459641"/>
                                </a:moveTo>
                                <a:lnTo>
                                  <a:pt x="3638679" y="1485219"/>
                                </a:lnTo>
                              </a:path>
                              <a:path w="5039995" h="1519555">
                                <a:moveTo>
                                  <a:pt x="3821049" y="1459641"/>
                                </a:moveTo>
                                <a:lnTo>
                                  <a:pt x="3821049" y="1519246"/>
                                </a:lnTo>
                              </a:path>
                              <a:path w="5039995" h="1519555">
                                <a:moveTo>
                                  <a:pt x="3995011" y="1459641"/>
                                </a:moveTo>
                                <a:lnTo>
                                  <a:pt x="3995011" y="1485219"/>
                                </a:lnTo>
                              </a:path>
                              <a:path w="5039995" h="1519555">
                                <a:moveTo>
                                  <a:pt x="4169066" y="1459641"/>
                                </a:moveTo>
                                <a:lnTo>
                                  <a:pt x="4169066" y="1485219"/>
                                </a:lnTo>
                              </a:path>
                              <a:path w="5039995" h="1519555">
                                <a:moveTo>
                                  <a:pt x="4343122" y="1459641"/>
                                </a:moveTo>
                                <a:lnTo>
                                  <a:pt x="4343122" y="1485219"/>
                                </a:lnTo>
                              </a:path>
                              <a:path w="5039995" h="1519555">
                                <a:moveTo>
                                  <a:pt x="4517364" y="1459641"/>
                                </a:moveTo>
                                <a:lnTo>
                                  <a:pt x="4517364" y="1485219"/>
                                </a:lnTo>
                              </a:path>
                              <a:path w="5039995" h="1519555">
                                <a:moveTo>
                                  <a:pt x="4691419" y="1459641"/>
                                </a:moveTo>
                                <a:lnTo>
                                  <a:pt x="4691419" y="1519246"/>
                                </a:lnTo>
                              </a:path>
                              <a:path w="5039995" h="1519555">
                                <a:moveTo>
                                  <a:pt x="4865381" y="1459641"/>
                                </a:moveTo>
                                <a:lnTo>
                                  <a:pt x="4865381" y="1485219"/>
                                </a:lnTo>
                              </a:path>
                              <a:path w="5039995" h="1519555">
                                <a:moveTo>
                                  <a:pt x="5039436" y="1459641"/>
                                </a:moveTo>
                                <a:lnTo>
                                  <a:pt x="5039436" y="1485219"/>
                                </a:lnTo>
                              </a:path>
                              <a:path w="5039995" h="1519555">
                                <a:moveTo>
                                  <a:pt x="57934" y="0"/>
                                </a:moveTo>
                                <a:lnTo>
                                  <a:pt x="57934" y="1468320"/>
                                </a:lnTo>
                              </a:path>
                              <a:path w="5039995" h="1519555">
                                <a:moveTo>
                                  <a:pt x="57934" y="1400266"/>
                                </a:moveTo>
                                <a:lnTo>
                                  <a:pt x="0" y="1400266"/>
                                </a:lnTo>
                              </a:path>
                              <a:path w="5039995" h="1519555">
                                <a:moveTo>
                                  <a:pt x="57934" y="1205259"/>
                                </a:moveTo>
                                <a:lnTo>
                                  <a:pt x="33110" y="1205259"/>
                                </a:lnTo>
                              </a:path>
                              <a:path w="5039995" h="1519555">
                                <a:moveTo>
                                  <a:pt x="57934" y="1010023"/>
                                </a:moveTo>
                                <a:lnTo>
                                  <a:pt x="0" y="1010023"/>
                                </a:lnTo>
                              </a:path>
                              <a:path w="5039995" h="1519555">
                                <a:moveTo>
                                  <a:pt x="57934" y="814816"/>
                                </a:moveTo>
                                <a:lnTo>
                                  <a:pt x="33110" y="814816"/>
                                </a:lnTo>
                              </a:path>
                              <a:path w="5039995" h="1519555">
                                <a:moveTo>
                                  <a:pt x="57934" y="611112"/>
                                </a:moveTo>
                                <a:lnTo>
                                  <a:pt x="0" y="611112"/>
                                </a:lnTo>
                              </a:path>
                              <a:path w="5039995" h="1519555">
                                <a:moveTo>
                                  <a:pt x="57934" y="415896"/>
                                </a:moveTo>
                                <a:lnTo>
                                  <a:pt x="33110" y="415896"/>
                                </a:lnTo>
                              </a:path>
                              <a:path w="5039995" h="1519555">
                                <a:moveTo>
                                  <a:pt x="57934" y="220584"/>
                                </a:moveTo>
                                <a:lnTo>
                                  <a:pt x="0" y="220584"/>
                                </a:lnTo>
                              </a:path>
                              <a:path w="5039995" h="1519555">
                                <a:moveTo>
                                  <a:pt x="57934" y="25653"/>
                                </a:moveTo>
                                <a:lnTo>
                                  <a:pt x="33110" y="25653"/>
                                </a:lnTo>
                              </a:path>
                            </a:pathLst>
                          </a:custGeom>
                          <a:ln w="83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6.195297pt;margin-top:-120.124306pt;width:399.45pt;height:119.65pt;mso-position-horizontal-relative:page;mso-position-vertical-relative:paragraph;z-index:15818240" id="docshapegroup395" coordorigin="2724,-2402" coordsize="7989,2393">
                <v:rect style="position:absolute;left:2828;top:-111;width:7884;height:14" id="docshape396" filled="true" fillcolor="#000000" stroked="false">
                  <v:fill type="solid"/>
                </v:rect>
                <v:shape style="position:absolute;left:2723;top:-2403;width:7937;height:2393" id="docshape397" coordorigin="2724,-2402" coordsize="7937,2393" path="m2946,-104l2946,-64m3220,-104l3220,-10m3494,-104l3494,-64m3768,-104l3768,-64m4056,-104l4056,-64m4329,-104l4329,-64m4604,-104l4604,-10m4878,-104l4878,-64m5152,-104l5152,-64m5426,-104l5426,-64m5700,-104l5700,-64m5974,-104l5974,-10m6261,-104l6261,-64m6535,-104l6535,-64m6809,-104l6809,-64m7083,-104l7083,-64m7358,-104l7358,-10m7632,-104l7632,-64m7906,-104l7906,-64m8180,-104l8180,-64m8454,-104l8454,-64m8741,-104l8741,-10m9015,-104l9015,-64m9289,-104l9289,-64m9563,-104l9563,-64m9838,-104l9838,-64m10112,-104l10112,-10m10386,-104l10386,-64m10660,-104l10660,-64m2815,-2402l2815,-90m2815,-197l2724,-197m2815,-504l2776,-504m2815,-812l2724,-812m2815,-1119l2776,-1119m2815,-1440l2724,-1440m2815,-1748l2776,-1748m2815,-2055l2724,-2055m2815,-2362l2776,-2362e" filled="false" stroked="true" strokeweight=".658425pt" strokecolor="#000000">
                  <v:path arrowok="t"/>
                  <v:stroke dashstyle="solid"/>
                </v:shape>
                <w10:wrap type="none"/>
              </v:group>
            </w:pict>
          </mc:Fallback>
        </mc:AlternateContent>
      </w:r>
      <w:r>
        <w:rPr>
          <w:rFonts w:ascii="Arial MT"/>
          <w:spacing w:val="-10"/>
          <w:sz w:val="16"/>
        </w:rPr>
        <w:t>0</w:t>
      </w:r>
      <w:r>
        <w:rPr>
          <w:rFonts w:ascii="Arial MT"/>
          <w:sz w:val="16"/>
        </w:rPr>
        <w:tab/>
      </w:r>
      <w:r>
        <w:rPr>
          <w:rFonts w:ascii="Arial MT"/>
          <w:spacing w:val="-10"/>
          <w:sz w:val="16"/>
        </w:rPr>
        <w:t>5</w:t>
      </w:r>
      <w:r>
        <w:rPr>
          <w:rFonts w:ascii="Arial MT"/>
          <w:sz w:val="16"/>
        </w:rPr>
        <w:tab/>
      </w:r>
      <w:r>
        <w:rPr>
          <w:rFonts w:ascii="Arial MT"/>
          <w:spacing w:val="-5"/>
          <w:sz w:val="16"/>
        </w:rPr>
        <w:t>10</w:t>
      </w:r>
      <w:r>
        <w:rPr>
          <w:rFonts w:ascii="Arial MT"/>
          <w:sz w:val="16"/>
        </w:rPr>
        <w:tab/>
      </w:r>
      <w:r>
        <w:rPr>
          <w:rFonts w:ascii="Arial MT"/>
          <w:spacing w:val="-5"/>
          <w:sz w:val="16"/>
        </w:rPr>
        <w:t>15</w:t>
      </w:r>
      <w:r>
        <w:rPr>
          <w:rFonts w:ascii="Arial MT"/>
          <w:sz w:val="16"/>
        </w:rPr>
        <w:tab/>
      </w:r>
      <w:r>
        <w:rPr>
          <w:rFonts w:ascii="Arial MT"/>
          <w:spacing w:val="-5"/>
          <w:sz w:val="16"/>
        </w:rPr>
        <w:t>20</w:t>
      </w:r>
      <w:r>
        <w:rPr>
          <w:rFonts w:ascii="Arial MT"/>
          <w:sz w:val="16"/>
        </w:rPr>
        <w:tab/>
      </w:r>
      <w:r>
        <w:rPr>
          <w:rFonts w:ascii="Arial MT"/>
          <w:spacing w:val="-5"/>
          <w:sz w:val="16"/>
        </w:rPr>
        <w:t>25</w:t>
      </w:r>
    </w:p>
    <w:p>
      <w:pPr>
        <w:spacing w:before="16"/>
        <w:ind w:left="3641" w:right="0" w:firstLine="0"/>
        <w:jc w:val="left"/>
        <w:rPr>
          <w:rFonts w:ascii="Arial MT"/>
          <w:sz w:val="16"/>
        </w:rPr>
      </w:pPr>
      <w:r>
        <w:rPr>
          <w:rFonts w:ascii="Arial MT"/>
          <w:sz w:val="16"/>
        </w:rPr>
        <w:t>Time</w:t>
      </w:r>
      <w:r>
        <w:rPr>
          <w:rFonts w:ascii="Arial MT"/>
          <w:spacing w:val="1"/>
          <w:sz w:val="16"/>
        </w:rPr>
        <w:t> </w:t>
      </w:r>
      <w:r>
        <w:rPr>
          <w:rFonts w:ascii="Arial MT"/>
          <w:spacing w:val="-4"/>
          <w:sz w:val="16"/>
        </w:rPr>
        <w:t>(ms)</w:t>
      </w:r>
    </w:p>
    <w:p>
      <w:pPr>
        <w:spacing w:after="0"/>
        <w:jc w:val="left"/>
        <w:rPr>
          <w:rFonts w:ascii="Arial MT"/>
          <w:sz w:val="16"/>
        </w:rPr>
        <w:sectPr>
          <w:type w:val="continuous"/>
          <w:pgSz w:w="12240" w:h="15840"/>
          <w:pgMar w:header="0" w:footer="1066" w:top="1320" w:bottom="960" w:left="1480" w:right="1160"/>
          <w:cols w:num="2" w:equalWidth="0">
            <w:col w:w="1244" w:space="40"/>
            <w:col w:w="8316"/>
          </w:cols>
        </w:sectPr>
      </w:pPr>
    </w:p>
    <w:p>
      <w:pPr>
        <w:pStyle w:val="BodyText"/>
        <w:spacing w:before="4"/>
        <w:rPr>
          <w:rFonts w:ascii="Arial MT"/>
          <w:sz w:val="17"/>
        </w:rPr>
      </w:pPr>
      <w:r>
        <w:rPr/>
        <mc:AlternateContent>
          <mc:Choice Requires="wps">
            <w:drawing>
              <wp:anchor distT="0" distB="0" distL="0" distR="0" allowOverlap="1" layoutInCell="1" locked="0" behindDoc="0" simplePos="0" relativeHeight="15820288">
                <wp:simplePos x="0" y="0"/>
                <wp:positionH relativeFrom="page">
                  <wp:posOffset>1418719</wp:posOffset>
                </wp:positionH>
                <wp:positionV relativeFrom="page">
                  <wp:posOffset>1693425</wp:posOffset>
                </wp:positionV>
                <wp:extent cx="5137785" cy="5765165"/>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5137785" cy="5765165"/>
                          <a:chExt cx="5137785" cy="5765165"/>
                        </a:xfrm>
                      </wpg:grpSpPr>
                      <wps:wsp>
                        <wps:cNvPr id="514" name="Graphic 514"/>
                        <wps:cNvSpPr/>
                        <wps:spPr>
                          <a:xfrm>
                            <a:off x="7650" y="7650"/>
                            <a:ext cx="5122545" cy="5749925"/>
                          </a:xfrm>
                          <a:custGeom>
                            <a:avLst/>
                            <a:gdLst/>
                            <a:ahLst/>
                            <a:cxnLst/>
                            <a:rect l="l" t="t" r="r" b="b"/>
                            <a:pathLst>
                              <a:path w="5122545" h="5749925">
                                <a:moveTo>
                                  <a:pt x="0" y="5749647"/>
                                </a:moveTo>
                                <a:lnTo>
                                  <a:pt x="5121944" y="5749647"/>
                                </a:lnTo>
                                <a:lnTo>
                                  <a:pt x="5121944" y="0"/>
                                </a:lnTo>
                                <a:lnTo>
                                  <a:pt x="0" y="0"/>
                                </a:lnTo>
                                <a:lnTo>
                                  <a:pt x="0" y="5749647"/>
                                </a:lnTo>
                                <a:close/>
                              </a:path>
                            </a:pathLst>
                          </a:custGeom>
                          <a:ln w="13670">
                            <a:solidFill>
                              <a:srgbClr val="000000"/>
                            </a:solidFill>
                            <a:prstDash val="solid"/>
                          </a:ln>
                        </wps:spPr>
                        <wps:bodyPr wrap="square" lIns="0" tIns="0" rIns="0" bIns="0" rtlCol="0">
                          <a:prstTxWarp prst="textNoShape">
                            <a:avLst/>
                          </a:prstTxWarp>
                          <a:noAutofit/>
                        </wps:bodyPr>
                      </wps:wsp>
                      <wps:wsp>
                        <wps:cNvPr id="515" name="Graphic 515"/>
                        <wps:cNvSpPr/>
                        <wps:spPr>
                          <a:xfrm>
                            <a:off x="840057" y="1112464"/>
                            <a:ext cx="3180080" cy="4276725"/>
                          </a:xfrm>
                          <a:custGeom>
                            <a:avLst/>
                            <a:gdLst/>
                            <a:ahLst/>
                            <a:cxnLst/>
                            <a:rect l="l" t="t" r="r" b="b"/>
                            <a:pathLst>
                              <a:path w="3180080" h="4276725">
                                <a:moveTo>
                                  <a:pt x="3179828" y="0"/>
                                </a:moveTo>
                                <a:lnTo>
                                  <a:pt x="0" y="0"/>
                                </a:lnTo>
                                <a:lnTo>
                                  <a:pt x="0" y="4276639"/>
                                </a:lnTo>
                                <a:lnTo>
                                  <a:pt x="3179828" y="4276639"/>
                                </a:lnTo>
                                <a:lnTo>
                                  <a:pt x="3179828" y="0"/>
                                </a:lnTo>
                                <a:close/>
                              </a:path>
                            </a:pathLst>
                          </a:custGeom>
                          <a:solidFill>
                            <a:srgbClr val="C0C0C0"/>
                          </a:solidFill>
                        </wps:spPr>
                        <wps:bodyPr wrap="square" lIns="0" tIns="0" rIns="0" bIns="0" rtlCol="0">
                          <a:prstTxWarp prst="textNoShape">
                            <a:avLst/>
                          </a:prstTxWarp>
                          <a:noAutofit/>
                        </wps:bodyPr>
                      </wps:wsp>
                      <wps:wsp>
                        <wps:cNvPr id="516" name="Graphic 516"/>
                        <wps:cNvSpPr/>
                        <wps:spPr>
                          <a:xfrm>
                            <a:off x="840052" y="1112283"/>
                            <a:ext cx="3190875" cy="4294505"/>
                          </a:xfrm>
                          <a:custGeom>
                            <a:avLst/>
                            <a:gdLst/>
                            <a:ahLst/>
                            <a:cxnLst/>
                            <a:rect l="l" t="t" r="r" b="b"/>
                            <a:pathLst>
                              <a:path w="3190875" h="4294505">
                                <a:moveTo>
                                  <a:pt x="10642" y="26212"/>
                                </a:moveTo>
                                <a:lnTo>
                                  <a:pt x="0" y="26212"/>
                                </a:lnTo>
                                <a:lnTo>
                                  <a:pt x="0" y="4285564"/>
                                </a:lnTo>
                                <a:lnTo>
                                  <a:pt x="10642" y="4285564"/>
                                </a:lnTo>
                                <a:lnTo>
                                  <a:pt x="10642" y="26212"/>
                                </a:lnTo>
                                <a:close/>
                              </a:path>
                              <a:path w="3190875" h="4294505">
                                <a:moveTo>
                                  <a:pt x="3174504" y="0"/>
                                </a:moveTo>
                                <a:lnTo>
                                  <a:pt x="5321" y="0"/>
                                </a:lnTo>
                                <a:lnTo>
                                  <a:pt x="5321" y="17475"/>
                                </a:lnTo>
                                <a:lnTo>
                                  <a:pt x="3174504" y="17475"/>
                                </a:lnTo>
                                <a:lnTo>
                                  <a:pt x="3174504" y="0"/>
                                </a:lnTo>
                                <a:close/>
                              </a:path>
                              <a:path w="3190875" h="4294505">
                                <a:moveTo>
                                  <a:pt x="3185147" y="4276826"/>
                                </a:moveTo>
                                <a:lnTo>
                                  <a:pt x="15976" y="4276826"/>
                                </a:lnTo>
                                <a:lnTo>
                                  <a:pt x="15976" y="4294302"/>
                                </a:lnTo>
                                <a:lnTo>
                                  <a:pt x="3185147" y="4294302"/>
                                </a:lnTo>
                                <a:lnTo>
                                  <a:pt x="3185147" y="4276826"/>
                                </a:lnTo>
                                <a:close/>
                              </a:path>
                              <a:path w="3190875" h="4294505">
                                <a:moveTo>
                                  <a:pt x="3190481" y="8737"/>
                                </a:moveTo>
                                <a:lnTo>
                                  <a:pt x="3179826" y="8737"/>
                                </a:lnTo>
                                <a:lnTo>
                                  <a:pt x="3179826" y="4268089"/>
                                </a:lnTo>
                                <a:lnTo>
                                  <a:pt x="3190481" y="4268089"/>
                                </a:lnTo>
                                <a:lnTo>
                                  <a:pt x="3190481" y="8737"/>
                                </a:lnTo>
                                <a:close/>
                              </a:path>
                            </a:pathLst>
                          </a:custGeom>
                          <a:solidFill>
                            <a:srgbClr val="808080"/>
                          </a:solidFill>
                        </wps:spPr>
                        <wps:bodyPr wrap="square" lIns="0" tIns="0" rIns="0" bIns="0" rtlCol="0">
                          <a:prstTxWarp prst="textNoShape">
                            <a:avLst/>
                          </a:prstTxWarp>
                          <a:noAutofit/>
                        </wps:bodyPr>
                      </wps:wsp>
                      <wps:wsp>
                        <wps:cNvPr id="517" name="Graphic 517"/>
                        <wps:cNvSpPr/>
                        <wps:spPr>
                          <a:xfrm>
                            <a:off x="952227" y="1121087"/>
                            <a:ext cx="139065" cy="3312795"/>
                          </a:xfrm>
                          <a:custGeom>
                            <a:avLst/>
                            <a:gdLst/>
                            <a:ahLst/>
                            <a:cxnLst/>
                            <a:rect l="l" t="t" r="r" b="b"/>
                            <a:pathLst>
                              <a:path w="139065" h="3312795">
                                <a:moveTo>
                                  <a:pt x="138438" y="0"/>
                                </a:moveTo>
                                <a:lnTo>
                                  <a:pt x="0" y="0"/>
                                </a:lnTo>
                                <a:lnTo>
                                  <a:pt x="0" y="3312578"/>
                                </a:lnTo>
                                <a:lnTo>
                                  <a:pt x="138438" y="3312578"/>
                                </a:lnTo>
                                <a:lnTo>
                                  <a:pt x="138438" y="0"/>
                                </a:lnTo>
                                <a:close/>
                              </a:path>
                            </a:pathLst>
                          </a:custGeom>
                          <a:solidFill>
                            <a:srgbClr val="9999FF"/>
                          </a:solidFill>
                        </wps:spPr>
                        <wps:bodyPr wrap="square" lIns="0" tIns="0" rIns="0" bIns="0" rtlCol="0">
                          <a:prstTxWarp prst="textNoShape">
                            <a:avLst/>
                          </a:prstTxWarp>
                          <a:noAutofit/>
                        </wps:bodyPr>
                      </wps:wsp>
                      <wps:wsp>
                        <wps:cNvPr id="518" name="Graphic 518"/>
                        <wps:cNvSpPr/>
                        <wps:spPr>
                          <a:xfrm>
                            <a:off x="952227" y="1121087"/>
                            <a:ext cx="139065" cy="3312795"/>
                          </a:xfrm>
                          <a:custGeom>
                            <a:avLst/>
                            <a:gdLst/>
                            <a:ahLst/>
                            <a:cxnLst/>
                            <a:rect l="l" t="t" r="r" b="b"/>
                            <a:pathLst>
                              <a:path w="139065" h="3312795">
                                <a:moveTo>
                                  <a:pt x="0" y="3312578"/>
                                </a:moveTo>
                                <a:lnTo>
                                  <a:pt x="138438" y="3312578"/>
                                </a:lnTo>
                                <a:lnTo>
                                  <a:pt x="138438" y="0"/>
                                </a:lnTo>
                                <a:lnTo>
                                  <a:pt x="0" y="0"/>
                                </a:lnTo>
                                <a:lnTo>
                                  <a:pt x="0" y="3312578"/>
                                </a:lnTo>
                                <a:close/>
                              </a:path>
                            </a:pathLst>
                          </a:custGeom>
                          <a:ln w="10661">
                            <a:solidFill>
                              <a:srgbClr val="000000"/>
                            </a:solidFill>
                            <a:prstDash val="solid"/>
                          </a:ln>
                        </wps:spPr>
                        <wps:bodyPr wrap="square" lIns="0" tIns="0" rIns="0" bIns="0" rtlCol="0">
                          <a:prstTxWarp prst="textNoShape">
                            <a:avLst/>
                          </a:prstTxWarp>
                          <a:noAutofit/>
                        </wps:bodyPr>
                      </wps:wsp>
                      <wps:wsp>
                        <wps:cNvPr id="519" name="Graphic 519"/>
                        <wps:cNvSpPr/>
                        <wps:spPr>
                          <a:xfrm>
                            <a:off x="1592240" y="1121133"/>
                            <a:ext cx="139065" cy="1384935"/>
                          </a:xfrm>
                          <a:custGeom>
                            <a:avLst/>
                            <a:gdLst/>
                            <a:ahLst/>
                            <a:cxnLst/>
                            <a:rect l="l" t="t" r="r" b="b"/>
                            <a:pathLst>
                              <a:path w="139065" h="1384935">
                                <a:moveTo>
                                  <a:pt x="138793" y="0"/>
                                </a:moveTo>
                                <a:lnTo>
                                  <a:pt x="0" y="0"/>
                                </a:lnTo>
                                <a:lnTo>
                                  <a:pt x="0" y="1384804"/>
                                </a:lnTo>
                                <a:lnTo>
                                  <a:pt x="138793" y="1384804"/>
                                </a:lnTo>
                                <a:lnTo>
                                  <a:pt x="138793" y="0"/>
                                </a:lnTo>
                                <a:close/>
                              </a:path>
                            </a:pathLst>
                          </a:custGeom>
                          <a:solidFill>
                            <a:srgbClr val="9999FF"/>
                          </a:solidFill>
                        </wps:spPr>
                        <wps:bodyPr wrap="square" lIns="0" tIns="0" rIns="0" bIns="0" rtlCol="0">
                          <a:prstTxWarp prst="textNoShape">
                            <a:avLst/>
                          </a:prstTxWarp>
                          <a:noAutofit/>
                        </wps:bodyPr>
                      </wps:wsp>
                      <wps:wsp>
                        <wps:cNvPr id="520" name="Graphic 520"/>
                        <wps:cNvSpPr/>
                        <wps:spPr>
                          <a:xfrm>
                            <a:off x="1592240" y="1121133"/>
                            <a:ext cx="139065" cy="1384935"/>
                          </a:xfrm>
                          <a:custGeom>
                            <a:avLst/>
                            <a:gdLst/>
                            <a:ahLst/>
                            <a:cxnLst/>
                            <a:rect l="l" t="t" r="r" b="b"/>
                            <a:pathLst>
                              <a:path w="139065" h="1384935">
                                <a:moveTo>
                                  <a:pt x="0" y="1384804"/>
                                </a:moveTo>
                                <a:lnTo>
                                  <a:pt x="138793" y="1384804"/>
                                </a:lnTo>
                                <a:lnTo>
                                  <a:pt x="138793" y="0"/>
                                </a:lnTo>
                                <a:lnTo>
                                  <a:pt x="0" y="0"/>
                                </a:lnTo>
                                <a:lnTo>
                                  <a:pt x="0" y="1384804"/>
                                </a:lnTo>
                                <a:close/>
                              </a:path>
                            </a:pathLst>
                          </a:custGeom>
                          <a:ln w="10717">
                            <a:solidFill>
                              <a:srgbClr val="000000"/>
                            </a:solidFill>
                            <a:prstDash val="solid"/>
                          </a:ln>
                        </wps:spPr>
                        <wps:bodyPr wrap="square" lIns="0" tIns="0" rIns="0" bIns="0" rtlCol="0">
                          <a:prstTxWarp prst="textNoShape">
                            <a:avLst/>
                          </a:prstTxWarp>
                          <a:noAutofit/>
                        </wps:bodyPr>
                      </wps:wsp>
                      <wps:wsp>
                        <wps:cNvPr id="521" name="Graphic 521"/>
                        <wps:cNvSpPr/>
                        <wps:spPr>
                          <a:xfrm>
                            <a:off x="2221958" y="1121133"/>
                            <a:ext cx="139065" cy="1104265"/>
                          </a:xfrm>
                          <a:custGeom>
                            <a:avLst/>
                            <a:gdLst/>
                            <a:ahLst/>
                            <a:cxnLst/>
                            <a:rect l="l" t="t" r="r" b="b"/>
                            <a:pathLst>
                              <a:path w="139065" h="1104265">
                                <a:moveTo>
                                  <a:pt x="138793" y="0"/>
                                </a:moveTo>
                                <a:lnTo>
                                  <a:pt x="0" y="0"/>
                                </a:lnTo>
                                <a:lnTo>
                                  <a:pt x="0" y="1103998"/>
                                </a:lnTo>
                                <a:lnTo>
                                  <a:pt x="138793" y="1103998"/>
                                </a:lnTo>
                                <a:lnTo>
                                  <a:pt x="138793" y="0"/>
                                </a:lnTo>
                                <a:close/>
                              </a:path>
                            </a:pathLst>
                          </a:custGeom>
                          <a:solidFill>
                            <a:srgbClr val="9999FF"/>
                          </a:solidFill>
                        </wps:spPr>
                        <wps:bodyPr wrap="square" lIns="0" tIns="0" rIns="0" bIns="0" rtlCol="0">
                          <a:prstTxWarp prst="textNoShape">
                            <a:avLst/>
                          </a:prstTxWarp>
                          <a:noAutofit/>
                        </wps:bodyPr>
                      </wps:wsp>
                      <wps:wsp>
                        <wps:cNvPr id="522" name="Graphic 522"/>
                        <wps:cNvSpPr/>
                        <wps:spPr>
                          <a:xfrm>
                            <a:off x="2221958" y="1121133"/>
                            <a:ext cx="139065" cy="1104265"/>
                          </a:xfrm>
                          <a:custGeom>
                            <a:avLst/>
                            <a:gdLst/>
                            <a:ahLst/>
                            <a:cxnLst/>
                            <a:rect l="l" t="t" r="r" b="b"/>
                            <a:pathLst>
                              <a:path w="139065" h="1104265">
                                <a:moveTo>
                                  <a:pt x="0" y="1103998"/>
                                </a:moveTo>
                                <a:lnTo>
                                  <a:pt x="138793" y="1103998"/>
                                </a:lnTo>
                                <a:lnTo>
                                  <a:pt x="138793" y="0"/>
                                </a:lnTo>
                                <a:lnTo>
                                  <a:pt x="0" y="0"/>
                                </a:lnTo>
                                <a:lnTo>
                                  <a:pt x="0" y="1103998"/>
                                </a:lnTo>
                                <a:close/>
                              </a:path>
                            </a:pathLst>
                          </a:custGeom>
                          <a:ln w="10755">
                            <a:solidFill>
                              <a:srgbClr val="000000"/>
                            </a:solidFill>
                            <a:prstDash val="solid"/>
                          </a:ln>
                        </wps:spPr>
                        <wps:bodyPr wrap="square" lIns="0" tIns="0" rIns="0" bIns="0" rtlCol="0">
                          <a:prstTxWarp prst="textNoShape">
                            <a:avLst/>
                          </a:prstTxWarp>
                          <a:noAutofit/>
                        </wps:bodyPr>
                      </wps:wsp>
                      <wps:wsp>
                        <wps:cNvPr id="523" name="Graphic 523"/>
                        <wps:cNvSpPr/>
                        <wps:spPr>
                          <a:xfrm>
                            <a:off x="2862041" y="1121087"/>
                            <a:ext cx="139065" cy="2401570"/>
                          </a:xfrm>
                          <a:custGeom>
                            <a:avLst/>
                            <a:gdLst/>
                            <a:ahLst/>
                            <a:cxnLst/>
                            <a:rect l="l" t="t" r="r" b="b"/>
                            <a:pathLst>
                              <a:path w="139065" h="2401570">
                                <a:moveTo>
                                  <a:pt x="138793" y="0"/>
                                </a:moveTo>
                                <a:lnTo>
                                  <a:pt x="0" y="0"/>
                                </a:lnTo>
                                <a:lnTo>
                                  <a:pt x="0" y="2401415"/>
                                </a:lnTo>
                                <a:lnTo>
                                  <a:pt x="138793" y="2401415"/>
                                </a:lnTo>
                                <a:lnTo>
                                  <a:pt x="138793" y="0"/>
                                </a:lnTo>
                                <a:close/>
                              </a:path>
                            </a:pathLst>
                          </a:custGeom>
                          <a:solidFill>
                            <a:srgbClr val="9999FF"/>
                          </a:solidFill>
                        </wps:spPr>
                        <wps:bodyPr wrap="square" lIns="0" tIns="0" rIns="0" bIns="0" rtlCol="0">
                          <a:prstTxWarp prst="textNoShape">
                            <a:avLst/>
                          </a:prstTxWarp>
                          <a:noAutofit/>
                        </wps:bodyPr>
                      </wps:wsp>
                      <wps:wsp>
                        <wps:cNvPr id="524" name="Graphic 524"/>
                        <wps:cNvSpPr/>
                        <wps:spPr>
                          <a:xfrm>
                            <a:off x="2862041" y="1121087"/>
                            <a:ext cx="139065" cy="2401570"/>
                          </a:xfrm>
                          <a:custGeom>
                            <a:avLst/>
                            <a:gdLst/>
                            <a:ahLst/>
                            <a:cxnLst/>
                            <a:rect l="l" t="t" r="r" b="b"/>
                            <a:pathLst>
                              <a:path w="139065" h="2401570">
                                <a:moveTo>
                                  <a:pt x="0" y="2401415"/>
                                </a:moveTo>
                                <a:lnTo>
                                  <a:pt x="138793" y="2401415"/>
                                </a:lnTo>
                                <a:lnTo>
                                  <a:pt x="138793" y="0"/>
                                </a:lnTo>
                                <a:lnTo>
                                  <a:pt x="0" y="0"/>
                                </a:lnTo>
                                <a:lnTo>
                                  <a:pt x="0" y="2401415"/>
                                </a:lnTo>
                                <a:close/>
                              </a:path>
                            </a:pathLst>
                          </a:custGeom>
                          <a:ln w="10671">
                            <a:solidFill>
                              <a:srgbClr val="000000"/>
                            </a:solidFill>
                            <a:prstDash val="solid"/>
                          </a:ln>
                        </wps:spPr>
                        <wps:bodyPr wrap="square" lIns="0" tIns="0" rIns="0" bIns="0" rtlCol="0">
                          <a:prstTxWarp prst="textNoShape">
                            <a:avLst/>
                          </a:prstTxWarp>
                          <a:noAutofit/>
                        </wps:bodyPr>
                      </wps:wsp>
                      <wps:wsp>
                        <wps:cNvPr id="525" name="Graphic 525"/>
                        <wps:cNvSpPr/>
                        <wps:spPr>
                          <a:xfrm>
                            <a:off x="3491759" y="1120970"/>
                            <a:ext cx="139065" cy="3734435"/>
                          </a:xfrm>
                          <a:custGeom>
                            <a:avLst/>
                            <a:gdLst/>
                            <a:ahLst/>
                            <a:cxnLst/>
                            <a:rect l="l" t="t" r="r" b="b"/>
                            <a:pathLst>
                              <a:path w="139065" h="3734435">
                                <a:moveTo>
                                  <a:pt x="138793" y="0"/>
                                </a:moveTo>
                                <a:lnTo>
                                  <a:pt x="0" y="0"/>
                                </a:lnTo>
                                <a:lnTo>
                                  <a:pt x="0" y="3733903"/>
                                </a:lnTo>
                                <a:lnTo>
                                  <a:pt x="138793" y="3733903"/>
                                </a:lnTo>
                                <a:lnTo>
                                  <a:pt x="138793" y="0"/>
                                </a:lnTo>
                                <a:close/>
                              </a:path>
                            </a:pathLst>
                          </a:custGeom>
                          <a:solidFill>
                            <a:srgbClr val="9999FF"/>
                          </a:solidFill>
                        </wps:spPr>
                        <wps:bodyPr wrap="square" lIns="0" tIns="0" rIns="0" bIns="0" rtlCol="0">
                          <a:prstTxWarp prst="textNoShape">
                            <a:avLst/>
                          </a:prstTxWarp>
                          <a:noAutofit/>
                        </wps:bodyPr>
                      </wps:wsp>
                      <wps:wsp>
                        <wps:cNvPr id="526" name="Graphic 526"/>
                        <wps:cNvSpPr/>
                        <wps:spPr>
                          <a:xfrm>
                            <a:off x="3491759" y="1120970"/>
                            <a:ext cx="139065" cy="3734435"/>
                          </a:xfrm>
                          <a:custGeom>
                            <a:avLst/>
                            <a:gdLst/>
                            <a:ahLst/>
                            <a:cxnLst/>
                            <a:rect l="l" t="t" r="r" b="b"/>
                            <a:pathLst>
                              <a:path w="139065" h="3734435">
                                <a:moveTo>
                                  <a:pt x="0" y="3733903"/>
                                </a:moveTo>
                                <a:lnTo>
                                  <a:pt x="138793" y="3733903"/>
                                </a:lnTo>
                                <a:lnTo>
                                  <a:pt x="138793" y="0"/>
                                </a:lnTo>
                                <a:lnTo>
                                  <a:pt x="0" y="0"/>
                                </a:lnTo>
                                <a:lnTo>
                                  <a:pt x="0" y="3733903"/>
                                </a:lnTo>
                                <a:close/>
                              </a:path>
                            </a:pathLst>
                          </a:custGeom>
                          <a:ln w="10658">
                            <a:solidFill>
                              <a:srgbClr val="000000"/>
                            </a:solidFill>
                            <a:prstDash val="solid"/>
                          </a:ln>
                        </wps:spPr>
                        <wps:bodyPr wrap="square" lIns="0" tIns="0" rIns="0" bIns="0" rtlCol="0">
                          <a:prstTxWarp prst="textNoShape">
                            <a:avLst/>
                          </a:prstTxWarp>
                          <a:noAutofit/>
                        </wps:bodyPr>
                      </wps:wsp>
                      <wps:wsp>
                        <wps:cNvPr id="527" name="Graphic 527"/>
                        <wps:cNvSpPr/>
                        <wps:spPr>
                          <a:xfrm>
                            <a:off x="1090666" y="1121017"/>
                            <a:ext cx="149860" cy="1700530"/>
                          </a:xfrm>
                          <a:custGeom>
                            <a:avLst/>
                            <a:gdLst/>
                            <a:ahLst/>
                            <a:cxnLst/>
                            <a:rect l="l" t="t" r="r" b="b"/>
                            <a:pathLst>
                              <a:path w="149860" h="1700530">
                                <a:moveTo>
                                  <a:pt x="149442" y="0"/>
                                </a:moveTo>
                                <a:lnTo>
                                  <a:pt x="0" y="0"/>
                                </a:lnTo>
                                <a:lnTo>
                                  <a:pt x="0" y="1699983"/>
                                </a:lnTo>
                                <a:lnTo>
                                  <a:pt x="149442" y="1699983"/>
                                </a:lnTo>
                                <a:lnTo>
                                  <a:pt x="149442" y="0"/>
                                </a:lnTo>
                                <a:close/>
                              </a:path>
                            </a:pathLst>
                          </a:custGeom>
                          <a:solidFill>
                            <a:srgbClr val="993366"/>
                          </a:solidFill>
                        </wps:spPr>
                        <wps:bodyPr wrap="square" lIns="0" tIns="0" rIns="0" bIns="0" rtlCol="0">
                          <a:prstTxWarp prst="textNoShape">
                            <a:avLst/>
                          </a:prstTxWarp>
                          <a:noAutofit/>
                        </wps:bodyPr>
                      </wps:wsp>
                      <wps:wsp>
                        <wps:cNvPr id="528" name="Graphic 528"/>
                        <wps:cNvSpPr/>
                        <wps:spPr>
                          <a:xfrm>
                            <a:off x="1090666" y="1121017"/>
                            <a:ext cx="149860" cy="1700530"/>
                          </a:xfrm>
                          <a:custGeom>
                            <a:avLst/>
                            <a:gdLst/>
                            <a:ahLst/>
                            <a:cxnLst/>
                            <a:rect l="l" t="t" r="r" b="b"/>
                            <a:pathLst>
                              <a:path w="149860" h="1700530">
                                <a:moveTo>
                                  <a:pt x="0" y="1699983"/>
                                </a:moveTo>
                                <a:lnTo>
                                  <a:pt x="149442" y="1699983"/>
                                </a:lnTo>
                                <a:lnTo>
                                  <a:pt x="149442" y="0"/>
                                </a:lnTo>
                                <a:lnTo>
                                  <a:pt x="0" y="0"/>
                                </a:lnTo>
                                <a:lnTo>
                                  <a:pt x="0" y="1699983"/>
                                </a:lnTo>
                                <a:close/>
                              </a:path>
                            </a:pathLst>
                          </a:custGeom>
                          <a:ln w="10701">
                            <a:solidFill>
                              <a:srgbClr val="000000"/>
                            </a:solidFill>
                            <a:prstDash val="solid"/>
                          </a:ln>
                        </wps:spPr>
                        <wps:bodyPr wrap="square" lIns="0" tIns="0" rIns="0" bIns="0" rtlCol="0">
                          <a:prstTxWarp prst="textNoShape">
                            <a:avLst/>
                          </a:prstTxWarp>
                          <a:noAutofit/>
                        </wps:bodyPr>
                      </wps:wsp>
                      <wps:wsp>
                        <wps:cNvPr id="529" name="Graphic 529"/>
                        <wps:cNvSpPr/>
                        <wps:spPr>
                          <a:xfrm>
                            <a:off x="1730962" y="1121017"/>
                            <a:ext cx="139065" cy="719455"/>
                          </a:xfrm>
                          <a:custGeom>
                            <a:avLst/>
                            <a:gdLst/>
                            <a:ahLst/>
                            <a:cxnLst/>
                            <a:rect l="l" t="t" r="r" b="b"/>
                            <a:pathLst>
                              <a:path w="139065" h="719455">
                                <a:moveTo>
                                  <a:pt x="138793" y="0"/>
                                </a:moveTo>
                                <a:lnTo>
                                  <a:pt x="0" y="0"/>
                                </a:lnTo>
                                <a:lnTo>
                                  <a:pt x="0" y="718909"/>
                                </a:lnTo>
                                <a:lnTo>
                                  <a:pt x="138793" y="718909"/>
                                </a:lnTo>
                                <a:lnTo>
                                  <a:pt x="138793" y="0"/>
                                </a:lnTo>
                                <a:close/>
                              </a:path>
                            </a:pathLst>
                          </a:custGeom>
                          <a:solidFill>
                            <a:srgbClr val="993366"/>
                          </a:solidFill>
                        </wps:spPr>
                        <wps:bodyPr wrap="square" lIns="0" tIns="0" rIns="0" bIns="0" rtlCol="0">
                          <a:prstTxWarp prst="textNoShape">
                            <a:avLst/>
                          </a:prstTxWarp>
                          <a:noAutofit/>
                        </wps:bodyPr>
                      </wps:wsp>
                      <wps:wsp>
                        <wps:cNvPr id="530" name="Graphic 530"/>
                        <wps:cNvSpPr/>
                        <wps:spPr>
                          <a:xfrm>
                            <a:off x="1730962" y="1121017"/>
                            <a:ext cx="139065" cy="719455"/>
                          </a:xfrm>
                          <a:custGeom>
                            <a:avLst/>
                            <a:gdLst/>
                            <a:ahLst/>
                            <a:cxnLst/>
                            <a:rect l="l" t="t" r="r" b="b"/>
                            <a:pathLst>
                              <a:path w="139065" h="719455">
                                <a:moveTo>
                                  <a:pt x="0" y="718909"/>
                                </a:moveTo>
                                <a:lnTo>
                                  <a:pt x="138793" y="718909"/>
                                </a:lnTo>
                                <a:lnTo>
                                  <a:pt x="138793" y="0"/>
                                </a:lnTo>
                                <a:lnTo>
                                  <a:pt x="0" y="0"/>
                                </a:lnTo>
                                <a:lnTo>
                                  <a:pt x="0" y="718909"/>
                                </a:lnTo>
                                <a:close/>
                              </a:path>
                            </a:pathLst>
                          </a:custGeom>
                          <a:ln w="10894">
                            <a:solidFill>
                              <a:srgbClr val="000000"/>
                            </a:solidFill>
                            <a:prstDash val="solid"/>
                          </a:ln>
                        </wps:spPr>
                        <wps:bodyPr wrap="square" lIns="0" tIns="0" rIns="0" bIns="0" rtlCol="0">
                          <a:prstTxWarp prst="textNoShape">
                            <a:avLst/>
                          </a:prstTxWarp>
                          <a:noAutofit/>
                        </wps:bodyPr>
                      </wps:wsp>
                      <wps:wsp>
                        <wps:cNvPr id="531" name="Graphic 531"/>
                        <wps:cNvSpPr/>
                        <wps:spPr>
                          <a:xfrm>
                            <a:off x="2360822" y="1121017"/>
                            <a:ext cx="149225" cy="508634"/>
                          </a:xfrm>
                          <a:custGeom>
                            <a:avLst/>
                            <a:gdLst/>
                            <a:ahLst/>
                            <a:cxnLst/>
                            <a:rect l="l" t="t" r="r" b="b"/>
                            <a:pathLst>
                              <a:path w="149225" h="508634">
                                <a:moveTo>
                                  <a:pt x="149087" y="0"/>
                                </a:moveTo>
                                <a:lnTo>
                                  <a:pt x="0" y="0"/>
                                </a:lnTo>
                                <a:lnTo>
                                  <a:pt x="0" y="508014"/>
                                </a:lnTo>
                                <a:lnTo>
                                  <a:pt x="149087" y="508014"/>
                                </a:lnTo>
                                <a:lnTo>
                                  <a:pt x="149087" y="0"/>
                                </a:lnTo>
                                <a:close/>
                              </a:path>
                            </a:pathLst>
                          </a:custGeom>
                          <a:solidFill>
                            <a:srgbClr val="993366"/>
                          </a:solidFill>
                        </wps:spPr>
                        <wps:bodyPr wrap="square" lIns="0" tIns="0" rIns="0" bIns="0" rtlCol="0">
                          <a:prstTxWarp prst="textNoShape">
                            <a:avLst/>
                          </a:prstTxWarp>
                          <a:noAutofit/>
                        </wps:bodyPr>
                      </wps:wsp>
                      <wps:wsp>
                        <wps:cNvPr id="532" name="Graphic 532"/>
                        <wps:cNvSpPr/>
                        <wps:spPr>
                          <a:xfrm>
                            <a:off x="2360822" y="1121017"/>
                            <a:ext cx="149225" cy="508634"/>
                          </a:xfrm>
                          <a:custGeom>
                            <a:avLst/>
                            <a:gdLst/>
                            <a:ahLst/>
                            <a:cxnLst/>
                            <a:rect l="l" t="t" r="r" b="b"/>
                            <a:pathLst>
                              <a:path w="149225" h="508634">
                                <a:moveTo>
                                  <a:pt x="0" y="508014"/>
                                </a:moveTo>
                                <a:lnTo>
                                  <a:pt x="149087" y="508014"/>
                                </a:lnTo>
                                <a:lnTo>
                                  <a:pt x="149087" y="0"/>
                                </a:lnTo>
                                <a:lnTo>
                                  <a:pt x="0" y="0"/>
                                </a:lnTo>
                                <a:lnTo>
                                  <a:pt x="0" y="508014"/>
                                </a:lnTo>
                                <a:close/>
                              </a:path>
                            </a:pathLst>
                          </a:custGeom>
                          <a:ln w="11190">
                            <a:solidFill>
                              <a:srgbClr val="000000"/>
                            </a:solidFill>
                            <a:prstDash val="solid"/>
                          </a:ln>
                        </wps:spPr>
                        <wps:bodyPr wrap="square" lIns="0" tIns="0" rIns="0" bIns="0" rtlCol="0">
                          <a:prstTxWarp prst="textNoShape">
                            <a:avLst/>
                          </a:prstTxWarp>
                          <a:noAutofit/>
                        </wps:bodyPr>
                      </wps:wsp>
                      <wps:wsp>
                        <wps:cNvPr id="533" name="Graphic 533"/>
                        <wps:cNvSpPr/>
                        <wps:spPr>
                          <a:xfrm>
                            <a:off x="3000764" y="1121017"/>
                            <a:ext cx="139065" cy="1157605"/>
                          </a:xfrm>
                          <a:custGeom>
                            <a:avLst/>
                            <a:gdLst/>
                            <a:ahLst/>
                            <a:cxnLst/>
                            <a:rect l="l" t="t" r="r" b="b"/>
                            <a:pathLst>
                              <a:path w="139065" h="1157605">
                                <a:moveTo>
                                  <a:pt x="138793" y="0"/>
                                </a:moveTo>
                                <a:lnTo>
                                  <a:pt x="0" y="0"/>
                                </a:lnTo>
                                <a:lnTo>
                                  <a:pt x="0" y="1157013"/>
                                </a:lnTo>
                                <a:lnTo>
                                  <a:pt x="138793" y="1157013"/>
                                </a:lnTo>
                                <a:lnTo>
                                  <a:pt x="138793" y="0"/>
                                </a:lnTo>
                                <a:close/>
                              </a:path>
                            </a:pathLst>
                          </a:custGeom>
                          <a:solidFill>
                            <a:srgbClr val="993366"/>
                          </a:solidFill>
                        </wps:spPr>
                        <wps:bodyPr wrap="square" lIns="0" tIns="0" rIns="0" bIns="0" rtlCol="0">
                          <a:prstTxWarp prst="textNoShape">
                            <a:avLst/>
                          </a:prstTxWarp>
                          <a:noAutofit/>
                        </wps:bodyPr>
                      </wps:wsp>
                      <wps:wsp>
                        <wps:cNvPr id="534" name="Graphic 534"/>
                        <wps:cNvSpPr/>
                        <wps:spPr>
                          <a:xfrm>
                            <a:off x="3000764" y="1121017"/>
                            <a:ext cx="139065" cy="1157605"/>
                          </a:xfrm>
                          <a:custGeom>
                            <a:avLst/>
                            <a:gdLst/>
                            <a:ahLst/>
                            <a:cxnLst/>
                            <a:rect l="l" t="t" r="r" b="b"/>
                            <a:pathLst>
                              <a:path w="139065" h="1157605">
                                <a:moveTo>
                                  <a:pt x="0" y="1157013"/>
                                </a:moveTo>
                                <a:lnTo>
                                  <a:pt x="138793" y="1157013"/>
                                </a:lnTo>
                                <a:lnTo>
                                  <a:pt x="138793" y="0"/>
                                </a:lnTo>
                                <a:lnTo>
                                  <a:pt x="0" y="0"/>
                                </a:lnTo>
                                <a:lnTo>
                                  <a:pt x="0" y="1157013"/>
                                </a:lnTo>
                                <a:close/>
                              </a:path>
                            </a:pathLst>
                          </a:custGeom>
                          <a:ln w="10745">
                            <a:solidFill>
                              <a:srgbClr val="000000"/>
                            </a:solidFill>
                            <a:prstDash val="solid"/>
                          </a:ln>
                        </wps:spPr>
                        <wps:bodyPr wrap="square" lIns="0" tIns="0" rIns="0" bIns="0" rtlCol="0">
                          <a:prstTxWarp prst="textNoShape">
                            <a:avLst/>
                          </a:prstTxWarp>
                          <a:noAutofit/>
                        </wps:bodyPr>
                      </wps:wsp>
                      <wps:wsp>
                        <wps:cNvPr id="535" name="Graphic 535"/>
                        <wps:cNvSpPr/>
                        <wps:spPr>
                          <a:xfrm>
                            <a:off x="3630482" y="1121017"/>
                            <a:ext cx="149860" cy="1946275"/>
                          </a:xfrm>
                          <a:custGeom>
                            <a:avLst/>
                            <a:gdLst/>
                            <a:ahLst/>
                            <a:cxnLst/>
                            <a:rect l="l" t="t" r="r" b="b"/>
                            <a:pathLst>
                              <a:path w="149860" h="1946275">
                                <a:moveTo>
                                  <a:pt x="149442" y="0"/>
                                </a:moveTo>
                                <a:lnTo>
                                  <a:pt x="0" y="0"/>
                                </a:lnTo>
                                <a:lnTo>
                                  <a:pt x="0" y="1945833"/>
                                </a:lnTo>
                                <a:lnTo>
                                  <a:pt x="149442" y="1945833"/>
                                </a:lnTo>
                                <a:lnTo>
                                  <a:pt x="149442" y="0"/>
                                </a:lnTo>
                                <a:close/>
                              </a:path>
                            </a:pathLst>
                          </a:custGeom>
                          <a:solidFill>
                            <a:srgbClr val="993366"/>
                          </a:solidFill>
                        </wps:spPr>
                        <wps:bodyPr wrap="square" lIns="0" tIns="0" rIns="0" bIns="0" rtlCol="0">
                          <a:prstTxWarp prst="textNoShape">
                            <a:avLst/>
                          </a:prstTxWarp>
                          <a:noAutofit/>
                        </wps:bodyPr>
                      </wps:wsp>
                      <wps:wsp>
                        <wps:cNvPr id="536" name="Graphic 536"/>
                        <wps:cNvSpPr/>
                        <wps:spPr>
                          <a:xfrm>
                            <a:off x="3630482" y="1121017"/>
                            <a:ext cx="149860" cy="1946275"/>
                          </a:xfrm>
                          <a:custGeom>
                            <a:avLst/>
                            <a:gdLst/>
                            <a:ahLst/>
                            <a:cxnLst/>
                            <a:rect l="l" t="t" r="r" b="b"/>
                            <a:pathLst>
                              <a:path w="149860" h="1946275">
                                <a:moveTo>
                                  <a:pt x="0" y="1945833"/>
                                </a:moveTo>
                                <a:lnTo>
                                  <a:pt x="149442" y="1945833"/>
                                </a:lnTo>
                                <a:lnTo>
                                  <a:pt x="149442" y="0"/>
                                </a:lnTo>
                                <a:lnTo>
                                  <a:pt x="0" y="0"/>
                                </a:lnTo>
                                <a:lnTo>
                                  <a:pt x="0" y="1945833"/>
                                </a:lnTo>
                                <a:close/>
                              </a:path>
                            </a:pathLst>
                          </a:custGeom>
                          <a:ln w="10689">
                            <a:solidFill>
                              <a:srgbClr val="000000"/>
                            </a:solidFill>
                            <a:prstDash val="solid"/>
                          </a:ln>
                        </wps:spPr>
                        <wps:bodyPr wrap="square" lIns="0" tIns="0" rIns="0" bIns="0" rtlCol="0">
                          <a:prstTxWarp prst="textNoShape">
                            <a:avLst/>
                          </a:prstTxWarp>
                          <a:noAutofit/>
                        </wps:bodyPr>
                      </wps:wsp>
                      <wps:wsp>
                        <wps:cNvPr id="537" name="Graphic 537"/>
                        <wps:cNvSpPr/>
                        <wps:spPr>
                          <a:xfrm>
                            <a:off x="1240109" y="1121087"/>
                            <a:ext cx="139065" cy="3173095"/>
                          </a:xfrm>
                          <a:custGeom>
                            <a:avLst/>
                            <a:gdLst/>
                            <a:ahLst/>
                            <a:cxnLst/>
                            <a:rect l="l" t="t" r="r" b="b"/>
                            <a:pathLst>
                              <a:path w="139065" h="3173095">
                                <a:moveTo>
                                  <a:pt x="138793" y="0"/>
                                </a:moveTo>
                                <a:lnTo>
                                  <a:pt x="0" y="0"/>
                                </a:lnTo>
                                <a:lnTo>
                                  <a:pt x="0" y="3172757"/>
                                </a:lnTo>
                                <a:lnTo>
                                  <a:pt x="138793" y="3172757"/>
                                </a:lnTo>
                                <a:lnTo>
                                  <a:pt x="138793" y="0"/>
                                </a:lnTo>
                                <a:close/>
                              </a:path>
                            </a:pathLst>
                          </a:custGeom>
                          <a:solidFill>
                            <a:srgbClr val="FFFFCC"/>
                          </a:solidFill>
                        </wps:spPr>
                        <wps:bodyPr wrap="square" lIns="0" tIns="0" rIns="0" bIns="0" rtlCol="0">
                          <a:prstTxWarp prst="textNoShape">
                            <a:avLst/>
                          </a:prstTxWarp>
                          <a:noAutofit/>
                        </wps:bodyPr>
                      </wps:wsp>
                      <wps:wsp>
                        <wps:cNvPr id="538" name="Graphic 538"/>
                        <wps:cNvSpPr/>
                        <wps:spPr>
                          <a:xfrm>
                            <a:off x="1240109" y="1121087"/>
                            <a:ext cx="139065" cy="3173095"/>
                          </a:xfrm>
                          <a:custGeom>
                            <a:avLst/>
                            <a:gdLst/>
                            <a:ahLst/>
                            <a:cxnLst/>
                            <a:rect l="l" t="t" r="r" b="b"/>
                            <a:pathLst>
                              <a:path w="139065" h="3173095">
                                <a:moveTo>
                                  <a:pt x="0" y="3172757"/>
                                </a:moveTo>
                                <a:lnTo>
                                  <a:pt x="138793" y="3172757"/>
                                </a:lnTo>
                                <a:lnTo>
                                  <a:pt x="138793" y="0"/>
                                </a:lnTo>
                                <a:lnTo>
                                  <a:pt x="0" y="0"/>
                                </a:lnTo>
                                <a:lnTo>
                                  <a:pt x="0" y="3172757"/>
                                </a:lnTo>
                                <a:close/>
                              </a:path>
                            </a:pathLst>
                          </a:custGeom>
                          <a:ln w="10662">
                            <a:solidFill>
                              <a:srgbClr val="000000"/>
                            </a:solidFill>
                            <a:prstDash val="solid"/>
                          </a:ln>
                        </wps:spPr>
                        <wps:bodyPr wrap="square" lIns="0" tIns="0" rIns="0" bIns="0" rtlCol="0">
                          <a:prstTxWarp prst="textNoShape">
                            <a:avLst/>
                          </a:prstTxWarp>
                          <a:noAutofit/>
                        </wps:bodyPr>
                      </wps:wsp>
                      <wps:wsp>
                        <wps:cNvPr id="539" name="Graphic 539"/>
                        <wps:cNvSpPr/>
                        <wps:spPr>
                          <a:xfrm>
                            <a:off x="1869827" y="1121133"/>
                            <a:ext cx="139065" cy="1402715"/>
                          </a:xfrm>
                          <a:custGeom>
                            <a:avLst/>
                            <a:gdLst/>
                            <a:ahLst/>
                            <a:cxnLst/>
                            <a:rect l="l" t="t" r="r" b="b"/>
                            <a:pathLst>
                              <a:path w="139065" h="1402715">
                                <a:moveTo>
                                  <a:pt x="138793" y="0"/>
                                </a:moveTo>
                                <a:lnTo>
                                  <a:pt x="0" y="0"/>
                                </a:lnTo>
                                <a:lnTo>
                                  <a:pt x="0" y="1402282"/>
                                </a:lnTo>
                                <a:lnTo>
                                  <a:pt x="138793" y="1402282"/>
                                </a:lnTo>
                                <a:lnTo>
                                  <a:pt x="138793" y="0"/>
                                </a:lnTo>
                                <a:close/>
                              </a:path>
                            </a:pathLst>
                          </a:custGeom>
                          <a:solidFill>
                            <a:srgbClr val="FFFFCC"/>
                          </a:solidFill>
                        </wps:spPr>
                        <wps:bodyPr wrap="square" lIns="0" tIns="0" rIns="0" bIns="0" rtlCol="0">
                          <a:prstTxWarp prst="textNoShape">
                            <a:avLst/>
                          </a:prstTxWarp>
                          <a:noAutofit/>
                        </wps:bodyPr>
                      </wps:wsp>
                      <wps:wsp>
                        <wps:cNvPr id="540" name="Graphic 540"/>
                        <wps:cNvSpPr/>
                        <wps:spPr>
                          <a:xfrm>
                            <a:off x="1869827" y="1121133"/>
                            <a:ext cx="139065" cy="1402715"/>
                          </a:xfrm>
                          <a:custGeom>
                            <a:avLst/>
                            <a:gdLst/>
                            <a:ahLst/>
                            <a:cxnLst/>
                            <a:rect l="l" t="t" r="r" b="b"/>
                            <a:pathLst>
                              <a:path w="139065" h="1402715">
                                <a:moveTo>
                                  <a:pt x="0" y="1402282"/>
                                </a:moveTo>
                                <a:lnTo>
                                  <a:pt x="138793" y="1402282"/>
                                </a:lnTo>
                                <a:lnTo>
                                  <a:pt x="138793" y="0"/>
                                </a:lnTo>
                                <a:lnTo>
                                  <a:pt x="0" y="0"/>
                                </a:lnTo>
                                <a:lnTo>
                                  <a:pt x="0" y="1402282"/>
                                </a:lnTo>
                                <a:close/>
                              </a:path>
                            </a:pathLst>
                          </a:custGeom>
                          <a:ln w="10715">
                            <a:solidFill>
                              <a:srgbClr val="000000"/>
                            </a:solidFill>
                            <a:prstDash val="solid"/>
                          </a:ln>
                        </wps:spPr>
                        <wps:bodyPr wrap="square" lIns="0" tIns="0" rIns="0" bIns="0" rtlCol="0">
                          <a:prstTxWarp prst="textNoShape">
                            <a:avLst/>
                          </a:prstTxWarp>
                          <a:noAutofit/>
                        </wps:bodyPr>
                      </wps:wsp>
                      <wps:wsp>
                        <wps:cNvPr id="541" name="Graphic 541"/>
                        <wps:cNvSpPr/>
                        <wps:spPr>
                          <a:xfrm>
                            <a:off x="2509910" y="1121017"/>
                            <a:ext cx="139065" cy="789305"/>
                          </a:xfrm>
                          <a:custGeom>
                            <a:avLst/>
                            <a:gdLst/>
                            <a:ahLst/>
                            <a:cxnLst/>
                            <a:rect l="l" t="t" r="r" b="b"/>
                            <a:pathLst>
                              <a:path w="139065" h="789305">
                                <a:moveTo>
                                  <a:pt x="138793" y="0"/>
                                </a:moveTo>
                                <a:lnTo>
                                  <a:pt x="0" y="0"/>
                                </a:lnTo>
                                <a:lnTo>
                                  <a:pt x="0" y="788820"/>
                                </a:lnTo>
                                <a:lnTo>
                                  <a:pt x="138793" y="788820"/>
                                </a:lnTo>
                                <a:lnTo>
                                  <a:pt x="138793" y="0"/>
                                </a:lnTo>
                                <a:close/>
                              </a:path>
                            </a:pathLst>
                          </a:custGeom>
                          <a:solidFill>
                            <a:srgbClr val="FFFFCC"/>
                          </a:solidFill>
                        </wps:spPr>
                        <wps:bodyPr wrap="square" lIns="0" tIns="0" rIns="0" bIns="0" rtlCol="0">
                          <a:prstTxWarp prst="textNoShape">
                            <a:avLst/>
                          </a:prstTxWarp>
                          <a:noAutofit/>
                        </wps:bodyPr>
                      </wps:wsp>
                      <wps:wsp>
                        <wps:cNvPr id="542" name="Graphic 542"/>
                        <wps:cNvSpPr/>
                        <wps:spPr>
                          <a:xfrm>
                            <a:off x="2509910" y="1121017"/>
                            <a:ext cx="139065" cy="789305"/>
                          </a:xfrm>
                          <a:custGeom>
                            <a:avLst/>
                            <a:gdLst/>
                            <a:ahLst/>
                            <a:cxnLst/>
                            <a:rect l="l" t="t" r="r" b="b"/>
                            <a:pathLst>
                              <a:path w="139065" h="789305">
                                <a:moveTo>
                                  <a:pt x="0" y="788820"/>
                                </a:moveTo>
                                <a:lnTo>
                                  <a:pt x="138793" y="788820"/>
                                </a:lnTo>
                                <a:lnTo>
                                  <a:pt x="138793" y="0"/>
                                </a:lnTo>
                                <a:lnTo>
                                  <a:pt x="0" y="0"/>
                                </a:lnTo>
                                <a:lnTo>
                                  <a:pt x="0" y="788820"/>
                                </a:lnTo>
                                <a:close/>
                              </a:path>
                            </a:pathLst>
                          </a:custGeom>
                          <a:ln w="10854">
                            <a:solidFill>
                              <a:srgbClr val="000000"/>
                            </a:solidFill>
                            <a:prstDash val="solid"/>
                          </a:ln>
                        </wps:spPr>
                        <wps:bodyPr wrap="square" lIns="0" tIns="0" rIns="0" bIns="0" rtlCol="0">
                          <a:prstTxWarp prst="textNoShape">
                            <a:avLst/>
                          </a:prstTxWarp>
                          <a:noAutofit/>
                        </wps:bodyPr>
                      </wps:wsp>
                      <wps:wsp>
                        <wps:cNvPr id="543" name="Graphic 543"/>
                        <wps:cNvSpPr/>
                        <wps:spPr>
                          <a:xfrm>
                            <a:off x="3139628" y="1121017"/>
                            <a:ext cx="139065" cy="1963420"/>
                          </a:xfrm>
                          <a:custGeom>
                            <a:avLst/>
                            <a:gdLst/>
                            <a:ahLst/>
                            <a:cxnLst/>
                            <a:rect l="l" t="t" r="r" b="b"/>
                            <a:pathLst>
                              <a:path w="139065" h="1963420">
                                <a:moveTo>
                                  <a:pt x="138793" y="0"/>
                                </a:moveTo>
                                <a:lnTo>
                                  <a:pt x="0" y="0"/>
                                </a:lnTo>
                                <a:lnTo>
                                  <a:pt x="0" y="1963311"/>
                                </a:lnTo>
                                <a:lnTo>
                                  <a:pt x="138793" y="1963311"/>
                                </a:lnTo>
                                <a:lnTo>
                                  <a:pt x="138793" y="0"/>
                                </a:lnTo>
                                <a:close/>
                              </a:path>
                            </a:pathLst>
                          </a:custGeom>
                          <a:solidFill>
                            <a:srgbClr val="FFFFCC"/>
                          </a:solidFill>
                        </wps:spPr>
                        <wps:bodyPr wrap="square" lIns="0" tIns="0" rIns="0" bIns="0" rtlCol="0">
                          <a:prstTxWarp prst="textNoShape">
                            <a:avLst/>
                          </a:prstTxWarp>
                          <a:noAutofit/>
                        </wps:bodyPr>
                      </wps:wsp>
                      <wps:wsp>
                        <wps:cNvPr id="544" name="Graphic 544"/>
                        <wps:cNvSpPr/>
                        <wps:spPr>
                          <a:xfrm>
                            <a:off x="3139628" y="1121017"/>
                            <a:ext cx="139065" cy="1963420"/>
                          </a:xfrm>
                          <a:custGeom>
                            <a:avLst/>
                            <a:gdLst/>
                            <a:ahLst/>
                            <a:cxnLst/>
                            <a:rect l="l" t="t" r="r" b="b"/>
                            <a:pathLst>
                              <a:path w="139065" h="1963420">
                                <a:moveTo>
                                  <a:pt x="0" y="1963311"/>
                                </a:moveTo>
                                <a:lnTo>
                                  <a:pt x="138793" y="1963311"/>
                                </a:lnTo>
                                <a:lnTo>
                                  <a:pt x="138793" y="0"/>
                                </a:lnTo>
                                <a:lnTo>
                                  <a:pt x="0" y="0"/>
                                </a:lnTo>
                                <a:lnTo>
                                  <a:pt x="0" y="1963311"/>
                                </a:lnTo>
                                <a:close/>
                              </a:path>
                            </a:pathLst>
                          </a:custGeom>
                          <a:ln w="10683">
                            <a:solidFill>
                              <a:srgbClr val="000000"/>
                            </a:solidFill>
                            <a:prstDash val="solid"/>
                          </a:ln>
                        </wps:spPr>
                        <wps:bodyPr wrap="square" lIns="0" tIns="0" rIns="0" bIns="0" rtlCol="0">
                          <a:prstTxWarp prst="textNoShape">
                            <a:avLst/>
                          </a:prstTxWarp>
                          <a:noAutofit/>
                        </wps:bodyPr>
                      </wps:wsp>
                      <wps:wsp>
                        <wps:cNvPr id="545" name="Graphic 545"/>
                        <wps:cNvSpPr/>
                        <wps:spPr>
                          <a:xfrm>
                            <a:off x="3779996" y="1120970"/>
                            <a:ext cx="139065" cy="2962910"/>
                          </a:xfrm>
                          <a:custGeom>
                            <a:avLst/>
                            <a:gdLst/>
                            <a:ahLst/>
                            <a:cxnLst/>
                            <a:rect l="l" t="t" r="r" b="b"/>
                            <a:pathLst>
                              <a:path w="139065" h="2962910">
                                <a:moveTo>
                                  <a:pt x="138438" y="0"/>
                                </a:moveTo>
                                <a:lnTo>
                                  <a:pt x="0" y="0"/>
                                </a:lnTo>
                                <a:lnTo>
                                  <a:pt x="0" y="2962561"/>
                                </a:lnTo>
                                <a:lnTo>
                                  <a:pt x="138438" y="2962561"/>
                                </a:lnTo>
                                <a:lnTo>
                                  <a:pt x="138438" y="0"/>
                                </a:lnTo>
                                <a:close/>
                              </a:path>
                            </a:pathLst>
                          </a:custGeom>
                          <a:solidFill>
                            <a:srgbClr val="FFFFCC"/>
                          </a:solidFill>
                        </wps:spPr>
                        <wps:bodyPr wrap="square" lIns="0" tIns="0" rIns="0" bIns="0" rtlCol="0">
                          <a:prstTxWarp prst="textNoShape">
                            <a:avLst/>
                          </a:prstTxWarp>
                          <a:noAutofit/>
                        </wps:bodyPr>
                      </wps:wsp>
                      <wps:wsp>
                        <wps:cNvPr id="546" name="Graphic 546"/>
                        <wps:cNvSpPr/>
                        <wps:spPr>
                          <a:xfrm>
                            <a:off x="3779996" y="1120970"/>
                            <a:ext cx="139065" cy="2962910"/>
                          </a:xfrm>
                          <a:custGeom>
                            <a:avLst/>
                            <a:gdLst/>
                            <a:ahLst/>
                            <a:cxnLst/>
                            <a:rect l="l" t="t" r="r" b="b"/>
                            <a:pathLst>
                              <a:path w="139065" h="2962910">
                                <a:moveTo>
                                  <a:pt x="0" y="2962561"/>
                                </a:moveTo>
                                <a:lnTo>
                                  <a:pt x="138438" y="2962561"/>
                                </a:lnTo>
                                <a:lnTo>
                                  <a:pt x="138438" y="0"/>
                                </a:lnTo>
                                <a:lnTo>
                                  <a:pt x="0" y="0"/>
                                </a:lnTo>
                                <a:lnTo>
                                  <a:pt x="0" y="2962561"/>
                                </a:lnTo>
                                <a:close/>
                              </a:path>
                            </a:pathLst>
                          </a:custGeom>
                          <a:ln w="10664">
                            <a:solidFill>
                              <a:srgbClr val="000000"/>
                            </a:solidFill>
                            <a:prstDash val="solid"/>
                          </a:ln>
                        </wps:spPr>
                        <wps:bodyPr wrap="square" lIns="0" tIns="0" rIns="0" bIns="0" rtlCol="0">
                          <a:prstTxWarp prst="textNoShape">
                            <a:avLst/>
                          </a:prstTxWarp>
                          <a:noAutofit/>
                        </wps:bodyPr>
                      </wps:wsp>
                      <wps:wsp>
                        <wps:cNvPr id="547" name="Graphic 547"/>
                        <wps:cNvSpPr/>
                        <wps:spPr>
                          <a:xfrm>
                            <a:off x="802785" y="1121017"/>
                            <a:ext cx="3222625" cy="4277360"/>
                          </a:xfrm>
                          <a:custGeom>
                            <a:avLst/>
                            <a:gdLst/>
                            <a:ahLst/>
                            <a:cxnLst/>
                            <a:rect l="l" t="t" r="r" b="b"/>
                            <a:pathLst>
                              <a:path w="3222625" h="4277360">
                                <a:moveTo>
                                  <a:pt x="42596" y="0"/>
                                </a:moveTo>
                                <a:lnTo>
                                  <a:pt x="42596" y="4259348"/>
                                </a:lnTo>
                              </a:path>
                              <a:path w="3222625" h="4277360">
                                <a:moveTo>
                                  <a:pt x="0" y="4276826"/>
                                </a:moveTo>
                                <a:lnTo>
                                  <a:pt x="31947" y="4276826"/>
                                </a:lnTo>
                              </a:path>
                              <a:path w="3222625" h="4277360">
                                <a:moveTo>
                                  <a:pt x="0" y="3751334"/>
                                </a:moveTo>
                                <a:lnTo>
                                  <a:pt x="31947" y="3751334"/>
                                </a:lnTo>
                              </a:path>
                              <a:path w="3222625" h="4277360">
                                <a:moveTo>
                                  <a:pt x="0" y="3207782"/>
                                </a:moveTo>
                                <a:lnTo>
                                  <a:pt x="31947" y="3207782"/>
                                </a:lnTo>
                              </a:path>
                              <a:path w="3222625" h="4277360">
                                <a:moveTo>
                                  <a:pt x="0" y="2681708"/>
                                </a:moveTo>
                                <a:lnTo>
                                  <a:pt x="31947" y="2681708"/>
                                </a:lnTo>
                              </a:path>
                              <a:path w="3222625" h="4277360">
                                <a:moveTo>
                                  <a:pt x="0" y="2138786"/>
                                </a:moveTo>
                                <a:lnTo>
                                  <a:pt x="31947" y="2138786"/>
                                </a:lnTo>
                              </a:path>
                              <a:path w="3222625" h="4277360">
                                <a:moveTo>
                                  <a:pt x="0" y="1612595"/>
                                </a:moveTo>
                                <a:lnTo>
                                  <a:pt x="31947" y="1612595"/>
                                </a:lnTo>
                              </a:path>
                              <a:path w="3222625" h="4277360">
                                <a:moveTo>
                                  <a:pt x="0" y="1069159"/>
                                </a:moveTo>
                                <a:lnTo>
                                  <a:pt x="31947" y="1069159"/>
                                </a:lnTo>
                              </a:path>
                              <a:path w="3222625" h="4277360">
                                <a:moveTo>
                                  <a:pt x="0" y="543668"/>
                                </a:moveTo>
                                <a:lnTo>
                                  <a:pt x="31947" y="543668"/>
                                </a:lnTo>
                              </a:path>
                              <a:path w="3222625" h="4277360">
                                <a:moveTo>
                                  <a:pt x="0" y="0"/>
                                </a:moveTo>
                                <a:lnTo>
                                  <a:pt x="31947" y="0"/>
                                </a:lnTo>
                              </a:path>
                              <a:path w="3222625" h="4277360">
                                <a:moveTo>
                                  <a:pt x="42596" y="0"/>
                                </a:moveTo>
                                <a:lnTo>
                                  <a:pt x="3211775" y="0"/>
                                </a:lnTo>
                              </a:path>
                              <a:path w="3222625" h="4277360">
                                <a:moveTo>
                                  <a:pt x="42596" y="69910"/>
                                </a:moveTo>
                                <a:lnTo>
                                  <a:pt x="42596" y="17477"/>
                                </a:lnTo>
                              </a:path>
                              <a:path w="3222625" h="4277360">
                                <a:moveTo>
                                  <a:pt x="682963" y="69910"/>
                                </a:moveTo>
                                <a:lnTo>
                                  <a:pt x="682963" y="17477"/>
                                </a:lnTo>
                              </a:path>
                              <a:path w="3222625" h="4277360">
                                <a:moveTo>
                                  <a:pt x="1312397" y="69910"/>
                                </a:moveTo>
                                <a:lnTo>
                                  <a:pt x="1312397" y="17477"/>
                                </a:lnTo>
                              </a:path>
                              <a:path w="3222625" h="4277360">
                                <a:moveTo>
                                  <a:pt x="1952765" y="69910"/>
                                </a:moveTo>
                                <a:lnTo>
                                  <a:pt x="1952765" y="17477"/>
                                </a:lnTo>
                              </a:path>
                              <a:path w="3222625" h="4277360">
                                <a:moveTo>
                                  <a:pt x="2582057" y="69910"/>
                                </a:moveTo>
                                <a:lnTo>
                                  <a:pt x="2582057" y="17477"/>
                                </a:lnTo>
                              </a:path>
                              <a:path w="3222625" h="4277360">
                                <a:moveTo>
                                  <a:pt x="3222424" y="69910"/>
                                </a:moveTo>
                                <a:lnTo>
                                  <a:pt x="3222424" y="17477"/>
                                </a:lnTo>
                              </a:path>
                            </a:pathLst>
                          </a:custGeom>
                          <a:ln w="14063">
                            <a:solidFill>
                              <a:srgbClr val="000000"/>
                            </a:solidFill>
                            <a:prstDash val="solid"/>
                          </a:ln>
                        </wps:spPr>
                        <wps:bodyPr wrap="square" lIns="0" tIns="0" rIns="0" bIns="0" rtlCol="0">
                          <a:prstTxWarp prst="textNoShape">
                            <a:avLst/>
                          </a:prstTxWarp>
                          <a:noAutofit/>
                        </wps:bodyPr>
                      </wps:wsp>
                      <wps:wsp>
                        <wps:cNvPr id="548" name="Graphic 548"/>
                        <wps:cNvSpPr/>
                        <wps:spPr>
                          <a:xfrm>
                            <a:off x="4190625" y="2829738"/>
                            <a:ext cx="74930" cy="123189"/>
                          </a:xfrm>
                          <a:custGeom>
                            <a:avLst/>
                            <a:gdLst/>
                            <a:ahLst/>
                            <a:cxnLst/>
                            <a:rect l="l" t="t" r="r" b="b"/>
                            <a:pathLst>
                              <a:path w="74930" h="123189">
                                <a:moveTo>
                                  <a:pt x="74543" y="0"/>
                                </a:moveTo>
                                <a:lnTo>
                                  <a:pt x="0" y="0"/>
                                </a:lnTo>
                                <a:lnTo>
                                  <a:pt x="0" y="122925"/>
                                </a:lnTo>
                                <a:lnTo>
                                  <a:pt x="74543" y="122925"/>
                                </a:lnTo>
                                <a:lnTo>
                                  <a:pt x="74543" y="0"/>
                                </a:lnTo>
                                <a:close/>
                              </a:path>
                            </a:pathLst>
                          </a:custGeom>
                          <a:solidFill>
                            <a:srgbClr val="9999FF"/>
                          </a:solidFill>
                        </wps:spPr>
                        <wps:bodyPr wrap="square" lIns="0" tIns="0" rIns="0" bIns="0" rtlCol="0">
                          <a:prstTxWarp prst="textNoShape">
                            <a:avLst/>
                          </a:prstTxWarp>
                          <a:noAutofit/>
                        </wps:bodyPr>
                      </wps:wsp>
                      <wps:wsp>
                        <wps:cNvPr id="549" name="Graphic 549"/>
                        <wps:cNvSpPr/>
                        <wps:spPr>
                          <a:xfrm>
                            <a:off x="4190625" y="2829738"/>
                            <a:ext cx="74930" cy="123189"/>
                          </a:xfrm>
                          <a:custGeom>
                            <a:avLst/>
                            <a:gdLst/>
                            <a:ahLst/>
                            <a:cxnLst/>
                            <a:rect l="l" t="t" r="r" b="b"/>
                            <a:pathLst>
                              <a:path w="74930" h="123189">
                                <a:moveTo>
                                  <a:pt x="0" y="122925"/>
                                </a:moveTo>
                                <a:lnTo>
                                  <a:pt x="74543" y="122925"/>
                                </a:lnTo>
                                <a:lnTo>
                                  <a:pt x="74543" y="0"/>
                                </a:lnTo>
                                <a:lnTo>
                                  <a:pt x="0" y="0"/>
                                </a:lnTo>
                                <a:lnTo>
                                  <a:pt x="0" y="122925"/>
                                </a:lnTo>
                                <a:close/>
                              </a:path>
                            </a:pathLst>
                          </a:custGeom>
                          <a:ln w="12485">
                            <a:solidFill>
                              <a:srgbClr val="000000"/>
                            </a:solidFill>
                            <a:prstDash val="solid"/>
                          </a:ln>
                        </wps:spPr>
                        <wps:bodyPr wrap="square" lIns="0" tIns="0" rIns="0" bIns="0" rtlCol="0">
                          <a:prstTxWarp prst="textNoShape">
                            <a:avLst/>
                          </a:prstTxWarp>
                          <a:noAutofit/>
                        </wps:bodyPr>
                      </wps:wsp>
                      <wps:wsp>
                        <wps:cNvPr id="550" name="Graphic 550"/>
                        <wps:cNvSpPr/>
                        <wps:spPr>
                          <a:xfrm>
                            <a:off x="4190625" y="3197932"/>
                            <a:ext cx="74930" cy="123189"/>
                          </a:xfrm>
                          <a:custGeom>
                            <a:avLst/>
                            <a:gdLst/>
                            <a:ahLst/>
                            <a:cxnLst/>
                            <a:rect l="l" t="t" r="r" b="b"/>
                            <a:pathLst>
                              <a:path w="74930" h="123189">
                                <a:moveTo>
                                  <a:pt x="74543" y="0"/>
                                </a:moveTo>
                                <a:lnTo>
                                  <a:pt x="0" y="0"/>
                                </a:lnTo>
                                <a:lnTo>
                                  <a:pt x="0" y="122925"/>
                                </a:lnTo>
                                <a:lnTo>
                                  <a:pt x="74543" y="122925"/>
                                </a:lnTo>
                                <a:lnTo>
                                  <a:pt x="74543" y="0"/>
                                </a:lnTo>
                                <a:close/>
                              </a:path>
                            </a:pathLst>
                          </a:custGeom>
                          <a:solidFill>
                            <a:srgbClr val="993366"/>
                          </a:solidFill>
                        </wps:spPr>
                        <wps:bodyPr wrap="square" lIns="0" tIns="0" rIns="0" bIns="0" rtlCol="0">
                          <a:prstTxWarp prst="textNoShape">
                            <a:avLst/>
                          </a:prstTxWarp>
                          <a:noAutofit/>
                        </wps:bodyPr>
                      </wps:wsp>
                      <wps:wsp>
                        <wps:cNvPr id="551" name="Graphic 551"/>
                        <wps:cNvSpPr/>
                        <wps:spPr>
                          <a:xfrm>
                            <a:off x="4190625" y="3197932"/>
                            <a:ext cx="74930" cy="123189"/>
                          </a:xfrm>
                          <a:custGeom>
                            <a:avLst/>
                            <a:gdLst/>
                            <a:ahLst/>
                            <a:cxnLst/>
                            <a:rect l="l" t="t" r="r" b="b"/>
                            <a:pathLst>
                              <a:path w="74930" h="123189">
                                <a:moveTo>
                                  <a:pt x="0" y="122925"/>
                                </a:moveTo>
                                <a:lnTo>
                                  <a:pt x="74543" y="122925"/>
                                </a:lnTo>
                                <a:lnTo>
                                  <a:pt x="74543" y="0"/>
                                </a:lnTo>
                                <a:lnTo>
                                  <a:pt x="0" y="0"/>
                                </a:lnTo>
                                <a:lnTo>
                                  <a:pt x="0" y="122925"/>
                                </a:lnTo>
                                <a:close/>
                              </a:path>
                            </a:pathLst>
                          </a:custGeom>
                          <a:ln w="12485">
                            <a:solidFill>
                              <a:srgbClr val="000000"/>
                            </a:solidFill>
                            <a:prstDash val="solid"/>
                          </a:ln>
                        </wps:spPr>
                        <wps:bodyPr wrap="square" lIns="0" tIns="0" rIns="0" bIns="0" rtlCol="0">
                          <a:prstTxWarp prst="textNoShape">
                            <a:avLst/>
                          </a:prstTxWarp>
                          <a:noAutofit/>
                        </wps:bodyPr>
                      </wps:wsp>
                      <wps:wsp>
                        <wps:cNvPr id="552" name="Graphic 552"/>
                        <wps:cNvSpPr/>
                        <wps:spPr>
                          <a:xfrm>
                            <a:off x="4190625" y="3566196"/>
                            <a:ext cx="74930" cy="123189"/>
                          </a:xfrm>
                          <a:custGeom>
                            <a:avLst/>
                            <a:gdLst/>
                            <a:ahLst/>
                            <a:cxnLst/>
                            <a:rect l="l" t="t" r="r" b="b"/>
                            <a:pathLst>
                              <a:path w="74930" h="123189">
                                <a:moveTo>
                                  <a:pt x="74543" y="0"/>
                                </a:moveTo>
                                <a:lnTo>
                                  <a:pt x="0" y="0"/>
                                </a:lnTo>
                                <a:lnTo>
                                  <a:pt x="0" y="122925"/>
                                </a:lnTo>
                                <a:lnTo>
                                  <a:pt x="74543" y="122925"/>
                                </a:lnTo>
                                <a:lnTo>
                                  <a:pt x="74543" y="0"/>
                                </a:lnTo>
                                <a:close/>
                              </a:path>
                            </a:pathLst>
                          </a:custGeom>
                          <a:solidFill>
                            <a:srgbClr val="FFFFCC"/>
                          </a:solidFill>
                        </wps:spPr>
                        <wps:bodyPr wrap="square" lIns="0" tIns="0" rIns="0" bIns="0" rtlCol="0">
                          <a:prstTxWarp prst="textNoShape">
                            <a:avLst/>
                          </a:prstTxWarp>
                          <a:noAutofit/>
                        </wps:bodyPr>
                      </wps:wsp>
                      <wps:wsp>
                        <wps:cNvPr id="553" name="Graphic 553"/>
                        <wps:cNvSpPr/>
                        <wps:spPr>
                          <a:xfrm>
                            <a:off x="4190625" y="3566196"/>
                            <a:ext cx="74930" cy="123189"/>
                          </a:xfrm>
                          <a:custGeom>
                            <a:avLst/>
                            <a:gdLst/>
                            <a:ahLst/>
                            <a:cxnLst/>
                            <a:rect l="l" t="t" r="r" b="b"/>
                            <a:pathLst>
                              <a:path w="74930" h="123189">
                                <a:moveTo>
                                  <a:pt x="0" y="122925"/>
                                </a:moveTo>
                                <a:lnTo>
                                  <a:pt x="74543" y="122925"/>
                                </a:lnTo>
                                <a:lnTo>
                                  <a:pt x="74543" y="0"/>
                                </a:lnTo>
                                <a:lnTo>
                                  <a:pt x="0" y="0"/>
                                </a:lnTo>
                                <a:lnTo>
                                  <a:pt x="0" y="122925"/>
                                </a:lnTo>
                                <a:close/>
                              </a:path>
                            </a:pathLst>
                          </a:custGeom>
                          <a:ln w="12485">
                            <a:solidFill>
                              <a:srgbClr val="000000"/>
                            </a:solidFill>
                            <a:prstDash val="solid"/>
                          </a:ln>
                        </wps:spPr>
                        <wps:bodyPr wrap="square" lIns="0" tIns="0" rIns="0" bIns="0" rtlCol="0">
                          <a:prstTxWarp prst="textNoShape">
                            <a:avLst/>
                          </a:prstTxWarp>
                          <a:noAutofit/>
                        </wps:bodyPr>
                      </wps:wsp>
                      <wps:wsp>
                        <wps:cNvPr id="554" name="Graphic 554"/>
                        <wps:cNvSpPr/>
                        <wps:spPr>
                          <a:xfrm>
                            <a:off x="7650" y="7650"/>
                            <a:ext cx="5122545" cy="5749925"/>
                          </a:xfrm>
                          <a:custGeom>
                            <a:avLst/>
                            <a:gdLst/>
                            <a:ahLst/>
                            <a:cxnLst/>
                            <a:rect l="l" t="t" r="r" b="b"/>
                            <a:pathLst>
                              <a:path w="5122545" h="5749925">
                                <a:moveTo>
                                  <a:pt x="0" y="5749647"/>
                                </a:moveTo>
                                <a:lnTo>
                                  <a:pt x="5121944" y="5749647"/>
                                </a:lnTo>
                                <a:lnTo>
                                  <a:pt x="5121944" y="0"/>
                                </a:lnTo>
                                <a:lnTo>
                                  <a:pt x="0" y="0"/>
                                </a:lnTo>
                                <a:lnTo>
                                  <a:pt x="0" y="5749647"/>
                                </a:lnTo>
                                <a:close/>
                              </a:path>
                            </a:pathLst>
                          </a:custGeom>
                          <a:ln w="13670">
                            <a:solidFill>
                              <a:srgbClr val="000000"/>
                            </a:solidFill>
                            <a:prstDash val="solid"/>
                          </a:ln>
                        </wps:spPr>
                        <wps:bodyPr wrap="square" lIns="0" tIns="0" rIns="0" bIns="0" rtlCol="0">
                          <a:prstTxWarp prst="textNoShape">
                            <a:avLst/>
                          </a:prstTxWarp>
                          <a:noAutofit/>
                        </wps:bodyPr>
                      </wps:wsp>
                      <wps:wsp>
                        <wps:cNvPr id="555" name="Textbox 555"/>
                        <wps:cNvSpPr txBox="1"/>
                        <wps:spPr>
                          <a:xfrm>
                            <a:off x="391728" y="5270861"/>
                            <a:ext cx="356235" cy="254635"/>
                          </a:xfrm>
                          <a:prstGeom prst="rect">
                            <a:avLst/>
                          </a:prstGeom>
                        </wps:spPr>
                        <wps:txbx>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4000</w:t>
                              </w:r>
                            </w:p>
                          </w:txbxContent>
                        </wps:txbx>
                        <wps:bodyPr wrap="square" lIns="0" tIns="0" rIns="0" bIns="0" rtlCol="0">
                          <a:noAutofit/>
                        </wps:bodyPr>
                      </wps:wsp>
                      <wps:wsp>
                        <wps:cNvPr id="556" name="Textbox 556"/>
                        <wps:cNvSpPr txBox="1"/>
                        <wps:spPr>
                          <a:xfrm>
                            <a:off x="391728" y="4744787"/>
                            <a:ext cx="356235" cy="254635"/>
                          </a:xfrm>
                          <a:prstGeom prst="rect">
                            <a:avLst/>
                          </a:prstGeom>
                        </wps:spPr>
                        <wps:txbx>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3500</w:t>
                              </w:r>
                            </w:p>
                          </w:txbxContent>
                        </wps:txbx>
                        <wps:bodyPr wrap="square" lIns="0" tIns="0" rIns="0" bIns="0" rtlCol="0">
                          <a:noAutofit/>
                        </wps:bodyPr>
                      </wps:wsp>
                      <wps:wsp>
                        <wps:cNvPr id="557" name="Textbox 557"/>
                        <wps:cNvSpPr txBox="1"/>
                        <wps:spPr>
                          <a:xfrm>
                            <a:off x="391728" y="4201236"/>
                            <a:ext cx="356235" cy="254635"/>
                          </a:xfrm>
                          <a:prstGeom prst="rect">
                            <a:avLst/>
                          </a:prstGeom>
                        </wps:spPr>
                        <wps:txbx>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3000</w:t>
                              </w:r>
                            </w:p>
                          </w:txbxContent>
                        </wps:txbx>
                        <wps:bodyPr wrap="square" lIns="0" tIns="0" rIns="0" bIns="0" rtlCol="0">
                          <a:noAutofit/>
                        </wps:bodyPr>
                      </wps:wsp>
                      <wps:wsp>
                        <wps:cNvPr id="558" name="Textbox 558"/>
                        <wps:cNvSpPr txBox="1"/>
                        <wps:spPr>
                          <a:xfrm>
                            <a:off x="391728" y="3675744"/>
                            <a:ext cx="356235" cy="254635"/>
                          </a:xfrm>
                          <a:prstGeom prst="rect">
                            <a:avLst/>
                          </a:prstGeom>
                        </wps:spPr>
                        <wps:txbx>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2500</w:t>
                              </w:r>
                            </w:p>
                          </w:txbxContent>
                        </wps:txbx>
                        <wps:bodyPr wrap="square" lIns="0" tIns="0" rIns="0" bIns="0" rtlCol="0">
                          <a:noAutofit/>
                        </wps:bodyPr>
                      </wps:wsp>
                      <wps:wsp>
                        <wps:cNvPr id="559" name="Textbox 559"/>
                        <wps:cNvSpPr txBox="1"/>
                        <wps:spPr>
                          <a:xfrm>
                            <a:off x="391728" y="3132122"/>
                            <a:ext cx="356235" cy="254635"/>
                          </a:xfrm>
                          <a:prstGeom prst="rect">
                            <a:avLst/>
                          </a:prstGeom>
                        </wps:spPr>
                        <wps:txbx>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2000</w:t>
                              </w:r>
                            </w:p>
                          </w:txbxContent>
                        </wps:txbx>
                        <wps:bodyPr wrap="square" lIns="0" tIns="0" rIns="0" bIns="0" rtlCol="0">
                          <a:noAutofit/>
                        </wps:bodyPr>
                      </wps:wsp>
                      <wps:wsp>
                        <wps:cNvPr id="560" name="Textbox 560"/>
                        <wps:cNvSpPr txBox="1"/>
                        <wps:spPr>
                          <a:xfrm>
                            <a:off x="391728" y="2606164"/>
                            <a:ext cx="356235" cy="254635"/>
                          </a:xfrm>
                          <a:prstGeom prst="rect">
                            <a:avLst/>
                          </a:prstGeom>
                        </wps:spPr>
                        <wps:txbx>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1500</w:t>
                              </w:r>
                            </w:p>
                          </w:txbxContent>
                        </wps:txbx>
                        <wps:bodyPr wrap="square" lIns="0" tIns="0" rIns="0" bIns="0" rtlCol="0">
                          <a:noAutofit/>
                        </wps:bodyPr>
                      </wps:wsp>
                      <wps:wsp>
                        <wps:cNvPr id="561" name="Textbox 561"/>
                        <wps:cNvSpPr txBox="1"/>
                        <wps:spPr>
                          <a:xfrm>
                            <a:off x="391728" y="2063195"/>
                            <a:ext cx="356235" cy="254635"/>
                          </a:xfrm>
                          <a:prstGeom prst="rect">
                            <a:avLst/>
                          </a:prstGeom>
                        </wps:spPr>
                        <wps:txbx>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1000</w:t>
                              </w:r>
                            </w:p>
                          </w:txbxContent>
                        </wps:txbx>
                        <wps:bodyPr wrap="square" lIns="0" tIns="0" rIns="0" bIns="0" rtlCol="0">
                          <a:noAutofit/>
                        </wps:bodyPr>
                      </wps:wsp>
                      <wps:wsp>
                        <wps:cNvPr id="562" name="Textbox 562"/>
                        <wps:cNvSpPr txBox="1"/>
                        <wps:spPr>
                          <a:xfrm>
                            <a:off x="3667683" y="1326808"/>
                            <a:ext cx="90170" cy="254635"/>
                          </a:xfrm>
                          <a:prstGeom prst="rect">
                            <a:avLst/>
                          </a:prstGeom>
                        </wps:spPr>
                        <wps:txbx>
                          <w:txbxContent>
                            <w:p>
                              <w:pPr>
                                <w:spacing w:line="401" w:lineRule="exact" w:before="0"/>
                                <w:ind w:left="0" w:right="0" w:firstLine="0"/>
                                <w:jc w:val="left"/>
                                <w:rPr>
                                  <w:rFonts w:ascii="Arial MT"/>
                                  <w:sz w:val="36"/>
                                </w:rPr>
                              </w:pPr>
                              <w:r>
                                <w:rPr>
                                  <w:rFonts w:ascii="Arial MT"/>
                                  <w:spacing w:val="-10"/>
                                  <w:w w:val="70"/>
                                  <w:sz w:val="36"/>
                                </w:rPr>
                                <w:t>5</w:t>
                              </w:r>
                            </w:p>
                          </w:txbxContent>
                        </wps:txbx>
                        <wps:bodyPr wrap="square" lIns="0" tIns="0" rIns="0" bIns="0" rtlCol="0">
                          <a:noAutofit/>
                        </wps:bodyPr>
                      </wps:wsp>
                      <wps:wsp>
                        <wps:cNvPr id="563" name="Textbox 563"/>
                        <wps:cNvSpPr txBox="1"/>
                        <wps:spPr>
                          <a:xfrm>
                            <a:off x="3038390" y="1326808"/>
                            <a:ext cx="90170" cy="254635"/>
                          </a:xfrm>
                          <a:prstGeom prst="rect">
                            <a:avLst/>
                          </a:prstGeom>
                        </wps:spPr>
                        <wps:txbx>
                          <w:txbxContent>
                            <w:p>
                              <w:pPr>
                                <w:spacing w:line="401" w:lineRule="exact" w:before="0"/>
                                <w:ind w:left="0" w:right="0" w:firstLine="0"/>
                                <w:jc w:val="left"/>
                                <w:rPr>
                                  <w:rFonts w:ascii="Arial MT"/>
                                  <w:sz w:val="36"/>
                                </w:rPr>
                              </w:pPr>
                              <w:r>
                                <w:rPr>
                                  <w:rFonts w:ascii="Arial MT"/>
                                  <w:spacing w:val="-10"/>
                                  <w:w w:val="70"/>
                                  <w:sz w:val="36"/>
                                </w:rPr>
                                <w:t>4</w:t>
                              </w:r>
                            </w:p>
                          </w:txbxContent>
                        </wps:txbx>
                        <wps:bodyPr wrap="square" lIns="0" tIns="0" rIns="0" bIns="0" rtlCol="0">
                          <a:noAutofit/>
                        </wps:bodyPr>
                      </wps:wsp>
                      <wps:wsp>
                        <wps:cNvPr id="564" name="Textbox 564"/>
                        <wps:cNvSpPr txBox="1"/>
                        <wps:spPr>
                          <a:xfrm>
                            <a:off x="2398023" y="1326808"/>
                            <a:ext cx="90170" cy="254635"/>
                          </a:xfrm>
                          <a:prstGeom prst="rect">
                            <a:avLst/>
                          </a:prstGeom>
                        </wps:spPr>
                        <wps:txbx>
                          <w:txbxContent>
                            <w:p>
                              <w:pPr>
                                <w:spacing w:line="401" w:lineRule="exact" w:before="0"/>
                                <w:ind w:left="0" w:right="0" w:firstLine="0"/>
                                <w:jc w:val="left"/>
                                <w:rPr>
                                  <w:rFonts w:ascii="Arial MT"/>
                                  <w:sz w:val="36"/>
                                </w:rPr>
                              </w:pPr>
                              <w:r>
                                <w:rPr>
                                  <w:rFonts w:ascii="Arial MT"/>
                                  <w:spacing w:val="-10"/>
                                  <w:w w:val="70"/>
                                  <w:sz w:val="36"/>
                                </w:rPr>
                                <w:t>3</w:t>
                              </w:r>
                            </w:p>
                          </w:txbxContent>
                        </wps:txbx>
                        <wps:bodyPr wrap="square" lIns="0" tIns="0" rIns="0" bIns="0" rtlCol="0">
                          <a:noAutofit/>
                        </wps:bodyPr>
                      </wps:wsp>
                      <wps:wsp>
                        <wps:cNvPr id="565" name="Textbox 565"/>
                        <wps:cNvSpPr txBox="1"/>
                        <wps:spPr>
                          <a:xfrm>
                            <a:off x="1757656" y="1326808"/>
                            <a:ext cx="90170" cy="254635"/>
                          </a:xfrm>
                          <a:prstGeom prst="rect">
                            <a:avLst/>
                          </a:prstGeom>
                        </wps:spPr>
                        <wps:txbx>
                          <w:txbxContent>
                            <w:p>
                              <w:pPr>
                                <w:spacing w:line="401" w:lineRule="exact" w:before="0"/>
                                <w:ind w:left="0" w:right="0" w:firstLine="0"/>
                                <w:jc w:val="left"/>
                                <w:rPr>
                                  <w:rFonts w:ascii="Arial MT"/>
                                  <w:sz w:val="36"/>
                                </w:rPr>
                              </w:pPr>
                              <w:r>
                                <w:rPr>
                                  <w:rFonts w:ascii="Arial MT"/>
                                  <w:spacing w:val="-10"/>
                                  <w:w w:val="70"/>
                                  <w:sz w:val="36"/>
                                </w:rPr>
                                <w:t>2</w:t>
                              </w:r>
                            </w:p>
                          </w:txbxContent>
                        </wps:txbx>
                        <wps:bodyPr wrap="square" lIns="0" tIns="0" rIns="0" bIns="0" rtlCol="0">
                          <a:noAutofit/>
                        </wps:bodyPr>
                      </wps:wsp>
                      <wps:wsp>
                        <wps:cNvPr id="566" name="Textbox 566"/>
                        <wps:cNvSpPr txBox="1"/>
                        <wps:spPr>
                          <a:xfrm>
                            <a:off x="1128293" y="1326808"/>
                            <a:ext cx="90170" cy="254635"/>
                          </a:xfrm>
                          <a:prstGeom prst="rect">
                            <a:avLst/>
                          </a:prstGeom>
                        </wps:spPr>
                        <wps:txbx>
                          <w:txbxContent>
                            <w:p>
                              <w:pPr>
                                <w:spacing w:line="401" w:lineRule="exact" w:before="0"/>
                                <w:ind w:left="0" w:right="0" w:firstLine="0"/>
                                <w:jc w:val="left"/>
                                <w:rPr>
                                  <w:rFonts w:ascii="Arial MT"/>
                                  <w:sz w:val="36"/>
                                </w:rPr>
                              </w:pPr>
                              <w:r>
                                <w:rPr>
                                  <w:rFonts w:ascii="Arial MT"/>
                                  <w:spacing w:val="-10"/>
                                  <w:w w:val="70"/>
                                  <w:sz w:val="36"/>
                                </w:rPr>
                                <w:t>1</w:t>
                              </w:r>
                            </w:p>
                          </w:txbxContent>
                        </wps:txbx>
                        <wps:bodyPr wrap="square" lIns="0" tIns="0" rIns="0" bIns="0" rtlCol="0">
                          <a:noAutofit/>
                        </wps:bodyPr>
                      </wps:wsp>
                      <wps:wsp>
                        <wps:cNvPr id="567" name="Textbox 567"/>
                        <wps:cNvSpPr txBox="1"/>
                        <wps:spPr>
                          <a:xfrm>
                            <a:off x="466627" y="1537005"/>
                            <a:ext cx="281940" cy="254635"/>
                          </a:xfrm>
                          <a:prstGeom prst="rect">
                            <a:avLst/>
                          </a:prstGeom>
                        </wps:spPr>
                        <wps:txbx>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5"/>
                                  <w:w w:val="60"/>
                                  <w:sz w:val="36"/>
                                </w:rPr>
                                <w:t>500</w:t>
                              </w:r>
                            </w:p>
                          </w:txbxContent>
                        </wps:txbx>
                        <wps:bodyPr wrap="square" lIns="0" tIns="0" rIns="0" bIns="0" rtlCol="0">
                          <a:noAutofit/>
                        </wps:bodyPr>
                      </wps:wsp>
                      <wps:wsp>
                        <wps:cNvPr id="568" name="Textbox 568"/>
                        <wps:cNvSpPr txBox="1"/>
                        <wps:spPr>
                          <a:xfrm>
                            <a:off x="658666" y="993569"/>
                            <a:ext cx="90170" cy="254635"/>
                          </a:xfrm>
                          <a:prstGeom prst="rect">
                            <a:avLst/>
                          </a:prstGeom>
                        </wps:spPr>
                        <wps:txbx>
                          <w:txbxContent>
                            <w:p>
                              <w:pPr>
                                <w:spacing w:line="401" w:lineRule="exact" w:before="0"/>
                                <w:ind w:left="0" w:right="0" w:firstLine="0"/>
                                <w:jc w:val="left"/>
                                <w:rPr>
                                  <w:rFonts w:ascii="Arial MT"/>
                                  <w:sz w:val="36"/>
                                </w:rPr>
                              </w:pPr>
                              <w:r>
                                <w:rPr>
                                  <w:rFonts w:ascii="Arial MT"/>
                                  <w:spacing w:val="-10"/>
                                  <w:w w:val="70"/>
                                  <w:sz w:val="36"/>
                                </w:rPr>
                                <w:t>0</w:t>
                              </w:r>
                            </w:p>
                          </w:txbxContent>
                        </wps:txbx>
                        <wps:bodyPr wrap="square" lIns="0" tIns="0" rIns="0" bIns="0" rtlCol="0">
                          <a:noAutofit/>
                        </wps:bodyPr>
                      </wps:wsp>
                      <wps:wsp>
                        <wps:cNvPr id="569" name="Textbox 569"/>
                        <wps:cNvSpPr txBox="1"/>
                        <wps:spPr>
                          <a:xfrm>
                            <a:off x="658666" y="227660"/>
                            <a:ext cx="3832860" cy="313690"/>
                          </a:xfrm>
                          <a:prstGeom prst="rect">
                            <a:avLst/>
                          </a:prstGeom>
                        </wps:spPr>
                        <wps:txbx>
                          <w:txbxContent>
                            <w:p>
                              <w:pPr>
                                <w:spacing w:line="493" w:lineRule="exact" w:before="0"/>
                                <w:ind w:left="0" w:right="0" w:firstLine="0"/>
                                <w:jc w:val="left"/>
                                <w:rPr>
                                  <w:rFonts w:ascii="Arial"/>
                                  <w:b/>
                                  <w:sz w:val="44"/>
                                </w:rPr>
                              </w:pPr>
                              <w:r>
                                <w:rPr>
                                  <w:rFonts w:ascii="Arial"/>
                                  <w:b/>
                                  <w:w w:val="60"/>
                                  <w:sz w:val="44"/>
                                </w:rPr>
                                <w:t>Effect</w:t>
                              </w:r>
                              <w:r>
                                <w:rPr>
                                  <w:rFonts w:ascii="Arial"/>
                                  <w:b/>
                                  <w:spacing w:val="-4"/>
                                  <w:w w:val="60"/>
                                  <w:sz w:val="44"/>
                                </w:rPr>
                                <w:t> </w:t>
                              </w:r>
                              <w:r>
                                <w:rPr>
                                  <w:rFonts w:ascii="Arial"/>
                                  <w:b/>
                                  <w:w w:val="60"/>
                                  <w:sz w:val="44"/>
                                </w:rPr>
                                <w:t>of</w:t>
                              </w:r>
                              <w:r>
                                <w:rPr>
                                  <w:rFonts w:ascii="Arial"/>
                                  <w:b/>
                                  <w:spacing w:val="-3"/>
                                  <w:w w:val="60"/>
                                  <w:sz w:val="44"/>
                                </w:rPr>
                                <w:t> </w:t>
                              </w:r>
                              <w:r>
                                <w:rPr>
                                  <w:rFonts w:ascii="Arial"/>
                                  <w:b/>
                                  <w:w w:val="60"/>
                                  <w:sz w:val="44"/>
                                </w:rPr>
                                <w:t>100</w:t>
                              </w:r>
                              <w:r>
                                <w:rPr>
                                  <w:rFonts w:ascii="Arial"/>
                                  <w:b/>
                                  <w:spacing w:val="-45"/>
                                  <w:sz w:val="44"/>
                                </w:rPr>
                                <w:t> </w:t>
                              </w:r>
                              <w:r>
                                <w:rPr>
                                  <w:rFonts w:ascii="Arial"/>
                                  <w:b/>
                                  <w:w w:val="60"/>
                                  <w:sz w:val="44"/>
                                </w:rPr>
                                <w:t>uM</w:t>
                              </w:r>
                              <w:r>
                                <w:rPr>
                                  <w:rFonts w:ascii="Arial"/>
                                  <w:b/>
                                  <w:spacing w:val="-3"/>
                                  <w:w w:val="60"/>
                                  <w:sz w:val="44"/>
                                </w:rPr>
                                <w:t> </w:t>
                              </w:r>
                              <w:r>
                                <w:rPr>
                                  <w:rFonts w:ascii="Arial"/>
                                  <w:b/>
                                  <w:w w:val="60"/>
                                  <w:sz w:val="44"/>
                                </w:rPr>
                                <w:t>S23</w:t>
                              </w:r>
                              <w:r>
                                <w:rPr>
                                  <w:rFonts w:ascii="Arial"/>
                                  <w:b/>
                                  <w:spacing w:val="-44"/>
                                  <w:sz w:val="44"/>
                                </w:rPr>
                                <w:t> </w:t>
                              </w:r>
                              <w:r>
                                <w:rPr>
                                  <w:rFonts w:ascii="Arial"/>
                                  <w:b/>
                                  <w:w w:val="60"/>
                                  <w:sz w:val="44"/>
                                </w:rPr>
                                <w:t>on</w:t>
                              </w:r>
                              <w:r>
                                <w:rPr>
                                  <w:rFonts w:ascii="Arial"/>
                                  <w:b/>
                                  <w:spacing w:val="-43"/>
                                  <w:sz w:val="44"/>
                                </w:rPr>
                                <w:t> </w:t>
                              </w:r>
                              <w:r>
                                <w:rPr>
                                  <w:rFonts w:ascii="Arial"/>
                                  <w:b/>
                                  <w:w w:val="60"/>
                                  <w:sz w:val="44"/>
                                </w:rPr>
                                <w:t>NaV</w:t>
                              </w:r>
                              <w:r>
                                <w:rPr>
                                  <w:rFonts w:ascii="Arial"/>
                                  <w:b/>
                                  <w:spacing w:val="-39"/>
                                  <w:sz w:val="44"/>
                                </w:rPr>
                                <w:t> </w:t>
                              </w:r>
                              <w:r>
                                <w:rPr>
                                  <w:rFonts w:ascii="Arial"/>
                                  <w:b/>
                                  <w:w w:val="60"/>
                                  <w:sz w:val="44"/>
                                </w:rPr>
                                <w:t>1.6</w:t>
                              </w:r>
                              <w:r>
                                <w:rPr>
                                  <w:rFonts w:ascii="Arial"/>
                                  <w:b/>
                                  <w:spacing w:val="-45"/>
                                  <w:sz w:val="44"/>
                                </w:rPr>
                                <w:t> </w:t>
                              </w:r>
                              <w:r>
                                <w:rPr>
                                  <w:rFonts w:ascii="Arial"/>
                                  <w:b/>
                                  <w:w w:val="60"/>
                                  <w:sz w:val="44"/>
                                </w:rPr>
                                <w:t>Inward</w:t>
                              </w:r>
                              <w:r>
                                <w:rPr>
                                  <w:rFonts w:ascii="Arial"/>
                                  <w:b/>
                                  <w:spacing w:val="-42"/>
                                  <w:sz w:val="44"/>
                                </w:rPr>
                                <w:t> </w:t>
                              </w:r>
                              <w:r>
                                <w:rPr>
                                  <w:rFonts w:ascii="Arial"/>
                                  <w:b/>
                                  <w:spacing w:val="-2"/>
                                  <w:w w:val="60"/>
                                  <w:sz w:val="44"/>
                                </w:rPr>
                                <w:t>Current</w:t>
                              </w:r>
                            </w:p>
                          </w:txbxContent>
                        </wps:txbx>
                        <wps:bodyPr wrap="square" lIns="0" tIns="0" rIns="0" bIns="0" rtlCol="0">
                          <a:noAutofit/>
                        </wps:bodyPr>
                      </wps:wsp>
                      <wps:wsp>
                        <wps:cNvPr id="570" name="Textbox 570"/>
                        <wps:cNvSpPr txBox="1"/>
                        <wps:spPr>
                          <a:xfrm>
                            <a:off x="4137380" y="2689988"/>
                            <a:ext cx="949960" cy="1104265"/>
                          </a:xfrm>
                          <a:prstGeom prst="rect">
                            <a:avLst/>
                          </a:prstGeom>
                          <a:ln w="15195">
                            <a:solidFill>
                              <a:srgbClr val="000000"/>
                            </a:solidFill>
                            <a:prstDash val="solid"/>
                          </a:ln>
                        </wps:spPr>
                        <wps:txbx>
                          <w:txbxContent>
                            <w:p>
                              <w:pPr>
                                <w:spacing w:before="91"/>
                                <w:ind w:left="257" w:right="0" w:firstLine="0"/>
                                <w:jc w:val="left"/>
                                <w:rPr>
                                  <w:rFonts w:ascii="Arial MT"/>
                                  <w:sz w:val="36"/>
                                </w:rPr>
                              </w:pPr>
                              <w:r>
                                <w:rPr>
                                  <w:rFonts w:ascii="Arial MT"/>
                                  <w:spacing w:val="-2"/>
                                  <w:w w:val="70"/>
                                  <w:sz w:val="36"/>
                                </w:rPr>
                                <w:t>Control</w:t>
                              </w:r>
                            </w:p>
                            <w:p>
                              <w:pPr>
                                <w:spacing w:before="166"/>
                                <w:ind w:left="257" w:right="0" w:firstLine="0"/>
                                <w:jc w:val="left"/>
                                <w:rPr>
                                  <w:rFonts w:ascii="Arial MT"/>
                                  <w:sz w:val="36"/>
                                </w:rPr>
                              </w:pPr>
                              <w:r>
                                <w:rPr>
                                  <w:rFonts w:ascii="Arial MT"/>
                                  <w:spacing w:val="-4"/>
                                  <w:w w:val="60"/>
                                  <w:sz w:val="36"/>
                                </w:rPr>
                                <w:t>100</w:t>
                              </w:r>
                              <w:r>
                                <w:rPr>
                                  <w:rFonts w:ascii="Arial MT"/>
                                  <w:spacing w:val="-36"/>
                                  <w:sz w:val="36"/>
                                </w:rPr>
                                <w:t> </w:t>
                              </w:r>
                              <w:r>
                                <w:rPr>
                                  <w:rFonts w:ascii="Arial MT"/>
                                  <w:spacing w:val="-4"/>
                                  <w:w w:val="60"/>
                                  <w:sz w:val="36"/>
                                </w:rPr>
                                <w:t>uM</w:t>
                              </w:r>
                              <w:r>
                                <w:rPr>
                                  <w:rFonts w:ascii="Arial MT"/>
                                  <w:spacing w:val="-28"/>
                                  <w:sz w:val="36"/>
                                </w:rPr>
                                <w:t> </w:t>
                              </w:r>
                              <w:r>
                                <w:rPr>
                                  <w:rFonts w:ascii="Arial MT"/>
                                  <w:spacing w:val="-5"/>
                                  <w:w w:val="60"/>
                                  <w:sz w:val="36"/>
                                </w:rPr>
                                <w:t>S23</w:t>
                              </w:r>
                            </w:p>
                            <w:p>
                              <w:pPr>
                                <w:spacing w:before="166"/>
                                <w:ind w:left="257" w:right="0" w:firstLine="0"/>
                                <w:jc w:val="left"/>
                                <w:rPr>
                                  <w:rFonts w:ascii="Arial MT"/>
                                  <w:sz w:val="36"/>
                                </w:rPr>
                              </w:pPr>
                              <w:r>
                                <w:rPr>
                                  <w:rFonts w:ascii="Arial MT"/>
                                  <w:spacing w:val="-4"/>
                                  <w:w w:val="70"/>
                                  <w:sz w:val="36"/>
                                </w:rPr>
                                <w:t>Wash</w:t>
                              </w:r>
                            </w:p>
                          </w:txbxContent>
                        </wps:txbx>
                        <wps:bodyPr wrap="square" lIns="0" tIns="0" rIns="0" bIns="0" rtlCol="0">
                          <a:noAutofit/>
                        </wps:bodyPr>
                      </wps:wsp>
                    </wpg:wgp>
                  </a:graphicData>
                </a:graphic>
              </wp:anchor>
            </w:drawing>
          </mc:Choice>
          <mc:Fallback>
            <w:pict>
              <v:group style="position:absolute;margin-left:111.710159pt;margin-top:133.340591pt;width:404.55pt;height:453.95pt;mso-position-horizontal-relative:page;mso-position-vertical-relative:page;z-index:15820288" id="docshapegroup398" coordorigin="2234,2667" coordsize="8091,9079">
                <v:rect style="position:absolute;left:2246;top:2678;width:8067;height:9055" id="docshape399" filled="false" stroked="true" strokeweight="1.076408pt" strokecolor="#000000">
                  <v:stroke dashstyle="solid"/>
                </v:rect>
                <v:rect style="position:absolute;left:3557;top:4418;width:5008;height:6735" id="docshape400" filled="true" fillcolor="#c0c0c0" stroked="false">
                  <v:fill type="solid"/>
                </v:rect>
                <v:shape style="position:absolute;left:3557;top:4418;width:5025;height:6763" id="docshape401" coordorigin="3557,4418" coordsize="5025,6763" path="m3574,4460l3557,4460,3557,11167,3574,11167,3574,4460xm8556,4418l3566,4418,3566,4446,8556,4446,8556,4418xm8573,11154l3582,11154,3582,11181,8573,11181,8573,11154xm8582,4432l8565,4432,8565,11140,8582,11140,8582,4432xe" filled="true" fillcolor="#808080" stroked="false">
                  <v:path arrowok="t"/>
                  <v:fill type="solid"/>
                </v:shape>
                <v:rect style="position:absolute;left:3733;top:4432;width:219;height:5217" id="docshape402" filled="true" fillcolor="#9999ff" stroked="false">
                  <v:fill type="solid"/>
                </v:rect>
                <v:rect style="position:absolute;left:3733;top:4432;width:219;height:5217" id="docshape403" filled="false" stroked="true" strokeweight=".839451pt" strokecolor="#000000">
                  <v:stroke dashstyle="solid"/>
                </v:rect>
                <v:rect style="position:absolute;left:4741;top:4432;width:219;height:2181" id="docshape404" filled="true" fillcolor="#9999ff" stroked="false">
                  <v:fill type="solid"/>
                </v:rect>
                <v:rect style="position:absolute;left:4741;top:4432;width:219;height:2181" id="docshape405" filled="false" stroked="true" strokeweight=".843861pt" strokecolor="#000000">
                  <v:stroke dashstyle="solid"/>
                </v:rect>
                <v:rect style="position:absolute;left:5733;top:4432;width:219;height:1739" id="docshape406" filled="true" fillcolor="#9999ff" stroked="false">
                  <v:fill type="solid"/>
                </v:rect>
                <v:rect style="position:absolute;left:5733;top:4432;width:219;height:1739" id="docshape407" filled="false" stroked="true" strokeweight=".846879pt" strokecolor="#000000">
                  <v:stroke dashstyle="solid"/>
                </v:rect>
                <v:rect style="position:absolute;left:6741;top:4432;width:219;height:3782" id="docshape408" filled="true" fillcolor="#9999ff" stroked="false">
                  <v:fill type="solid"/>
                </v:rect>
                <v:rect style="position:absolute;left:6741;top:4432;width:219;height:3782" id="docshape409" filled="false" stroked="true" strokeweight=".840304pt" strokecolor="#000000">
                  <v:stroke dashstyle="solid"/>
                </v:rect>
                <v:rect style="position:absolute;left:7733;top:4432;width:219;height:5881" id="docshape410" filled="true" fillcolor="#9999ff" stroked="false">
                  <v:fill type="solid"/>
                </v:rect>
                <v:rect style="position:absolute;left:7733;top:4432;width:219;height:5881" id="docshape411" filled="false" stroked="true" strokeweight=".839255pt" strokecolor="#000000">
                  <v:stroke dashstyle="solid"/>
                </v:rect>
                <v:rect style="position:absolute;left:3951;top:4432;width:236;height:2678" id="docshape412" filled="true" fillcolor="#993366" stroked="false">
                  <v:fill type="solid"/>
                </v:rect>
                <v:rect style="position:absolute;left:3951;top:4432;width:236;height:2678" id="docshape413" filled="false" stroked="true" strokeweight=".842637pt" strokecolor="#000000">
                  <v:stroke dashstyle="solid"/>
                </v:rect>
                <v:rect style="position:absolute;left:4960;top:4432;width:219;height:1133" id="docshape414" filled="true" fillcolor="#993366" stroked="false">
                  <v:fill type="solid"/>
                </v:rect>
                <v:rect style="position:absolute;left:4960;top:4432;width:219;height:1133" id="docshape415" filled="false" stroked="true" strokeweight=".857834pt" strokecolor="#000000">
                  <v:stroke dashstyle="solid"/>
                </v:rect>
                <v:rect style="position:absolute;left:5952;top:4432;width:235;height:801" id="docshape416" filled="true" fillcolor="#993366" stroked="false">
                  <v:fill type="solid"/>
                </v:rect>
                <v:rect style="position:absolute;left:5952;top:4432;width:235;height:801" id="docshape417" filled="false" stroked="true" strokeweight=".881149pt" strokecolor="#000000">
                  <v:stroke dashstyle="solid"/>
                </v:rect>
                <v:rect style="position:absolute;left:6959;top:4432;width:219;height:1823" id="docshape418" filled="true" fillcolor="#993366" stroked="false">
                  <v:fill type="solid"/>
                </v:rect>
                <v:rect style="position:absolute;left:6959;top:4432;width:219;height:1823" id="docshape419" filled="false" stroked="true" strokeweight=".846141pt" strokecolor="#000000">
                  <v:stroke dashstyle="solid"/>
                </v:rect>
                <v:rect style="position:absolute;left:7951;top:4432;width:236;height:3065" id="docshape420" filled="true" fillcolor="#993366" stroked="false">
                  <v:fill type="solid"/>
                </v:rect>
                <v:rect style="position:absolute;left:7951;top:4432;width:236;height:3065" id="docshape421" filled="false" stroked="true" strokeweight=".841666pt" strokecolor="#000000">
                  <v:stroke dashstyle="solid"/>
                </v:rect>
                <v:rect style="position:absolute;left:4187;top:4432;width:219;height:4997" id="docshape422" filled="true" fillcolor="#ffffcc" stroked="false">
                  <v:fill type="solid"/>
                </v:rect>
                <v:rect style="position:absolute;left:4187;top:4432;width:219;height:4997" id="docshape423" filled="false" stroked="true" strokeweight=".839541pt" strokecolor="#000000">
                  <v:stroke dashstyle="solid"/>
                </v:rect>
                <v:rect style="position:absolute;left:5178;top:4432;width:219;height:2209" id="docshape424" filled="true" fillcolor="#ffffcc" stroked="false">
                  <v:fill type="solid"/>
                </v:rect>
                <v:rect style="position:absolute;left:5178;top:4432;width:219;height:2209" id="docshape425" filled="false" stroked="true" strokeweight=".84373pt" strokecolor="#000000">
                  <v:stroke dashstyle="solid"/>
                </v:rect>
                <v:rect style="position:absolute;left:6186;top:4432;width:219;height:1243" id="docshape426" filled="true" fillcolor="#ffffcc" stroked="false">
                  <v:fill type="solid"/>
                </v:rect>
                <v:rect style="position:absolute;left:6186;top:4432;width:219;height:1243" id="docshape427" filled="false" stroked="true" strokeweight=".854659pt" strokecolor="#000000">
                  <v:stroke dashstyle="solid"/>
                </v:rect>
                <v:rect style="position:absolute;left:7178;top:4432;width:219;height:3092" id="docshape428" filled="true" fillcolor="#ffffcc" stroked="false">
                  <v:fill type="solid"/>
                </v:rect>
                <v:rect style="position:absolute;left:7178;top:4432;width:219;height:3092" id="docshape429" filled="false" stroked="true" strokeweight=".841187pt" strokecolor="#000000">
                  <v:stroke dashstyle="solid"/>
                </v:rect>
                <v:rect style="position:absolute;left:8186;top:4432;width:219;height:4666" id="docshape430" filled="true" fillcolor="#ffffcc" stroked="false">
                  <v:fill type="solid"/>
                </v:rect>
                <v:rect style="position:absolute;left:8186;top:4432;width:219;height:4666" id="docshape431" filled="false" stroked="true" strokeweight=".839685pt" strokecolor="#000000">
                  <v:stroke dashstyle="solid"/>
                </v:rect>
                <v:shape style="position:absolute;left:3498;top:4432;width:5075;height:6736" id="docshape432" coordorigin="3498,4432" coordsize="5075,6736" path="m3566,4432l3566,11140m3498,11167l3549,11167m3498,10340l3549,10340m3498,9484l3549,9484m3498,8655l3549,8655m3498,7800l3549,7800m3498,6972l3549,6972m3498,6116l3549,6116m3498,5288l3549,5288m3498,4432l3549,4432m3566,4432l8556,4432m3566,4542l3566,4460m4574,4542l4574,4460m5565,4542l5565,4460m6574,4542l6574,4460m7565,4542l7565,4460m8573,4542l8573,4460e" filled="false" stroked="true" strokeweight="1.107349pt" strokecolor="#000000">
                  <v:path arrowok="t"/>
                  <v:stroke dashstyle="solid"/>
                </v:shape>
                <v:rect style="position:absolute;left:8833;top:7123;width:118;height:194" id="docshape433" filled="true" fillcolor="#9999ff" stroked="false">
                  <v:fill type="solid"/>
                </v:rect>
                <v:rect style="position:absolute;left:8833;top:7123;width:118;height:194" id="docshape434" filled="false" stroked="true" strokeweight=".983076pt" strokecolor="#000000">
                  <v:stroke dashstyle="solid"/>
                </v:rect>
                <v:rect style="position:absolute;left:8833;top:7702;width:118;height:194" id="docshape435" filled="true" fillcolor="#993366" stroked="false">
                  <v:fill type="solid"/>
                </v:rect>
                <v:rect style="position:absolute;left:8833;top:7702;width:118;height:194" id="docshape436" filled="false" stroked="true" strokeweight=".983076pt" strokecolor="#000000">
                  <v:stroke dashstyle="solid"/>
                </v:rect>
                <v:rect style="position:absolute;left:8833;top:8282;width:118;height:194" id="docshape437" filled="true" fillcolor="#ffffcc" stroked="false">
                  <v:fill type="solid"/>
                </v:rect>
                <v:rect style="position:absolute;left:8833;top:8282;width:118;height:194" id="docshape438" filled="false" stroked="true" strokeweight=".983076pt" strokecolor="#000000">
                  <v:stroke dashstyle="solid"/>
                </v:rect>
                <v:rect style="position:absolute;left:2246;top:2678;width:8067;height:9055" id="docshape439" filled="false" stroked="true" strokeweight="1.076408pt" strokecolor="#000000">
                  <v:stroke dashstyle="solid"/>
                </v:rect>
                <v:shape style="position:absolute;left:2851;top:10967;width:561;height:401" type="#_x0000_t202" id="docshape440" filled="false" stroked="false">
                  <v:textbox inset="0,0,0,0">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4000</w:t>
                        </w:r>
                      </w:p>
                    </w:txbxContent>
                  </v:textbox>
                  <w10:wrap type="none"/>
                </v:shape>
                <v:shape style="position:absolute;left:2851;top:10138;width:561;height:401" type="#_x0000_t202" id="docshape441" filled="false" stroked="false">
                  <v:textbox inset="0,0,0,0">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3500</w:t>
                        </w:r>
                      </w:p>
                    </w:txbxContent>
                  </v:textbox>
                  <w10:wrap type="none"/>
                </v:shape>
                <v:shape style="position:absolute;left:2851;top:9282;width:561;height:401" type="#_x0000_t202" id="docshape442" filled="false" stroked="false">
                  <v:textbox inset="0,0,0,0">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3000</w:t>
                        </w:r>
                      </w:p>
                    </w:txbxContent>
                  </v:textbox>
                  <w10:wrap type="none"/>
                </v:shape>
                <v:shape style="position:absolute;left:2851;top:8455;width:561;height:401" type="#_x0000_t202" id="docshape443" filled="false" stroked="false">
                  <v:textbox inset="0,0,0,0">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2500</w:t>
                        </w:r>
                      </w:p>
                    </w:txbxContent>
                  </v:textbox>
                  <w10:wrap type="none"/>
                </v:shape>
                <v:shape style="position:absolute;left:2851;top:7599;width:561;height:401" type="#_x0000_t202" id="docshape444" filled="false" stroked="false">
                  <v:textbox inset="0,0,0,0">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2000</w:t>
                        </w:r>
                      </w:p>
                    </w:txbxContent>
                  </v:textbox>
                  <w10:wrap type="none"/>
                </v:shape>
                <v:shape style="position:absolute;left:2851;top:6771;width:561;height:401" type="#_x0000_t202" id="docshape445" filled="false" stroked="false">
                  <v:textbox inset="0,0,0,0">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1500</w:t>
                        </w:r>
                      </w:p>
                    </w:txbxContent>
                  </v:textbox>
                  <w10:wrap type="none"/>
                </v:shape>
                <v:shape style="position:absolute;left:2851;top:5915;width:561;height:401" type="#_x0000_t202" id="docshape446" filled="false" stroked="false">
                  <v:textbox inset="0,0,0,0">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4"/>
                            <w:w w:val="60"/>
                            <w:sz w:val="36"/>
                          </w:rPr>
                          <w:t>1000</w:t>
                        </w:r>
                      </w:p>
                    </w:txbxContent>
                  </v:textbox>
                  <w10:wrap type="none"/>
                </v:shape>
                <v:shape style="position:absolute;left:8010;top:4756;width:142;height:401" type="#_x0000_t202" id="docshape447" filled="false" stroked="false">
                  <v:textbox inset="0,0,0,0">
                    <w:txbxContent>
                      <w:p>
                        <w:pPr>
                          <w:spacing w:line="401" w:lineRule="exact" w:before="0"/>
                          <w:ind w:left="0" w:right="0" w:firstLine="0"/>
                          <w:jc w:val="left"/>
                          <w:rPr>
                            <w:rFonts w:ascii="Arial MT"/>
                            <w:sz w:val="36"/>
                          </w:rPr>
                        </w:pPr>
                        <w:r>
                          <w:rPr>
                            <w:rFonts w:ascii="Arial MT"/>
                            <w:spacing w:val="-10"/>
                            <w:w w:val="70"/>
                            <w:sz w:val="36"/>
                          </w:rPr>
                          <w:t>5</w:t>
                        </w:r>
                      </w:p>
                    </w:txbxContent>
                  </v:textbox>
                  <w10:wrap type="none"/>
                </v:shape>
                <v:shape style="position:absolute;left:7019;top:4756;width:142;height:401" type="#_x0000_t202" id="docshape448" filled="false" stroked="false">
                  <v:textbox inset="0,0,0,0">
                    <w:txbxContent>
                      <w:p>
                        <w:pPr>
                          <w:spacing w:line="401" w:lineRule="exact" w:before="0"/>
                          <w:ind w:left="0" w:right="0" w:firstLine="0"/>
                          <w:jc w:val="left"/>
                          <w:rPr>
                            <w:rFonts w:ascii="Arial MT"/>
                            <w:sz w:val="36"/>
                          </w:rPr>
                        </w:pPr>
                        <w:r>
                          <w:rPr>
                            <w:rFonts w:ascii="Arial MT"/>
                            <w:spacing w:val="-10"/>
                            <w:w w:val="70"/>
                            <w:sz w:val="36"/>
                          </w:rPr>
                          <w:t>4</w:t>
                        </w:r>
                      </w:p>
                    </w:txbxContent>
                  </v:textbox>
                  <w10:wrap type="none"/>
                </v:shape>
                <v:shape style="position:absolute;left:6010;top:4756;width:142;height:401" type="#_x0000_t202" id="docshape449" filled="false" stroked="false">
                  <v:textbox inset="0,0,0,0">
                    <w:txbxContent>
                      <w:p>
                        <w:pPr>
                          <w:spacing w:line="401" w:lineRule="exact" w:before="0"/>
                          <w:ind w:left="0" w:right="0" w:firstLine="0"/>
                          <w:jc w:val="left"/>
                          <w:rPr>
                            <w:rFonts w:ascii="Arial MT"/>
                            <w:sz w:val="36"/>
                          </w:rPr>
                        </w:pPr>
                        <w:r>
                          <w:rPr>
                            <w:rFonts w:ascii="Arial MT"/>
                            <w:spacing w:val="-10"/>
                            <w:w w:val="70"/>
                            <w:sz w:val="36"/>
                          </w:rPr>
                          <w:t>3</w:t>
                        </w:r>
                      </w:p>
                    </w:txbxContent>
                  </v:textbox>
                  <w10:wrap type="none"/>
                </v:shape>
                <v:shape style="position:absolute;left:5002;top:4756;width:142;height:401" type="#_x0000_t202" id="docshape450" filled="false" stroked="false">
                  <v:textbox inset="0,0,0,0">
                    <w:txbxContent>
                      <w:p>
                        <w:pPr>
                          <w:spacing w:line="401" w:lineRule="exact" w:before="0"/>
                          <w:ind w:left="0" w:right="0" w:firstLine="0"/>
                          <w:jc w:val="left"/>
                          <w:rPr>
                            <w:rFonts w:ascii="Arial MT"/>
                            <w:sz w:val="36"/>
                          </w:rPr>
                        </w:pPr>
                        <w:r>
                          <w:rPr>
                            <w:rFonts w:ascii="Arial MT"/>
                            <w:spacing w:val="-10"/>
                            <w:w w:val="70"/>
                            <w:sz w:val="36"/>
                          </w:rPr>
                          <w:t>2</w:t>
                        </w:r>
                      </w:p>
                    </w:txbxContent>
                  </v:textbox>
                  <w10:wrap type="none"/>
                </v:shape>
                <v:shape style="position:absolute;left:4011;top:4756;width:142;height:401" type="#_x0000_t202" id="docshape451" filled="false" stroked="false">
                  <v:textbox inset="0,0,0,0">
                    <w:txbxContent>
                      <w:p>
                        <w:pPr>
                          <w:spacing w:line="401" w:lineRule="exact" w:before="0"/>
                          <w:ind w:left="0" w:right="0" w:firstLine="0"/>
                          <w:jc w:val="left"/>
                          <w:rPr>
                            <w:rFonts w:ascii="Arial MT"/>
                            <w:sz w:val="36"/>
                          </w:rPr>
                        </w:pPr>
                        <w:r>
                          <w:rPr>
                            <w:rFonts w:ascii="Arial MT"/>
                            <w:spacing w:val="-10"/>
                            <w:w w:val="70"/>
                            <w:sz w:val="36"/>
                          </w:rPr>
                          <w:t>1</w:t>
                        </w:r>
                      </w:p>
                    </w:txbxContent>
                  </v:textbox>
                  <w10:wrap type="none"/>
                </v:shape>
                <v:shape style="position:absolute;left:2969;top:5087;width:444;height:401" type="#_x0000_t202" id="docshape452" filled="false" stroked="false">
                  <v:textbox inset="0,0,0,0">
                    <w:txbxContent>
                      <w:p>
                        <w:pPr>
                          <w:spacing w:line="401" w:lineRule="exact" w:before="0"/>
                          <w:ind w:left="0" w:right="0" w:firstLine="0"/>
                          <w:jc w:val="left"/>
                          <w:rPr>
                            <w:rFonts w:ascii="Arial MT"/>
                            <w:sz w:val="36"/>
                          </w:rPr>
                        </w:pPr>
                        <w:r>
                          <w:rPr>
                            <w:rFonts w:ascii="Arial MT"/>
                            <w:spacing w:val="-6"/>
                            <w:w w:val="60"/>
                            <w:sz w:val="36"/>
                          </w:rPr>
                          <w:t>-</w:t>
                        </w:r>
                        <w:r>
                          <w:rPr>
                            <w:rFonts w:ascii="Arial MT"/>
                            <w:spacing w:val="-5"/>
                            <w:w w:val="60"/>
                            <w:sz w:val="36"/>
                          </w:rPr>
                          <w:t>500</w:t>
                        </w:r>
                      </w:p>
                    </w:txbxContent>
                  </v:textbox>
                  <w10:wrap type="none"/>
                </v:shape>
                <v:shape style="position:absolute;left:3271;top:4231;width:142;height:401" type="#_x0000_t202" id="docshape453" filled="false" stroked="false">
                  <v:textbox inset="0,0,0,0">
                    <w:txbxContent>
                      <w:p>
                        <w:pPr>
                          <w:spacing w:line="401" w:lineRule="exact" w:before="0"/>
                          <w:ind w:left="0" w:right="0" w:firstLine="0"/>
                          <w:jc w:val="left"/>
                          <w:rPr>
                            <w:rFonts w:ascii="Arial MT"/>
                            <w:sz w:val="36"/>
                          </w:rPr>
                        </w:pPr>
                        <w:r>
                          <w:rPr>
                            <w:rFonts w:ascii="Arial MT"/>
                            <w:spacing w:val="-10"/>
                            <w:w w:val="70"/>
                            <w:sz w:val="36"/>
                          </w:rPr>
                          <w:t>0</w:t>
                        </w:r>
                      </w:p>
                    </w:txbxContent>
                  </v:textbox>
                  <w10:wrap type="none"/>
                </v:shape>
                <v:shape style="position:absolute;left:3271;top:3025;width:6036;height:494" type="#_x0000_t202" id="docshape454" filled="false" stroked="false">
                  <v:textbox inset="0,0,0,0">
                    <w:txbxContent>
                      <w:p>
                        <w:pPr>
                          <w:spacing w:line="493" w:lineRule="exact" w:before="0"/>
                          <w:ind w:left="0" w:right="0" w:firstLine="0"/>
                          <w:jc w:val="left"/>
                          <w:rPr>
                            <w:rFonts w:ascii="Arial"/>
                            <w:b/>
                            <w:sz w:val="44"/>
                          </w:rPr>
                        </w:pPr>
                        <w:r>
                          <w:rPr>
                            <w:rFonts w:ascii="Arial"/>
                            <w:b/>
                            <w:w w:val="60"/>
                            <w:sz w:val="44"/>
                          </w:rPr>
                          <w:t>Effect</w:t>
                        </w:r>
                        <w:r>
                          <w:rPr>
                            <w:rFonts w:ascii="Arial"/>
                            <w:b/>
                            <w:spacing w:val="-4"/>
                            <w:w w:val="60"/>
                            <w:sz w:val="44"/>
                          </w:rPr>
                          <w:t> </w:t>
                        </w:r>
                        <w:r>
                          <w:rPr>
                            <w:rFonts w:ascii="Arial"/>
                            <w:b/>
                            <w:w w:val="60"/>
                            <w:sz w:val="44"/>
                          </w:rPr>
                          <w:t>of</w:t>
                        </w:r>
                        <w:r>
                          <w:rPr>
                            <w:rFonts w:ascii="Arial"/>
                            <w:b/>
                            <w:spacing w:val="-3"/>
                            <w:w w:val="60"/>
                            <w:sz w:val="44"/>
                          </w:rPr>
                          <w:t> </w:t>
                        </w:r>
                        <w:r>
                          <w:rPr>
                            <w:rFonts w:ascii="Arial"/>
                            <w:b/>
                            <w:w w:val="60"/>
                            <w:sz w:val="44"/>
                          </w:rPr>
                          <w:t>100</w:t>
                        </w:r>
                        <w:r>
                          <w:rPr>
                            <w:rFonts w:ascii="Arial"/>
                            <w:b/>
                            <w:spacing w:val="-45"/>
                            <w:sz w:val="44"/>
                          </w:rPr>
                          <w:t> </w:t>
                        </w:r>
                        <w:r>
                          <w:rPr>
                            <w:rFonts w:ascii="Arial"/>
                            <w:b/>
                            <w:w w:val="60"/>
                            <w:sz w:val="44"/>
                          </w:rPr>
                          <w:t>uM</w:t>
                        </w:r>
                        <w:r>
                          <w:rPr>
                            <w:rFonts w:ascii="Arial"/>
                            <w:b/>
                            <w:spacing w:val="-3"/>
                            <w:w w:val="60"/>
                            <w:sz w:val="44"/>
                          </w:rPr>
                          <w:t> </w:t>
                        </w:r>
                        <w:r>
                          <w:rPr>
                            <w:rFonts w:ascii="Arial"/>
                            <w:b/>
                            <w:w w:val="60"/>
                            <w:sz w:val="44"/>
                          </w:rPr>
                          <w:t>S23</w:t>
                        </w:r>
                        <w:r>
                          <w:rPr>
                            <w:rFonts w:ascii="Arial"/>
                            <w:b/>
                            <w:spacing w:val="-44"/>
                            <w:sz w:val="44"/>
                          </w:rPr>
                          <w:t> </w:t>
                        </w:r>
                        <w:r>
                          <w:rPr>
                            <w:rFonts w:ascii="Arial"/>
                            <w:b/>
                            <w:w w:val="60"/>
                            <w:sz w:val="44"/>
                          </w:rPr>
                          <w:t>on</w:t>
                        </w:r>
                        <w:r>
                          <w:rPr>
                            <w:rFonts w:ascii="Arial"/>
                            <w:b/>
                            <w:spacing w:val="-43"/>
                            <w:sz w:val="44"/>
                          </w:rPr>
                          <w:t> </w:t>
                        </w:r>
                        <w:r>
                          <w:rPr>
                            <w:rFonts w:ascii="Arial"/>
                            <w:b/>
                            <w:w w:val="60"/>
                            <w:sz w:val="44"/>
                          </w:rPr>
                          <w:t>NaV</w:t>
                        </w:r>
                        <w:r>
                          <w:rPr>
                            <w:rFonts w:ascii="Arial"/>
                            <w:b/>
                            <w:spacing w:val="-39"/>
                            <w:sz w:val="44"/>
                          </w:rPr>
                          <w:t> </w:t>
                        </w:r>
                        <w:r>
                          <w:rPr>
                            <w:rFonts w:ascii="Arial"/>
                            <w:b/>
                            <w:w w:val="60"/>
                            <w:sz w:val="44"/>
                          </w:rPr>
                          <w:t>1.6</w:t>
                        </w:r>
                        <w:r>
                          <w:rPr>
                            <w:rFonts w:ascii="Arial"/>
                            <w:b/>
                            <w:spacing w:val="-45"/>
                            <w:sz w:val="44"/>
                          </w:rPr>
                          <w:t> </w:t>
                        </w:r>
                        <w:r>
                          <w:rPr>
                            <w:rFonts w:ascii="Arial"/>
                            <w:b/>
                            <w:w w:val="60"/>
                            <w:sz w:val="44"/>
                          </w:rPr>
                          <w:t>Inward</w:t>
                        </w:r>
                        <w:r>
                          <w:rPr>
                            <w:rFonts w:ascii="Arial"/>
                            <w:b/>
                            <w:spacing w:val="-42"/>
                            <w:sz w:val="44"/>
                          </w:rPr>
                          <w:t> </w:t>
                        </w:r>
                        <w:r>
                          <w:rPr>
                            <w:rFonts w:ascii="Arial"/>
                            <w:b/>
                            <w:spacing w:val="-2"/>
                            <w:w w:val="60"/>
                            <w:sz w:val="44"/>
                          </w:rPr>
                          <w:t>Current</w:t>
                        </w:r>
                      </w:p>
                    </w:txbxContent>
                  </v:textbox>
                  <w10:wrap type="none"/>
                </v:shape>
                <v:shape style="position:absolute;left:8749;top:6903;width:1496;height:1739" type="#_x0000_t202" id="docshape455" filled="false" stroked="true" strokeweight="1.196521pt" strokecolor="#000000">
                  <v:textbox inset="0,0,0,0">
                    <w:txbxContent>
                      <w:p>
                        <w:pPr>
                          <w:spacing w:before="91"/>
                          <w:ind w:left="257" w:right="0" w:firstLine="0"/>
                          <w:jc w:val="left"/>
                          <w:rPr>
                            <w:rFonts w:ascii="Arial MT"/>
                            <w:sz w:val="36"/>
                          </w:rPr>
                        </w:pPr>
                        <w:r>
                          <w:rPr>
                            <w:rFonts w:ascii="Arial MT"/>
                            <w:spacing w:val="-2"/>
                            <w:w w:val="70"/>
                            <w:sz w:val="36"/>
                          </w:rPr>
                          <w:t>Control</w:t>
                        </w:r>
                      </w:p>
                      <w:p>
                        <w:pPr>
                          <w:spacing w:before="166"/>
                          <w:ind w:left="257" w:right="0" w:firstLine="0"/>
                          <w:jc w:val="left"/>
                          <w:rPr>
                            <w:rFonts w:ascii="Arial MT"/>
                            <w:sz w:val="36"/>
                          </w:rPr>
                        </w:pPr>
                        <w:r>
                          <w:rPr>
                            <w:rFonts w:ascii="Arial MT"/>
                            <w:spacing w:val="-4"/>
                            <w:w w:val="60"/>
                            <w:sz w:val="36"/>
                          </w:rPr>
                          <w:t>100</w:t>
                        </w:r>
                        <w:r>
                          <w:rPr>
                            <w:rFonts w:ascii="Arial MT"/>
                            <w:spacing w:val="-36"/>
                            <w:sz w:val="36"/>
                          </w:rPr>
                          <w:t> </w:t>
                        </w:r>
                        <w:r>
                          <w:rPr>
                            <w:rFonts w:ascii="Arial MT"/>
                            <w:spacing w:val="-4"/>
                            <w:w w:val="60"/>
                            <w:sz w:val="36"/>
                          </w:rPr>
                          <w:t>uM</w:t>
                        </w:r>
                        <w:r>
                          <w:rPr>
                            <w:rFonts w:ascii="Arial MT"/>
                            <w:spacing w:val="-28"/>
                            <w:sz w:val="36"/>
                          </w:rPr>
                          <w:t> </w:t>
                        </w:r>
                        <w:r>
                          <w:rPr>
                            <w:rFonts w:ascii="Arial MT"/>
                            <w:spacing w:val="-5"/>
                            <w:w w:val="60"/>
                            <w:sz w:val="36"/>
                          </w:rPr>
                          <w:t>S23</w:t>
                        </w:r>
                      </w:p>
                      <w:p>
                        <w:pPr>
                          <w:spacing w:before="166"/>
                          <w:ind w:left="257" w:right="0" w:firstLine="0"/>
                          <w:jc w:val="left"/>
                          <w:rPr>
                            <w:rFonts w:ascii="Arial MT"/>
                            <w:sz w:val="36"/>
                          </w:rPr>
                        </w:pPr>
                        <w:r>
                          <w:rPr>
                            <w:rFonts w:ascii="Arial MT"/>
                            <w:spacing w:val="-4"/>
                            <w:w w:val="70"/>
                            <w:sz w:val="36"/>
                          </w:rPr>
                          <w:t>Wash</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20800">
                <wp:simplePos x="0" y="0"/>
                <wp:positionH relativeFrom="page">
                  <wp:posOffset>1576259</wp:posOffset>
                </wp:positionH>
                <wp:positionV relativeFrom="page">
                  <wp:posOffset>3826535</wp:posOffset>
                </wp:positionV>
                <wp:extent cx="180975" cy="227012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180975" cy="2270125"/>
                        </a:xfrm>
                        <a:prstGeom prst="rect">
                          <a:avLst/>
                        </a:prstGeom>
                      </wps:spPr>
                      <wps:txbx>
                        <w:txbxContent>
                          <w:p>
                            <w:pPr>
                              <w:spacing w:before="11"/>
                              <w:ind w:left="20" w:right="0" w:firstLine="0"/>
                              <w:jc w:val="left"/>
                              <w:rPr>
                                <w:rFonts w:ascii="Arial"/>
                                <w:b/>
                                <w:sz w:val="22"/>
                              </w:rPr>
                            </w:pPr>
                            <w:r>
                              <w:rPr>
                                <w:rFonts w:ascii="Arial"/>
                                <w:b/>
                                <w:w w:val="165"/>
                                <w:sz w:val="22"/>
                              </w:rPr>
                              <w:t>Sodium</w:t>
                            </w:r>
                            <w:r>
                              <w:rPr>
                                <w:rFonts w:ascii="Arial"/>
                                <w:b/>
                                <w:spacing w:val="2"/>
                                <w:w w:val="165"/>
                                <w:sz w:val="22"/>
                              </w:rPr>
                              <w:t> </w:t>
                            </w:r>
                            <w:r>
                              <w:rPr>
                                <w:rFonts w:ascii="Arial"/>
                                <w:b/>
                                <w:w w:val="165"/>
                                <w:sz w:val="22"/>
                              </w:rPr>
                              <w:t>Current</w:t>
                            </w:r>
                            <w:r>
                              <w:rPr>
                                <w:rFonts w:ascii="Arial"/>
                                <w:b/>
                                <w:spacing w:val="-15"/>
                                <w:w w:val="165"/>
                                <w:sz w:val="22"/>
                              </w:rPr>
                              <w:t> </w:t>
                            </w:r>
                            <w:r>
                              <w:rPr>
                                <w:rFonts w:ascii="Arial"/>
                                <w:b/>
                                <w:spacing w:val="-4"/>
                                <w:w w:val="165"/>
                                <w:sz w:val="22"/>
                              </w:rPr>
                              <w:t>(pA)</w:t>
                            </w:r>
                          </w:p>
                        </w:txbxContent>
                      </wps:txbx>
                      <wps:bodyPr wrap="square" lIns="0" tIns="0" rIns="0" bIns="0" rtlCol="0" vert="vert270">
                        <a:noAutofit/>
                      </wps:bodyPr>
                    </wps:wsp>
                  </a:graphicData>
                </a:graphic>
              </wp:anchor>
            </w:drawing>
          </mc:Choice>
          <mc:Fallback>
            <w:pict>
              <v:shape style="position:absolute;margin-left:124.114937pt;margin-top:301.302002pt;width:14.25pt;height:178.75pt;mso-position-horizontal-relative:page;mso-position-vertical-relative:page;z-index:15820800" type="#_x0000_t202" id="docshape456" filled="false" stroked="false">
                <v:textbox inset="0,0,0,0" style="layout-flow:vertical;mso-layout-flow-alt:bottom-to-top">
                  <w:txbxContent>
                    <w:p>
                      <w:pPr>
                        <w:spacing w:before="11"/>
                        <w:ind w:left="20" w:right="0" w:firstLine="0"/>
                        <w:jc w:val="left"/>
                        <w:rPr>
                          <w:rFonts w:ascii="Arial"/>
                          <w:b/>
                          <w:sz w:val="22"/>
                        </w:rPr>
                      </w:pPr>
                      <w:r>
                        <w:rPr>
                          <w:rFonts w:ascii="Arial"/>
                          <w:b/>
                          <w:w w:val="165"/>
                          <w:sz w:val="22"/>
                        </w:rPr>
                        <w:t>Sodium</w:t>
                      </w:r>
                      <w:r>
                        <w:rPr>
                          <w:rFonts w:ascii="Arial"/>
                          <w:b/>
                          <w:spacing w:val="2"/>
                          <w:w w:val="165"/>
                          <w:sz w:val="22"/>
                        </w:rPr>
                        <w:t> </w:t>
                      </w:r>
                      <w:r>
                        <w:rPr>
                          <w:rFonts w:ascii="Arial"/>
                          <w:b/>
                          <w:w w:val="165"/>
                          <w:sz w:val="22"/>
                        </w:rPr>
                        <w:t>Current</w:t>
                      </w:r>
                      <w:r>
                        <w:rPr>
                          <w:rFonts w:ascii="Arial"/>
                          <w:b/>
                          <w:spacing w:val="-15"/>
                          <w:w w:val="165"/>
                          <w:sz w:val="22"/>
                        </w:rPr>
                        <w:t> </w:t>
                      </w:r>
                      <w:r>
                        <w:rPr>
                          <w:rFonts w:ascii="Arial"/>
                          <w:b/>
                          <w:spacing w:val="-4"/>
                          <w:w w:val="165"/>
                          <w:sz w:val="22"/>
                        </w:rPr>
                        <w:t>(pA)</w:t>
                      </w:r>
                    </w:p>
                  </w:txbxContent>
                </v:textbox>
                <w10:wrap type="none"/>
              </v:shape>
            </w:pict>
          </mc:Fallback>
        </mc:AlternateContent>
      </w:r>
    </w:p>
    <w:p>
      <w:pPr>
        <w:spacing w:after="0"/>
        <w:rPr>
          <w:rFonts w:ascii="Arial MT"/>
          <w:sz w:val="17"/>
        </w:rPr>
        <w:sectPr>
          <w:pgSz w:w="12240" w:h="15840"/>
          <w:pgMar w:header="0" w:footer="1066" w:top="1820" w:bottom="1260" w:left="1480" w:right="1160"/>
        </w:sectPr>
      </w:pPr>
    </w:p>
    <w:p>
      <w:pPr>
        <w:pStyle w:val="BodyText"/>
        <w:ind w:left="749"/>
        <w:rPr>
          <w:rFonts w:ascii="Arial MT"/>
          <w:sz w:val="20"/>
        </w:rPr>
      </w:pPr>
      <w:r>
        <w:rPr>
          <w:rFonts w:ascii="Arial MT"/>
          <w:sz w:val="20"/>
        </w:rPr>
        <mc:AlternateContent>
          <mc:Choice Requires="wps">
            <w:drawing>
              <wp:inline distT="0" distB="0" distL="0" distR="0">
                <wp:extent cx="5172075" cy="5038725"/>
                <wp:effectExtent l="0" t="0" r="0" b="0"/>
                <wp:docPr id="572" name="Group 572"/>
                <wp:cNvGraphicFramePr>
                  <a:graphicFrameLocks/>
                </wp:cNvGraphicFramePr>
                <a:graphic>
                  <a:graphicData uri="http://schemas.microsoft.com/office/word/2010/wordprocessingGroup">
                    <wpg:wgp>
                      <wpg:cNvPr id="572" name="Group 572"/>
                      <wpg:cNvGrpSpPr/>
                      <wpg:grpSpPr>
                        <a:xfrm>
                          <a:off x="0" y="0"/>
                          <a:ext cx="5172075" cy="5038725"/>
                          <a:chExt cx="5172075" cy="5038725"/>
                        </a:xfrm>
                      </wpg:grpSpPr>
                      <wps:wsp>
                        <wps:cNvPr id="573" name="Graphic 573"/>
                        <wps:cNvSpPr/>
                        <wps:spPr>
                          <a:xfrm>
                            <a:off x="4753" y="4753"/>
                            <a:ext cx="5162550" cy="5029200"/>
                          </a:xfrm>
                          <a:custGeom>
                            <a:avLst/>
                            <a:gdLst/>
                            <a:ahLst/>
                            <a:cxnLst/>
                            <a:rect l="l" t="t" r="r" b="b"/>
                            <a:pathLst>
                              <a:path w="5162550" h="5029200">
                                <a:moveTo>
                                  <a:pt x="0" y="5028592"/>
                                </a:moveTo>
                                <a:lnTo>
                                  <a:pt x="5162239" y="5028592"/>
                                </a:lnTo>
                                <a:lnTo>
                                  <a:pt x="5162239" y="0"/>
                                </a:lnTo>
                                <a:lnTo>
                                  <a:pt x="0" y="0"/>
                                </a:lnTo>
                                <a:lnTo>
                                  <a:pt x="0" y="5028592"/>
                                </a:lnTo>
                                <a:close/>
                              </a:path>
                            </a:pathLst>
                          </a:custGeom>
                          <a:ln w="9506">
                            <a:solidFill>
                              <a:srgbClr val="000000"/>
                            </a:solidFill>
                            <a:prstDash val="solid"/>
                          </a:ln>
                        </wps:spPr>
                        <wps:bodyPr wrap="square" lIns="0" tIns="0" rIns="0" bIns="0" rtlCol="0">
                          <a:prstTxWarp prst="textNoShape">
                            <a:avLst/>
                          </a:prstTxWarp>
                          <a:noAutofit/>
                        </wps:bodyPr>
                      </wps:wsp>
                      <wps:wsp>
                        <wps:cNvPr id="574" name="Graphic 574"/>
                        <wps:cNvSpPr/>
                        <wps:spPr>
                          <a:xfrm>
                            <a:off x="1152551" y="133468"/>
                            <a:ext cx="3781425" cy="4619625"/>
                          </a:xfrm>
                          <a:custGeom>
                            <a:avLst/>
                            <a:gdLst/>
                            <a:ahLst/>
                            <a:cxnLst/>
                            <a:rect l="l" t="t" r="r" b="b"/>
                            <a:pathLst>
                              <a:path w="3781425" h="4619625">
                                <a:moveTo>
                                  <a:pt x="0" y="0"/>
                                </a:moveTo>
                                <a:lnTo>
                                  <a:pt x="3771445" y="0"/>
                                </a:lnTo>
                              </a:path>
                              <a:path w="3781425" h="4619625">
                                <a:moveTo>
                                  <a:pt x="3781206" y="0"/>
                                </a:moveTo>
                                <a:lnTo>
                                  <a:pt x="3781206" y="4609617"/>
                                </a:lnTo>
                              </a:path>
                              <a:path w="3781425" h="4619625">
                                <a:moveTo>
                                  <a:pt x="3781206" y="4619123"/>
                                </a:moveTo>
                                <a:lnTo>
                                  <a:pt x="9506" y="4619123"/>
                                </a:lnTo>
                              </a:path>
                              <a:path w="3781425" h="4619625">
                                <a:moveTo>
                                  <a:pt x="0" y="4619123"/>
                                </a:moveTo>
                                <a:lnTo>
                                  <a:pt x="0" y="9506"/>
                                </a:lnTo>
                              </a:path>
                            </a:pathLst>
                          </a:custGeom>
                          <a:ln w="9506">
                            <a:solidFill>
                              <a:srgbClr val="CCFFCC"/>
                            </a:solidFill>
                            <a:prstDash val="solid"/>
                          </a:ln>
                        </wps:spPr>
                        <wps:bodyPr wrap="square" lIns="0" tIns="0" rIns="0" bIns="0" rtlCol="0">
                          <a:prstTxWarp prst="textNoShape">
                            <a:avLst/>
                          </a:prstTxWarp>
                          <a:noAutofit/>
                        </wps:bodyPr>
                      </wps:wsp>
                      <wps:wsp>
                        <wps:cNvPr id="575" name="Graphic 575"/>
                        <wps:cNvSpPr/>
                        <wps:spPr>
                          <a:xfrm>
                            <a:off x="1114523" y="133468"/>
                            <a:ext cx="3819525" cy="4657725"/>
                          </a:xfrm>
                          <a:custGeom>
                            <a:avLst/>
                            <a:gdLst/>
                            <a:ahLst/>
                            <a:cxnLst/>
                            <a:rect l="l" t="t" r="r" b="b"/>
                            <a:pathLst>
                              <a:path w="3819525" h="4657725">
                                <a:moveTo>
                                  <a:pt x="38027" y="0"/>
                                </a:moveTo>
                                <a:lnTo>
                                  <a:pt x="38027" y="4609617"/>
                                </a:lnTo>
                              </a:path>
                              <a:path w="3819525" h="4657725">
                                <a:moveTo>
                                  <a:pt x="0" y="4619123"/>
                                </a:moveTo>
                                <a:lnTo>
                                  <a:pt x="28520" y="4619123"/>
                                </a:lnTo>
                              </a:path>
                              <a:path w="3819525" h="4657725">
                                <a:moveTo>
                                  <a:pt x="0" y="3847526"/>
                                </a:moveTo>
                                <a:lnTo>
                                  <a:pt x="28520" y="3847526"/>
                                </a:lnTo>
                              </a:path>
                              <a:path w="3819525" h="4657725">
                                <a:moveTo>
                                  <a:pt x="0" y="3076246"/>
                                </a:moveTo>
                                <a:lnTo>
                                  <a:pt x="28520" y="3076246"/>
                                </a:lnTo>
                              </a:path>
                              <a:path w="3819525" h="4657725">
                                <a:moveTo>
                                  <a:pt x="0" y="2304713"/>
                                </a:moveTo>
                                <a:lnTo>
                                  <a:pt x="28520" y="2304713"/>
                                </a:lnTo>
                              </a:path>
                              <a:path w="3819525" h="4657725">
                                <a:moveTo>
                                  <a:pt x="0" y="1542813"/>
                                </a:moveTo>
                                <a:lnTo>
                                  <a:pt x="28520" y="1542813"/>
                                </a:lnTo>
                              </a:path>
                              <a:path w="3819525" h="4657725">
                                <a:moveTo>
                                  <a:pt x="0" y="771279"/>
                                </a:moveTo>
                                <a:lnTo>
                                  <a:pt x="28520" y="771279"/>
                                </a:lnTo>
                              </a:path>
                              <a:path w="3819525" h="4657725">
                                <a:moveTo>
                                  <a:pt x="0" y="0"/>
                                </a:moveTo>
                                <a:lnTo>
                                  <a:pt x="28520" y="0"/>
                                </a:lnTo>
                              </a:path>
                              <a:path w="3819525" h="4657725">
                                <a:moveTo>
                                  <a:pt x="38027" y="4619123"/>
                                </a:moveTo>
                                <a:lnTo>
                                  <a:pt x="3809473" y="4619123"/>
                                </a:lnTo>
                              </a:path>
                              <a:path w="3819525" h="4657725">
                                <a:moveTo>
                                  <a:pt x="38027" y="4657148"/>
                                </a:moveTo>
                                <a:lnTo>
                                  <a:pt x="38027" y="4628629"/>
                                </a:lnTo>
                              </a:path>
                              <a:path w="3819525" h="4657725">
                                <a:moveTo>
                                  <a:pt x="1295218" y="4657148"/>
                                </a:moveTo>
                                <a:lnTo>
                                  <a:pt x="1295218" y="4628629"/>
                                </a:lnTo>
                              </a:path>
                              <a:path w="3819525" h="4657725">
                                <a:moveTo>
                                  <a:pt x="2561789" y="4657148"/>
                                </a:moveTo>
                                <a:lnTo>
                                  <a:pt x="2561789" y="4628629"/>
                                </a:lnTo>
                              </a:path>
                              <a:path w="3819525" h="4657725">
                                <a:moveTo>
                                  <a:pt x="3819233" y="4657148"/>
                                </a:moveTo>
                                <a:lnTo>
                                  <a:pt x="3819233" y="4628629"/>
                                </a:lnTo>
                              </a:path>
                            </a:pathLst>
                          </a:custGeom>
                          <a:ln w="9506">
                            <a:solidFill>
                              <a:srgbClr val="000000"/>
                            </a:solidFill>
                            <a:prstDash val="solid"/>
                          </a:ln>
                        </wps:spPr>
                        <wps:bodyPr wrap="square" lIns="0" tIns="0" rIns="0" bIns="0" rtlCol="0">
                          <a:prstTxWarp prst="textNoShape">
                            <a:avLst/>
                          </a:prstTxWarp>
                          <a:noAutofit/>
                        </wps:bodyPr>
                      </wps:wsp>
                      <wps:wsp>
                        <wps:cNvPr id="576" name="Graphic 576"/>
                        <wps:cNvSpPr/>
                        <wps:spPr>
                          <a:xfrm>
                            <a:off x="1752499" y="971546"/>
                            <a:ext cx="2905125" cy="3761740"/>
                          </a:xfrm>
                          <a:custGeom>
                            <a:avLst/>
                            <a:gdLst/>
                            <a:ahLst/>
                            <a:cxnLst/>
                            <a:rect l="l" t="t" r="r" b="b"/>
                            <a:pathLst>
                              <a:path w="2905125" h="3761740">
                                <a:moveTo>
                                  <a:pt x="2904924" y="0"/>
                                </a:moveTo>
                                <a:lnTo>
                                  <a:pt x="2866897" y="9506"/>
                                </a:lnTo>
                                <a:lnTo>
                                  <a:pt x="2818982" y="19012"/>
                                </a:lnTo>
                                <a:lnTo>
                                  <a:pt x="2723913" y="38025"/>
                                </a:lnTo>
                                <a:lnTo>
                                  <a:pt x="2676378" y="57037"/>
                                </a:lnTo>
                                <a:lnTo>
                                  <a:pt x="2628591" y="76050"/>
                                </a:lnTo>
                                <a:lnTo>
                                  <a:pt x="2571549" y="114075"/>
                                </a:lnTo>
                                <a:lnTo>
                                  <a:pt x="2524015" y="161987"/>
                                </a:lnTo>
                              </a:path>
                              <a:path w="2905125" h="3761740">
                                <a:moveTo>
                                  <a:pt x="2524015" y="161987"/>
                                </a:moveTo>
                                <a:lnTo>
                                  <a:pt x="2457213" y="247544"/>
                                </a:lnTo>
                                <a:lnTo>
                                  <a:pt x="2381158" y="352494"/>
                                </a:lnTo>
                                <a:lnTo>
                                  <a:pt x="2305103" y="476330"/>
                                </a:lnTo>
                                <a:lnTo>
                                  <a:pt x="2219161" y="609418"/>
                                </a:lnTo>
                                <a:lnTo>
                                  <a:pt x="2057290" y="885736"/>
                                </a:lnTo>
                                <a:lnTo>
                                  <a:pt x="1981235" y="1019078"/>
                                </a:lnTo>
                                <a:lnTo>
                                  <a:pt x="1923813" y="1142660"/>
                                </a:lnTo>
                              </a:path>
                              <a:path w="2905125" h="3761740">
                                <a:moveTo>
                                  <a:pt x="1923813" y="1142660"/>
                                </a:moveTo>
                                <a:lnTo>
                                  <a:pt x="1876279" y="1257116"/>
                                </a:lnTo>
                                <a:lnTo>
                                  <a:pt x="1828744" y="1362066"/>
                                </a:lnTo>
                                <a:lnTo>
                                  <a:pt x="1771450" y="1561952"/>
                                </a:lnTo>
                                <a:lnTo>
                                  <a:pt x="1704901" y="1771472"/>
                                </a:lnTo>
                                <a:lnTo>
                                  <a:pt x="1676381" y="1876295"/>
                                </a:lnTo>
                                <a:lnTo>
                                  <a:pt x="1638353" y="1990371"/>
                                </a:lnTo>
                              </a:path>
                              <a:path w="2905125" h="3761740">
                                <a:moveTo>
                                  <a:pt x="1638353" y="1990371"/>
                                </a:moveTo>
                                <a:lnTo>
                                  <a:pt x="1599945" y="2114206"/>
                                </a:lnTo>
                                <a:lnTo>
                                  <a:pt x="1552411" y="2238169"/>
                                </a:lnTo>
                                <a:lnTo>
                                  <a:pt x="1466849" y="2514232"/>
                                </a:lnTo>
                                <a:lnTo>
                                  <a:pt x="1419061" y="2647575"/>
                                </a:lnTo>
                                <a:lnTo>
                                  <a:pt x="1371526" y="2781043"/>
                                </a:lnTo>
                                <a:lnTo>
                                  <a:pt x="1314485" y="2895056"/>
                                </a:lnTo>
                                <a:lnTo>
                                  <a:pt x="1257064" y="3009449"/>
                                </a:lnTo>
                              </a:path>
                              <a:path w="2905125" h="3761740">
                                <a:moveTo>
                                  <a:pt x="1257064" y="3009449"/>
                                </a:moveTo>
                                <a:lnTo>
                                  <a:pt x="1123967" y="3209398"/>
                                </a:lnTo>
                                <a:lnTo>
                                  <a:pt x="971603" y="3380829"/>
                                </a:lnTo>
                                <a:lnTo>
                                  <a:pt x="895168" y="3466703"/>
                                </a:lnTo>
                                <a:lnTo>
                                  <a:pt x="819113" y="3533247"/>
                                </a:lnTo>
                                <a:lnTo>
                                  <a:pt x="733297" y="3600108"/>
                                </a:lnTo>
                                <a:lnTo>
                                  <a:pt x="657242" y="3647640"/>
                                </a:lnTo>
                              </a:path>
                              <a:path w="2905125" h="3761740">
                                <a:moveTo>
                                  <a:pt x="657242" y="3647640"/>
                                </a:moveTo>
                                <a:lnTo>
                                  <a:pt x="581187" y="3685665"/>
                                </a:lnTo>
                                <a:lnTo>
                                  <a:pt x="495245" y="3714184"/>
                                </a:lnTo>
                                <a:lnTo>
                                  <a:pt x="419190" y="3733197"/>
                                </a:lnTo>
                                <a:lnTo>
                                  <a:pt x="333374" y="3733197"/>
                                </a:lnTo>
                                <a:lnTo>
                                  <a:pt x="161870" y="3742703"/>
                                </a:lnTo>
                                <a:lnTo>
                                  <a:pt x="85815" y="3752210"/>
                                </a:lnTo>
                                <a:lnTo>
                                  <a:pt x="0" y="3761716"/>
                                </a:lnTo>
                              </a:path>
                            </a:pathLst>
                          </a:custGeom>
                          <a:ln w="9506">
                            <a:solidFill>
                              <a:srgbClr val="000000"/>
                            </a:solidFill>
                            <a:prstDash val="solid"/>
                          </a:ln>
                        </wps:spPr>
                        <wps:bodyPr wrap="square" lIns="0" tIns="0" rIns="0" bIns="0" rtlCol="0">
                          <a:prstTxWarp prst="textNoShape">
                            <a:avLst/>
                          </a:prstTxWarp>
                          <a:noAutofit/>
                        </wps:bodyPr>
                      </wps:wsp>
                      <pic:pic>
                        <pic:nvPicPr>
                          <pic:cNvPr id="577" name="Image 577"/>
                          <pic:cNvPicPr/>
                        </pic:nvPicPr>
                        <pic:blipFill>
                          <a:blip r:embed="rId73" cstate="print"/>
                          <a:stretch>
                            <a:fillRect/>
                          </a:stretch>
                        </pic:blipFill>
                        <pic:spPr>
                          <a:xfrm>
                            <a:off x="4581432" y="904685"/>
                            <a:ext cx="133096" cy="133469"/>
                          </a:xfrm>
                          <a:prstGeom prst="rect">
                            <a:avLst/>
                          </a:prstGeom>
                        </pic:spPr>
                      </pic:pic>
                      <pic:pic>
                        <pic:nvPicPr>
                          <pic:cNvPr id="578" name="Image 578"/>
                          <pic:cNvPicPr/>
                        </pic:nvPicPr>
                        <pic:blipFill>
                          <a:blip r:embed="rId74" cstate="print"/>
                          <a:stretch>
                            <a:fillRect/>
                          </a:stretch>
                        </pic:blipFill>
                        <pic:spPr>
                          <a:xfrm>
                            <a:off x="4200142" y="1000128"/>
                            <a:ext cx="133476" cy="133342"/>
                          </a:xfrm>
                          <a:prstGeom prst="rect">
                            <a:avLst/>
                          </a:prstGeom>
                        </pic:spPr>
                      </pic:pic>
                      <pic:pic>
                        <pic:nvPicPr>
                          <pic:cNvPr id="579" name="Image 579"/>
                          <pic:cNvPicPr/>
                        </pic:nvPicPr>
                        <pic:blipFill>
                          <a:blip r:embed="rId75" cstate="print"/>
                          <a:stretch>
                            <a:fillRect/>
                          </a:stretch>
                        </pic:blipFill>
                        <pic:spPr>
                          <a:xfrm>
                            <a:off x="3600194" y="2038219"/>
                            <a:ext cx="133476" cy="133342"/>
                          </a:xfrm>
                          <a:prstGeom prst="rect">
                            <a:avLst/>
                          </a:prstGeom>
                        </pic:spPr>
                      </pic:pic>
                      <pic:pic>
                        <pic:nvPicPr>
                          <pic:cNvPr id="580" name="Image 580"/>
                          <pic:cNvPicPr/>
                        </pic:nvPicPr>
                        <pic:blipFill>
                          <a:blip r:embed="rId76" cstate="print"/>
                          <a:stretch>
                            <a:fillRect/>
                          </a:stretch>
                        </pic:blipFill>
                        <pic:spPr>
                          <a:xfrm>
                            <a:off x="3314481" y="2876297"/>
                            <a:ext cx="133349" cy="133469"/>
                          </a:xfrm>
                          <a:prstGeom prst="rect">
                            <a:avLst/>
                          </a:prstGeom>
                        </pic:spPr>
                      </pic:pic>
                      <pic:pic>
                        <pic:nvPicPr>
                          <pic:cNvPr id="581" name="Image 581"/>
                          <pic:cNvPicPr/>
                        </pic:nvPicPr>
                        <pic:blipFill>
                          <a:blip r:embed="rId77" cstate="print"/>
                          <a:stretch>
                            <a:fillRect/>
                          </a:stretch>
                        </pic:blipFill>
                        <pic:spPr>
                          <a:xfrm>
                            <a:off x="2933571" y="3980995"/>
                            <a:ext cx="133349" cy="133405"/>
                          </a:xfrm>
                          <a:prstGeom prst="rect">
                            <a:avLst/>
                          </a:prstGeom>
                        </pic:spPr>
                      </pic:pic>
                      <pic:pic>
                        <pic:nvPicPr>
                          <pic:cNvPr id="582" name="Image 582"/>
                          <pic:cNvPicPr/>
                        </pic:nvPicPr>
                        <pic:blipFill>
                          <a:blip r:embed="rId78" cstate="print"/>
                          <a:stretch>
                            <a:fillRect/>
                          </a:stretch>
                        </pic:blipFill>
                        <pic:spPr>
                          <a:xfrm>
                            <a:off x="2333624" y="4304844"/>
                            <a:ext cx="133096" cy="133405"/>
                          </a:xfrm>
                          <a:prstGeom prst="rect">
                            <a:avLst/>
                          </a:prstGeom>
                        </pic:spPr>
                      </pic:pic>
                      <pic:pic>
                        <pic:nvPicPr>
                          <pic:cNvPr id="583" name="Image 583"/>
                          <pic:cNvPicPr/>
                        </pic:nvPicPr>
                        <pic:blipFill>
                          <a:blip r:embed="rId79" cstate="print"/>
                          <a:stretch>
                            <a:fillRect/>
                          </a:stretch>
                        </pic:blipFill>
                        <pic:spPr>
                          <a:xfrm>
                            <a:off x="1676381" y="4676225"/>
                            <a:ext cx="133476" cy="133405"/>
                          </a:xfrm>
                          <a:prstGeom prst="rect">
                            <a:avLst/>
                          </a:prstGeom>
                        </pic:spPr>
                      </pic:pic>
                      <wps:wsp>
                        <wps:cNvPr id="584" name="Graphic 584"/>
                        <wps:cNvSpPr/>
                        <wps:spPr>
                          <a:xfrm>
                            <a:off x="4753" y="4753"/>
                            <a:ext cx="5162550" cy="5029200"/>
                          </a:xfrm>
                          <a:custGeom>
                            <a:avLst/>
                            <a:gdLst/>
                            <a:ahLst/>
                            <a:cxnLst/>
                            <a:rect l="l" t="t" r="r" b="b"/>
                            <a:pathLst>
                              <a:path w="5162550" h="5029200">
                                <a:moveTo>
                                  <a:pt x="0" y="5028592"/>
                                </a:moveTo>
                                <a:lnTo>
                                  <a:pt x="5162239" y="5028592"/>
                                </a:lnTo>
                                <a:lnTo>
                                  <a:pt x="5162239" y="0"/>
                                </a:lnTo>
                                <a:lnTo>
                                  <a:pt x="0" y="0"/>
                                </a:lnTo>
                                <a:lnTo>
                                  <a:pt x="0" y="5028592"/>
                                </a:lnTo>
                                <a:close/>
                              </a:path>
                            </a:pathLst>
                          </a:custGeom>
                          <a:ln w="9506">
                            <a:solidFill>
                              <a:srgbClr val="000000"/>
                            </a:solidFill>
                            <a:prstDash val="solid"/>
                          </a:ln>
                        </wps:spPr>
                        <wps:bodyPr wrap="square" lIns="0" tIns="0" rIns="0" bIns="0" rtlCol="0">
                          <a:prstTxWarp prst="textNoShape">
                            <a:avLst/>
                          </a:prstTxWarp>
                          <a:noAutofit/>
                        </wps:bodyPr>
                      </wps:wsp>
                      <wps:wsp>
                        <wps:cNvPr id="585" name="Textbox 585"/>
                        <wps:cNvSpPr txBox="1"/>
                        <wps:spPr>
                          <a:xfrm>
                            <a:off x="4795590" y="4863245"/>
                            <a:ext cx="279400" cy="128270"/>
                          </a:xfrm>
                          <a:prstGeom prst="rect">
                            <a:avLst/>
                          </a:prstGeom>
                        </wps:spPr>
                        <wps:txbx>
                          <w:txbxContent>
                            <w:p>
                              <w:pPr>
                                <w:spacing w:line="201" w:lineRule="exact" w:before="0"/>
                                <w:ind w:left="0" w:right="0" w:firstLine="0"/>
                                <w:jc w:val="left"/>
                                <w:rPr>
                                  <w:rFonts w:ascii="Arial MT"/>
                                  <w:sz w:val="18"/>
                                </w:rPr>
                              </w:pPr>
                              <w:r>
                                <w:rPr>
                                  <w:rFonts w:ascii="Arial MT"/>
                                  <w:spacing w:val="-4"/>
                                  <w:sz w:val="18"/>
                                </w:rPr>
                                <w:t>1000</w:t>
                              </w:r>
                            </w:p>
                          </w:txbxContent>
                        </wps:txbx>
                        <wps:bodyPr wrap="square" lIns="0" tIns="0" rIns="0" bIns="0" rtlCol="0">
                          <a:noAutofit/>
                        </wps:bodyPr>
                      </wps:wsp>
                      <wps:wsp>
                        <wps:cNvPr id="586" name="Textbox 586"/>
                        <wps:cNvSpPr txBox="1"/>
                        <wps:spPr>
                          <a:xfrm>
                            <a:off x="3576427" y="4863245"/>
                            <a:ext cx="212725" cy="128270"/>
                          </a:xfrm>
                          <a:prstGeom prst="rect">
                            <a:avLst/>
                          </a:prstGeom>
                        </wps:spPr>
                        <wps:txbx>
                          <w:txbxContent>
                            <w:p>
                              <w:pPr>
                                <w:spacing w:line="201" w:lineRule="exact" w:before="0"/>
                                <w:ind w:left="0" w:right="0" w:firstLine="0"/>
                                <w:jc w:val="left"/>
                                <w:rPr>
                                  <w:rFonts w:ascii="Arial MT"/>
                                  <w:sz w:val="18"/>
                                </w:rPr>
                              </w:pPr>
                              <w:r>
                                <w:rPr>
                                  <w:rFonts w:ascii="Arial MT"/>
                                  <w:spacing w:val="-5"/>
                                  <w:sz w:val="18"/>
                                </w:rPr>
                                <w:t>100</w:t>
                              </w:r>
                            </w:p>
                          </w:txbxContent>
                        </wps:txbx>
                        <wps:bodyPr wrap="square" lIns="0" tIns="0" rIns="0" bIns="0" rtlCol="0">
                          <a:noAutofit/>
                        </wps:bodyPr>
                      </wps:wsp>
                      <wps:wsp>
                        <wps:cNvPr id="587" name="Textbox 587"/>
                        <wps:cNvSpPr txBox="1"/>
                        <wps:spPr>
                          <a:xfrm>
                            <a:off x="2338377" y="4863245"/>
                            <a:ext cx="146050" cy="128270"/>
                          </a:xfrm>
                          <a:prstGeom prst="rect">
                            <a:avLst/>
                          </a:prstGeom>
                        </wps:spPr>
                        <wps:txbx>
                          <w:txbxContent>
                            <w:p>
                              <w:pPr>
                                <w:spacing w:line="201" w:lineRule="exact" w:before="0"/>
                                <w:ind w:left="0" w:right="0" w:firstLine="0"/>
                                <w:jc w:val="left"/>
                                <w:rPr>
                                  <w:rFonts w:ascii="Arial MT"/>
                                  <w:sz w:val="18"/>
                                </w:rPr>
                              </w:pPr>
                              <w:r>
                                <w:rPr>
                                  <w:rFonts w:ascii="Arial MT"/>
                                  <w:spacing w:val="-5"/>
                                  <w:sz w:val="18"/>
                                </w:rPr>
                                <w:t>10</w:t>
                              </w:r>
                            </w:p>
                          </w:txbxContent>
                        </wps:txbx>
                        <wps:bodyPr wrap="square" lIns="0" tIns="0" rIns="0" bIns="0" rtlCol="0">
                          <a:noAutofit/>
                        </wps:bodyPr>
                      </wps:wsp>
                      <wps:wsp>
                        <wps:cNvPr id="588" name="Textbox 588"/>
                        <wps:cNvSpPr txBox="1"/>
                        <wps:spPr>
                          <a:xfrm>
                            <a:off x="1119277" y="4863245"/>
                            <a:ext cx="76835" cy="128270"/>
                          </a:xfrm>
                          <a:prstGeom prst="rect">
                            <a:avLst/>
                          </a:prstGeom>
                        </wps:spPr>
                        <wps:txbx>
                          <w:txbxContent>
                            <w:p>
                              <w:pPr>
                                <w:spacing w:line="201" w:lineRule="exact" w:before="0"/>
                                <w:ind w:left="0" w:right="0" w:firstLine="0"/>
                                <w:jc w:val="left"/>
                                <w:rPr>
                                  <w:rFonts w:ascii="Arial MT"/>
                                  <w:sz w:val="18"/>
                                </w:rPr>
                              </w:pPr>
                              <w:r>
                                <w:rPr>
                                  <w:rFonts w:ascii="Arial MT"/>
                                  <w:spacing w:val="-10"/>
                                  <w:sz w:val="18"/>
                                </w:rPr>
                                <w:t>1</w:t>
                              </w:r>
                            </w:p>
                          </w:txbxContent>
                        </wps:txbx>
                        <wps:bodyPr wrap="square" lIns="0" tIns="0" rIns="0" bIns="0" rtlCol="0">
                          <a:noAutofit/>
                        </wps:bodyPr>
                      </wps:wsp>
                      <wps:wsp>
                        <wps:cNvPr id="589" name="Textbox 589"/>
                        <wps:cNvSpPr txBox="1"/>
                        <wps:spPr>
                          <a:xfrm>
                            <a:off x="985864" y="4682307"/>
                            <a:ext cx="76835" cy="128270"/>
                          </a:xfrm>
                          <a:prstGeom prst="rect">
                            <a:avLst/>
                          </a:prstGeom>
                        </wps:spPr>
                        <wps:txbx>
                          <w:txbxContent>
                            <w:p>
                              <w:pPr>
                                <w:spacing w:line="201" w:lineRule="exact" w:before="0"/>
                                <w:ind w:left="0" w:right="0" w:firstLine="0"/>
                                <w:jc w:val="left"/>
                                <w:rPr>
                                  <w:rFonts w:ascii="Arial MT"/>
                                  <w:sz w:val="18"/>
                                </w:rPr>
                              </w:pPr>
                              <w:r>
                                <w:rPr>
                                  <w:rFonts w:ascii="Arial MT"/>
                                  <w:spacing w:val="-10"/>
                                  <w:sz w:val="18"/>
                                </w:rPr>
                                <w:t>0</w:t>
                              </w:r>
                            </w:p>
                          </w:txbxContent>
                        </wps:txbx>
                        <wps:bodyPr wrap="square" lIns="0" tIns="0" rIns="0" bIns="0" rtlCol="0">
                          <a:noAutofit/>
                        </wps:bodyPr>
                      </wps:wsp>
                      <wps:wsp>
                        <wps:cNvPr id="590" name="Textbox 590"/>
                        <wps:cNvSpPr txBox="1"/>
                        <wps:spPr>
                          <a:xfrm>
                            <a:off x="890478" y="3910711"/>
                            <a:ext cx="171450" cy="128270"/>
                          </a:xfrm>
                          <a:prstGeom prst="rect">
                            <a:avLst/>
                          </a:prstGeom>
                        </wps:spPr>
                        <wps:txbx>
                          <w:txbxContent>
                            <w:p>
                              <w:pPr>
                                <w:spacing w:line="201" w:lineRule="exact" w:before="0"/>
                                <w:ind w:left="0" w:right="0" w:firstLine="0"/>
                                <w:jc w:val="left"/>
                                <w:rPr>
                                  <w:rFonts w:ascii="Arial MT"/>
                                  <w:sz w:val="18"/>
                                </w:rPr>
                              </w:pPr>
                              <w:r>
                                <w:rPr>
                                  <w:rFonts w:ascii="Arial MT"/>
                                  <w:spacing w:val="-5"/>
                                  <w:sz w:val="18"/>
                                </w:rPr>
                                <w:t>0.2</w:t>
                              </w:r>
                            </w:p>
                          </w:txbxContent>
                        </wps:txbx>
                        <wps:bodyPr wrap="square" lIns="0" tIns="0" rIns="0" bIns="0" rtlCol="0">
                          <a:noAutofit/>
                        </wps:bodyPr>
                      </wps:wsp>
                      <wps:wsp>
                        <wps:cNvPr id="591" name="Textbox 591"/>
                        <wps:cNvSpPr txBox="1"/>
                        <wps:spPr>
                          <a:xfrm>
                            <a:off x="890478" y="3139494"/>
                            <a:ext cx="171450" cy="128270"/>
                          </a:xfrm>
                          <a:prstGeom prst="rect">
                            <a:avLst/>
                          </a:prstGeom>
                        </wps:spPr>
                        <wps:txbx>
                          <w:txbxContent>
                            <w:p>
                              <w:pPr>
                                <w:spacing w:line="201" w:lineRule="exact" w:before="0"/>
                                <w:ind w:left="0" w:right="0" w:firstLine="0"/>
                                <w:jc w:val="left"/>
                                <w:rPr>
                                  <w:rFonts w:ascii="Arial MT"/>
                                  <w:sz w:val="18"/>
                                </w:rPr>
                              </w:pPr>
                              <w:r>
                                <w:rPr>
                                  <w:rFonts w:ascii="Arial MT"/>
                                  <w:spacing w:val="-5"/>
                                  <w:sz w:val="18"/>
                                </w:rPr>
                                <w:t>0.4</w:t>
                              </w:r>
                            </w:p>
                          </w:txbxContent>
                        </wps:txbx>
                        <wps:bodyPr wrap="square" lIns="0" tIns="0" rIns="0" bIns="0" rtlCol="0">
                          <a:noAutofit/>
                        </wps:bodyPr>
                      </wps:wsp>
                      <wps:wsp>
                        <wps:cNvPr id="592" name="Textbox 592"/>
                        <wps:cNvSpPr txBox="1"/>
                        <wps:spPr>
                          <a:xfrm>
                            <a:off x="62111" y="2218388"/>
                            <a:ext cx="1000125" cy="299085"/>
                          </a:xfrm>
                          <a:prstGeom prst="rect">
                            <a:avLst/>
                          </a:prstGeom>
                        </wps:spPr>
                        <wps:txbx>
                          <w:txbxContent>
                            <w:p>
                              <w:pPr>
                                <w:tabs>
                                  <w:tab w:pos="1554" w:val="right" w:leader="none"/>
                                </w:tabs>
                                <w:spacing w:line="256" w:lineRule="auto" w:before="0"/>
                                <w:ind w:left="0" w:right="18" w:firstLine="0"/>
                                <w:jc w:val="left"/>
                                <w:rPr>
                                  <w:rFonts w:ascii="Arial MT"/>
                                  <w:sz w:val="18"/>
                                </w:rPr>
                              </w:pPr>
                              <w:r>
                                <w:rPr>
                                  <w:spacing w:val="-2"/>
                                  <w:sz w:val="19"/>
                                </w:rPr>
                                <w:t>FRACTIONAL BLOCK</w:t>
                              </w:r>
                              <w:r>
                                <w:rPr>
                                  <w:sz w:val="19"/>
                                </w:rPr>
                                <w:tab/>
                              </w:r>
                              <w:r>
                                <w:rPr>
                                  <w:rFonts w:ascii="Arial MT"/>
                                  <w:spacing w:val="-4"/>
                                  <w:position w:val="3"/>
                                  <w:sz w:val="18"/>
                                </w:rPr>
                                <w:t>0.6</w:t>
                              </w:r>
                            </w:p>
                          </w:txbxContent>
                        </wps:txbx>
                        <wps:bodyPr wrap="square" lIns="0" tIns="0" rIns="0" bIns="0" rtlCol="0">
                          <a:noAutofit/>
                        </wps:bodyPr>
                      </wps:wsp>
                      <wps:wsp>
                        <wps:cNvPr id="593" name="Textbox 593"/>
                        <wps:cNvSpPr txBox="1"/>
                        <wps:spPr>
                          <a:xfrm>
                            <a:off x="890478" y="1606061"/>
                            <a:ext cx="171450" cy="128270"/>
                          </a:xfrm>
                          <a:prstGeom prst="rect">
                            <a:avLst/>
                          </a:prstGeom>
                        </wps:spPr>
                        <wps:txbx>
                          <w:txbxContent>
                            <w:p>
                              <w:pPr>
                                <w:spacing w:line="201" w:lineRule="exact" w:before="0"/>
                                <w:ind w:left="0" w:right="0" w:firstLine="0"/>
                                <w:jc w:val="left"/>
                                <w:rPr>
                                  <w:rFonts w:ascii="Arial MT"/>
                                  <w:sz w:val="18"/>
                                </w:rPr>
                              </w:pPr>
                              <w:r>
                                <w:rPr>
                                  <w:rFonts w:ascii="Arial MT"/>
                                  <w:spacing w:val="-5"/>
                                  <w:sz w:val="18"/>
                                </w:rPr>
                                <w:t>0.8</w:t>
                              </w:r>
                            </w:p>
                          </w:txbxContent>
                        </wps:txbx>
                        <wps:bodyPr wrap="square" lIns="0" tIns="0" rIns="0" bIns="0" rtlCol="0">
                          <a:noAutofit/>
                        </wps:bodyPr>
                      </wps:wsp>
                      <wps:wsp>
                        <wps:cNvPr id="594" name="Textbox 594"/>
                        <wps:cNvSpPr txBox="1"/>
                        <wps:spPr>
                          <a:xfrm>
                            <a:off x="985864" y="834781"/>
                            <a:ext cx="76835" cy="128270"/>
                          </a:xfrm>
                          <a:prstGeom prst="rect">
                            <a:avLst/>
                          </a:prstGeom>
                        </wps:spPr>
                        <wps:txbx>
                          <w:txbxContent>
                            <w:p>
                              <w:pPr>
                                <w:spacing w:line="201" w:lineRule="exact" w:before="0"/>
                                <w:ind w:left="0" w:right="0" w:firstLine="0"/>
                                <w:jc w:val="left"/>
                                <w:rPr>
                                  <w:rFonts w:ascii="Arial MT"/>
                                  <w:sz w:val="18"/>
                                </w:rPr>
                              </w:pPr>
                              <w:r>
                                <w:rPr>
                                  <w:rFonts w:ascii="Arial MT"/>
                                  <w:spacing w:val="-10"/>
                                  <w:sz w:val="18"/>
                                </w:rPr>
                                <w:t>1</w:t>
                              </w:r>
                            </w:p>
                          </w:txbxContent>
                        </wps:txbx>
                        <wps:bodyPr wrap="square" lIns="0" tIns="0" rIns="0" bIns="0" rtlCol="0">
                          <a:noAutofit/>
                        </wps:bodyPr>
                      </wps:wsp>
                      <wps:wsp>
                        <wps:cNvPr id="595" name="Textbox 595"/>
                        <wps:cNvSpPr txBox="1"/>
                        <wps:spPr>
                          <a:xfrm>
                            <a:off x="890478" y="63121"/>
                            <a:ext cx="171450" cy="128270"/>
                          </a:xfrm>
                          <a:prstGeom prst="rect">
                            <a:avLst/>
                          </a:prstGeom>
                        </wps:spPr>
                        <wps:txbx>
                          <w:txbxContent>
                            <w:p>
                              <w:pPr>
                                <w:spacing w:line="201" w:lineRule="exact" w:before="0"/>
                                <w:ind w:left="0" w:right="0" w:firstLine="0"/>
                                <w:jc w:val="left"/>
                                <w:rPr>
                                  <w:rFonts w:ascii="Arial MT"/>
                                  <w:sz w:val="18"/>
                                </w:rPr>
                              </w:pPr>
                              <w:r>
                                <w:rPr>
                                  <w:rFonts w:ascii="Arial MT"/>
                                  <w:spacing w:val="-5"/>
                                  <w:sz w:val="18"/>
                                </w:rPr>
                                <w:t>1.2</w:t>
                              </w:r>
                            </w:p>
                          </w:txbxContent>
                        </wps:txbx>
                        <wps:bodyPr wrap="square" lIns="0" tIns="0" rIns="0" bIns="0" rtlCol="0">
                          <a:noAutofit/>
                        </wps:bodyPr>
                      </wps:wsp>
                    </wpg:wgp>
                  </a:graphicData>
                </a:graphic>
              </wp:inline>
            </w:drawing>
          </mc:Choice>
          <mc:Fallback>
            <w:pict>
              <v:group style="width:407.25pt;height:396.75pt;mso-position-horizontal-relative:char;mso-position-vertical-relative:line" id="docshapegroup457" coordorigin="0,0" coordsize="8145,7935">
                <v:rect style="position:absolute;left:7;top:7;width:8130;height:7920" id="docshape458" filled="false" stroked="true" strokeweight=".748551pt" strokecolor="#000000">
                  <v:stroke dashstyle="solid"/>
                </v:rect>
                <v:shape style="position:absolute;left:1815;top:210;width:5955;height:7275" id="docshape459" coordorigin="1815,210" coordsize="5955,7275" path="m1815,210l7754,210m7770,210l7770,7469m7770,7484l1830,7484m1815,7484l1815,225e" filled="false" stroked="true" strokeweight=".748552pt" strokecolor="#ccffcc">
                  <v:path arrowok="t"/>
                  <v:stroke dashstyle="solid"/>
                </v:shape>
                <v:shape style="position:absolute;left:1755;top:210;width:6015;height:7335" id="docshape460" coordorigin="1755,210" coordsize="6015,7335" path="m1815,210l1815,7469m1755,7484l1800,7484m1755,6269l1800,6269m1755,5055l1800,5055m1755,3840l1800,3840m1755,2640l1800,2640m1755,1425l1800,1425m1755,210l1800,210m1815,7484l7754,7484m1815,7544l1815,7499m3795,7544l3795,7499m5789,7544l5789,7499m7770,7544l7770,7499e" filled="false" stroked="true" strokeweight=".748552pt" strokecolor="#000000">
                  <v:path arrowok="t"/>
                  <v:stroke dashstyle="solid"/>
                </v:shape>
                <v:shape style="position:absolute;left:2759;top:1530;width:4575;height:5924" id="docshape461" coordorigin="2760,1530" coordsize="4575,5924" path="m7335,1530l7275,1545,7199,1560,7049,1590,6975,1620,6899,1650,6810,1710,6735,1785m6735,1785l6629,1920,6510,2085,6390,2280,6255,2490,6000,2925,5880,3135,5789,3329m5789,3329l5715,3510,5640,3675,5550,3990,5445,4320,5400,4485,5340,4664m5340,4664l5279,4859,5205,5055,5070,5489,4995,5699,4920,5910,4830,6089,4739,6269m4739,6269l4530,6584,4290,6854,4170,6989,4050,7094,3915,7199,3795,7274m3795,7274l3675,7334,3540,7379,3420,7409,3285,7409,3015,7424,2895,7439,2760,7454e" filled="false" stroked="true" strokeweight=".748552pt" strokecolor="#000000">
                  <v:path arrowok="t"/>
                  <v:stroke dashstyle="solid"/>
                </v:shape>
                <v:shape style="position:absolute;left:7214;top:1424;width:210;height:211" type="#_x0000_t75" id="docshape462" stroked="false">
                  <v:imagedata r:id="rId73" o:title=""/>
                </v:shape>
                <v:shape style="position:absolute;left:6614;top:1575;width:211;height:210" type="#_x0000_t75" id="docshape463" stroked="false">
                  <v:imagedata r:id="rId74" o:title=""/>
                </v:shape>
                <v:shape style="position:absolute;left:5669;top:3209;width:211;height:210" type="#_x0000_t75" id="docshape464" stroked="false">
                  <v:imagedata r:id="rId75" o:title=""/>
                </v:shape>
                <v:shape style="position:absolute;left:5219;top:4529;width:210;height:211" type="#_x0000_t75" id="docshape465" stroked="false">
                  <v:imagedata r:id="rId76" o:title=""/>
                </v:shape>
                <v:shape style="position:absolute;left:4619;top:6269;width:210;height:211" type="#_x0000_t75" id="docshape466" stroked="false">
                  <v:imagedata r:id="rId77" o:title=""/>
                </v:shape>
                <v:shape style="position:absolute;left:3675;top:6779;width:210;height:211" type="#_x0000_t75" id="docshape467" stroked="false">
                  <v:imagedata r:id="rId78" o:title=""/>
                </v:shape>
                <v:shape style="position:absolute;left:2639;top:7364;width:211;height:211" type="#_x0000_t75" id="docshape468" stroked="false">
                  <v:imagedata r:id="rId79" o:title=""/>
                </v:shape>
                <v:rect style="position:absolute;left:7;top:7;width:8130;height:7920" id="docshape469" filled="false" stroked="true" strokeweight=".748551pt" strokecolor="#000000">
                  <v:stroke dashstyle="solid"/>
                </v:rect>
                <v:shape style="position:absolute;left:7552;top:7658;width:440;height:202" type="#_x0000_t202" id="docshape470" filled="false" stroked="false">
                  <v:textbox inset="0,0,0,0">
                    <w:txbxContent>
                      <w:p>
                        <w:pPr>
                          <w:spacing w:line="201" w:lineRule="exact" w:before="0"/>
                          <w:ind w:left="0" w:right="0" w:firstLine="0"/>
                          <w:jc w:val="left"/>
                          <w:rPr>
                            <w:rFonts w:ascii="Arial MT"/>
                            <w:sz w:val="18"/>
                          </w:rPr>
                        </w:pPr>
                        <w:r>
                          <w:rPr>
                            <w:rFonts w:ascii="Arial MT"/>
                            <w:spacing w:val="-4"/>
                            <w:sz w:val="18"/>
                          </w:rPr>
                          <w:t>1000</w:t>
                        </w:r>
                      </w:p>
                    </w:txbxContent>
                  </v:textbox>
                  <w10:wrap type="none"/>
                </v:shape>
                <v:shape style="position:absolute;left:5632;top:7658;width:335;height:202" type="#_x0000_t202" id="docshape471" filled="false" stroked="false">
                  <v:textbox inset="0,0,0,0">
                    <w:txbxContent>
                      <w:p>
                        <w:pPr>
                          <w:spacing w:line="201" w:lineRule="exact" w:before="0"/>
                          <w:ind w:left="0" w:right="0" w:firstLine="0"/>
                          <w:jc w:val="left"/>
                          <w:rPr>
                            <w:rFonts w:ascii="Arial MT"/>
                            <w:sz w:val="18"/>
                          </w:rPr>
                        </w:pPr>
                        <w:r>
                          <w:rPr>
                            <w:rFonts w:ascii="Arial MT"/>
                            <w:spacing w:val="-5"/>
                            <w:sz w:val="18"/>
                          </w:rPr>
                          <w:t>100</w:t>
                        </w:r>
                      </w:p>
                    </w:txbxContent>
                  </v:textbox>
                  <w10:wrap type="none"/>
                </v:shape>
                <v:shape style="position:absolute;left:3682;top:7658;width:230;height:202" type="#_x0000_t202" id="docshape472" filled="false" stroked="false">
                  <v:textbox inset="0,0,0,0">
                    <w:txbxContent>
                      <w:p>
                        <w:pPr>
                          <w:spacing w:line="201" w:lineRule="exact" w:before="0"/>
                          <w:ind w:left="0" w:right="0" w:firstLine="0"/>
                          <w:jc w:val="left"/>
                          <w:rPr>
                            <w:rFonts w:ascii="Arial MT"/>
                            <w:sz w:val="18"/>
                          </w:rPr>
                        </w:pPr>
                        <w:r>
                          <w:rPr>
                            <w:rFonts w:ascii="Arial MT"/>
                            <w:spacing w:val="-5"/>
                            <w:sz w:val="18"/>
                          </w:rPr>
                          <w:t>10</w:t>
                        </w:r>
                      </w:p>
                    </w:txbxContent>
                  </v:textbox>
                  <w10:wrap type="none"/>
                </v:shape>
                <v:shape style="position:absolute;left:1762;top:7658;width:121;height:202" type="#_x0000_t202" id="docshape473" filled="false" stroked="false">
                  <v:textbox inset="0,0,0,0">
                    <w:txbxContent>
                      <w:p>
                        <w:pPr>
                          <w:spacing w:line="201" w:lineRule="exact" w:before="0"/>
                          <w:ind w:left="0" w:right="0" w:firstLine="0"/>
                          <w:jc w:val="left"/>
                          <w:rPr>
                            <w:rFonts w:ascii="Arial MT"/>
                            <w:sz w:val="18"/>
                          </w:rPr>
                        </w:pPr>
                        <w:r>
                          <w:rPr>
                            <w:rFonts w:ascii="Arial MT"/>
                            <w:spacing w:val="-10"/>
                            <w:sz w:val="18"/>
                          </w:rPr>
                          <w:t>1</w:t>
                        </w:r>
                      </w:p>
                    </w:txbxContent>
                  </v:textbox>
                  <w10:wrap type="none"/>
                </v:shape>
                <v:shape style="position:absolute;left:1552;top:7373;width:121;height:202" type="#_x0000_t202" id="docshape474" filled="false" stroked="false">
                  <v:textbox inset="0,0,0,0">
                    <w:txbxContent>
                      <w:p>
                        <w:pPr>
                          <w:spacing w:line="201" w:lineRule="exact" w:before="0"/>
                          <w:ind w:left="0" w:right="0" w:firstLine="0"/>
                          <w:jc w:val="left"/>
                          <w:rPr>
                            <w:rFonts w:ascii="Arial MT"/>
                            <w:sz w:val="18"/>
                          </w:rPr>
                        </w:pPr>
                        <w:r>
                          <w:rPr>
                            <w:rFonts w:ascii="Arial MT"/>
                            <w:spacing w:val="-10"/>
                            <w:sz w:val="18"/>
                          </w:rPr>
                          <w:t>0</w:t>
                        </w:r>
                      </w:p>
                    </w:txbxContent>
                  </v:textbox>
                  <w10:wrap type="none"/>
                </v:shape>
                <v:shape style="position:absolute;left:1402;top:6158;width:270;height:202" type="#_x0000_t202" id="docshape475" filled="false" stroked="false">
                  <v:textbox inset="0,0,0,0">
                    <w:txbxContent>
                      <w:p>
                        <w:pPr>
                          <w:spacing w:line="201" w:lineRule="exact" w:before="0"/>
                          <w:ind w:left="0" w:right="0" w:firstLine="0"/>
                          <w:jc w:val="left"/>
                          <w:rPr>
                            <w:rFonts w:ascii="Arial MT"/>
                            <w:sz w:val="18"/>
                          </w:rPr>
                        </w:pPr>
                        <w:r>
                          <w:rPr>
                            <w:rFonts w:ascii="Arial MT"/>
                            <w:spacing w:val="-5"/>
                            <w:sz w:val="18"/>
                          </w:rPr>
                          <w:t>0.2</w:t>
                        </w:r>
                      </w:p>
                    </w:txbxContent>
                  </v:textbox>
                  <w10:wrap type="none"/>
                </v:shape>
                <v:shape style="position:absolute;left:1402;top:4944;width:270;height:202" type="#_x0000_t202" id="docshape476" filled="false" stroked="false">
                  <v:textbox inset="0,0,0,0">
                    <w:txbxContent>
                      <w:p>
                        <w:pPr>
                          <w:spacing w:line="201" w:lineRule="exact" w:before="0"/>
                          <w:ind w:left="0" w:right="0" w:firstLine="0"/>
                          <w:jc w:val="left"/>
                          <w:rPr>
                            <w:rFonts w:ascii="Arial MT"/>
                            <w:sz w:val="18"/>
                          </w:rPr>
                        </w:pPr>
                        <w:r>
                          <w:rPr>
                            <w:rFonts w:ascii="Arial MT"/>
                            <w:spacing w:val="-5"/>
                            <w:sz w:val="18"/>
                          </w:rPr>
                          <w:t>0.4</w:t>
                        </w:r>
                      </w:p>
                    </w:txbxContent>
                  </v:textbox>
                  <w10:wrap type="none"/>
                </v:shape>
                <v:shape style="position:absolute;left:97;top:3493;width:1575;height:471" type="#_x0000_t202" id="docshape477" filled="false" stroked="false">
                  <v:textbox inset="0,0,0,0">
                    <w:txbxContent>
                      <w:p>
                        <w:pPr>
                          <w:tabs>
                            <w:tab w:pos="1554" w:val="right" w:leader="none"/>
                          </w:tabs>
                          <w:spacing w:line="256" w:lineRule="auto" w:before="0"/>
                          <w:ind w:left="0" w:right="18" w:firstLine="0"/>
                          <w:jc w:val="left"/>
                          <w:rPr>
                            <w:rFonts w:ascii="Arial MT"/>
                            <w:sz w:val="18"/>
                          </w:rPr>
                        </w:pPr>
                        <w:r>
                          <w:rPr>
                            <w:spacing w:val="-2"/>
                            <w:sz w:val="19"/>
                          </w:rPr>
                          <w:t>FRACTIONAL BLOCK</w:t>
                        </w:r>
                        <w:r>
                          <w:rPr>
                            <w:sz w:val="19"/>
                          </w:rPr>
                          <w:tab/>
                        </w:r>
                        <w:r>
                          <w:rPr>
                            <w:rFonts w:ascii="Arial MT"/>
                            <w:spacing w:val="-4"/>
                            <w:position w:val="3"/>
                            <w:sz w:val="18"/>
                          </w:rPr>
                          <w:t>0.6</w:t>
                        </w:r>
                      </w:p>
                    </w:txbxContent>
                  </v:textbox>
                  <w10:wrap type="none"/>
                </v:shape>
                <v:shape style="position:absolute;left:1402;top:2529;width:270;height:202" type="#_x0000_t202" id="docshape478" filled="false" stroked="false">
                  <v:textbox inset="0,0,0,0">
                    <w:txbxContent>
                      <w:p>
                        <w:pPr>
                          <w:spacing w:line="201" w:lineRule="exact" w:before="0"/>
                          <w:ind w:left="0" w:right="0" w:firstLine="0"/>
                          <w:jc w:val="left"/>
                          <w:rPr>
                            <w:rFonts w:ascii="Arial MT"/>
                            <w:sz w:val="18"/>
                          </w:rPr>
                        </w:pPr>
                        <w:r>
                          <w:rPr>
                            <w:rFonts w:ascii="Arial MT"/>
                            <w:spacing w:val="-5"/>
                            <w:sz w:val="18"/>
                          </w:rPr>
                          <w:t>0.8</w:t>
                        </w:r>
                      </w:p>
                    </w:txbxContent>
                  </v:textbox>
                  <w10:wrap type="none"/>
                </v:shape>
                <v:shape style="position:absolute;left:1552;top:1314;width:121;height:202" type="#_x0000_t202" id="docshape479" filled="false" stroked="false">
                  <v:textbox inset="0,0,0,0">
                    <w:txbxContent>
                      <w:p>
                        <w:pPr>
                          <w:spacing w:line="201" w:lineRule="exact" w:before="0"/>
                          <w:ind w:left="0" w:right="0" w:firstLine="0"/>
                          <w:jc w:val="left"/>
                          <w:rPr>
                            <w:rFonts w:ascii="Arial MT"/>
                            <w:sz w:val="18"/>
                          </w:rPr>
                        </w:pPr>
                        <w:r>
                          <w:rPr>
                            <w:rFonts w:ascii="Arial MT"/>
                            <w:spacing w:val="-10"/>
                            <w:sz w:val="18"/>
                          </w:rPr>
                          <w:t>1</w:t>
                        </w:r>
                      </w:p>
                    </w:txbxContent>
                  </v:textbox>
                  <w10:wrap type="none"/>
                </v:shape>
                <v:shape style="position:absolute;left:1402;top:99;width:270;height:202" type="#_x0000_t202" id="docshape480" filled="false" stroked="false">
                  <v:textbox inset="0,0,0,0">
                    <w:txbxContent>
                      <w:p>
                        <w:pPr>
                          <w:spacing w:line="201" w:lineRule="exact" w:before="0"/>
                          <w:ind w:left="0" w:right="0" w:firstLine="0"/>
                          <w:jc w:val="left"/>
                          <w:rPr>
                            <w:rFonts w:ascii="Arial MT"/>
                            <w:sz w:val="18"/>
                          </w:rPr>
                        </w:pPr>
                        <w:r>
                          <w:rPr>
                            <w:rFonts w:ascii="Arial MT"/>
                            <w:spacing w:val="-5"/>
                            <w:sz w:val="18"/>
                          </w:rPr>
                          <w:t>1.2</w:t>
                        </w:r>
                      </w:p>
                    </w:txbxContent>
                  </v:textbox>
                  <w10:wrap type="none"/>
                </v:shape>
              </v:group>
            </w:pict>
          </mc:Fallback>
        </mc:AlternateContent>
      </w:r>
      <w:r>
        <w:rPr>
          <w:rFonts w:ascii="Arial MT"/>
          <w:sz w:val="20"/>
        </w:rPr>
      </w:r>
    </w:p>
    <w:p>
      <w:pPr>
        <w:pStyle w:val="BodyText"/>
        <w:spacing w:before="264"/>
        <w:ind w:left="681"/>
      </w:pPr>
      <w:r>
        <w:rPr/>
        <w:t>X</w:t>
      </w:r>
      <w:r>
        <w:rPr>
          <w:spacing w:val="-1"/>
        </w:rPr>
        <w:t> </w:t>
      </w:r>
      <w:r>
        <w:rPr/>
        <w:t>– Axis</w:t>
      </w:r>
      <w:r>
        <w:rPr>
          <w:spacing w:val="-1"/>
        </w:rPr>
        <w:t> </w:t>
      </w:r>
      <w:r>
        <w:rPr/>
        <w:t>=</w:t>
      </w:r>
      <w:r>
        <w:rPr>
          <w:spacing w:val="-1"/>
        </w:rPr>
        <w:t> </w:t>
      </w:r>
      <w:r>
        <w:rPr/>
        <w:t>Concentration;</w:t>
      </w:r>
      <w:r>
        <w:rPr>
          <w:spacing w:val="-4"/>
        </w:rPr>
        <w:t> </w:t>
      </w:r>
      <w:r>
        <w:rPr/>
        <w:t>IC</w:t>
      </w:r>
      <w:r>
        <w:rPr>
          <w:vertAlign w:val="subscript"/>
        </w:rPr>
        <w:t>50</w:t>
      </w:r>
      <w:r>
        <w:rPr>
          <w:spacing w:val="2"/>
          <w:vertAlign w:val="baseline"/>
        </w:rPr>
        <w:t> </w:t>
      </w:r>
      <w:r>
        <w:rPr>
          <w:vertAlign w:val="baseline"/>
        </w:rPr>
        <w:t>(µM)</w:t>
      </w:r>
      <w:r>
        <w:rPr>
          <w:spacing w:val="-3"/>
          <w:vertAlign w:val="baseline"/>
        </w:rPr>
        <w:t> </w:t>
      </w:r>
      <w:r>
        <w:rPr>
          <w:vertAlign w:val="baseline"/>
        </w:rPr>
        <w:t>= 64.76;</w:t>
      </w:r>
      <w:r>
        <w:rPr>
          <w:spacing w:val="-3"/>
          <w:vertAlign w:val="baseline"/>
        </w:rPr>
        <w:t> </w:t>
      </w:r>
      <w:r>
        <w:rPr>
          <w:vertAlign w:val="baseline"/>
        </w:rPr>
        <w:t>k</w:t>
      </w:r>
      <w:r>
        <w:rPr>
          <w:spacing w:val="1"/>
          <w:vertAlign w:val="baseline"/>
        </w:rPr>
        <w:t> </w:t>
      </w:r>
      <w:r>
        <w:rPr>
          <w:vertAlign w:val="baseline"/>
        </w:rPr>
        <w:t>=</w:t>
      </w:r>
      <w:r>
        <w:rPr>
          <w:spacing w:val="-6"/>
          <w:vertAlign w:val="baseline"/>
        </w:rPr>
        <w:t> </w:t>
      </w:r>
      <w:r>
        <w:rPr>
          <w:spacing w:val="-2"/>
          <w:vertAlign w:val="baseline"/>
        </w:rPr>
        <w:t>1.795137</w:t>
      </w:r>
    </w:p>
    <w:p>
      <w:pPr>
        <w:pStyle w:val="BodyText"/>
      </w:pPr>
    </w:p>
    <w:p>
      <w:pPr>
        <w:pStyle w:val="BodyText"/>
      </w:pPr>
    </w:p>
    <w:p>
      <w:pPr>
        <w:pStyle w:val="BodyText"/>
      </w:pPr>
    </w:p>
    <w:p>
      <w:pPr>
        <w:pStyle w:val="BodyText"/>
        <w:ind w:left="681"/>
      </w:pPr>
      <w:r>
        <w:rPr/>
        <w:t>RESTING</w:t>
      </w:r>
      <w:r>
        <w:rPr>
          <w:spacing w:val="-4"/>
        </w:rPr>
        <w:t> </w:t>
      </w:r>
      <w:r>
        <w:rPr/>
        <w:t>STATE</w:t>
      </w:r>
      <w:r>
        <w:rPr>
          <w:spacing w:val="1"/>
        </w:rPr>
        <w:t> </w:t>
      </w:r>
      <w:r>
        <w:rPr/>
        <w:t>(-</w:t>
      </w:r>
      <w:r>
        <w:rPr>
          <w:spacing w:val="-2"/>
        </w:rPr>
        <w:t>60mV)</w:t>
      </w:r>
    </w:p>
    <w:p>
      <w:pPr>
        <w:spacing w:after="0"/>
        <w:sectPr>
          <w:pgSz w:w="12240" w:h="15840"/>
          <w:pgMar w:header="0" w:footer="1066" w:top="1500" w:bottom="1260" w:left="1480" w:right="1160"/>
        </w:sectPr>
      </w:pPr>
    </w:p>
    <w:p>
      <w:pPr>
        <w:pStyle w:val="BodyText"/>
        <w:ind w:left="674"/>
        <w:rPr>
          <w:sz w:val="20"/>
        </w:rPr>
      </w:pPr>
      <w:r>
        <w:rPr>
          <w:sz w:val="20"/>
        </w:rPr>
        <mc:AlternateContent>
          <mc:Choice Requires="wps">
            <w:drawing>
              <wp:inline distT="0" distB="0" distL="0" distR="0">
                <wp:extent cx="5480050" cy="5127625"/>
                <wp:effectExtent l="0" t="0" r="0" b="6350"/>
                <wp:docPr id="596" name="Group 596"/>
                <wp:cNvGraphicFramePr>
                  <a:graphicFrameLocks/>
                </wp:cNvGraphicFramePr>
                <a:graphic>
                  <a:graphicData uri="http://schemas.microsoft.com/office/word/2010/wordprocessingGroup">
                    <wpg:wgp>
                      <wpg:cNvPr id="596" name="Group 596"/>
                      <wpg:cNvGrpSpPr/>
                      <wpg:grpSpPr>
                        <a:xfrm>
                          <a:off x="0" y="0"/>
                          <a:ext cx="5480050" cy="5127625"/>
                          <a:chExt cx="5480050" cy="5127625"/>
                        </a:xfrm>
                      </wpg:grpSpPr>
                      <wps:wsp>
                        <wps:cNvPr id="597" name="Graphic 597"/>
                        <wps:cNvSpPr/>
                        <wps:spPr>
                          <a:xfrm>
                            <a:off x="4664" y="4664"/>
                            <a:ext cx="5470525" cy="5118735"/>
                          </a:xfrm>
                          <a:custGeom>
                            <a:avLst/>
                            <a:gdLst/>
                            <a:ahLst/>
                            <a:cxnLst/>
                            <a:rect l="l" t="t" r="r" b="b"/>
                            <a:pathLst>
                              <a:path w="5470525" h="5118735">
                                <a:moveTo>
                                  <a:pt x="0" y="5118200"/>
                                </a:moveTo>
                                <a:lnTo>
                                  <a:pt x="5470350" y="5118200"/>
                                </a:lnTo>
                                <a:lnTo>
                                  <a:pt x="5470350" y="0"/>
                                </a:lnTo>
                                <a:lnTo>
                                  <a:pt x="0" y="0"/>
                                </a:lnTo>
                                <a:lnTo>
                                  <a:pt x="0" y="5118200"/>
                                </a:lnTo>
                                <a:close/>
                              </a:path>
                            </a:pathLst>
                          </a:custGeom>
                          <a:ln w="9250">
                            <a:solidFill>
                              <a:srgbClr val="000000"/>
                            </a:solidFill>
                            <a:prstDash val="solid"/>
                          </a:ln>
                        </wps:spPr>
                        <wps:bodyPr wrap="square" lIns="0" tIns="0" rIns="0" bIns="0" rtlCol="0">
                          <a:prstTxWarp prst="textNoShape">
                            <a:avLst/>
                          </a:prstTxWarp>
                          <a:noAutofit/>
                        </wps:bodyPr>
                      </wps:wsp>
                      <wps:wsp>
                        <wps:cNvPr id="598" name="Graphic 598"/>
                        <wps:cNvSpPr/>
                        <wps:spPr>
                          <a:xfrm>
                            <a:off x="1208866" y="235229"/>
                            <a:ext cx="4073525" cy="4065270"/>
                          </a:xfrm>
                          <a:custGeom>
                            <a:avLst/>
                            <a:gdLst/>
                            <a:ahLst/>
                            <a:cxnLst/>
                            <a:rect l="l" t="t" r="r" b="b"/>
                            <a:pathLst>
                              <a:path w="4073525" h="4065270">
                                <a:moveTo>
                                  <a:pt x="0" y="0"/>
                                </a:moveTo>
                                <a:lnTo>
                                  <a:pt x="4063029" y="0"/>
                                </a:lnTo>
                              </a:path>
                              <a:path w="4073525" h="4065270">
                                <a:moveTo>
                                  <a:pt x="4072921" y="0"/>
                                </a:moveTo>
                                <a:lnTo>
                                  <a:pt x="4072921" y="4056326"/>
                                </a:lnTo>
                              </a:path>
                              <a:path w="4073525" h="4065270">
                                <a:moveTo>
                                  <a:pt x="4072921" y="4065015"/>
                                </a:moveTo>
                                <a:lnTo>
                                  <a:pt x="9892" y="4065015"/>
                                </a:lnTo>
                              </a:path>
                              <a:path w="4073525" h="4065270">
                                <a:moveTo>
                                  <a:pt x="0" y="4065015"/>
                                </a:moveTo>
                                <a:lnTo>
                                  <a:pt x="0" y="8689"/>
                                </a:lnTo>
                              </a:path>
                            </a:pathLst>
                          </a:custGeom>
                          <a:ln w="9290">
                            <a:solidFill>
                              <a:srgbClr val="CCFFCC"/>
                            </a:solidFill>
                            <a:prstDash val="solid"/>
                          </a:ln>
                        </wps:spPr>
                        <wps:bodyPr wrap="square" lIns="0" tIns="0" rIns="0" bIns="0" rtlCol="0">
                          <a:prstTxWarp prst="textNoShape">
                            <a:avLst/>
                          </a:prstTxWarp>
                          <a:noAutofit/>
                        </wps:bodyPr>
                      </wps:wsp>
                      <wps:wsp>
                        <wps:cNvPr id="599" name="Graphic 599"/>
                        <wps:cNvSpPr/>
                        <wps:spPr>
                          <a:xfrm>
                            <a:off x="1168968" y="235229"/>
                            <a:ext cx="4112895" cy="4100195"/>
                          </a:xfrm>
                          <a:custGeom>
                            <a:avLst/>
                            <a:gdLst/>
                            <a:ahLst/>
                            <a:cxnLst/>
                            <a:rect l="l" t="t" r="r" b="b"/>
                            <a:pathLst>
                              <a:path w="4112895" h="4100195">
                                <a:moveTo>
                                  <a:pt x="39898" y="0"/>
                                </a:moveTo>
                                <a:lnTo>
                                  <a:pt x="39898" y="4056326"/>
                                </a:lnTo>
                              </a:path>
                              <a:path w="4112895" h="4100195">
                                <a:moveTo>
                                  <a:pt x="0" y="4065015"/>
                                </a:moveTo>
                                <a:lnTo>
                                  <a:pt x="30006" y="4065015"/>
                                </a:lnTo>
                              </a:path>
                              <a:path w="4112895" h="4100195">
                                <a:moveTo>
                                  <a:pt x="0" y="3386064"/>
                                </a:moveTo>
                                <a:lnTo>
                                  <a:pt x="30006" y="3386064"/>
                                </a:lnTo>
                              </a:path>
                              <a:path w="4112895" h="4100195">
                                <a:moveTo>
                                  <a:pt x="0" y="2707114"/>
                                </a:moveTo>
                                <a:lnTo>
                                  <a:pt x="30006" y="2707114"/>
                                </a:lnTo>
                              </a:path>
                              <a:path w="4112895" h="4100195">
                                <a:moveTo>
                                  <a:pt x="0" y="2028163"/>
                                </a:moveTo>
                                <a:lnTo>
                                  <a:pt x="30006" y="2028163"/>
                                </a:lnTo>
                              </a:path>
                              <a:path w="4112895" h="4100195">
                                <a:moveTo>
                                  <a:pt x="0" y="1357901"/>
                                </a:moveTo>
                                <a:lnTo>
                                  <a:pt x="30006" y="1357901"/>
                                </a:lnTo>
                              </a:path>
                              <a:path w="4112895" h="4100195">
                                <a:moveTo>
                                  <a:pt x="0" y="678950"/>
                                </a:moveTo>
                                <a:lnTo>
                                  <a:pt x="30006" y="678950"/>
                                </a:lnTo>
                              </a:path>
                              <a:path w="4112895" h="4100195">
                                <a:moveTo>
                                  <a:pt x="0" y="0"/>
                                </a:moveTo>
                                <a:lnTo>
                                  <a:pt x="30006" y="0"/>
                                </a:lnTo>
                              </a:path>
                              <a:path w="4112895" h="4100195">
                                <a:moveTo>
                                  <a:pt x="39898" y="4065015"/>
                                </a:moveTo>
                                <a:lnTo>
                                  <a:pt x="4102927" y="4065015"/>
                                </a:lnTo>
                              </a:path>
                              <a:path w="4112895" h="4100195">
                                <a:moveTo>
                                  <a:pt x="39898" y="4100064"/>
                                </a:moveTo>
                                <a:lnTo>
                                  <a:pt x="39898" y="4073705"/>
                                </a:lnTo>
                              </a:path>
                              <a:path w="4112895" h="4100195">
                                <a:moveTo>
                                  <a:pt x="1397494" y="4100064"/>
                                </a:moveTo>
                                <a:lnTo>
                                  <a:pt x="1397494" y="4073705"/>
                                </a:lnTo>
                              </a:path>
                              <a:path w="4112895" h="4100195">
                                <a:moveTo>
                                  <a:pt x="2755355" y="4100064"/>
                                </a:moveTo>
                                <a:lnTo>
                                  <a:pt x="2755355" y="4073705"/>
                                </a:lnTo>
                              </a:path>
                              <a:path w="4112895" h="4100195">
                                <a:moveTo>
                                  <a:pt x="4112819" y="4100064"/>
                                </a:moveTo>
                                <a:lnTo>
                                  <a:pt x="4112819" y="4073705"/>
                                </a:lnTo>
                              </a:path>
                            </a:pathLst>
                          </a:custGeom>
                          <a:ln w="9290">
                            <a:solidFill>
                              <a:srgbClr val="000000"/>
                            </a:solidFill>
                            <a:prstDash val="solid"/>
                          </a:ln>
                        </wps:spPr>
                        <wps:bodyPr wrap="square" lIns="0" tIns="0" rIns="0" bIns="0" rtlCol="0">
                          <a:prstTxWarp prst="textNoShape">
                            <a:avLst/>
                          </a:prstTxWarp>
                          <a:noAutofit/>
                        </wps:bodyPr>
                      </wps:wsp>
                      <wps:wsp>
                        <wps:cNvPr id="600" name="Graphic 600"/>
                        <wps:cNvSpPr/>
                        <wps:spPr>
                          <a:xfrm>
                            <a:off x="2566463" y="1053446"/>
                            <a:ext cx="2418080" cy="3186430"/>
                          </a:xfrm>
                          <a:custGeom>
                            <a:avLst/>
                            <a:gdLst/>
                            <a:ahLst/>
                            <a:cxnLst/>
                            <a:rect l="l" t="t" r="r" b="b"/>
                            <a:pathLst>
                              <a:path w="2418080" h="3186430">
                                <a:moveTo>
                                  <a:pt x="2417901" y="0"/>
                                </a:moveTo>
                                <a:lnTo>
                                  <a:pt x="2328872" y="43448"/>
                                </a:lnTo>
                                <a:lnTo>
                                  <a:pt x="2219663" y="95933"/>
                                </a:lnTo>
                                <a:lnTo>
                                  <a:pt x="2160310" y="130692"/>
                                </a:lnTo>
                                <a:lnTo>
                                  <a:pt x="2110849" y="165450"/>
                                </a:lnTo>
                                <a:lnTo>
                                  <a:pt x="2051232" y="217588"/>
                                </a:lnTo>
                                <a:lnTo>
                                  <a:pt x="2001772" y="287453"/>
                                </a:lnTo>
                              </a:path>
                              <a:path w="2418080" h="3186430">
                                <a:moveTo>
                                  <a:pt x="2001772" y="287453"/>
                                </a:moveTo>
                                <a:lnTo>
                                  <a:pt x="1972095" y="339591"/>
                                </a:lnTo>
                                <a:lnTo>
                                  <a:pt x="1932527" y="400650"/>
                                </a:lnTo>
                                <a:lnTo>
                                  <a:pt x="1892958" y="470167"/>
                                </a:lnTo>
                                <a:lnTo>
                                  <a:pt x="1853126" y="548374"/>
                                </a:lnTo>
                                <a:lnTo>
                                  <a:pt x="1764097" y="713709"/>
                                </a:lnTo>
                                <a:lnTo>
                                  <a:pt x="1674672" y="896539"/>
                                </a:lnTo>
                                <a:lnTo>
                                  <a:pt x="1585643" y="1079601"/>
                                </a:lnTo>
                                <a:lnTo>
                                  <a:pt x="1496350" y="1253741"/>
                                </a:lnTo>
                                <a:lnTo>
                                  <a:pt x="1427105" y="1419076"/>
                                </a:lnTo>
                                <a:lnTo>
                                  <a:pt x="1387536" y="1488594"/>
                                </a:lnTo>
                                <a:lnTo>
                                  <a:pt x="1357860" y="1558111"/>
                                </a:lnTo>
                              </a:path>
                              <a:path w="2418080" h="3186430">
                                <a:moveTo>
                                  <a:pt x="1357860" y="1558111"/>
                                </a:moveTo>
                                <a:lnTo>
                                  <a:pt x="1308003" y="1671424"/>
                                </a:lnTo>
                                <a:lnTo>
                                  <a:pt x="1258543" y="1775931"/>
                                </a:lnTo>
                                <a:lnTo>
                                  <a:pt x="1228866" y="1871517"/>
                                </a:lnTo>
                                <a:lnTo>
                                  <a:pt x="1199190" y="1958761"/>
                                </a:lnTo>
                                <a:lnTo>
                                  <a:pt x="1139573" y="2115407"/>
                                </a:lnTo>
                                <a:lnTo>
                                  <a:pt x="1100005" y="2193613"/>
                                </a:lnTo>
                                <a:lnTo>
                                  <a:pt x="1060436" y="2272052"/>
                                </a:lnTo>
                              </a:path>
                              <a:path w="2418080" h="3186430">
                                <a:moveTo>
                                  <a:pt x="1060436" y="2272052"/>
                                </a:moveTo>
                                <a:lnTo>
                                  <a:pt x="971011" y="2437503"/>
                                </a:lnTo>
                                <a:lnTo>
                                  <a:pt x="872090" y="2602954"/>
                                </a:lnTo>
                                <a:lnTo>
                                  <a:pt x="763013" y="2759367"/>
                                </a:lnTo>
                                <a:lnTo>
                                  <a:pt x="703660" y="2829116"/>
                                </a:lnTo>
                                <a:lnTo>
                                  <a:pt x="644307" y="2889944"/>
                                </a:lnTo>
                              </a:path>
                              <a:path w="2418080" h="3186430">
                                <a:moveTo>
                                  <a:pt x="644307" y="2889944"/>
                                </a:moveTo>
                                <a:lnTo>
                                  <a:pt x="574667" y="2942371"/>
                                </a:lnTo>
                                <a:lnTo>
                                  <a:pt x="495529" y="2985819"/>
                                </a:lnTo>
                                <a:lnTo>
                                  <a:pt x="336992" y="3055337"/>
                                </a:lnTo>
                                <a:lnTo>
                                  <a:pt x="168430" y="3116454"/>
                                </a:lnTo>
                                <a:lnTo>
                                  <a:pt x="0" y="3185971"/>
                                </a:lnTo>
                              </a:path>
                            </a:pathLst>
                          </a:custGeom>
                          <a:ln w="9290">
                            <a:solidFill>
                              <a:srgbClr val="000000"/>
                            </a:solidFill>
                            <a:prstDash val="solid"/>
                          </a:ln>
                        </wps:spPr>
                        <wps:bodyPr wrap="square" lIns="0" tIns="0" rIns="0" bIns="0" rtlCol="0">
                          <a:prstTxWarp prst="textNoShape">
                            <a:avLst/>
                          </a:prstTxWarp>
                          <a:noAutofit/>
                        </wps:bodyPr>
                      </wps:wsp>
                      <pic:pic>
                        <pic:nvPicPr>
                          <pic:cNvPr id="601" name="Image 601"/>
                          <pic:cNvPicPr/>
                        </pic:nvPicPr>
                        <pic:blipFill>
                          <a:blip r:embed="rId80" cstate="print"/>
                          <a:stretch>
                            <a:fillRect/>
                          </a:stretch>
                        </pic:blipFill>
                        <pic:spPr>
                          <a:xfrm>
                            <a:off x="4905595" y="1105574"/>
                            <a:ext cx="138151" cy="122255"/>
                          </a:xfrm>
                          <a:prstGeom prst="rect">
                            <a:avLst/>
                          </a:prstGeom>
                        </pic:spPr>
                      </pic:pic>
                      <pic:pic>
                        <pic:nvPicPr>
                          <pic:cNvPr id="602" name="Image 602"/>
                          <pic:cNvPicPr/>
                        </pic:nvPicPr>
                        <pic:blipFill>
                          <a:blip r:embed="rId81" cstate="print"/>
                          <a:stretch>
                            <a:fillRect/>
                          </a:stretch>
                        </pic:blipFill>
                        <pic:spPr>
                          <a:xfrm>
                            <a:off x="4489464" y="1235917"/>
                            <a:ext cx="137890" cy="122605"/>
                          </a:xfrm>
                          <a:prstGeom prst="rect">
                            <a:avLst/>
                          </a:prstGeom>
                        </pic:spPr>
                      </pic:pic>
                      <pic:pic>
                        <pic:nvPicPr>
                          <pic:cNvPr id="603" name="Image 603"/>
                          <pic:cNvPicPr/>
                        </pic:nvPicPr>
                        <pic:blipFill>
                          <a:blip r:embed="rId82" cstate="print"/>
                          <a:stretch>
                            <a:fillRect/>
                          </a:stretch>
                        </pic:blipFill>
                        <pic:spPr>
                          <a:xfrm>
                            <a:off x="3845025" y="2532992"/>
                            <a:ext cx="138284" cy="122603"/>
                          </a:xfrm>
                          <a:prstGeom prst="rect">
                            <a:avLst/>
                          </a:prstGeom>
                        </pic:spPr>
                      </pic:pic>
                      <pic:pic>
                        <pic:nvPicPr>
                          <pic:cNvPr id="604" name="Image 604"/>
                          <pic:cNvPicPr/>
                        </pic:nvPicPr>
                        <pic:blipFill>
                          <a:blip r:embed="rId83" cstate="print"/>
                          <a:stretch>
                            <a:fillRect/>
                          </a:stretch>
                        </pic:blipFill>
                        <pic:spPr>
                          <a:xfrm>
                            <a:off x="3547997" y="3255506"/>
                            <a:ext cx="137889" cy="122489"/>
                          </a:xfrm>
                          <a:prstGeom prst="rect">
                            <a:avLst/>
                          </a:prstGeom>
                        </pic:spPr>
                      </pic:pic>
                      <pic:pic>
                        <pic:nvPicPr>
                          <pic:cNvPr id="605" name="Image 605"/>
                          <pic:cNvPicPr/>
                        </pic:nvPicPr>
                        <pic:blipFill>
                          <a:blip r:embed="rId84" cstate="print"/>
                          <a:stretch>
                            <a:fillRect/>
                          </a:stretch>
                        </pic:blipFill>
                        <pic:spPr>
                          <a:xfrm>
                            <a:off x="3131604" y="3891010"/>
                            <a:ext cx="138152" cy="122487"/>
                          </a:xfrm>
                          <a:prstGeom prst="rect">
                            <a:avLst/>
                          </a:prstGeom>
                        </pic:spPr>
                      </pic:pic>
                      <pic:pic>
                        <pic:nvPicPr>
                          <pic:cNvPr id="606" name="Image 606"/>
                          <pic:cNvPicPr/>
                        </pic:nvPicPr>
                        <pic:blipFill>
                          <a:blip r:embed="rId85" cstate="print"/>
                          <a:stretch>
                            <a:fillRect/>
                          </a:stretch>
                        </pic:blipFill>
                        <pic:spPr>
                          <a:xfrm>
                            <a:off x="2487560" y="4230427"/>
                            <a:ext cx="137890" cy="122547"/>
                          </a:xfrm>
                          <a:prstGeom prst="rect">
                            <a:avLst/>
                          </a:prstGeom>
                        </pic:spPr>
                      </pic:pic>
                      <wps:wsp>
                        <wps:cNvPr id="607" name="Graphic 607"/>
                        <wps:cNvSpPr/>
                        <wps:spPr>
                          <a:xfrm>
                            <a:off x="4664" y="4664"/>
                            <a:ext cx="5470525" cy="5118735"/>
                          </a:xfrm>
                          <a:custGeom>
                            <a:avLst/>
                            <a:gdLst/>
                            <a:ahLst/>
                            <a:cxnLst/>
                            <a:rect l="l" t="t" r="r" b="b"/>
                            <a:pathLst>
                              <a:path w="5470525" h="5118735">
                                <a:moveTo>
                                  <a:pt x="0" y="5118200"/>
                                </a:moveTo>
                                <a:lnTo>
                                  <a:pt x="5470350" y="5118200"/>
                                </a:lnTo>
                                <a:lnTo>
                                  <a:pt x="5470350" y="0"/>
                                </a:lnTo>
                                <a:lnTo>
                                  <a:pt x="0" y="0"/>
                                </a:lnTo>
                                <a:lnTo>
                                  <a:pt x="0" y="5118200"/>
                                </a:lnTo>
                                <a:close/>
                              </a:path>
                            </a:pathLst>
                          </a:custGeom>
                          <a:ln w="9250">
                            <a:solidFill>
                              <a:srgbClr val="000000"/>
                            </a:solidFill>
                            <a:prstDash val="solid"/>
                          </a:ln>
                        </wps:spPr>
                        <wps:bodyPr wrap="square" lIns="0" tIns="0" rIns="0" bIns="0" rtlCol="0">
                          <a:prstTxWarp prst="textNoShape">
                            <a:avLst/>
                          </a:prstTxWarp>
                          <a:noAutofit/>
                        </wps:bodyPr>
                      </wps:wsp>
                      <wps:wsp>
                        <wps:cNvPr id="608" name="Textbox 608"/>
                        <wps:cNvSpPr txBox="1"/>
                        <wps:spPr>
                          <a:xfrm>
                            <a:off x="5138022" y="4401654"/>
                            <a:ext cx="290195" cy="116839"/>
                          </a:xfrm>
                          <a:prstGeom prst="rect">
                            <a:avLst/>
                          </a:prstGeom>
                        </wps:spPr>
                        <wps:txbx>
                          <w:txbxContent>
                            <w:p>
                              <w:pPr>
                                <w:spacing w:line="183" w:lineRule="exact" w:before="0"/>
                                <w:ind w:left="0" w:right="0" w:firstLine="0"/>
                                <w:jc w:val="left"/>
                                <w:rPr>
                                  <w:rFonts w:ascii="Arial MT"/>
                                  <w:sz w:val="16"/>
                                </w:rPr>
                              </w:pPr>
                              <w:r>
                                <w:rPr>
                                  <w:rFonts w:ascii="Arial MT"/>
                                  <w:spacing w:val="-4"/>
                                  <w:w w:val="115"/>
                                  <w:sz w:val="16"/>
                                </w:rPr>
                                <w:t>1000</w:t>
                              </w:r>
                            </w:p>
                          </w:txbxContent>
                        </wps:txbx>
                        <wps:bodyPr wrap="square" lIns="0" tIns="0" rIns="0" bIns="0" rtlCol="0">
                          <a:noAutofit/>
                        </wps:bodyPr>
                      </wps:wsp>
                      <wps:wsp>
                        <wps:cNvPr id="609" name="Textbox 609"/>
                        <wps:cNvSpPr txBox="1"/>
                        <wps:spPr>
                          <a:xfrm>
                            <a:off x="3819994" y="4401654"/>
                            <a:ext cx="220979" cy="116839"/>
                          </a:xfrm>
                          <a:prstGeom prst="rect">
                            <a:avLst/>
                          </a:prstGeom>
                        </wps:spPr>
                        <wps:txbx>
                          <w:txbxContent>
                            <w:p>
                              <w:pPr>
                                <w:spacing w:line="183" w:lineRule="exact" w:before="0"/>
                                <w:ind w:left="0" w:right="0" w:firstLine="0"/>
                                <w:jc w:val="left"/>
                                <w:rPr>
                                  <w:rFonts w:ascii="Arial MT"/>
                                  <w:sz w:val="16"/>
                                </w:rPr>
                              </w:pPr>
                              <w:r>
                                <w:rPr>
                                  <w:rFonts w:ascii="Arial MT"/>
                                  <w:spacing w:val="-5"/>
                                  <w:w w:val="115"/>
                                  <w:sz w:val="16"/>
                                </w:rPr>
                                <w:t>100</w:t>
                              </w:r>
                            </w:p>
                          </w:txbxContent>
                        </wps:txbx>
                        <wps:bodyPr wrap="square" lIns="0" tIns="0" rIns="0" bIns="0" rtlCol="0">
                          <a:noAutofit/>
                        </wps:bodyPr>
                      </wps:wsp>
                      <wps:wsp>
                        <wps:cNvPr id="610" name="Textbox 610"/>
                        <wps:cNvSpPr txBox="1"/>
                        <wps:spPr>
                          <a:xfrm>
                            <a:off x="2492206" y="4401654"/>
                            <a:ext cx="151765" cy="116839"/>
                          </a:xfrm>
                          <a:prstGeom prst="rect">
                            <a:avLst/>
                          </a:prstGeom>
                        </wps:spPr>
                        <wps:txbx>
                          <w:txbxContent>
                            <w:p>
                              <w:pPr>
                                <w:spacing w:line="183" w:lineRule="exact" w:before="0"/>
                                <w:ind w:left="0" w:right="0" w:firstLine="0"/>
                                <w:jc w:val="left"/>
                                <w:rPr>
                                  <w:rFonts w:ascii="Arial MT"/>
                                  <w:sz w:val="16"/>
                                </w:rPr>
                              </w:pPr>
                              <w:r>
                                <w:rPr>
                                  <w:rFonts w:ascii="Arial MT"/>
                                  <w:spacing w:val="-5"/>
                                  <w:w w:val="115"/>
                                  <w:sz w:val="16"/>
                                </w:rPr>
                                <w:t>10</w:t>
                              </w:r>
                            </w:p>
                          </w:txbxContent>
                        </wps:txbx>
                        <wps:bodyPr wrap="square" lIns="0" tIns="0" rIns="0" bIns="0" rtlCol="0">
                          <a:noAutofit/>
                        </wps:bodyPr>
                      </wps:wsp>
                      <wps:wsp>
                        <wps:cNvPr id="611" name="Textbox 611"/>
                        <wps:cNvSpPr txBox="1"/>
                        <wps:spPr>
                          <a:xfrm>
                            <a:off x="1173914" y="4401654"/>
                            <a:ext cx="78740" cy="116839"/>
                          </a:xfrm>
                          <a:prstGeom prst="rect">
                            <a:avLst/>
                          </a:prstGeom>
                        </wps:spPr>
                        <wps:txbx>
                          <w:txbxContent>
                            <w:p>
                              <w:pPr>
                                <w:spacing w:line="183" w:lineRule="exact" w:before="0"/>
                                <w:ind w:left="0" w:right="0" w:firstLine="0"/>
                                <w:jc w:val="left"/>
                                <w:rPr>
                                  <w:rFonts w:ascii="Arial MT"/>
                                  <w:sz w:val="16"/>
                                </w:rPr>
                              </w:pPr>
                              <w:r>
                                <w:rPr>
                                  <w:rFonts w:ascii="Arial MT"/>
                                  <w:spacing w:val="-10"/>
                                  <w:w w:val="115"/>
                                  <w:sz w:val="16"/>
                                </w:rPr>
                                <w:t>1</w:t>
                              </w:r>
                            </w:p>
                          </w:txbxContent>
                        </wps:txbx>
                        <wps:bodyPr wrap="square" lIns="0" tIns="0" rIns="0" bIns="0" rtlCol="0">
                          <a:noAutofit/>
                        </wps:bodyPr>
                      </wps:wsp>
                      <wps:wsp>
                        <wps:cNvPr id="612" name="Textbox 612"/>
                        <wps:cNvSpPr txBox="1"/>
                        <wps:spPr>
                          <a:xfrm>
                            <a:off x="1035424" y="4236550"/>
                            <a:ext cx="78740" cy="116839"/>
                          </a:xfrm>
                          <a:prstGeom prst="rect">
                            <a:avLst/>
                          </a:prstGeom>
                        </wps:spPr>
                        <wps:txbx>
                          <w:txbxContent>
                            <w:p>
                              <w:pPr>
                                <w:spacing w:line="183" w:lineRule="exact" w:before="0"/>
                                <w:ind w:left="0" w:right="0" w:firstLine="0"/>
                                <w:jc w:val="left"/>
                                <w:rPr>
                                  <w:rFonts w:ascii="Arial MT"/>
                                  <w:sz w:val="16"/>
                                </w:rPr>
                              </w:pPr>
                              <w:r>
                                <w:rPr>
                                  <w:rFonts w:ascii="Arial MT"/>
                                  <w:spacing w:val="-10"/>
                                  <w:w w:val="115"/>
                                  <w:sz w:val="16"/>
                                </w:rPr>
                                <w:t>0</w:t>
                              </w:r>
                            </w:p>
                          </w:txbxContent>
                        </wps:txbx>
                        <wps:bodyPr wrap="square" lIns="0" tIns="0" rIns="0" bIns="0" rtlCol="0">
                          <a:noAutofit/>
                        </wps:bodyPr>
                      </wps:wsp>
                      <wps:wsp>
                        <wps:cNvPr id="613" name="Textbox 613"/>
                        <wps:cNvSpPr txBox="1"/>
                        <wps:spPr>
                          <a:xfrm>
                            <a:off x="936173" y="3557599"/>
                            <a:ext cx="177800" cy="116839"/>
                          </a:xfrm>
                          <a:prstGeom prst="rect">
                            <a:avLst/>
                          </a:prstGeom>
                        </wps:spPr>
                        <wps:txbx>
                          <w:txbxContent>
                            <w:p>
                              <w:pPr>
                                <w:spacing w:line="183" w:lineRule="exact" w:before="0"/>
                                <w:ind w:left="0" w:right="0" w:firstLine="0"/>
                                <w:jc w:val="left"/>
                                <w:rPr>
                                  <w:rFonts w:ascii="Arial MT"/>
                                  <w:sz w:val="16"/>
                                </w:rPr>
                              </w:pPr>
                              <w:r>
                                <w:rPr>
                                  <w:rFonts w:ascii="Arial MT"/>
                                  <w:spacing w:val="-5"/>
                                  <w:w w:val="115"/>
                                  <w:sz w:val="16"/>
                                </w:rPr>
                                <w:t>0.2</w:t>
                              </w:r>
                            </w:p>
                          </w:txbxContent>
                        </wps:txbx>
                        <wps:bodyPr wrap="square" lIns="0" tIns="0" rIns="0" bIns="0" rtlCol="0">
                          <a:noAutofit/>
                        </wps:bodyPr>
                      </wps:wsp>
                      <wps:wsp>
                        <wps:cNvPr id="614" name="Textbox 614"/>
                        <wps:cNvSpPr txBox="1"/>
                        <wps:spPr>
                          <a:xfrm>
                            <a:off x="936173" y="2878301"/>
                            <a:ext cx="177800" cy="116839"/>
                          </a:xfrm>
                          <a:prstGeom prst="rect">
                            <a:avLst/>
                          </a:prstGeom>
                        </wps:spPr>
                        <wps:txbx>
                          <w:txbxContent>
                            <w:p>
                              <w:pPr>
                                <w:spacing w:line="183" w:lineRule="exact" w:before="0"/>
                                <w:ind w:left="0" w:right="0" w:firstLine="0"/>
                                <w:jc w:val="left"/>
                                <w:rPr>
                                  <w:rFonts w:ascii="Arial MT"/>
                                  <w:sz w:val="16"/>
                                </w:rPr>
                              </w:pPr>
                              <w:r>
                                <w:rPr>
                                  <w:rFonts w:ascii="Arial MT"/>
                                  <w:spacing w:val="-5"/>
                                  <w:w w:val="115"/>
                                  <w:sz w:val="16"/>
                                </w:rPr>
                                <w:t>0.4</w:t>
                              </w:r>
                            </w:p>
                          </w:txbxContent>
                        </wps:txbx>
                        <wps:bodyPr wrap="square" lIns="0" tIns="0" rIns="0" bIns="0" rtlCol="0">
                          <a:noAutofit/>
                        </wps:bodyPr>
                      </wps:wsp>
                      <wps:wsp>
                        <wps:cNvPr id="615" name="Textbox 615"/>
                        <wps:cNvSpPr txBox="1"/>
                        <wps:spPr>
                          <a:xfrm>
                            <a:off x="143483" y="2053906"/>
                            <a:ext cx="970280" cy="273685"/>
                          </a:xfrm>
                          <a:prstGeom prst="rect">
                            <a:avLst/>
                          </a:prstGeom>
                        </wps:spPr>
                        <wps:txbx>
                          <w:txbxContent>
                            <w:p>
                              <w:pPr>
                                <w:tabs>
                                  <w:tab w:pos="1507" w:val="right" w:leader="none"/>
                                </w:tabs>
                                <w:spacing w:line="271" w:lineRule="auto" w:before="0"/>
                                <w:ind w:left="0" w:right="18" w:firstLine="0"/>
                                <w:jc w:val="left"/>
                                <w:rPr>
                                  <w:rFonts w:ascii="Arial MT"/>
                                  <w:sz w:val="16"/>
                                </w:rPr>
                              </w:pPr>
                              <w:r>
                                <w:rPr>
                                  <w:spacing w:val="-2"/>
                                  <w:w w:val="115"/>
                                  <w:sz w:val="18"/>
                                </w:rPr>
                                <w:t>FRACTIONAL </w:t>
                              </w:r>
                              <w:r>
                                <w:rPr>
                                  <w:spacing w:val="-4"/>
                                  <w:w w:val="115"/>
                                  <w:sz w:val="18"/>
                                </w:rPr>
                                <w:t>BLOCK</w:t>
                              </w:r>
                              <w:r>
                                <w:rPr>
                                  <w:sz w:val="18"/>
                                </w:rPr>
                                <w:tab/>
                              </w:r>
                              <w:r>
                                <w:rPr>
                                  <w:rFonts w:ascii="Arial MT"/>
                                  <w:spacing w:val="-4"/>
                                  <w:w w:val="115"/>
                                  <w:position w:val="1"/>
                                  <w:sz w:val="16"/>
                                </w:rPr>
                                <w:t>0.6</w:t>
                              </w:r>
                            </w:p>
                          </w:txbxContent>
                        </wps:txbx>
                        <wps:bodyPr wrap="square" lIns="0" tIns="0" rIns="0" bIns="0" rtlCol="0">
                          <a:noAutofit/>
                        </wps:bodyPr>
                      </wps:wsp>
                      <wps:wsp>
                        <wps:cNvPr id="616" name="Textbox 616"/>
                        <wps:cNvSpPr txBox="1"/>
                        <wps:spPr>
                          <a:xfrm>
                            <a:off x="936173" y="1529436"/>
                            <a:ext cx="177800" cy="116839"/>
                          </a:xfrm>
                          <a:prstGeom prst="rect">
                            <a:avLst/>
                          </a:prstGeom>
                        </wps:spPr>
                        <wps:txbx>
                          <w:txbxContent>
                            <w:p>
                              <w:pPr>
                                <w:spacing w:line="183" w:lineRule="exact" w:before="0"/>
                                <w:ind w:left="0" w:right="0" w:firstLine="0"/>
                                <w:jc w:val="left"/>
                                <w:rPr>
                                  <w:rFonts w:ascii="Arial MT"/>
                                  <w:sz w:val="16"/>
                                </w:rPr>
                              </w:pPr>
                              <w:r>
                                <w:rPr>
                                  <w:rFonts w:ascii="Arial MT"/>
                                  <w:spacing w:val="-5"/>
                                  <w:w w:val="115"/>
                                  <w:sz w:val="16"/>
                                </w:rPr>
                                <w:t>0.8</w:t>
                              </w:r>
                            </w:p>
                          </w:txbxContent>
                        </wps:txbx>
                        <wps:bodyPr wrap="square" lIns="0" tIns="0" rIns="0" bIns="0" rtlCol="0">
                          <a:noAutofit/>
                        </wps:bodyPr>
                      </wps:wsp>
                      <wps:wsp>
                        <wps:cNvPr id="617" name="Textbox 617"/>
                        <wps:cNvSpPr txBox="1"/>
                        <wps:spPr>
                          <a:xfrm>
                            <a:off x="1035424" y="850485"/>
                            <a:ext cx="78740" cy="116839"/>
                          </a:xfrm>
                          <a:prstGeom prst="rect">
                            <a:avLst/>
                          </a:prstGeom>
                        </wps:spPr>
                        <wps:txbx>
                          <w:txbxContent>
                            <w:p>
                              <w:pPr>
                                <w:spacing w:line="183" w:lineRule="exact" w:before="0"/>
                                <w:ind w:left="0" w:right="0" w:firstLine="0"/>
                                <w:jc w:val="left"/>
                                <w:rPr>
                                  <w:rFonts w:ascii="Arial MT"/>
                                  <w:sz w:val="16"/>
                                </w:rPr>
                              </w:pPr>
                              <w:r>
                                <w:rPr>
                                  <w:rFonts w:ascii="Arial MT"/>
                                  <w:spacing w:val="-10"/>
                                  <w:w w:val="115"/>
                                  <w:sz w:val="16"/>
                                </w:rPr>
                                <w:t>1</w:t>
                              </w:r>
                            </w:p>
                          </w:txbxContent>
                        </wps:txbx>
                        <wps:bodyPr wrap="square" lIns="0" tIns="0" rIns="0" bIns="0" rtlCol="0">
                          <a:noAutofit/>
                        </wps:bodyPr>
                      </wps:wsp>
                      <wps:wsp>
                        <wps:cNvPr id="618" name="Textbox 618"/>
                        <wps:cNvSpPr txBox="1"/>
                        <wps:spPr>
                          <a:xfrm>
                            <a:off x="936173" y="171534"/>
                            <a:ext cx="177800" cy="116839"/>
                          </a:xfrm>
                          <a:prstGeom prst="rect">
                            <a:avLst/>
                          </a:prstGeom>
                        </wps:spPr>
                        <wps:txbx>
                          <w:txbxContent>
                            <w:p>
                              <w:pPr>
                                <w:spacing w:line="183" w:lineRule="exact" w:before="0"/>
                                <w:ind w:left="0" w:right="0" w:firstLine="0"/>
                                <w:jc w:val="left"/>
                                <w:rPr>
                                  <w:rFonts w:ascii="Arial MT"/>
                                  <w:sz w:val="16"/>
                                </w:rPr>
                              </w:pPr>
                              <w:r>
                                <w:rPr>
                                  <w:rFonts w:ascii="Arial MT"/>
                                  <w:spacing w:val="-5"/>
                                  <w:w w:val="115"/>
                                  <w:sz w:val="16"/>
                                </w:rPr>
                                <w:t>1.2</w:t>
                              </w:r>
                            </w:p>
                          </w:txbxContent>
                        </wps:txbx>
                        <wps:bodyPr wrap="square" lIns="0" tIns="0" rIns="0" bIns="0" rtlCol="0">
                          <a:noAutofit/>
                        </wps:bodyPr>
                      </wps:wsp>
                    </wpg:wgp>
                  </a:graphicData>
                </a:graphic>
              </wp:inline>
            </w:drawing>
          </mc:Choice>
          <mc:Fallback>
            <w:pict>
              <v:group style="width:431.5pt;height:403.75pt;mso-position-horizontal-relative:char;mso-position-vertical-relative:line" id="docshapegroup481" coordorigin="0,0" coordsize="8630,8075">
                <v:rect style="position:absolute;left:7;top:7;width:8615;height:8061" id="docshape482" filled="false" stroked="true" strokeweight=".728421pt" strokecolor="#000000">
                  <v:stroke dashstyle="solid"/>
                </v:rect>
                <v:shape style="position:absolute;left:1903;top:370;width:6415;height:6402" id="docshape483" coordorigin="1904,370" coordsize="6415,6402" path="m1904,370l8302,370m8318,370l8318,6758m8318,6772l1919,6772m1904,6772l1904,384e" filled="false" stroked="true" strokeweight=".731566pt" strokecolor="#ccffcc">
                  <v:path arrowok="t"/>
                  <v:stroke dashstyle="solid"/>
                </v:shape>
                <v:shape style="position:absolute;left:1840;top:370;width:6477;height:6457" id="docshape484" coordorigin="1841,370" coordsize="6477,6457" path="m1904,370l1904,6758m1841,6772l1888,6772m1841,5703l1888,5703m1841,4634l1888,4634m1841,3564l1888,3564m1841,2509l1888,2509m1841,1440l1888,1440m1841,370l1888,370m1904,6772l8302,6772m1904,6827l1904,6786m4042,6827l4042,6786m6180,6827l6180,6786m8318,6827l8318,6786e" filled="false" stroked="true" strokeweight=".731566pt" strokecolor="#000000">
                  <v:path arrowok="t"/>
                  <v:stroke dashstyle="solid"/>
                </v:shape>
                <v:shape style="position:absolute;left:4041;top:1658;width:3808;height:5018" id="docshape485" coordorigin="4042,1659" coordsize="3808,5018" path="m7849,1659l7709,1727,7537,1810,7444,1865,7366,1920,7272,2002,7194,2112m7194,2112l7147,2194,7085,2290,7023,2399,6960,2523,6820,2783,6679,3071,6539,3359,6398,3633,6289,3894,6227,4003,6180,4113m6180,4113l6102,4291,6024,4456,5977,4606,5930,4744,5836,4990,5774,5113,5712,5237m5712,5237l5571,5498,5415,5758,5243,6004,5150,6114,5056,6210m5056,6210l4947,6293,4822,6361,4572,6471,4307,6567,4042,6676e" filled="false" stroked="true" strokeweight=".731566pt" strokecolor="#000000">
                  <v:path arrowok="t"/>
                  <v:stroke dashstyle="solid"/>
                </v:shape>
                <v:shape style="position:absolute;left:7725;top:1741;width:218;height:193" type="#_x0000_t75" id="docshape486" stroked="false">
                  <v:imagedata r:id="rId80" o:title=""/>
                </v:shape>
                <v:shape style="position:absolute;left:7070;top:1946;width:218;height:194" type="#_x0000_t75" id="docshape487" stroked="false">
                  <v:imagedata r:id="rId81" o:title=""/>
                </v:shape>
                <v:shape style="position:absolute;left:6055;top:3988;width:218;height:194" type="#_x0000_t75" id="docshape488" stroked="false">
                  <v:imagedata r:id="rId82" o:title=""/>
                </v:shape>
                <v:shape style="position:absolute;left:5587;top:5126;width:218;height:193" type="#_x0000_t75" id="docshape489" stroked="false">
                  <v:imagedata r:id="rId83" o:title=""/>
                </v:shape>
                <v:shape style="position:absolute;left:4931;top:6127;width:218;height:193" type="#_x0000_t75" id="docshape490" stroked="false">
                  <v:imagedata r:id="rId84" o:title=""/>
                </v:shape>
                <v:shape style="position:absolute;left:3917;top:6662;width:218;height:193" type="#_x0000_t75" id="docshape491" stroked="false">
                  <v:imagedata r:id="rId85" o:title=""/>
                </v:shape>
                <v:rect style="position:absolute;left:7;top:7;width:8615;height:8061" id="docshape492" filled="false" stroked="true" strokeweight=".728421pt" strokecolor="#000000">
                  <v:stroke dashstyle="solid"/>
                </v:rect>
                <v:shape style="position:absolute;left:8091;top:6931;width:457;height:184" type="#_x0000_t202" id="docshape493" filled="false" stroked="false">
                  <v:textbox inset="0,0,0,0">
                    <w:txbxContent>
                      <w:p>
                        <w:pPr>
                          <w:spacing w:line="183" w:lineRule="exact" w:before="0"/>
                          <w:ind w:left="0" w:right="0" w:firstLine="0"/>
                          <w:jc w:val="left"/>
                          <w:rPr>
                            <w:rFonts w:ascii="Arial MT"/>
                            <w:sz w:val="16"/>
                          </w:rPr>
                        </w:pPr>
                        <w:r>
                          <w:rPr>
                            <w:rFonts w:ascii="Arial MT"/>
                            <w:spacing w:val="-4"/>
                            <w:w w:val="115"/>
                            <w:sz w:val="16"/>
                          </w:rPr>
                          <w:t>1000</w:t>
                        </w:r>
                      </w:p>
                    </w:txbxContent>
                  </v:textbox>
                  <w10:wrap type="none"/>
                </v:shape>
                <v:shape style="position:absolute;left:6015;top:6931;width:348;height:184" type="#_x0000_t202" id="docshape494" filled="false" stroked="false">
                  <v:textbox inset="0,0,0,0">
                    <w:txbxContent>
                      <w:p>
                        <w:pPr>
                          <w:spacing w:line="183" w:lineRule="exact" w:before="0"/>
                          <w:ind w:left="0" w:right="0" w:firstLine="0"/>
                          <w:jc w:val="left"/>
                          <w:rPr>
                            <w:rFonts w:ascii="Arial MT"/>
                            <w:sz w:val="16"/>
                          </w:rPr>
                        </w:pPr>
                        <w:r>
                          <w:rPr>
                            <w:rFonts w:ascii="Arial MT"/>
                            <w:spacing w:val="-5"/>
                            <w:w w:val="115"/>
                            <w:sz w:val="16"/>
                          </w:rPr>
                          <w:t>100</w:t>
                        </w:r>
                      </w:p>
                    </w:txbxContent>
                  </v:textbox>
                  <w10:wrap type="none"/>
                </v:shape>
                <v:shape style="position:absolute;left:3924;top:6931;width:239;height:184" type="#_x0000_t202" id="docshape495" filled="false" stroked="false">
                  <v:textbox inset="0,0,0,0">
                    <w:txbxContent>
                      <w:p>
                        <w:pPr>
                          <w:spacing w:line="183" w:lineRule="exact" w:before="0"/>
                          <w:ind w:left="0" w:right="0" w:firstLine="0"/>
                          <w:jc w:val="left"/>
                          <w:rPr>
                            <w:rFonts w:ascii="Arial MT"/>
                            <w:sz w:val="16"/>
                          </w:rPr>
                        </w:pPr>
                        <w:r>
                          <w:rPr>
                            <w:rFonts w:ascii="Arial MT"/>
                            <w:spacing w:val="-5"/>
                            <w:w w:val="115"/>
                            <w:sz w:val="16"/>
                          </w:rPr>
                          <w:t>10</w:t>
                        </w:r>
                      </w:p>
                    </w:txbxContent>
                  </v:textbox>
                  <w10:wrap type="none"/>
                </v:shape>
                <v:shape style="position:absolute;left:1848;top:6931;width:124;height:184" type="#_x0000_t202" id="docshape496" filled="false" stroked="false">
                  <v:textbox inset="0,0,0,0">
                    <w:txbxContent>
                      <w:p>
                        <w:pPr>
                          <w:spacing w:line="183" w:lineRule="exact" w:before="0"/>
                          <w:ind w:left="0" w:right="0" w:firstLine="0"/>
                          <w:jc w:val="left"/>
                          <w:rPr>
                            <w:rFonts w:ascii="Arial MT"/>
                            <w:sz w:val="16"/>
                          </w:rPr>
                        </w:pPr>
                        <w:r>
                          <w:rPr>
                            <w:rFonts w:ascii="Arial MT"/>
                            <w:spacing w:val="-10"/>
                            <w:w w:val="115"/>
                            <w:sz w:val="16"/>
                          </w:rPr>
                          <w:t>1</w:t>
                        </w:r>
                      </w:p>
                    </w:txbxContent>
                  </v:textbox>
                  <w10:wrap type="none"/>
                </v:shape>
                <v:shape style="position:absolute;left:1630;top:6671;width:124;height:184" type="#_x0000_t202" id="docshape497" filled="false" stroked="false">
                  <v:textbox inset="0,0,0,0">
                    <w:txbxContent>
                      <w:p>
                        <w:pPr>
                          <w:spacing w:line="183" w:lineRule="exact" w:before="0"/>
                          <w:ind w:left="0" w:right="0" w:firstLine="0"/>
                          <w:jc w:val="left"/>
                          <w:rPr>
                            <w:rFonts w:ascii="Arial MT"/>
                            <w:sz w:val="16"/>
                          </w:rPr>
                        </w:pPr>
                        <w:r>
                          <w:rPr>
                            <w:rFonts w:ascii="Arial MT"/>
                            <w:spacing w:val="-10"/>
                            <w:w w:val="115"/>
                            <w:sz w:val="16"/>
                          </w:rPr>
                          <w:t>0</w:t>
                        </w:r>
                      </w:p>
                    </w:txbxContent>
                  </v:textbox>
                  <w10:wrap type="none"/>
                </v:shape>
                <v:shape style="position:absolute;left:1474;top:5602;width:280;height:184" type="#_x0000_t202" id="docshape498" filled="false" stroked="false">
                  <v:textbox inset="0,0,0,0">
                    <w:txbxContent>
                      <w:p>
                        <w:pPr>
                          <w:spacing w:line="183" w:lineRule="exact" w:before="0"/>
                          <w:ind w:left="0" w:right="0" w:firstLine="0"/>
                          <w:jc w:val="left"/>
                          <w:rPr>
                            <w:rFonts w:ascii="Arial MT"/>
                            <w:sz w:val="16"/>
                          </w:rPr>
                        </w:pPr>
                        <w:r>
                          <w:rPr>
                            <w:rFonts w:ascii="Arial MT"/>
                            <w:spacing w:val="-5"/>
                            <w:w w:val="115"/>
                            <w:sz w:val="16"/>
                          </w:rPr>
                          <w:t>0.2</w:t>
                        </w:r>
                      </w:p>
                    </w:txbxContent>
                  </v:textbox>
                  <w10:wrap type="none"/>
                </v:shape>
                <v:shape style="position:absolute;left:1474;top:4532;width:280;height:184" type="#_x0000_t202" id="docshape499" filled="false" stroked="false">
                  <v:textbox inset="0,0,0,0">
                    <w:txbxContent>
                      <w:p>
                        <w:pPr>
                          <w:spacing w:line="183" w:lineRule="exact" w:before="0"/>
                          <w:ind w:left="0" w:right="0" w:firstLine="0"/>
                          <w:jc w:val="left"/>
                          <w:rPr>
                            <w:rFonts w:ascii="Arial MT"/>
                            <w:sz w:val="16"/>
                          </w:rPr>
                        </w:pPr>
                        <w:r>
                          <w:rPr>
                            <w:rFonts w:ascii="Arial MT"/>
                            <w:spacing w:val="-5"/>
                            <w:w w:val="115"/>
                            <w:sz w:val="16"/>
                          </w:rPr>
                          <w:t>0.4</w:t>
                        </w:r>
                      </w:p>
                    </w:txbxContent>
                  </v:textbox>
                  <w10:wrap type="none"/>
                </v:shape>
                <v:shape style="position:absolute;left:225;top:3234;width:1528;height:431" type="#_x0000_t202" id="docshape500" filled="false" stroked="false">
                  <v:textbox inset="0,0,0,0">
                    <w:txbxContent>
                      <w:p>
                        <w:pPr>
                          <w:tabs>
                            <w:tab w:pos="1507" w:val="right" w:leader="none"/>
                          </w:tabs>
                          <w:spacing w:line="271" w:lineRule="auto" w:before="0"/>
                          <w:ind w:left="0" w:right="18" w:firstLine="0"/>
                          <w:jc w:val="left"/>
                          <w:rPr>
                            <w:rFonts w:ascii="Arial MT"/>
                            <w:sz w:val="16"/>
                          </w:rPr>
                        </w:pPr>
                        <w:r>
                          <w:rPr>
                            <w:spacing w:val="-2"/>
                            <w:w w:val="115"/>
                            <w:sz w:val="18"/>
                          </w:rPr>
                          <w:t>FRACTIONAL </w:t>
                        </w:r>
                        <w:r>
                          <w:rPr>
                            <w:spacing w:val="-4"/>
                            <w:w w:val="115"/>
                            <w:sz w:val="18"/>
                          </w:rPr>
                          <w:t>BLOCK</w:t>
                        </w:r>
                        <w:r>
                          <w:rPr>
                            <w:sz w:val="18"/>
                          </w:rPr>
                          <w:tab/>
                        </w:r>
                        <w:r>
                          <w:rPr>
                            <w:rFonts w:ascii="Arial MT"/>
                            <w:spacing w:val="-4"/>
                            <w:w w:val="115"/>
                            <w:position w:val="1"/>
                            <w:sz w:val="16"/>
                          </w:rPr>
                          <w:t>0.6</w:t>
                        </w:r>
                      </w:p>
                    </w:txbxContent>
                  </v:textbox>
                  <w10:wrap type="none"/>
                </v:shape>
                <v:shape style="position:absolute;left:1474;top:2408;width:280;height:184" type="#_x0000_t202" id="docshape501" filled="false" stroked="false">
                  <v:textbox inset="0,0,0,0">
                    <w:txbxContent>
                      <w:p>
                        <w:pPr>
                          <w:spacing w:line="183" w:lineRule="exact" w:before="0"/>
                          <w:ind w:left="0" w:right="0" w:firstLine="0"/>
                          <w:jc w:val="left"/>
                          <w:rPr>
                            <w:rFonts w:ascii="Arial MT"/>
                            <w:sz w:val="16"/>
                          </w:rPr>
                        </w:pPr>
                        <w:r>
                          <w:rPr>
                            <w:rFonts w:ascii="Arial MT"/>
                            <w:spacing w:val="-5"/>
                            <w:w w:val="115"/>
                            <w:sz w:val="16"/>
                          </w:rPr>
                          <w:t>0.8</w:t>
                        </w:r>
                      </w:p>
                    </w:txbxContent>
                  </v:textbox>
                  <w10:wrap type="none"/>
                </v:shape>
                <v:shape style="position:absolute;left:1630;top:1339;width:124;height:184" type="#_x0000_t202" id="docshape502" filled="false" stroked="false">
                  <v:textbox inset="0,0,0,0">
                    <w:txbxContent>
                      <w:p>
                        <w:pPr>
                          <w:spacing w:line="183" w:lineRule="exact" w:before="0"/>
                          <w:ind w:left="0" w:right="0" w:firstLine="0"/>
                          <w:jc w:val="left"/>
                          <w:rPr>
                            <w:rFonts w:ascii="Arial MT"/>
                            <w:sz w:val="16"/>
                          </w:rPr>
                        </w:pPr>
                        <w:r>
                          <w:rPr>
                            <w:rFonts w:ascii="Arial MT"/>
                            <w:spacing w:val="-10"/>
                            <w:w w:val="115"/>
                            <w:sz w:val="16"/>
                          </w:rPr>
                          <w:t>1</w:t>
                        </w:r>
                      </w:p>
                    </w:txbxContent>
                  </v:textbox>
                  <w10:wrap type="none"/>
                </v:shape>
                <v:shape style="position:absolute;left:1474;top:270;width:280;height:184" type="#_x0000_t202" id="docshape503" filled="false" stroked="false">
                  <v:textbox inset="0,0,0,0">
                    <w:txbxContent>
                      <w:p>
                        <w:pPr>
                          <w:spacing w:line="183" w:lineRule="exact" w:before="0"/>
                          <w:ind w:left="0" w:right="0" w:firstLine="0"/>
                          <w:jc w:val="left"/>
                          <w:rPr>
                            <w:rFonts w:ascii="Arial MT"/>
                            <w:sz w:val="16"/>
                          </w:rPr>
                        </w:pPr>
                        <w:r>
                          <w:rPr>
                            <w:rFonts w:ascii="Arial MT"/>
                            <w:spacing w:val="-5"/>
                            <w:w w:val="115"/>
                            <w:sz w:val="16"/>
                          </w:rPr>
                          <w:t>1.2</w:t>
                        </w:r>
                      </w:p>
                    </w:txbxContent>
                  </v:textbox>
                  <w10:wrap type="none"/>
                </v:shape>
              </v:group>
            </w:pict>
          </mc:Fallback>
        </mc:AlternateContent>
      </w:r>
      <w:r>
        <w:rPr>
          <w:sz w:val="20"/>
        </w:rPr>
      </w:r>
    </w:p>
    <w:p>
      <w:pPr>
        <w:pStyle w:val="BodyText"/>
      </w:pPr>
    </w:p>
    <w:p>
      <w:pPr>
        <w:pStyle w:val="BodyText"/>
        <w:spacing w:before="241"/>
      </w:pPr>
    </w:p>
    <w:p>
      <w:pPr>
        <w:pStyle w:val="BodyText"/>
        <w:spacing w:line="480" w:lineRule="auto"/>
        <w:ind w:left="681" w:right="1875"/>
      </w:pPr>
      <w:r>
        <w:rPr/>
        <w:t>X</w:t>
      </w:r>
      <w:r>
        <w:rPr>
          <w:spacing w:val="-3"/>
        </w:rPr>
        <w:t> </w:t>
      </w:r>
      <w:r>
        <w:rPr/>
        <w:t>–</w:t>
      </w:r>
      <w:r>
        <w:rPr>
          <w:spacing w:val="-2"/>
        </w:rPr>
        <w:t> </w:t>
      </w:r>
      <w:r>
        <w:rPr/>
        <w:t>axis</w:t>
      </w:r>
      <w:r>
        <w:rPr>
          <w:spacing w:val="-4"/>
        </w:rPr>
        <w:t> </w:t>
      </w:r>
      <w:r>
        <w:rPr/>
        <w:t>=</w:t>
      </w:r>
      <w:r>
        <w:rPr>
          <w:spacing w:val="-3"/>
        </w:rPr>
        <w:t> </w:t>
      </w:r>
      <w:r>
        <w:rPr/>
        <w:t>Concentration</w:t>
      </w:r>
      <w:r>
        <w:rPr>
          <w:spacing w:val="-6"/>
        </w:rPr>
        <w:t> </w:t>
      </w:r>
      <w:r>
        <w:rPr/>
        <w:t>(µM);</w:t>
      </w:r>
      <w:r>
        <w:rPr>
          <w:spacing w:val="40"/>
        </w:rPr>
        <w:t> </w:t>
      </w:r>
      <w:r>
        <w:rPr/>
        <w:t>IC</w:t>
      </w:r>
      <w:r>
        <w:rPr>
          <w:vertAlign w:val="subscript"/>
        </w:rPr>
        <w:t>50</w:t>
      </w:r>
      <w:r>
        <w:rPr>
          <w:spacing w:val="-4"/>
          <w:vertAlign w:val="baseline"/>
        </w:rPr>
        <w:t> </w:t>
      </w:r>
      <w:r>
        <w:rPr>
          <w:vertAlign w:val="baseline"/>
        </w:rPr>
        <w:t>(µM)</w:t>
      </w:r>
      <w:r>
        <w:rPr>
          <w:spacing w:val="-1"/>
          <w:vertAlign w:val="baseline"/>
        </w:rPr>
        <w:t> </w:t>
      </w:r>
      <w:r>
        <w:rPr>
          <w:vertAlign w:val="baseline"/>
        </w:rPr>
        <w:t>=</w:t>
      </w:r>
      <w:r>
        <w:rPr>
          <w:spacing w:val="-3"/>
          <w:vertAlign w:val="baseline"/>
        </w:rPr>
        <w:t> </w:t>
      </w:r>
      <w:r>
        <w:rPr>
          <w:vertAlign w:val="baseline"/>
        </w:rPr>
        <w:t>100.37;</w:t>
      </w:r>
      <w:r>
        <w:rPr>
          <w:spacing w:val="-6"/>
          <w:vertAlign w:val="baseline"/>
        </w:rPr>
        <w:t> </w:t>
      </w:r>
      <w:r>
        <w:rPr>
          <w:vertAlign w:val="baseline"/>
        </w:rPr>
        <w:t>k</w:t>
      </w:r>
      <w:r>
        <w:rPr>
          <w:spacing w:val="-2"/>
          <w:vertAlign w:val="baseline"/>
        </w:rPr>
        <w:t> </w:t>
      </w:r>
      <w:r>
        <w:rPr>
          <w:vertAlign w:val="baseline"/>
        </w:rPr>
        <w:t>=</w:t>
      </w:r>
      <w:r>
        <w:rPr>
          <w:spacing w:val="-3"/>
          <w:vertAlign w:val="baseline"/>
        </w:rPr>
        <w:t> </w:t>
      </w:r>
      <w:r>
        <w:rPr>
          <w:vertAlign w:val="baseline"/>
        </w:rPr>
        <w:t>1.765335 INACTIVATED STATE (-100 mV)</w:t>
      </w:r>
    </w:p>
    <w:p>
      <w:pPr>
        <w:spacing w:after="0" w:line="480" w:lineRule="auto"/>
        <w:sectPr>
          <w:pgSz w:w="12240" w:h="15840"/>
          <w:pgMar w:header="0" w:footer="1066" w:top="1440" w:bottom="1260" w:left="1480" w:right="1160"/>
        </w:sectPr>
      </w:pPr>
    </w:p>
    <w:p>
      <w:pPr>
        <w:pStyle w:val="BodyText"/>
        <w:spacing w:before="133"/>
        <w:rPr>
          <w:sz w:val="32"/>
        </w:rPr>
      </w:pPr>
    </w:p>
    <w:p>
      <w:pPr>
        <w:spacing w:before="0"/>
        <w:ind w:left="104" w:right="0" w:firstLine="0"/>
        <w:jc w:val="left"/>
        <w:rPr>
          <w:rFonts w:ascii="Arial MT"/>
          <w:sz w:val="32"/>
        </w:rPr>
      </w:pPr>
      <w:r>
        <w:rPr>
          <w:rFonts w:ascii="Arial MT"/>
          <w:sz w:val="32"/>
        </w:rPr>
        <w:t>Voltage-dependent</w:t>
      </w:r>
      <w:r>
        <w:rPr>
          <w:rFonts w:ascii="Arial MT"/>
          <w:spacing w:val="-10"/>
          <w:sz w:val="32"/>
        </w:rPr>
        <w:t> </w:t>
      </w:r>
      <w:r>
        <w:rPr>
          <w:rFonts w:ascii="Arial MT"/>
          <w:sz w:val="32"/>
        </w:rPr>
        <w:t>Action</w:t>
      </w:r>
      <w:r>
        <w:rPr>
          <w:rFonts w:ascii="Arial MT"/>
          <w:spacing w:val="-5"/>
          <w:sz w:val="32"/>
        </w:rPr>
        <w:t> </w:t>
      </w:r>
      <w:r>
        <w:rPr>
          <w:rFonts w:ascii="Arial MT"/>
          <w:sz w:val="32"/>
        </w:rPr>
        <w:t>of</w:t>
      </w:r>
      <w:r>
        <w:rPr>
          <w:rFonts w:ascii="Arial MT"/>
          <w:spacing w:val="-3"/>
          <w:sz w:val="32"/>
        </w:rPr>
        <w:t> </w:t>
      </w:r>
      <w:r>
        <w:rPr>
          <w:rFonts w:ascii="Arial MT"/>
          <w:sz w:val="32"/>
        </w:rPr>
        <w:t>10</w:t>
      </w:r>
      <w:r>
        <w:rPr>
          <w:rFonts w:ascii="Arial MT"/>
          <w:spacing w:val="-10"/>
          <w:sz w:val="32"/>
        </w:rPr>
        <w:t> </w:t>
      </w:r>
      <w:r>
        <w:rPr>
          <w:rFonts w:ascii="Arial MT"/>
          <w:sz w:val="32"/>
        </w:rPr>
        <w:t>uM</w:t>
      </w:r>
      <w:r>
        <w:rPr>
          <w:rFonts w:ascii="Arial MT"/>
          <w:spacing w:val="-7"/>
          <w:sz w:val="32"/>
        </w:rPr>
        <w:t> </w:t>
      </w:r>
      <w:r>
        <w:rPr>
          <w:rFonts w:ascii="Arial MT"/>
          <w:sz w:val="32"/>
        </w:rPr>
        <w:t>S23</w:t>
      </w:r>
      <w:r>
        <w:rPr>
          <w:rFonts w:ascii="Arial MT"/>
          <w:spacing w:val="-5"/>
          <w:sz w:val="32"/>
        </w:rPr>
        <w:t> </w:t>
      </w:r>
      <w:r>
        <w:rPr>
          <w:rFonts w:ascii="Arial MT"/>
          <w:sz w:val="32"/>
        </w:rPr>
        <w:t>at</w:t>
      </w:r>
      <w:r>
        <w:rPr>
          <w:rFonts w:ascii="Arial MT"/>
          <w:spacing w:val="-2"/>
          <w:sz w:val="32"/>
        </w:rPr>
        <w:t> </w:t>
      </w:r>
      <w:r>
        <w:rPr>
          <w:rFonts w:ascii="Arial MT"/>
          <w:sz w:val="32"/>
        </w:rPr>
        <w:t>-60</w:t>
      </w:r>
      <w:r>
        <w:rPr>
          <w:rFonts w:ascii="Arial MT"/>
          <w:spacing w:val="-9"/>
          <w:sz w:val="32"/>
        </w:rPr>
        <w:t> </w:t>
      </w:r>
      <w:r>
        <w:rPr>
          <w:rFonts w:ascii="Arial MT"/>
          <w:sz w:val="32"/>
        </w:rPr>
        <w:t>mV</w:t>
      </w:r>
      <w:r>
        <w:rPr>
          <w:rFonts w:ascii="Arial MT"/>
          <w:spacing w:val="-1"/>
          <w:sz w:val="32"/>
        </w:rPr>
        <w:t> </w:t>
      </w:r>
      <w:r>
        <w:rPr>
          <w:rFonts w:ascii="Arial MT"/>
          <w:sz w:val="32"/>
        </w:rPr>
        <w:t>and</w:t>
      </w:r>
      <w:r>
        <w:rPr>
          <w:rFonts w:ascii="Arial MT"/>
          <w:spacing w:val="-8"/>
          <w:sz w:val="32"/>
        </w:rPr>
        <w:t> </w:t>
      </w:r>
      <w:r>
        <w:rPr>
          <w:rFonts w:ascii="Arial MT"/>
          <w:sz w:val="32"/>
        </w:rPr>
        <w:t>-100</w:t>
      </w:r>
      <w:r>
        <w:rPr>
          <w:rFonts w:ascii="Arial MT"/>
          <w:spacing w:val="-9"/>
          <w:sz w:val="32"/>
        </w:rPr>
        <w:t> </w:t>
      </w:r>
      <w:r>
        <w:rPr>
          <w:rFonts w:ascii="Arial MT"/>
          <w:spacing w:val="-5"/>
          <w:sz w:val="32"/>
        </w:rPr>
        <w:t>mV</w:t>
      </w:r>
    </w:p>
    <w:p>
      <w:pPr>
        <w:pStyle w:val="BodyText"/>
        <w:rPr>
          <w:rFonts w:ascii="Arial MT"/>
        </w:rPr>
      </w:pPr>
    </w:p>
    <w:p>
      <w:pPr>
        <w:pStyle w:val="BodyText"/>
        <w:rPr>
          <w:rFonts w:ascii="Arial MT"/>
        </w:rPr>
      </w:pPr>
    </w:p>
    <w:p>
      <w:pPr>
        <w:pStyle w:val="BodyText"/>
        <w:rPr>
          <w:rFonts w:ascii="Arial MT"/>
        </w:rPr>
      </w:pPr>
    </w:p>
    <w:p>
      <w:pPr>
        <w:pStyle w:val="BodyText"/>
        <w:spacing w:before="250"/>
        <w:rPr>
          <w:rFonts w:ascii="Arial MT"/>
        </w:rPr>
      </w:pPr>
    </w:p>
    <w:p>
      <w:pPr>
        <w:pStyle w:val="BodyText"/>
        <w:ind w:left="1545"/>
        <w:rPr>
          <w:rFonts w:ascii="Arial MT"/>
        </w:rPr>
      </w:pPr>
      <w:r>
        <w:rPr/>
        <mc:AlternateContent>
          <mc:Choice Requires="wps">
            <w:drawing>
              <wp:anchor distT="0" distB="0" distL="0" distR="0" allowOverlap="1" layoutInCell="1" locked="0" behindDoc="0" simplePos="0" relativeHeight="15823360">
                <wp:simplePos x="0" y="0"/>
                <wp:positionH relativeFrom="page">
                  <wp:posOffset>2743200</wp:posOffset>
                </wp:positionH>
                <wp:positionV relativeFrom="paragraph">
                  <wp:posOffset>-387250</wp:posOffset>
                </wp:positionV>
                <wp:extent cx="685800" cy="685165"/>
                <wp:effectExtent l="0" t="0" r="0" b="0"/>
                <wp:wrapNone/>
                <wp:docPr id="619" name="Graphic 619"/>
                <wp:cNvGraphicFramePr>
                  <a:graphicFrameLocks/>
                </wp:cNvGraphicFramePr>
                <a:graphic>
                  <a:graphicData uri="http://schemas.microsoft.com/office/word/2010/wordprocessingShape">
                    <wps:wsp>
                      <wps:cNvPr id="619" name="Graphic 619"/>
                      <wps:cNvSpPr/>
                      <wps:spPr>
                        <a:xfrm>
                          <a:off x="0" y="0"/>
                          <a:ext cx="685800" cy="685165"/>
                        </a:xfrm>
                        <a:custGeom>
                          <a:avLst/>
                          <a:gdLst/>
                          <a:ahLst/>
                          <a:cxnLst/>
                          <a:rect l="l" t="t" r="r" b="b"/>
                          <a:pathLst>
                            <a:path w="685800" h="685165">
                              <a:moveTo>
                                <a:pt x="0" y="0"/>
                              </a:moveTo>
                              <a:lnTo>
                                <a:pt x="0" y="685165"/>
                              </a:lnTo>
                              <a:lnTo>
                                <a:pt x="685800" y="68516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6pt;margin-top:-30.492188pt;width:54pt;height:53.95pt;mso-position-horizontal-relative:page;mso-position-vertical-relative:paragraph;z-index:15823360" id="docshape504" coordorigin="4320,-610" coordsize="1080,1079" path="m4320,-610l4320,469,5400,469e" filled="false" stroked="true" strokeweight=".75pt" strokecolor="#000000">
                <v:path arrowok="t"/>
                <v:stroke dashstyle="solid"/>
                <w10:wrap type="none"/>
              </v:shape>
            </w:pict>
          </mc:Fallback>
        </mc:AlternateContent>
      </w:r>
      <w:r>
        <w:rPr>
          <w:rFonts w:ascii="Arial MT"/>
        </w:rPr>
        <w:t>200</w:t>
      </w:r>
      <w:r>
        <w:rPr>
          <w:rFonts w:ascii="Arial MT"/>
          <w:spacing w:val="-6"/>
        </w:rPr>
        <w:t> </w:t>
      </w:r>
      <w:r>
        <w:rPr>
          <w:rFonts w:ascii="Arial MT"/>
          <w:spacing w:val="-5"/>
        </w:rPr>
        <w:t>pA</w:t>
      </w:r>
    </w:p>
    <w:p>
      <w:pPr>
        <w:pStyle w:val="BodyText"/>
        <w:spacing w:before="226"/>
        <w:rPr>
          <w:rFonts w:ascii="Arial MT"/>
        </w:rPr>
      </w:pPr>
    </w:p>
    <w:p>
      <w:pPr>
        <w:pStyle w:val="BodyText"/>
        <w:ind w:left="2985"/>
        <w:rPr>
          <w:rFonts w:ascii="Arial MT"/>
        </w:rPr>
      </w:pPr>
      <w:r>
        <w:rPr/>
        <mc:AlternateContent>
          <mc:Choice Requires="wps">
            <w:drawing>
              <wp:anchor distT="0" distB="0" distL="0" distR="0" allowOverlap="1" layoutInCell="1" locked="0" behindDoc="0" simplePos="0" relativeHeight="15822848">
                <wp:simplePos x="0" y="0"/>
                <wp:positionH relativeFrom="page">
                  <wp:posOffset>4466482</wp:posOffset>
                </wp:positionH>
                <wp:positionV relativeFrom="paragraph">
                  <wp:posOffset>-161968</wp:posOffset>
                </wp:positionV>
                <wp:extent cx="2017395" cy="3315970"/>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2017395" cy="3315970"/>
                          <a:chExt cx="2017395" cy="3315970"/>
                        </a:xfrm>
                      </wpg:grpSpPr>
                      <wps:wsp>
                        <wps:cNvPr id="621" name="Graphic 621"/>
                        <wps:cNvSpPr/>
                        <wps:spPr>
                          <a:xfrm>
                            <a:off x="6711" y="6711"/>
                            <a:ext cx="2004060" cy="3302635"/>
                          </a:xfrm>
                          <a:custGeom>
                            <a:avLst/>
                            <a:gdLst/>
                            <a:ahLst/>
                            <a:cxnLst/>
                            <a:rect l="l" t="t" r="r" b="b"/>
                            <a:pathLst>
                              <a:path w="2004060" h="3302635">
                                <a:moveTo>
                                  <a:pt x="0" y="3302029"/>
                                </a:moveTo>
                                <a:lnTo>
                                  <a:pt x="2003445" y="3302029"/>
                                </a:lnTo>
                                <a:lnTo>
                                  <a:pt x="2003445" y="0"/>
                                </a:lnTo>
                                <a:lnTo>
                                  <a:pt x="0" y="0"/>
                                </a:lnTo>
                                <a:lnTo>
                                  <a:pt x="0" y="3302029"/>
                                </a:lnTo>
                                <a:close/>
                              </a:path>
                            </a:pathLst>
                          </a:custGeom>
                          <a:ln w="13254">
                            <a:solidFill>
                              <a:srgbClr val="000000"/>
                            </a:solidFill>
                            <a:prstDash val="solid"/>
                          </a:ln>
                        </wps:spPr>
                        <wps:bodyPr wrap="square" lIns="0" tIns="0" rIns="0" bIns="0" rtlCol="0">
                          <a:prstTxWarp prst="textNoShape">
                            <a:avLst/>
                          </a:prstTxWarp>
                          <a:noAutofit/>
                        </wps:bodyPr>
                      </wps:wsp>
                      <wps:wsp>
                        <wps:cNvPr id="622" name="Graphic 622"/>
                        <wps:cNvSpPr/>
                        <wps:spPr>
                          <a:xfrm>
                            <a:off x="115694" y="196531"/>
                            <a:ext cx="1809114" cy="2943225"/>
                          </a:xfrm>
                          <a:custGeom>
                            <a:avLst/>
                            <a:gdLst/>
                            <a:ahLst/>
                            <a:cxnLst/>
                            <a:rect l="l" t="t" r="r" b="b"/>
                            <a:pathLst>
                              <a:path w="1809114" h="2943225">
                                <a:moveTo>
                                  <a:pt x="6956" y="5694"/>
                                </a:moveTo>
                                <a:lnTo>
                                  <a:pt x="28210" y="5694"/>
                                </a:lnTo>
                                <a:lnTo>
                                  <a:pt x="52175" y="14625"/>
                                </a:lnTo>
                                <a:lnTo>
                                  <a:pt x="100093" y="32875"/>
                                </a:lnTo>
                                <a:lnTo>
                                  <a:pt x="145311" y="86977"/>
                                </a:lnTo>
                                <a:lnTo>
                                  <a:pt x="169278" y="141079"/>
                                </a:lnTo>
                                <a:lnTo>
                                  <a:pt x="190528" y="213430"/>
                                </a:lnTo>
                                <a:lnTo>
                                  <a:pt x="214479" y="312703"/>
                                </a:lnTo>
                                <a:lnTo>
                                  <a:pt x="238054" y="438898"/>
                                </a:lnTo>
                                <a:lnTo>
                                  <a:pt x="259320" y="583472"/>
                                </a:lnTo>
                                <a:lnTo>
                                  <a:pt x="283271" y="755097"/>
                                </a:lnTo>
                                <a:lnTo>
                                  <a:pt x="307238" y="953514"/>
                                </a:lnTo>
                                <a:lnTo>
                                  <a:pt x="331206" y="1161250"/>
                                </a:lnTo>
                                <a:lnTo>
                                  <a:pt x="352456" y="1386976"/>
                                </a:lnTo>
                                <a:lnTo>
                                  <a:pt x="376423" y="1612832"/>
                                </a:lnTo>
                                <a:lnTo>
                                  <a:pt x="400374" y="1838287"/>
                                </a:lnTo>
                                <a:lnTo>
                                  <a:pt x="421625" y="2045933"/>
                                </a:lnTo>
                                <a:lnTo>
                                  <a:pt x="445592" y="2244673"/>
                                </a:lnTo>
                                <a:lnTo>
                                  <a:pt x="469559" y="2416324"/>
                                </a:lnTo>
                                <a:lnTo>
                                  <a:pt x="490809" y="2560600"/>
                                </a:lnTo>
                                <a:lnTo>
                                  <a:pt x="514776" y="2678123"/>
                                </a:lnTo>
                                <a:lnTo>
                                  <a:pt x="538728" y="2777487"/>
                                </a:lnTo>
                                <a:lnTo>
                                  <a:pt x="559994" y="2840545"/>
                                </a:lnTo>
                                <a:lnTo>
                                  <a:pt x="583552" y="2894686"/>
                                </a:lnTo>
                                <a:lnTo>
                                  <a:pt x="631487" y="2921763"/>
                                </a:lnTo>
                                <a:lnTo>
                                  <a:pt x="652737" y="2903604"/>
                                </a:lnTo>
                                <a:lnTo>
                                  <a:pt x="676704" y="2867622"/>
                                </a:lnTo>
                                <a:lnTo>
                                  <a:pt x="700656" y="2822399"/>
                                </a:lnTo>
                                <a:lnTo>
                                  <a:pt x="721921" y="2759328"/>
                                </a:lnTo>
                                <a:lnTo>
                                  <a:pt x="745873" y="2695958"/>
                                </a:lnTo>
                                <a:lnTo>
                                  <a:pt x="769840" y="2623982"/>
                                </a:lnTo>
                                <a:lnTo>
                                  <a:pt x="793792" y="2542764"/>
                                </a:lnTo>
                                <a:lnTo>
                                  <a:pt x="815057" y="2470478"/>
                                </a:lnTo>
                                <a:lnTo>
                                  <a:pt x="839009" y="2389260"/>
                                </a:lnTo>
                                <a:lnTo>
                                  <a:pt x="862976" y="2308042"/>
                                </a:lnTo>
                                <a:lnTo>
                                  <a:pt x="884226" y="2226514"/>
                                </a:lnTo>
                                <a:lnTo>
                                  <a:pt x="908193" y="2154538"/>
                                </a:lnTo>
                                <a:lnTo>
                                  <a:pt x="931768" y="2073010"/>
                                </a:lnTo>
                                <a:lnTo>
                                  <a:pt x="953018" y="1991792"/>
                                </a:lnTo>
                                <a:lnTo>
                                  <a:pt x="976985" y="1910587"/>
                                </a:lnTo>
                                <a:lnTo>
                                  <a:pt x="1000937" y="1838287"/>
                                </a:lnTo>
                                <a:lnTo>
                                  <a:pt x="1022203" y="1766337"/>
                                </a:lnTo>
                                <a:lnTo>
                                  <a:pt x="1046154" y="1693985"/>
                                </a:lnTo>
                                <a:lnTo>
                                  <a:pt x="1070121" y="1621763"/>
                                </a:lnTo>
                                <a:lnTo>
                                  <a:pt x="1094073" y="1558601"/>
                                </a:lnTo>
                                <a:lnTo>
                                  <a:pt x="1115339" y="1495310"/>
                                </a:lnTo>
                                <a:lnTo>
                                  <a:pt x="1139290" y="1432277"/>
                                </a:lnTo>
                                <a:lnTo>
                                  <a:pt x="1163257" y="1378046"/>
                                </a:lnTo>
                                <a:lnTo>
                                  <a:pt x="1184507" y="1323944"/>
                                </a:lnTo>
                                <a:lnTo>
                                  <a:pt x="1208475" y="1269453"/>
                                </a:lnTo>
                                <a:lnTo>
                                  <a:pt x="1232426" y="1224541"/>
                                </a:lnTo>
                                <a:lnTo>
                                  <a:pt x="1256001" y="1179370"/>
                                </a:lnTo>
                                <a:lnTo>
                                  <a:pt x="1277266" y="1134069"/>
                                </a:lnTo>
                                <a:lnTo>
                                  <a:pt x="1301218" y="1098088"/>
                                </a:lnTo>
                                <a:lnTo>
                                  <a:pt x="1325185" y="1061847"/>
                                </a:lnTo>
                                <a:lnTo>
                                  <a:pt x="1346435" y="1034796"/>
                                </a:lnTo>
                                <a:lnTo>
                                  <a:pt x="1370402" y="1007745"/>
                                </a:lnTo>
                                <a:lnTo>
                                  <a:pt x="1394370" y="971763"/>
                                </a:lnTo>
                                <a:lnTo>
                                  <a:pt x="1415620" y="935652"/>
                                </a:lnTo>
                                <a:lnTo>
                                  <a:pt x="1439571" y="899412"/>
                                </a:lnTo>
                                <a:lnTo>
                                  <a:pt x="1463491" y="863430"/>
                                </a:lnTo>
                                <a:lnTo>
                                  <a:pt x="1484851" y="827060"/>
                                </a:lnTo>
                                <a:lnTo>
                                  <a:pt x="1508724" y="791078"/>
                                </a:lnTo>
                                <a:lnTo>
                                  <a:pt x="1532754" y="764028"/>
                                </a:lnTo>
                                <a:lnTo>
                                  <a:pt x="1556627" y="736977"/>
                                </a:lnTo>
                                <a:lnTo>
                                  <a:pt x="1577987" y="709926"/>
                                </a:lnTo>
                                <a:lnTo>
                                  <a:pt x="1601860" y="691805"/>
                                </a:lnTo>
                                <a:lnTo>
                                  <a:pt x="1625419" y="682875"/>
                                </a:lnTo>
                                <a:lnTo>
                                  <a:pt x="1646779" y="664625"/>
                                </a:lnTo>
                                <a:lnTo>
                                  <a:pt x="1670652" y="646505"/>
                                </a:lnTo>
                                <a:lnTo>
                                  <a:pt x="1694682" y="628643"/>
                                </a:lnTo>
                                <a:lnTo>
                                  <a:pt x="1715885" y="610523"/>
                                </a:lnTo>
                                <a:lnTo>
                                  <a:pt x="1739915" y="592403"/>
                                </a:lnTo>
                                <a:lnTo>
                                  <a:pt x="1763788" y="574541"/>
                                </a:lnTo>
                                <a:lnTo>
                                  <a:pt x="1787818" y="556421"/>
                                </a:lnTo>
                                <a:lnTo>
                                  <a:pt x="1809021" y="538301"/>
                                </a:lnTo>
                              </a:path>
                              <a:path w="1809114" h="2943225">
                                <a:moveTo>
                                  <a:pt x="0" y="8930"/>
                                </a:moveTo>
                                <a:lnTo>
                                  <a:pt x="21254" y="0"/>
                                </a:lnTo>
                                <a:lnTo>
                                  <a:pt x="45215" y="0"/>
                                </a:lnTo>
                                <a:lnTo>
                                  <a:pt x="93136" y="17861"/>
                                </a:lnTo>
                                <a:lnTo>
                                  <a:pt x="138353" y="90213"/>
                                </a:lnTo>
                                <a:lnTo>
                                  <a:pt x="162320" y="144314"/>
                                </a:lnTo>
                                <a:lnTo>
                                  <a:pt x="183570" y="225467"/>
                                </a:lnTo>
                                <a:lnTo>
                                  <a:pt x="207537" y="324870"/>
                                </a:lnTo>
                                <a:lnTo>
                                  <a:pt x="231112" y="442393"/>
                                </a:lnTo>
                                <a:lnTo>
                                  <a:pt x="252362" y="595897"/>
                                </a:lnTo>
                                <a:lnTo>
                                  <a:pt x="276313" y="776453"/>
                                </a:lnTo>
                                <a:lnTo>
                                  <a:pt x="300281" y="974870"/>
                                </a:lnTo>
                                <a:lnTo>
                                  <a:pt x="324248" y="1182476"/>
                                </a:lnTo>
                                <a:lnTo>
                                  <a:pt x="345498" y="1417263"/>
                                </a:lnTo>
                                <a:lnTo>
                                  <a:pt x="369465" y="1643119"/>
                                </a:lnTo>
                                <a:lnTo>
                                  <a:pt x="393417" y="1868859"/>
                                </a:lnTo>
                                <a:lnTo>
                                  <a:pt x="414682" y="2085435"/>
                                </a:lnTo>
                                <a:lnTo>
                                  <a:pt x="438634" y="2284162"/>
                                </a:lnTo>
                                <a:lnTo>
                                  <a:pt x="462601" y="2455502"/>
                                </a:lnTo>
                                <a:lnTo>
                                  <a:pt x="483851" y="2609007"/>
                                </a:lnTo>
                                <a:lnTo>
                                  <a:pt x="507819" y="2726530"/>
                                </a:lnTo>
                                <a:lnTo>
                                  <a:pt x="531770" y="2816665"/>
                                </a:lnTo>
                                <a:lnTo>
                                  <a:pt x="553036" y="2888952"/>
                                </a:lnTo>
                                <a:lnTo>
                                  <a:pt x="576610" y="2925257"/>
                                </a:lnTo>
                                <a:lnTo>
                                  <a:pt x="600562" y="2943093"/>
                                </a:lnTo>
                                <a:lnTo>
                                  <a:pt x="624529" y="2934175"/>
                                </a:lnTo>
                                <a:lnTo>
                                  <a:pt x="669746" y="2870806"/>
                                </a:lnTo>
                                <a:lnTo>
                                  <a:pt x="693698" y="2816665"/>
                                </a:lnTo>
                                <a:lnTo>
                                  <a:pt x="714964" y="2762524"/>
                                </a:lnTo>
                                <a:lnTo>
                                  <a:pt x="738915" y="2681307"/>
                                </a:lnTo>
                                <a:lnTo>
                                  <a:pt x="762882" y="2609007"/>
                                </a:lnTo>
                                <a:lnTo>
                                  <a:pt x="786834" y="2527802"/>
                                </a:lnTo>
                                <a:lnTo>
                                  <a:pt x="808100" y="2437667"/>
                                </a:lnTo>
                                <a:lnTo>
                                  <a:pt x="832051" y="2347221"/>
                                </a:lnTo>
                                <a:lnTo>
                                  <a:pt x="856018" y="2257086"/>
                                </a:lnTo>
                                <a:lnTo>
                                  <a:pt x="877269" y="2166640"/>
                                </a:lnTo>
                                <a:lnTo>
                                  <a:pt x="901236" y="2076517"/>
                                </a:lnTo>
                                <a:lnTo>
                                  <a:pt x="924810" y="1995300"/>
                                </a:lnTo>
                                <a:lnTo>
                                  <a:pt x="946060" y="1904854"/>
                                </a:lnTo>
                                <a:lnTo>
                                  <a:pt x="970028" y="1823675"/>
                                </a:lnTo>
                                <a:lnTo>
                                  <a:pt x="993979" y="1742392"/>
                                </a:lnTo>
                                <a:lnTo>
                                  <a:pt x="1015245" y="1670170"/>
                                </a:lnTo>
                                <a:lnTo>
                                  <a:pt x="1039196" y="1588888"/>
                                </a:lnTo>
                                <a:lnTo>
                                  <a:pt x="1063164" y="1516666"/>
                                </a:lnTo>
                                <a:lnTo>
                                  <a:pt x="1087131" y="1453504"/>
                                </a:lnTo>
                                <a:lnTo>
                                  <a:pt x="1108381" y="1390212"/>
                                </a:lnTo>
                                <a:lnTo>
                                  <a:pt x="1132332" y="1327179"/>
                                </a:lnTo>
                                <a:lnTo>
                                  <a:pt x="1156300" y="1272948"/>
                                </a:lnTo>
                                <a:lnTo>
                                  <a:pt x="1177550" y="1209657"/>
                                </a:lnTo>
                                <a:lnTo>
                                  <a:pt x="1201517" y="1164744"/>
                                </a:lnTo>
                                <a:lnTo>
                                  <a:pt x="1225484" y="1101323"/>
                                </a:lnTo>
                                <a:lnTo>
                                  <a:pt x="1249059" y="1056152"/>
                                </a:lnTo>
                                <a:lnTo>
                                  <a:pt x="1270309" y="1011240"/>
                                </a:lnTo>
                                <a:lnTo>
                                  <a:pt x="1294260" y="974870"/>
                                </a:lnTo>
                                <a:lnTo>
                                  <a:pt x="1318227" y="929957"/>
                                </a:lnTo>
                                <a:lnTo>
                                  <a:pt x="1339478" y="902906"/>
                                </a:lnTo>
                                <a:lnTo>
                                  <a:pt x="1363445" y="866666"/>
                                </a:lnTo>
                                <a:lnTo>
                                  <a:pt x="1387412" y="839485"/>
                                </a:lnTo>
                                <a:lnTo>
                                  <a:pt x="1408662" y="803504"/>
                                </a:lnTo>
                                <a:lnTo>
                                  <a:pt x="1432629" y="776453"/>
                                </a:lnTo>
                                <a:lnTo>
                                  <a:pt x="1456581" y="740212"/>
                                </a:lnTo>
                                <a:lnTo>
                                  <a:pt x="1477784" y="713032"/>
                                </a:lnTo>
                                <a:lnTo>
                                  <a:pt x="1501814" y="685981"/>
                                </a:lnTo>
                                <a:lnTo>
                                  <a:pt x="1525687" y="668249"/>
                                </a:lnTo>
                                <a:lnTo>
                                  <a:pt x="1549717" y="649999"/>
                                </a:lnTo>
                                <a:lnTo>
                                  <a:pt x="1570920" y="622948"/>
                                </a:lnTo>
                                <a:lnTo>
                                  <a:pt x="1594950" y="604828"/>
                                </a:lnTo>
                                <a:lnTo>
                                  <a:pt x="1618509" y="586708"/>
                                </a:lnTo>
                                <a:lnTo>
                                  <a:pt x="1639712" y="577777"/>
                                </a:lnTo>
                                <a:lnTo>
                                  <a:pt x="1663742" y="559527"/>
                                </a:lnTo>
                                <a:lnTo>
                                  <a:pt x="1687615" y="550726"/>
                                </a:lnTo>
                                <a:lnTo>
                                  <a:pt x="1708975" y="541795"/>
                                </a:lnTo>
                                <a:lnTo>
                                  <a:pt x="1732848" y="532476"/>
                                </a:lnTo>
                                <a:lnTo>
                                  <a:pt x="1756878" y="505425"/>
                                </a:lnTo>
                                <a:lnTo>
                                  <a:pt x="1780751" y="496495"/>
                                </a:lnTo>
                                <a:lnTo>
                                  <a:pt x="1802111" y="487564"/>
                                </a:lnTo>
                              </a:path>
                            </a:pathLst>
                          </a:custGeom>
                          <a:ln w="2467">
                            <a:solidFill>
                              <a:srgbClr val="000000"/>
                            </a:solidFill>
                            <a:prstDash val="solid"/>
                          </a:ln>
                        </wps:spPr>
                        <wps:bodyPr wrap="square" lIns="0" tIns="0" rIns="0" bIns="0" rtlCol="0">
                          <a:prstTxWarp prst="textNoShape">
                            <a:avLst/>
                          </a:prstTxWarp>
                          <a:noAutofit/>
                        </wps:bodyPr>
                      </wps:wsp>
                      <wps:wsp>
                        <wps:cNvPr id="623" name="Graphic 623"/>
                        <wps:cNvSpPr/>
                        <wps:spPr>
                          <a:xfrm>
                            <a:off x="1477117" y="1276522"/>
                            <a:ext cx="342900" cy="228600"/>
                          </a:xfrm>
                          <a:custGeom>
                            <a:avLst/>
                            <a:gdLst/>
                            <a:ahLst/>
                            <a:cxnLst/>
                            <a:rect l="l" t="t" r="r" b="b"/>
                            <a:pathLst>
                              <a:path w="342900" h="228600">
                                <a:moveTo>
                                  <a:pt x="0" y="228600"/>
                                </a:moveTo>
                                <a:lnTo>
                                  <a:pt x="228600" y="228600"/>
                                </a:lnTo>
                              </a:path>
                              <a:path w="342900" h="228600">
                                <a:moveTo>
                                  <a:pt x="114300" y="0"/>
                                </a:moveTo>
                                <a:lnTo>
                                  <a:pt x="3429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1.691528pt;margin-top:-12.75339pt;width:158.85pt;height:261.1pt;mso-position-horizontal-relative:page;mso-position-vertical-relative:paragraph;z-index:15822848" id="docshapegroup505" coordorigin="7034,-255" coordsize="3177,5222">
                <v:rect style="position:absolute;left:7044;top:-245;width:3156;height:5201" id="docshape506" filled="false" stroked="true" strokeweight="1.043640pt" strokecolor="#000000">
                  <v:stroke dashstyle="solid"/>
                </v:rect>
                <v:shape style="position:absolute;left:7216;top:54;width:2849;height:4635" id="docshape507" coordorigin="7216,54" coordsize="2849,4635" path="m7227,63l7260,63,7298,77,7336,92,7374,106,7407,134,7445,191,7483,277,7516,391,7554,547,7591,746,7624,973,7662,1244,7700,1556,7738,1883,7771,2239,7809,2594,7847,2949,7880,3276,7918,3589,7955,3860,7989,4087,8027,4272,8064,4428,8098,4528,8135,4613,8173,4642,8210,4656,8244,4627,8282,4570,8319,4499,8353,4400,8391,4300,8428,4187,8466,4059,8500,3945,8537,3817,8575,3689,8609,3561,8646,3447,8683,3319,8717,3191,8755,3063,8792,2949,8826,2836,8864,2722,8901,2608,8939,2509,8972,2409,9010,2310,9048,2225,9081,2139,9119,2054,9157,1983,9194,1912,9227,1840,9265,1784,9303,1727,9336,1684,9374,1641,9412,1585,9445,1528,9483,1471,9521,1414,9554,1357,9592,1300,9630,1258,9667,1215,9701,1172,9739,1144,9776,1130,9809,1101,9847,1073,9885,1044,9918,1016,9956,987,9994,959,10031,931,10065,902m7216,68l7249,54,7287,54,7325,68,7363,83,7396,125,7434,196,7472,282,7505,409,7543,566,7580,751,7613,993,7651,1277,7689,1590,7727,1917,7760,2286,7798,2642,7836,2998,7869,3339,7907,3652,7945,3921,7978,4163,8016,4348,8053,4490,8087,4604,8124,4661,8162,4689,8200,4675,8233,4647,8271,4575,8308,4490,8342,4405,8380,4277,8417,4163,8455,4035,8489,3893,8526,3751,8564,3609,8598,3466,8635,3325,8672,3197,8706,3054,8744,2926,8781,2798,8815,2685,8853,2557,8890,2443,8928,2343,8962,2244,8999,2144,9037,2059,9070,1959,9108,1889,9146,1789,9183,1718,9217,1647,9254,1590,9292,1519,9325,1476,9363,1419,9401,1376,9434,1320,9472,1277,9510,1220,9543,1177,9581,1135,9619,1107,9657,1078,9690,1035,9728,1007,9765,978,9798,964,9836,936,9874,922,9907,908,9945,893,9983,850,10020,836,10054,822e" filled="false" stroked="true" strokeweight=".194271pt" strokecolor="#000000">
                  <v:path arrowok="t"/>
                  <v:stroke dashstyle="solid"/>
                </v:shape>
                <v:shape style="position:absolute;left:9360;top:1755;width:540;height:360" id="docshape508" coordorigin="9360,1755" coordsize="540,360" path="m9360,2115l9720,2115m9540,1755l9900,1755e" filled="false" stroked="true" strokeweight=".75pt" strokecolor="#000000">
                  <v:path arrowok="t"/>
                  <v:stroke dashstyle="solid"/>
                </v:shape>
                <w10:wrap type="none"/>
              </v:group>
            </w:pict>
          </mc:Fallback>
        </mc:AlternateContent>
      </w:r>
      <w:r>
        <w:rPr>
          <w:rFonts w:ascii="Arial MT"/>
        </w:rPr>
        <w:t>1</w:t>
      </w:r>
      <w:r>
        <w:rPr>
          <w:rFonts w:ascii="Arial MT"/>
          <w:spacing w:val="-2"/>
        </w:rPr>
        <w:t> </w:t>
      </w:r>
      <w:r>
        <w:rPr>
          <w:rFonts w:ascii="Arial MT"/>
          <w:spacing w:val="-5"/>
        </w:rPr>
        <w:t>ms</w:t>
      </w:r>
    </w:p>
    <w:p>
      <w:pPr>
        <w:pStyle w:val="BodyText"/>
        <w:spacing w:before="11"/>
        <w:rPr>
          <w:rFonts w:ascii="Arial MT"/>
          <w:sz w:val="20"/>
        </w:rPr>
      </w:pPr>
      <w:r>
        <w:rPr/>
        <mc:AlternateContent>
          <mc:Choice Requires="wps">
            <w:drawing>
              <wp:anchor distT="0" distB="0" distL="0" distR="0" allowOverlap="1" layoutInCell="1" locked="0" behindDoc="1" simplePos="0" relativeHeight="487681536">
                <wp:simplePos x="0" y="0"/>
                <wp:positionH relativeFrom="page">
                  <wp:posOffset>1174605</wp:posOffset>
                </wp:positionH>
                <wp:positionV relativeFrom="paragraph">
                  <wp:posOffset>168795</wp:posOffset>
                </wp:positionV>
                <wp:extent cx="2600960" cy="2934970"/>
                <wp:effectExtent l="0" t="0" r="0" b="0"/>
                <wp:wrapTopAndBottom/>
                <wp:docPr id="624" name="Group 624"/>
                <wp:cNvGraphicFramePr>
                  <a:graphicFrameLocks/>
                </wp:cNvGraphicFramePr>
                <a:graphic>
                  <a:graphicData uri="http://schemas.microsoft.com/office/word/2010/wordprocessingGroup">
                    <wpg:wgp>
                      <wpg:cNvPr id="624" name="Group 624"/>
                      <wpg:cNvGrpSpPr/>
                      <wpg:grpSpPr>
                        <a:xfrm>
                          <a:off x="0" y="0"/>
                          <a:ext cx="2600960" cy="2934970"/>
                          <a:chExt cx="2600960" cy="2934970"/>
                        </a:xfrm>
                      </wpg:grpSpPr>
                      <wps:wsp>
                        <wps:cNvPr id="625" name="Graphic 625"/>
                        <wps:cNvSpPr/>
                        <wps:spPr>
                          <a:xfrm>
                            <a:off x="3912" y="3912"/>
                            <a:ext cx="2452370" cy="2877185"/>
                          </a:xfrm>
                          <a:custGeom>
                            <a:avLst/>
                            <a:gdLst/>
                            <a:ahLst/>
                            <a:cxnLst/>
                            <a:rect l="l" t="t" r="r" b="b"/>
                            <a:pathLst>
                              <a:path w="2452370" h="2877185">
                                <a:moveTo>
                                  <a:pt x="0" y="0"/>
                                </a:moveTo>
                                <a:lnTo>
                                  <a:pt x="25267" y="0"/>
                                </a:lnTo>
                                <a:lnTo>
                                  <a:pt x="54141" y="8843"/>
                                </a:lnTo>
                                <a:lnTo>
                                  <a:pt x="108385" y="88332"/>
                                </a:lnTo>
                                <a:lnTo>
                                  <a:pt x="137263" y="185408"/>
                                </a:lnTo>
                                <a:lnTo>
                                  <a:pt x="162629" y="326402"/>
                                </a:lnTo>
                                <a:lnTo>
                                  <a:pt x="191507" y="520555"/>
                                </a:lnTo>
                                <a:lnTo>
                                  <a:pt x="220381" y="767766"/>
                                </a:lnTo>
                                <a:lnTo>
                                  <a:pt x="245750" y="1058896"/>
                                </a:lnTo>
                                <a:lnTo>
                                  <a:pt x="274628" y="1376753"/>
                                </a:lnTo>
                                <a:lnTo>
                                  <a:pt x="303519" y="1703156"/>
                                </a:lnTo>
                                <a:lnTo>
                                  <a:pt x="328864" y="2012170"/>
                                </a:lnTo>
                                <a:lnTo>
                                  <a:pt x="357754" y="2285802"/>
                                </a:lnTo>
                                <a:lnTo>
                                  <a:pt x="383100" y="2506335"/>
                                </a:lnTo>
                                <a:lnTo>
                                  <a:pt x="411990" y="2674058"/>
                                </a:lnTo>
                                <a:lnTo>
                                  <a:pt x="440880" y="2797524"/>
                                </a:lnTo>
                                <a:lnTo>
                                  <a:pt x="466225" y="2859387"/>
                                </a:lnTo>
                                <a:lnTo>
                                  <a:pt x="495116" y="2876984"/>
                                </a:lnTo>
                                <a:lnTo>
                                  <a:pt x="524006" y="2850583"/>
                                </a:lnTo>
                                <a:lnTo>
                                  <a:pt x="549351" y="2806576"/>
                                </a:lnTo>
                                <a:lnTo>
                                  <a:pt x="578241" y="2727117"/>
                                </a:lnTo>
                                <a:lnTo>
                                  <a:pt x="603505" y="2638854"/>
                                </a:lnTo>
                                <a:lnTo>
                                  <a:pt x="632477" y="2532984"/>
                                </a:lnTo>
                                <a:lnTo>
                                  <a:pt x="661367" y="2418072"/>
                                </a:lnTo>
                                <a:lnTo>
                                  <a:pt x="686631" y="2303409"/>
                                </a:lnTo>
                                <a:lnTo>
                                  <a:pt x="715603" y="2188736"/>
                                </a:lnTo>
                                <a:lnTo>
                                  <a:pt x="744452" y="2073834"/>
                                </a:lnTo>
                                <a:lnTo>
                                  <a:pt x="769838" y="1959211"/>
                                </a:lnTo>
                                <a:lnTo>
                                  <a:pt x="798729" y="1853291"/>
                                </a:lnTo>
                                <a:lnTo>
                                  <a:pt x="823992" y="1747471"/>
                                </a:lnTo>
                                <a:lnTo>
                                  <a:pt x="852964" y="1641552"/>
                                </a:lnTo>
                                <a:lnTo>
                                  <a:pt x="881854" y="1544476"/>
                                </a:lnTo>
                                <a:lnTo>
                                  <a:pt x="907118" y="1456243"/>
                                </a:lnTo>
                                <a:lnTo>
                                  <a:pt x="936090" y="1368009"/>
                                </a:lnTo>
                                <a:lnTo>
                                  <a:pt x="964940" y="1288520"/>
                                </a:lnTo>
                                <a:lnTo>
                                  <a:pt x="990203" y="1209031"/>
                                </a:lnTo>
                                <a:lnTo>
                                  <a:pt x="1019216" y="1147228"/>
                                </a:lnTo>
                                <a:lnTo>
                                  <a:pt x="1044480" y="1085624"/>
                                </a:lnTo>
                                <a:lnTo>
                                  <a:pt x="1073329" y="1032565"/>
                                </a:lnTo>
                                <a:lnTo>
                                  <a:pt x="1102301" y="979506"/>
                                </a:lnTo>
                                <a:lnTo>
                                  <a:pt x="1127605" y="935489"/>
                                </a:lnTo>
                                <a:lnTo>
                                  <a:pt x="1156577" y="891173"/>
                                </a:lnTo>
                                <a:lnTo>
                                  <a:pt x="1185427" y="847256"/>
                                </a:lnTo>
                                <a:lnTo>
                                  <a:pt x="1210690" y="802940"/>
                                </a:lnTo>
                                <a:lnTo>
                                  <a:pt x="1239703" y="750179"/>
                                </a:lnTo>
                                <a:lnTo>
                                  <a:pt x="1264967" y="714707"/>
                                </a:lnTo>
                                <a:lnTo>
                                  <a:pt x="1293816" y="670690"/>
                                </a:lnTo>
                                <a:lnTo>
                                  <a:pt x="1322788" y="635516"/>
                                </a:lnTo>
                                <a:lnTo>
                                  <a:pt x="1348052" y="600044"/>
                                </a:lnTo>
                                <a:lnTo>
                                  <a:pt x="1376942" y="573614"/>
                                </a:lnTo>
                                <a:lnTo>
                                  <a:pt x="1405914" y="538440"/>
                                </a:lnTo>
                                <a:lnTo>
                                  <a:pt x="1431178" y="520555"/>
                                </a:lnTo>
                                <a:lnTo>
                                  <a:pt x="1460149" y="502968"/>
                                </a:lnTo>
                                <a:lnTo>
                                  <a:pt x="1485454" y="485381"/>
                                </a:lnTo>
                                <a:lnTo>
                                  <a:pt x="1514303" y="467794"/>
                                </a:lnTo>
                                <a:lnTo>
                                  <a:pt x="1543275" y="458951"/>
                                </a:lnTo>
                                <a:lnTo>
                                  <a:pt x="1568539" y="441065"/>
                                </a:lnTo>
                                <a:lnTo>
                                  <a:pt x="1597429" y="423478"/>
                                </a:lnTo>
                                <a:lnTo>
                                  <a:pt x="1626401" y="405891"/>
                                </a:lnTo>
                                <a:lnTo>
                                  <a:pt x="1651665" y="388304"/>
                                </a:lnTo>
                                <a:lnTo>
                                  <a:pt x="1680555" y="370717"/>
                                </a:lnTo>
                                <a:lnTo>
                                  <a:pt x="1705900" y="361874"/>
                                </a:lnTo>
                                <a:lnTo>
                                  <a:pt x="1734791" y="344089"/>
                                </a:lnTo>
                                <a:lnTo>
                                  <a:pt x="1763681" y="335245"/>
                                </a:lnTo>
                                <a:lnTo>
                                  <a:pt x="1789026" y="326402"/>
                                </a:lnTo>
                                <a:lnTo>
                                  <a:pt x="1817916" y="317658"/>
                                </a:lnTo>
                                <a:lnTo>
                                  <a:pt x="1846888" y="308815"/>
                                </a:lnTo>
                                <a:lnTo>
                                  <a:pt x="1872152" y="291228"/>
                                </a:lnTo>
                                <a:lnTo>
                                  <a:pt x="1901042" y="291228"/>
                                </a:lnTo>
                                <a:lnTo>
                                  <a:pt x="1926387" y="282484"/>
                                </a:lnTo>
                                <a:lnTo>
                                  <a:pt x="1955278" y="273641"/>
                                </a:lnTo>
                                <a:lnTo>
                                  <a:pt x="1984168" y="264798"/>
                                </a:lnTo>
                                <a:lnTo>
                                  <a:pt x="2009513" y="264798"/>
                                </a:lnTo>
                                <a:lnTo>
                                  <a:pt x="2038404" y="264798"/>
                                </a:lnTo>
                                <a:lnTo>
                                  <a:pt x="2067294" y="255756"/>
                                </a:lnTo>
                                <a:lnTo>
                                  <a:pt x="2092639" y="255756"/>
                                </a:lnTo>
                                <a:lnTo>
                                  <a:pt x="2121529" y="255756"/>
                                </a:lnTo>
                                <a:lnTo>
                                  <a:pt x="2146793" y="247012"/>
                                </a:lnTo>
                                <a:lnTo>
                                  <a:pt x="2175765" y="247012"/>
                                </a:lnTo>
                                <a:lnTo>
                                  <a:pt x="2204655" y="238169"/>
                                </a:lnTo>
                                <a:lnTo>
                                  <a:pt x="2230000" y="229425"/>
                                </a:lnTo>
                                <a:lnTo>
                                  <a:pt x="2258891" y="229425"/>
                                </a:lnTo>
                                <a:lnTo>
                                  <a:pt x="2287740" y="220582"/>
                                </a:lnTo>
                                <a:lnTo>
                                  <a:pt x="2313126" y="220582"/>
                                </a:lnTo>
                                <a:lnTo>
                                  <a:pt x="2342017" y="220582"/>
                                </a:lnTo>
                                <a:lnTo>
                                  <a:pt x="2367280" y="220582"/>
                                </a:lnTo>
                                <a:lnTo>
                                  <a:pt x="2396252" y="220582"/>
                                </a:lnTo>
                                <a:lnTo>
                                  <a:pt x="2425142" y="211739"/>
                                </a:lnTo>
                                <a:lnTo>
                                  <a:pt x="2450406" y="211739"/>
                                </a:lnTo>
                              </a:path>
                              <a:path w="2452370" h="2877185">
                                <a:moveTo>
                                  <a:pt x="1805" y="22058"/>
                                </a:moveTo>
                                <a:lnTo>
                                  <a:pt x="55946" y="57232"/>
                                </a:lnTo>
                                <a:lnTo>
                                  <a:pt x="84922" y="110291"/>
                                </a:lnTo>
                                <a:lnTo>
                                  <a:pt x="110190" y="207367"/>
                                </a:lnTo>
                                <a:lnTo>
                                  <a:pt x="139068" y="366346"/>
                                </a:lnTo>
                                <a:lnTo>
                                  <a:pt x="164434" y="586829"/>
                                </a:lnTo>
                                <a:lnTo>
                                  <a:pt x="193312" y="851627"/>
                                </a:lnTo>
                                <a:lnTo>
                                  <a:pt x="222186" y="1151600"/>
                                </a:lnTo>
                                <a:lnTo>
                                  <a:pt x="247556" y="1469458"/>
                                </a:lnTo>
                                <a:lnTo>
                                  <a:pt x="276421" y="1778273"/>
                                </a:lnTo>
                                <a:lnTo>
                                  <a:pt x="305312" y="2051816"/>
                                </a:lnTo>
                                <a:lnTo>
                                  <a:pt x="330657" y="2281401"/>
                                </a:lnTo>
                                <a:lnTo>
                                  <a:pt x="359547" y="2457926"/>
                                </a:lnTo>
                                <a:lnTo>
                                  <a:pt x="384933" y="2572590"/>
                                </a:lnTo>
                                <a:lnTo>
                                  <a:pt x="413783" y="2643256"/>
                                </a:lnTo>
                                <a:lnTo>
                                  <a:pt x="442673" y="2660852"/>
                                </a:lnTo>
                                <a:lnTo>
                                  <a:pt x="468018" y="2634452"/>
                                </a:lnTo>
                                <a:lnTo>
                                  <a:pt x="496909" y="2581393"/>
                                </a:lnTo>
                                <a:lnTo>
                                  <a:pt x="525799" y="2501934"/>
                                </a:lnTo>
                                <a:lnTo>
                                  <a:pt x="551144" y="2404867"/>
                                </a:lnTo>
                                <a:lnTo>
                                  <a:pt x="580034" y="2290204"/>
                                </a:lnTo>
                                <a:lnTo>
                                  <a:pt x="605298" y="2175541"/>
                                </a:lnTo>
                                <a:lnTo>
                                  <a:pt x="634270" y="2051816"/>
                                </a:lnTo>
                                <a:lnTo>
                                  <a:pt x="663160" y="1928309"/>
                                </a:lnTo>
                                <a:lnTo>
                                  <a:pt x="688424" y="1804604"/>
                                </a:lnTo>
                                <a:lnTo>
                                  <a:pt x="717396" y="1689941"/>
                                </a:lnTo>
                                <a:lnTo>
                                  <a:pt x="746286" y="1584121"/>
                                </a:lnTo>
                                <a:lnTo>
                                  <a:pt x="771631" y="1478201"/>
                                </a:lnTo>
                                <a:lnTo>
                                  <a:pt x="800522" y="1381225"/>
                                </a:lnTo>
                                <a:lnTo>
                                  <a:pt x="825785" y="1292892"/>
                                </a:lnTo>
                                <a:lnTo>
                                  <a:pt x="854757" y="1204659"/>
                                </a:lnTo>
                                <a:lnTo>
                                  <a:pt x="883647" y="1134013"/>
                                </a:lnTo>
                                <a:lnTo>
                                  <a:pt x="908911" y="1063367"/>
                                </a:lnTo>
                                <a:lnTo>
                                  <a:pt x="937883" y="992721"/>
                                </a:lnTo>
                                <a:lnTo>
                                  <a:pt x="966773" y="931117"/>
                                </a:lnTo>
                                <a:lnTo>
                                  <a:pt x="992037" y="869214"/>
                                </a:lnTo>
                                <a:lnTo>
                                  <a:pt x="1021009" y="807312"/>
                                </a:lnTo>
                                <a:lnTo>
                                  <a:pt x="1046272" y="754551"/>
                                </a:lnTo>
                                <a:lnTo>
                                  <a:pt x="1075163" y="710335"/>
                                </a:lnTo>
                                <a:lnTo>
                                  <a:pt x="1104135" y="666318"/>
                                </a:lnTo>
                                <a:lnTo>
                                  <a:pt x="1129398" y="631045"/>
                                </a:lnTo>
                                <a:lnTo>
                                  <a:pt x="1158370" y="595672"/>
                                </a:lnTo>
                                <a:lnTo>
                                  <a:pt x="1187260" y="569242"/>
                                </a:lnTo>
                                <a:lnTo>
                                  <a:pt x="1212524" y="533770"/>
                                </a:lnTo>
                                <a:lnTo>
                                  <a:pt x="1241496" y="507340"/>
                                </a:lnTo>
                                <a:lnTo>
                                  <a:pt x="1266760" y="472166"/>
                                </a:lnTo>
                                <a:lnTo>
                                  <a:pt x="1295650" y="445537"/>
                                </a:lnTo>
                                <a:lnTo>
                                  <a:pt x="1324622" y="427950"/>
                                </a:lnTo>
                                <a:lnTo>
                                  <a:pt x="1349885" y="401520"/>
                                </a:lnTo>
                                <a:lnTo>
                                  <a:pt x="1378735" y="383933"/>
                                </a:lnTo>
                                <a:lnTo>
                                  <a:pt x="1407748" y="366346"/>
                                </a:lnTo>
                                <a:lnTo>
                                  <a:pt x="1433011" y="348460"/>
                                </a:lnTo>
                                <a:lnTo>
                                  <a:pt x="1461983" y="330874"/>
                                </a:lnTo>
                                <a:lnTo>
                                  <a:pt x="1487247" y="313287"/>
                                </a:lnTo>
                                <a:lnTo>
                                  <a:pt x="1516096" y="295600"/>
                                </a:lnTo>
                                <a:lnTo>
                                  <a:pt x="1545109" y="286856"/>
                                </a:lnTo>
                                <a:lnTo>
                                  <a:pt x="1570373" y="286856"/>
                                </a:lnTo>
                                <a:lnTo>
                                  <a:pt x="1599222" y="278013"/>
                                </a:lnTo>
                                <a:lnTo>
                                  <a:pt x="1628194" y="269269"/>
                                </a:lnTo>
                                <a:lnTo>
                                  <a:pt x="1653498" y="251384"/>
                                </a:lnTo>
                                <a:lnTo>
                                  <a:pt x="1682348" y="242541"/>
                                </a:lnTo>
                                <a:lnTo>
                                  <a:pt x="1707734" y="242541"/>
                                </a:lnTo>
                                <a:lnTo>
                                  <a:pt x="1736583" y="233797"/>
                                </a:lnTo>
                                <a:lnTo>
                                  <a:pt x="1765474" y="224954"/>
                                </a:lnTo>
                                <a:lnTo>
                                  <a:pt x="1790860" y="224954"/>
                                </a:lnTo>
                                <a:lnTo>
                                  <a:pt x="1819709" y="216210"/>
                                </a:lnTo>
                                <a:lnTo>
                                  <a:pt x="1848681" y="216210"/>
                                </a:lnTo>
                                <a:lnTo>
                                  <a:pt x="1873945" y="207367"/>
                                </a:lnTo>
                                <a:lnTo>
                                  <a:pt x="1902835" y="207367"/>
                                </a:lnTo>
                                <a:lnTo>
                                  <a:pt x="1928221" y="198623"/>
                                </a:lnTo>
                                <a:lnTo>
                                  <a:pt x="1957071" y="189780"/>
                                </a:lnTo>
                                <a:lnTo>
                                  <a:pt x="1985961" y="189780"/>
                                </a:lnTo>
                                <a:lnTo>
                                  <a:pt x="2011347" y="180937"/>
                                </a:lnTo>
                                <a:lnTo>
                                  <a:pt x="2040196" y="180937"/>
                                </a:lnTo>
                                <a:lnTo>
                                  <a:pt x="2069087" y="180937"/>
                                </a:lnTo>
                                <a:lnTo>
                                  <a:pt x="2094432" y="171895"/>
                                </a:lnTo>
                                <a:lnTo>
                                  <a:pt x="2123322" y="171895"/>
                                </a:lnTo>
                                <a:lnTo>
                                  <a:pt x="2148586" y="171895"/>
                                </a:lnTo>
                                <a:lnTo>
                                  <a:pt x="2177558" y="163151"/>
                                </a:lnTo>
                                <a:lnTo>
                                  <a:pt x="2206448" y="163151"/>
                                </a:lnTo>
                                <a:lnTo>
                                  <a:pt x="2231793" y="163151"/>
                                </a:lnTo>
                                <a:lnTo>
                                  <a:pt x="2260684" y="163151"/>
                                </a:lnTo>
                                <a:lnTo>
                                  <a:pt x="2289574" y="163151"/>
                                </a:lnTo>
                                <a:lnTo>
                                  <a:pt x="2314919" y="163151"/>
                                </a:lnTo>
                                <a:lnTo>
                                  <a:pt x="2343809" y="154308"/>
                                </a:lnTo>
                                <a:lnTo>
                                  <a:pt x="2369073" y="145564"/>
                                </a:lnTo>
                                <a:lnTo>
                                  <a:pt x="2398045" y="145564"/>
                                </a:lnTo>
                                <a:lnTo>
                                  <a:pt x="2426935" y="136721"/>
                                </a:lnTo>
                                <a:lnTo>
                                  <a:pt x="2452199" y="136721"/>
                                </a:lnTo>
                              </a:path>
                            </a:pathLst>
                          </a:custGeom>
                          <a:ln w="6205">
                            <a:solidFill>
                              <a:srgbClr val="000000"/>
                            </a:solidFill>
                            <a:prstDash val="solid"/>
                          </a:ln>
                        </wps:spPr>
                        <wps:bodyPr wrap="square" lIns="0" tIns="0" rIns="0" bIns="0" rtlCol="0">
                          <a:prstTxWarp prst="textNoShape">
                            <a:avLst/>
                          </a:prstTxWarp>
                          <a:noAutofit/>
                        </wps:bodyPr>
                      </wps:wsp>
                      <wps:wsp>
                        <wps:cNvPr id="626" name="Graphic 626"/>
                        <wps:cNvSpPr/>
                        <wps:spPr>
                          <a:xfrm>
                            <a:off x="539894" y="2598767"/>
                            <a:ext cx="571500" cy="228600"/>
                          </a:xfrm>
                          <a:custGeom>
                            <a:avLst/>
                            <a:gdLst/>
                            <a:ahLst/>
                            <a:cxnLst/>
                            <a:rect l="l" t="t" r="r" b="b"/>
                            <a:pathLst>
                              <a:path w="571500" h="228600">
                                <a:moveTo>
                                  <a:pt x="0" y="0"/>
                                </a:moveTo>
                                <a:lnTo>
                                  <a:pt x="571500" y="0"/>
                                </a:lnTo>
                              </a:path>
                              <a:path w="571500" h="228600">
                                <a:moveTo>
                                  <a:pt x="0" y="228600"/>
                                </a:moveTo>
                                <a:lnTo>
                                  <a:pt x="571500" y="228600"/>
                                </a:lnTo>
                              </a:path>
                            </a:pathLst>
                          </a:custGeom>
                          <a:ln w="9525">
                            <a:solidFill>
                              <a:srgbClr val="000000"/>
                            </a:solidFill>
                            <a:prstDash val="solid"/>
                          </a:ln>
                        </wps:spPr>
                        <wps:bodyPr wrap="square" lIns="0" tIns="0" rIns="0" bIns="0" rtlCol="0">
                          <a:prstTxWarp prst="textNoShape">
                            <a:avLst/>
                          </a:prstTxWarp>
                          <a:noAutofit/>
                        </wps:bodyPr>
                      </wps:wsp>
                      <wps:wsp>
                        <wps:cNvPr id="627" name="Textbox 627"/>
                        <wps:cNvSpPr txBox="1"/>
                        <wps:spPr>
                          <a:xfrm>
                            <a:off x="0" y="0"/>
                            <a:ext cx="2600960" cy="2934970"/>
                          </a:xfrm>
                          <a:prstGeom prst="rect">
                            <a:avLst/>
                          </a:prstGeom>
                        </wps:spPr>
                        <wps:txbx>
                          <w:txbxContent>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116"/>
                                <w:rPr>
                                  <w:rFonts w:ascii="Arial MT"/>
                                  <w:sz w:val="24"/>
                                </w:rPr>
                              </w:pPr>
                            </w:p>
                            <w:p>
                              <w:pPr>
                                <w:spacing w:before="1"/>
                                <w:ind w:left="1895" w:right="0" w:firstLine="0"/>
                                <w:jc w:val="left"/>
                                <w:rPr>
                                  <w:rFonts w:ascii="Arial MT"/>
                                  <w:sz w:val="24"/>
                                </w:rPr>
                              </w:pPr>
                              <w:r>
                                <w:rPr>
                                  <w:rFonts w:ascii="Arial MT"/>
                                  <w:sz w:val="24"/>
                                </w:rPr>
                                <w:t>10</w:t>
                              </w:r>
                              <w:r>
                                <w:rPr>
                                  <w:rFonts w:ascii="Arial MT"/>
                                  <w:spacing w:val="-3"/>
                                  <w:sz w:val="24"/>
                                </w:rPr>
                                <w:t> </w:t>
                              </w:r>
                              <w:r>
                                <w:rPr>
                                  <w:rFonts w:ascii="Arial MT"/>
                                  <w:sz w:val="24"/>
                                </w:rPr>
                                <w:t>uM</w:t>
                              </w:r>
                              <w:r>
                                <w:rPr>
                                  <w:rFonts w:ascii="Arial MT"/>
                                  <w:spacing w:val="-6"/>
                                  <w:sz w:val="24"/>
                                </w:rPr>
                                <w:t> </w:t>
                              </w:r>
                              <w:r>
                                <w:rPr>
                                  <w:rFonts w:ascii="Arial MT"/>
                                  <w:sz w:val="24"/>
                                </w:rPr>
                                <w:t>S23</w:t>
                              </w:r>
                              <w:r>
                                <w:rPr>
                                  <w:rFonts w:ascii="Arial MT"/>
                                  <w:spacing w:val="1"/>
                                  <w:sz w:val="24"/>
                                </w:rPr>
                                <w:t> </w:t>
                              </w:r>
                              <w:r>
                                <w:rPr>
                                  <w:rFonts w:ascii="Arial MT"/>
                                  <w:sz w:val="24"/>
                                </w:rPr>
                                <w:t>at</w:t>
                              </w:r>
                              <w:r>
                                <w:rPr>
                                  <w:rFonts w:ascii="Arial MT"/>
                                  <w:spacing w:val="-1"/>
                                  <w:sz w:val="24"/>
                                </w:rPr>
                                <w:t> </w:t>
                              </w:r>
                              <w:r>
                                <w:rPr>
                                  <w:rFonts w:ascii="Arial MT"/>
                                  <w:sz w:val="24"/>
                                </w:rPr>
                                <w:t>-</w:t>
                              </w:r>
                              <w:r>
                                <w:rPr>
                                  <w:rFonts w:ascii="Arial MT"/>
                                  <w:spacing w:val="-4"/>
                                  <w:sz w:val="24"/>
                                </w:rPr>
                                <w:t>60m</w:t>
                              </w:r>
                              <w:r>
                                <w:rPr>
                                  <w:rFonts w:ascii="Arial MT"/>
                                  <w:spacing w:val="-4"/>
                                  <w:sz w:val="24"/>
                                </w:rPr>
                                <w:t>V</w:t>
                              </w:r>
                            </w:p>
                            <w:p>
                              <w:pPr>
                                <w:spacing w:before="88"/>
                                <w:ind w:left="1996" w:right="0" w:firstLine="0"/>
                                <w:jc w:val="left"/>
                                <w:rPr>
                                  <w:rFonts w:ascii="Arial MT"/>
                                  <w:sz w:val="24"/>
                                </w:rPr>
                              </w:pPr>
                              <w:r>
                                <w:rPr>
                                  <w:rFonts w:ascii="Arial MT"/>
                                  <w:spacing w:val="-2"/>
                                  <w:sz w:val="24"/>
                                </w:rPr>
                                <w:t>Control</w:t>
                              </w:r>
                            </w:p>
                          </w:txbxContent>
                        </wps:txbx>
                        <wps:bodyPr wrap="square" lIns="0" tIns="0" rIns="0" bIns="0" rtlCol="0">
                          <a:noAutofit/>
                        </wps:bodyPr>
                      </wps:wsp>
                    </wpg:wgp>
                  </a:graphicData>
                </a:graphic>
              </wp:anchor>
            </w:drawing>
          </mc:Choice>
          <mc:Fallback>
            <w:pict>
              <v:group style="position:absolute;margin-left:92.48864pt;margin-top:13.290969pt;width:204.8pt;height:231.1pt;mso-position-horizontal-relative:page;mso-position-vertical-relative:paragraph;z-index:-15634944;mso-wrap-distance-left:0;mso-wrap-distance-right:0" id="docshapegroup509" coordorigin="1850,266" coordsize="4096,4622">
                <v:shape style="position:absolute;left:1855;top:271;width:3862;height:4531" id="docshape510" coordorigin="1856,272" coordsize="3862,4531" path="m1856,272l1896,272,1941,286,1987,314,2027,411,2072,564,2112,786,2158,1092,2203,1481,2243,1940,2288,2440,2334,2954,2374,3441,2419,3872,2459,4219,2505,4483,2550,4678,2590,4775,2636,4803,2681,4761,2721,4692,2767,4567,2806,4428,2852,4261,2897,4080,2937,3899,2983,3719,3028,3538,3068,3357,3114,3191,3154,3024,3199,2857,3245,2704,3284,2565,3330,2426,3376,2301,3415,2176,3461,2079,3501,1982,3546,1898,3592,1815,3632,1745,3677,1675,3723,1606,3763,1536,3808,1453,3848,1398,3893,1328,3939,1273,3979,1217,4024,1175,4070,1120,4110,1092,4155,1064,4195,1036,4241,1009,4286,995,4326,967,4372,939,4417,911,4457,883,4502,856,4542,842,4588,814,4633,800,4673,786,4719,772,4764,758,4804,731,4850,731,4890,717,4935,703,4981,689,5021,689,5066,689,5112,675,5151,675,5197,675,5237,661,5282,661,5328,647,5368,633,5413,633,5459,619,5499,619,5544,619,5584,619,5630,619,5675,605,5715,605m1859,307l1899,321,1944,362,1990,446,2029,599,2075,849,2115,1196,2160,1613,2206,2086,2246,2586,2291,3072,2337,3503,2377,3865,2422,4143,2462,4323,2508,4435,2553,4462,2593,4421,2638,4337,2684,4212,2724,4059,2769,3879,2809,3698,2855,3503,2900,3309,2940,3114,2986,2933,3031,2767,3071,2600,3117,2447,3156,2308,3202,2169,3248,2058,3287,1947,3333,1835,3378,1738,3418,1641,3464,1543,3504,1460,3549,1391,3595,1321,3635,1266,3680,1210,3726,1168,3765,1113,3811,1071,3851,1016,3896,974,3942,946,3982,904,4027,877,4073,849,4113,821,4158,793,4198,765,4243,737,4289,724,4329,724,4374,710,4420,696,4460,668,4505,654,4545,654,4591,640,4636,626,4676,626,4722,612,4767,612,4807,599,4853,599,4893,585,4938,571,4983,571,5023,557,5069,557,5114,557,5154,543,5200,543,5240,543,5285,529,5331,529,5371,529,5416,529,5462,529,5501,529,5547,515,5587,501,5632,501,5678,487,5718,487e" filled="false" stroked="true" strokeweight=".488635pt" strokecolor="#000000">
                  <v:path arrowok="t"/>
                  <v:stroke dashstyle="solid"/>
                </v:shape>
                <v:shape style="position:absolute;left:2700;top:4358;width:900;height:360" id="docshape511" coordorigin="2700,4358" coordsize="900,360" path="m2700,4358l3600,4358m2700,4718l3600,4718e" filled="false" stroked="true" strokeweight=".75pt" strokecolor="#000000">
                  <v:path arrowok="t"/>
                  <v:stroke dashstyle="solid"/>
                </v:shape>
                <v:shape style="position:absolute;left:1849;top:265;width:4096;height:4622" type="#_x0000_t202" id="docshape512" filled="false" stroked="false">
                  <v:textbox inset="0,0,0,0">
                    <w:txbxContent>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0"/>
                          <w:rPr>
                            <w:rFonts w:ascii="Arial MT"/>
                            <w:sz w:val="24"/>
                          </w:rPr>
                        </w:pPr>
                      </w:p>
                      <w:p>
                        <w:pPr>
                          <w:spacing w:line="240" w:lineRule="auto" w:before="116"/>
                          <w:rPr>
                            <w:rFonts w:ascii="Arial MT"/>
                            <w:sz w:val="24"/>
                          </w:rPr>
                        </w:pPr>
                      </w:p>
                      <w:p>
                        <w:pPr>
                          <w:spacing w:before="1"/>
                          <w:ind w:left="1895" w:right="0" w:firstLine="0"/>
                          <w:jc w:val="left"/>
                          <w:rPr>
                            <w:rFonts w:ascii="Arial MT"/>
                            <w:sz w:val="24"/>
                          </w:rPr>
                        </w:pPr>
                        <w:r>
                          <w:rPr>
                            <w:rFonts w:ascii="Arial MT"/>
                            <w:sz w:val="24"/>
                          </w:rPr>
                          <w:t>10</w:t>
                        </w:r>
                        <w:r>
                          <w:rPr>
                            <w:rFonts w:ascii="Arial MT"/>
                            <w:spacing w:val="-3"/>
                            <w:sz w:val="24"/>
                          </w:rPr>
                          <w:t> </w:t>
                        </w:r>
                        <w:r>
                          <w:rPr>
                            <w:rFonts w:ascii="Arial MT"/>
                            <w:sz w:val="24"/>
                          </w:rPr>
                          <w:t>uM</w:t>
                        </w:r>
                        <w:r>
                          <w:rPr>
                            <w:rFonts w:ascii="Arial MT"/>
                            <w:spacing w:val="-6"/>
                            <w:sz w:val="24"/>
                          </w:rPr>
                          <w:t> </w:t>
                        </w:r>
                        <w:r>
                          <w:rPr>
                            <w:rFonts w:ascii="Arial MT"/>
                            <w:sz w:val="24"/>
                          </w:rPr>
                          <w:t>S23</w:t>
                        </w:r>
                        <w:r>
                          <w:rPr>
                            <w:rFonts w:ascii="Arial MT"/>
                            <w:spacing w:val="1"/>
                            <w:sz w:val="24"/>
                          </w:rPr>
                          <w:t> </w:t>
                        </w:r>
                        <w:r>
                          <w:rPr>
                            <w:rFonts w:ascii="Arial MT"/>
                            <w:sz w:val="24"/>
                          </w:rPr>
                          <w:t>at</w:t>
                        </w:r>
                        <w:r>
                          <w:rPr>
                            <w:rFonts w:ascii="Arial MT"/>
                            <w:spacing w:val="-1"/>
                            <w:sz w:val="24"/>
                          </w:rPr>
                          <w:t> </w:t>
                        </w:r>
                        <w:r>
                          <w:rPr>
                            <w:rFonts w:ascii="Arial MT"/>
                            <w:sz w:val="24"/>
                          </w:rPr>
                          <w:t>-</w:t>
                        </w:r>
                        <w:r>
                          <w:rPr>
                            <w:rFonts w:ascii="Arial MT"/>
                            <w:spacing w:val="-4"/>
                            <w:sz w:val="24"/>
                          </w:rPr>
                          <w:t>60m</w:t>
                        </w:r>
                        <w:r>
                          <w:rPr>
                            <w:rFonts w:ascii="Arial MT"/>
                            <w:spacing w:val="-4"/>
                            <w:sz w:val="24"/>
                          </w:rPr>
                          <w:t>V</w:t>
                        </w:r>
                      </w:p>
                      <w:p>
                        <w:pPr>
                          <w:spacing w:before="88"/>
                          <w:ind w:left="1996" w:right="0" w:firstLine="0"/>
                          <w:jc w:val="left"/>
                          <w:rPr>
                            <w:rFonts w:ascii="Arial MT"/>
                            <w:sz w:val="24"/>
                          </w:rPr>
                        </w:pPr>
                        <w:r>
                          <w:rPr>
                            <w:rFonts w:ascii="Arial MT"/>
                            <w:spacing w:val="-2"/>
                            <w:sz w:val="24"/>
                          </w:rPr>
                          <w:t>Control</w:t>
                        </w:r>
                      </w:p>
                    </w:txbxContent>
                  </v:textbox>
                  <w10:wrap type="none"/>
                </v:shape>
                <w10:wrap type="topAndBottom"/>
              </v:group>
            </w:pict>
          </mc:Fallback>
        </mc:AlternateContent>
      </w:r>
    </w:p>
    <w:p>
      <w:pPr>
        <w:spacing w:after="0"/>
        <w:rPr>
          <w:rFonts w:ascii="Arial MT"/>
          <w:sz w:val="20"/>
        </w:rPr>
        <w:sectPr>
          <w:pgSz w:w="12240" w:h="15840"/>
          <w:pgMar w:header="0" w:footer="1066" w:top="1820" w:bottom="1260" w:left="1480" w:right="1160"/>
        </w:sectPr>
      </w:pPr>
    </w:p>
    <w:p>
      <w:pPr>
        <w:pStyle w:val="BodyText"/>
        <w:spacing w:before="8"/>
        <w:rPr>
          <w:rFonts w:ascii="Arial MT"/>
          <w:sz w:val="13"/>
        </w:rPr>
      </w:pPr>
    </w:p>
    <w:p>
      <w:pPr>
        <w:pStyle w:val="BodyText"/>
        <w:spacing w:line="183" w:lineRule="exact"/>
        <w:ind w:left="137"/>
        <w:rPr>
          <w:rFonts w:ascii="Arial MT"/>
          <w:sz w:val="18"/>
        </w:rPr>
      </w:pPr>
      <w:r>
        <w:rPr>
          <w:rFonts w:ascii="Arial MT"/>
          <w:position w:val="-3"/>
          <w:sz w:val="18"/>
        </w:rPr>
        <w:drawing>
          <wp:inline distT="0" distB="0" distL="0" distR="0">
            <wp:extent cx="116586" cy="116585"/>
            <wp:effectExtent l="0" t="0" r="0" b="0"/>
            <wp:docPr id="628" name="Image 628"/>
            <wp:cNvGraphicFramePr>
              <a:graphicFrameLocks/>
            </wp:cNvGraphicFramePr>
            <a:graphic>
              <a:graphicData uri="http://schemas.openxmlformats.org/drawingml/2006/picture">
                <pic:pic>
                  <pic:nvPicPr>
                    <pic:cNvPr id="628" name="Image 628"/>
                    <pic:cNvPicPr/>
                  </pic:nvPicPr>
                  <pic:blipFill>
                    <a:blip r:embed="rId86" cstate="print"/>
                    <a:stretch>
                      <a:fillRect/>
                    </a:stretch>
                  </pic:blipFill>
                  <pic:spPr>
                    <a:xfrm>
                      <a:off x="0" y="0"/>
                      <a:ext cx="116586" cy="116585"/>
                    </a:xfrm>
                    <a:prstGeom prst="rect">
                      <a:avLst/>
                    </a:prstGeom>
                  </pic:spPr>
                </pic:pic>
              </a:graphicData>
            </a:graphic>
          </wp:inline>
        </w:drawing>
      </w:r>
      <w:r>
        <w:rPr>
          <w:rFonts w:ascii="Arial MT"/>
          <w:position w:val="-3"/>
          <w:sz w:val="18"/>
        </w:rPr>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2"/>
        <w:rPr>
          <w:rFonts w:ascii="Arial MT"/>
          <w:sz w:val="20"/>
        </w:rPr>
      </w:pPr>
      <w:r>
        <w:rPr/>
        <mc:AlternateContent>
          <mc:Choice Requires="wps">
            <w:drawing>
              <wp:anchor distT="0" distB="0" distL="0" distR="0" allowOverlap="1" layoutInCell="1" locked="0" behindDoc="1" simplePos="0" relativeHeight="487683072">
                <wp:simplePos x="0" y="0"/>
                <wp:positionH relativeFrom="page">
                  <wp:posOffset>1483544</wp:posOffset>
                </wp:positionH>
                <wp:positionV relativeFrom="paragraph">
                  <wp:posOffset>169916</wp:posOffset>
                </wp:positionV>
                <wp:extent cx="4994910" cy="3133725"/>
                <wp:effectExtent l="0" t="0" r="0" b="0"/>
                <wp:wrapTopAndBottom/>
                <wp:docPr id="629" name="Group 629"/>
                <wp:cNvGraphicFramePr>
                  <a:graphicFrameLocks/>
                </wp:cNvGraphicFramePr>
                <a:graphic>
                  <a:graphicData uri="http://schemas.microsoft.com/office/word/2010/wordprocessingGroup">
                    <wpg:wgp>
                      <wpg:cNvPr id="629" name="Group 629"/>
                      <wpg:cNvGrpSpPr/>
                      <wpg:grpSpPr>
                        <a:xfrm>
                          <a:off x="0" y="0"/>
                          <a:ext cx="4994910" cy="3133725"/>
                          <a:chExt cx="4994910" cy="3133725"/>
                        </a:xfrm>
                      </wpg:grpSpPr>
                      <wps:wsp>
                        <wps:cNvPr id="630" name="Graphic 630"/>
                        <wps:cNvSpPr/>
                        <wps:spPr>
                          <a:xfrm>
                            <a:off x="7630" y="7630"/>
                            <a:ext cx="2041525" cy="3056255"/>
                          </a:xfrm>
                          <a:custGeom>
                            <a:avLst/>
                            <a:gdLst/>
                            <a:ahLst/>
                            <a:cxnLst/>
                            <a:rect l="l" t="t" r="r" b="b"/>
                            <a:pathLst>
                              <a:path w="2041525" h="3056255">
                                <a:moveTo>
                                  <a:pt x="1732" y="332135"/>
                                </a:moveTo>
                                <a:lnTo>
                                  <a:pt x="29438" y="348350"/>
                                </a:lnTo>
                                <a:lnTo>
                                  <a:pt x="57148" y="364565"/>
                                </a:lnTo>
                                <a:lnTo>
                                  <a:pt x="84952" y="413392"/>
                                </a:lnTo>
                                <a:lnTo>
                                  <a:pt x="112663" y="510683"/>
                                </a:lnTo>
                                <a:lnTo>
                                  <a:pt x="137002" y="656254"/>
                                </a:lnTo>
                                <a:lnTo>
                                  <a:pt x="164713" y="850835"/>
                                </a:lnTo>
                                <a:lnTo>
                                  <a:pt x="192517" y="1061631"/>
                                </a:lnTo>
                                <a:lnTo>
                                  <a:pt x="220227" y="1337287"/>
                                </a:lnTo>
                                <a:lnTo>
                                  <a:pt x="247933" y="1613016"/>
                                </a:lnTo>
                                <a:lnTo>
                                  <a:pt x="275726" y="1872584"/>
                                </a:lnTo>
                                <a:lnTo>
                                  <a:pt x="303448" y="2148295"/>
                                </a:lnTo>
                                <a:lnTo>
                                  <a:pt x="331248" y="2375142"/>
                                </a:lnTo>
                                <a:lnTo>
                                  <a:pt x="358970" y="2585846"/>
                                </a:lnTo>
                                <a:lnTo>
                                  <a:pt x="386770" y="2764267"/>
                                </a:lnTo>
                                <a:lnTo>
                                  <a:pt x="414492" y="2893841"/>
                                </a:lnTo>
                                <a:lnTo>
                                  <a:pt x="442175" y="2991114"/>
                                </a:lnTo>
                                <a:lnTo>
                                  <a:pt x="469975" y="3023398"/>
                                </a:lnTo>
                                <a:lnTo>
                                  <a:pt x="497697" y="3056120"/>
                                </a:lnTo>
                                <a:lnTo>
                                  <a:pt x="525497" y="3039977"/>
                                </a:lnTo>
                                <a:lnTo>
                                  <a:pt x="553219" y="2991114"/>
                                </a:lnTo>
                                <a:lnTo>
                                  <a:pt x="581020" y="2926108"/>
                                </a:lnTo>
                                <a:lnTo>
                                  <a:pt x="608742" y="2861557"/>
                                </a:lnTo>
                                <a:lnTo>
                                  <a:pt x="636424" y="2780409"/>
                                </a:lnTo>
                                <a:lnTo>
                                  <a:pt x="664225" y="2699279"/>
                                </a:lnTo>
                                <a:lnTo>
                                  <a:pt x="691947" y="2618131"/>
                                </a:lnTo>
                                <a:lnTo>
                                  <a:pt x="719747" y="2520840"/>
                                </a:lnTo>
                                <a:lnTo>
                                  <a:pt x="743989" y="2423568"/>
                                </a:lnTo>
                                <a:lnTo>
                                  <a:pt x="771789" y="2342857"/>
                                </a:lnTo>
                                <a:lnTo>
                                  <a:pt x="799511" y="2261727"/>
                                </a:lnTo>
                                <a:lnTo>
                                  <a:pt x="827233" y="2180579"/>
                                </a:lnTo>
                                <a:lnTo>
                                  <a:pt x="855033" y="2099431"/>
                                </a:lnTo>
                                <a:lnTo>
                                  <a:pt x="882716" y="2018301"/>
                                </a:lnTo>
                                <a:lnTo>
                                  <a:pt x="910555" y="1937153"/>
                                </a:lnTo>
                                <a:lnTo>
                                  <a:pt x="938238" y="1839862"/>
                                </a:lnTo>
                                <a:lnTo>
                                  <a:pt x="966038" y="1759170"/>
                                </a:lnTo>
                                <a:lnTo>
                                  <a:pt x="993760" y="1694164"/>
                                </a:lnTo>
                                <a:lnTo>
                                  <a:pt x="1021482" y="1629158"/>
                                </a:lnTo>
                                <a:lnTo>
                                  <a:pt x="1049283" y="1564607"/>
                                </a:lnTo>
                                <a:lnTo>
                                  <a:pt x="1076966" y="1499601"/>
                                </a:lnTo>
                                <a:lnTo>
                                  <a:pt x="1104805" y="1450792"/>
                                </a:lnTo>
                                <a:lnTo>
                                  <a:pt x="1132488" y="1402329"/>
                                </a:lnTo>
                                <a:lnTo>
                                  <a:pt x="1160288" y="1353502"/>
                                </a:lnTo>
                                <a:lnTo>
                                  <a:pt x="1188010" y="1305039"/>
                                </a:lnTo>
                                <a:lnTo>
                                  <a:pt x="1215732" y="1256211"/>
                                </a:lnTo>
                                <a:lnTo>
                                  <a:pt x="1243532" y="1223963"/>
                                </a:lnTo>
                                <a:lnTo>
                                  <a:pt x="1271254" y="1175500"/>
                                </a:lnTo>
                                <a:lnTo>
                                  <a:pt x="1299054" y="1126673"/>
                                </a:lnTo>
                                <a:lnTo>
                                  <a:pt x="1323296" y="1094243"/>
                                </a:lnTo>
                                <a:lnTo>
                                  <a:pt x="1351097" y="1045415"/>
                                </a:lnTo>
                                <a:lnTo>
                                  <a:pt x="1378779" y="1013168"/>
                                </a:lnTo>
                                <a:lnTo>
                                  <a:pt x="1406501" y="980920"/>
                                </a:lnTo>
                                <a:lnTo>
                                  <a:pt x="1434302" y="948125"/>
                                </a:lnTo>
                                <a:lnTo>
                                  <a:pt x="1462024" y="899844"/>
                                </a:lnTo>
                                <a:lnTo>
                                  <a:pt x="1489824" y="867050"/>
                                </a:lnTo>
                                <a:lnTo>
                                  <a:pt x="1517546" y="850835"/>
                                </a:lnTo>
                                <a:lnTo>
                                  <a:pt x="1545346" y="834802"/>
                                </a:lnTo>
                                <a:lnTo>
                                  <a:pt x="1573029" y="818587"/>
                                </a:lnTo>
                                <a:lnTo>
                                  <a:pt x="1600868" y="802554"/>
                                </a:lnTo>
                                <a:lnTo>
                                  <a:pt x="1628551" y="786339"/>
                                </a:lnTo>
                                <a:lnTo>
                                  <a:pt x="1656273" y="770124"/>
                                </a:lnTo>
                                <a:lnTo>
                                  <a:pt x="1684073" y="753544"/>
                                </a:lnTo>
                                <a:lnTo>
                                  <a:pt x="1711795" y="737512"/>
                                </a:lnTo>
                                <a:lnTo>
                                  <a:pt x="1739595" y="721296"/>
                                </a:lnTo>
                                <a:lnTo>
                                  <a:pt x="1767317" y="705264"/>
                                </a:lnTo>
                                <a:lnTo>
                                  <a:pt x="1795118" y="689049"/>
                                </a:lnTo>
                                <a:lnTo>
                                  <a:pt x="1822800" y="689049"/>
                                </a:lnTo>
                                <a:lnTo>
                                  <a:pt x="1850522" y="673016"/>
                                </a:lnTo>
                                <a:lnTo>
                                  <a:pt x="1878323" y="656254"/>
                                </a:lnTo>
                                <a:lnTo>
                                  <a:pt x="1906045" y="624006"/>
                                </a:lnTo>
                                <a:lnTo>
                                  <a:pt x="1930365" y="607973"/>
                                </a:lnTo>
                                <a:lnTo>
                                  <a:pt x="1958087" y="591758"/>
                                </a:lnTo>
                                <a:lnTo>
                                  <a:pt x="1985887" y="575725"/>
                                </a:lnTo>
                                <a:lnTo>
                                  <a:pt x="2013609" y="575725"/>
                                </a:lnTo>
                                <a:lnTo>
                                  <a:pt x="2041292" y="575725"/>
                                </a:lnTo>
                              </a:path>
                              <a:path w="2041525" h="3056255">
                                <a:moveTo>
                                  <a:pt x="0" y="0"/>
                                </a:moveTo>
                                <a:lnTo>
                                  <a:pt x="27710" y="81075"/>
                                </a:lnTo>
                                <a:lnTo>
                                  <a:pt x="55416" y="161786"/>
                                </a:lnTo>
                                <a:lnTo>
                                  <a:pt x="83220" y="275656"/>
                                </a:lnTo>
                                <a:lnTo>
                                  <a:pt x="110930" y="372946"/>
                                </a:lnTo>
                                <a:lnTo>
                                  <a:pt x="135270" y="486451"/>
                                </a:lnTo>
                                <a:lnTo>
                                  <a:pt x="162981" y="632205"/>
                                </a:lnTo>
                                <a:lnTo>
                                  <a:pt x="190785" y="778322"/>
                                </a:lnTo>
                                <a:lnTo>
                                  <a:pt x="218495" y="972903"/>
                                </a:lnTo>
                                <a:lnTo>
                                  <a:pt x="246201" y="1183517"/>
                                </a:lnTo>
                                <a:lnTo>
                                  <a:pt x="274005" y="1410345"/>
                                </a:lnTo>
                                <a:lnTo>
                                  <a:pt x="301727" y="1653826"/>
                                </a:lnTo>
                                <a:lnTo>
                                  <a:pt x="329528" y="1880655"/>
                                </a:lnTo>
                                <a:lnTo>
                                  <a:pt x="357250" y="2107502"/>
                                </a:lnTo>
                                <a:lnTo>
                                  <a:pt x="385050" y="2285922"/>
                                </a:lnTo>
                                <a:lnTo>
                                  <a:pt x="412733" y="2415497"/>
                                </a:lnTo>
                                <a:lnTo>
                                  <a:pt x="440455" y="2512769"/>
                                </a:lnTo>
                                <a:lnTo>
                                  <a:pt x="468255" y="2577775"/>
                                </a:lnTo>
                                <a:lnTo>
                                  <a:pt x="495977" y="2593917"/>
                                </a:lnTo>
                                <a:lnTo>
                                  <a:pt x="523777" y="2593917"/>
                                </a:lnTo>
                                <a:lnTo>
                                  <a:pt x="579299" y="2528911"/>
                                </a:lnTo>
                                <a:lnTo>
                                  <a:pt x="606982" y="2464361"/>
                                </a:lnTo>
                                <a:lnTo>
                                  <a:pt x="634704" y="2399355"/>
                                </a:lnTo>
                                <a:lnTo>
                                  <a:pt x="662504" y="2302065"/>
                                </a:lnTo>
                                <a:lnTo>
                                  <a:pt x="690226" y="2188650"/>
                                </a:lnTo>
                                <a:lnTo>
                                  <a:pt x="718026" y="2091360"/>
                                </a:lnTo>
                                <a:lnTo>
                                  <a:pt x="742268" y="1994088"/>
                                </a:lnTo>
                                <a:lnTo>
                                  <a:pt x="770069" y="1880655"/>
                                </a:lnTo>
                                <a:lnTo>
                                  <a:pt x="797791" y="1799525"/>
                                </a:lnTo>
                                <a:lnTo>
                                  <a:pt x="825474" y="1702235"/>
                                </a:lnTo>
                                <a:lnTo>
                                  <a:pt x="853313" y="1621087"/>
                                </a:lnTo>
                                <a:lnTo>
                                  <a:pt x="880996" y="1539957"/>
                                </a:lnTo>
                                <a:lnTo>
                                  <a:pt x="908796" y="1459246"/>
                                </a:lnTo>
                                <a:lnTo>
                                  <a:pt x="936518" y="1378098"/>
                                </a:lnTo>
                                <a:lnTo>
                                  <a:pt x="964318" y="1313055"/>
                                </a:lnTo>
                                <a:lnTo>
                                  <a:pt x="992040" y="1248013"/>
                                </a:lnTo>
                                <a:lnTo>
                                  <a:pt x="1019723" y="1183517"/>
                                </a:lnTo>
                                <a:lnTo>
                                  <a:pt x="1047562" y="1134689"/>
                                </a:lnTo>
                                <a:lnTo>
                                  <a:pt x="1075245" y="1086226"/>
                                </a:lnTo>
                                <a:lnTo>
                                  <a:pt x="1103045" y="1037399"/>
                                </a:lnTo>
                                <a:lnTo>
                                  <a:pt x="1130767" y="988936"/>
                                </a:lnTo>
                                <a:lnTo>
                                  <a:pt x="1158568" y="956324"/>
                                </a:lnTo>
                                <a:lnTo>
                                  <a:pt x="1186290" y="923894"/>
                                </a:lnTo>
                                <a:lnTo>
                                  <a:pt x="1213972" y="891646"/>
                                </a:lnTo>
                                <a:lnTo>
                                  <a:pt x="1241812" y="859033"/>
                                </a:lnTo>
                                <a:lnTo>
                                  <a:pt x="1269495" y="842818"/>
                                </a:lnTo>
                                <a:lnTo>
                                  <a:pt x="1297295" y="810570"/>
                                </a:lnTo>
                                <a:lnTo>
                                  <a:pt x="1321537" y="778322"/>
                                </a:lnTo>
                                <a:lnTo>
                                  <a:pt x="1349376" y="745528"/>
                                </a:lnTo>
                                <a:lnTo>
                                  <a:pt x="1377059" y="713280"/>
                                </a:lnTo>
                                <a:lnTo>
                                  <a:pt x="1404781" y="697065"/>
                                </a:lnTo>
                                <a:lnTo>
                                  <a:pt x="1432581" y="681032"/>
                                </a:lnTo>
                                <a:lnTo>
                                  <a:pt x="1460303" y="664817"/>
                                </a:lnTo>
                                <a:lnTo>
                                  <a:pt x="1488103" y="664817"/>
                                </a:lnTo>
                                <a:lnTo>
                                  <a:pt x="1515786" y="648238"/>
                                </a:lnTo>
                                <a:lnTo>
                                  <a:pt x="1543626" y="632205"/>
                                </a:lnTo>
                                <a:lnTo>
                                  <a:pt x="1571308" y="615990"/>
                                </a:lnTo>
                                <a:lnTo>
                                  <a:pt x="1599109" y="583742"/>
                                </a:lnTo>
                                <a:lnTo>
                                  <a:pt x="1626831" y="567527"/>
                                </a:lnTo>
                                <a:lnTo>
                                  <a:pt x="1654553" y="550947"/>
                                </a:lnTo>
                                <a:lnTo>
                                  <a:pt x="1682353" y="550947"/>
                                </a:lnTo>
                                <a:lnTo>
                                  <a:pt x="1710036" y="550947"/>
                                </a:lnTo>
                                <a:lnTo>
                                  <a:pt x="1737875" y="550947"/>
                                </a:lnTo>
                                <a:lnTo>
                                  <a:pt x="1765558" y="550947"/>
                                </a:lnTo>
                                <a:lnTo>
                                  <a:pt x="1793358" y="550947"/>
                                </a:lnTo>
                                <a:lnTo>
                                  <a:pt x="1821080" y="534914"/>
                                </a:lnTo>
                                <a:lnTo>
                                  <a:pt x="1848802" y="534914"/>
                                </a:lnTo>
                                <a:lnTo>
                                  <a:pt x="1876602" y="534914"/>
                                </a:lnTo>
                                <a:lnTo>
                                  <a:pt x="1904285" y="534914"/>
                                </a:lnTo>
                                <a:lnTo>
                                  <a:pt x="1928644" y="518699"/>
                                </a:lnTo>
                                <a:lnTo>
                                  <a:pt x="1956366" y="518699"/>
                                </a:lnTo>
                                <a:lnTo>
                                  <a:pt x="1984167" y="518699"/>
                                </a:lnTo>
                                <a:lnTo>
                                  <a:pt x="2011850" y="502484"/>
                                </a:lnTo>
                                <a:lnTo>
                                  <a:pt x="2039572" y="502484"/>
                                </a:lnTo>
                              </a:path>
                            </a:pathLst>
                          </a:custGeom>
                          <a:ln w="9801">
                            <a:solidFill>
                              <a:srgbClr val="000000"/>
                            </a:solidFill>
                            <a:prstDash val="solid"/>
                          </a:ln>
                        </wps:spPr>
                        <wps:bodyPr wrap="square" lIns="0" tIns="0" rIns="0" bIns="0" rtlCol="0">
                          <a:prstTxWarp prst="textNoShape">
                            <a:avLst/>
                          </a:prstTxWarp>
                          <a:noAutofit/>
                        </wps:bodyPr>
                      </wps:wsp>
                      <wps:wsp>
                        <wps:cNvPr id="631" name="Graphic 631"/>
                        <wps:cNvSpPr/>
                        <wps:spPr>
                          <a:xfrm>
                            <a:off x="2809501" y="113930"/>
                            <a:ext cx="2177415" cy="3004185"/>
                          </a:xfrm>
                          <a:custGeom>
                            <a:avLst/>
                            <a:gdLst/>
                            <a:ahLst/>
                            <a:cxnLst/>
                            <a:rect l="l" t="t" r="r" b="b"/>
                            <a:pathLst>
                              <a:path w="2177415" h="3004185">
                                <a:moveTo>
                                  <a:pt x="1847" y="15979"/>
                                </a:moveTo>
                                <a:lnTo>
                                  <a:pt x="27710" y="0"/>
                                </a:lnTo>
                                <a:lnTo>
                                  <a:pt x="57264" y="15979"/>
                                </a:lnTo>
                                <a:lnTo>
                                  <a:pt x="86922" y="47758"/>
                                </a:lnTo>
                                <a:lnTo>
                                  <a:pt x="116480" y="239511"/>
                                </a:lnTo>
                                <a:lnTo>
                                  <a:pt x="142443" y="431263"/>
                                </a:lnTo>
                                <a:lnTo>
                                  <a:pt x="172000" y="511160"/>
                                </a:lnTo>
                                <a:lnTo>
                                  <a:pt x="201558" y="495360"/>
                                </a:lnTo>
                                <a:lnTo>
                                  <a:pt x="231217" y="415284"/>
                                </a:lnTo>
                                <a:lnTo>
                                  <a:pt x="257079" y="303608"/>
                                </a:lnTo>
                                <a:lnTo>
                                  <a:pt x="286737" y="223531"/>
                                </a:lnTo>
                                <a:lnTo>
                                  <a:pt x="316299" y="175952"/>
                                </a:lnTo>
                                <a:lnTo>
                                  <a:pt x="345953" y="159614"/>
                                </a:lnTo>
                                <a:lnTo>
                                  <a:pt x="371812" y="239511"/>
                                </a:lnTo>
                                <a:lnTo>
                                  <a:pt x="401382" y="383505"/>
                                </a:lnTo>
                                <a:lnTo>
                                  <a:pt x="431036" y="591236"/>
                                </a:lnTo>
                                <a:lnTo>
                                  <a:pt x="460607" y="862886"/>
                                </a:lnTo>
                                <a:lnTo>
                                  <a:pt x="486549" y="1166314"/>
                                </a:lnTo>
                                <a:lnTo>
                                  <a:pt x="516119" y="1469905"/>
                                </a:lnTo>
                                <a:lnTo>
                                  <a:pt x="545648" y="1789313"/>
                                </a:lnTo>
                                <a:lnTo>
                                  <a:pt x="575302" y="2076924"/>
                                </a:lnTo>
                                <a:lnTo>
                                  <a:pt x="601202" y="2348627"/>
                                </a:lnTo>
                                <a:lnTo>
                                  <a:pt x="630856" y="2556269"/>
                                </a:lnTo>
                                <a:lnTo>
                                  <a:pt x="660385" y="2732096"/>
                                </a:lnTo>
                                <a:lnTo>
                                  <a:pt x="690039" y="2843880"/>
                                </a:lnTo>
                                <a:lnTo>
                                  <a:pt x="715939" y="2939738"/>
                                </a:lnTo>
                                <a:lnTo>
                                  <a:pt x="745468" y="2987892"/>
                                </a:lnTo>
                                <a:lnTo>
                                  <a:pt x="775122" y="3003799"/>
                                </a:lnTo>
                                <a:lnTo>
                                  <a:pt x="804692" y="2971553"/>
                                </a:lnTo>
                                <a:lnTo>
                                  <a:pt x="830676" y="2923830"/>
                                </a:lnTo>
                                <a:lnTo>
                                  <a:pt x="860205" y="2875677"/>
                                </a:lnTo>
                                <a:lnTo>
                                  <a:pt x="889859" y="2796157"/>
                                </a:lnTo>
                                <a:lnTo>
                                  <a:pt x="919429" y="2732096"/>
                                </a:lnTo>
                                <a:lnTo>
                                  <a:pt x="945288" y="2636238"/>
                                </a:lnTo>
                                <a:lnTo>
                                  <a:pt x="974941" y="2556269"/>
                                </a:lnTo>
                                <a:lnTo>
                                  <a:pt x="1004512" y="2476300"/>
                                </a:lnTo>
                                <a:lnTo>
                                  <a:pt x="1034166" y="2380442"/>
                                </a:lnTo>
                                <a:lnTo>
                                  <a:pt x="1060024" y="2300904"/>
                                </a:lnTo>
                                <a:lnTo>
                                  <a:pt x="1089595" y="2236861"/>
                                </a:lnTo>
                                <a:lnTo>
                                  <a:pt x="1119249" y="2140985"/>
                                </a:lnTo>
                                <a:lnTo>
                                  <a:pt x="1145107" y="2061016"/>
                                </a:lnTo>
                                <a:lnTo>
                                  <a:pt x="1174761" y="2013311"/>
                                </a:lnTo>
                                <a:lnTo>
                                  <a:pt x="1204332" y="1949250"/>
                                </a:lnTo>
                                <a:lnTo>
                                  <a:pt x="1233986" y="1901097"/>
                                </a:lnTo>
                                <a:lnTo>
                                  <a:pt x="1259844" y="1853374"/>
                                </a:lnTo>
                                <a:lnTo>
                                  <a:pt x="1289415" y="1805220"/>
                                </a:lnTo>
                                <a:lnTo>
                                  <a:pt x="1319069" y="1757516"/>
                                </a:lnTo>
                                <a:lnTo>
                                  <a:pt x="1348597" y="1709362"/>
                                </a:lnTo>
                                <a:lnTo>
                                  <a:pt x="1374581" y="1661639"/>
                                </a:lnTo>
                                <a:lnTo>
                                  <a:pt x="1404152" y="1613486"/>
                                </a:lnTo>
                                <a:lnTo>
                                  <a:pt x="1433805" y="1565781"/>
                                </a:lnTo>
                                <a:lnTo>
                                  <a:pt x="1463334" y="1517627"/>
                                </a:lnTo>
                                <a:lnTo>
                                  <a:pt x="1489193" y="1485812"/>
                                </a:lnTo>
                                <a:lnTo>
                                  <a:pt x="1518888" y="1453997"/>
                                </a:lnTo>
                                <a:lnTo>
                                  <a:pt x="1548417" y="1421805"/>
                                </a:lnTo>
                                <a:lnTo>
                                  <a:pt x="1578071" y="1390026"/>
                                </a:lnTo>
                                <a:lnTo>
                                  <a:pt x="1603930" y="1374046"/>
                                </a:lnTo>
                                <a:lnTo>
                                  <a:pt x="1633500" y="1342267"/>
                                </a:lnTo>
                                <a:lnTo>
                                  <a:pt x="1663154" y="1325929"/>
                                </a:lnTo>
                                <a:lnTo>
                                  <a:pt x="1692724" y="1309949"/>
                                </a:lnTo>
                                <a:lnTo>
                                  <a:pt x="1718666" y="1278170"/>
                                </a:lnTo>
                                <a:lnTo>
                                  <a:pt x="1748237" y="1262191"/>
                                </a:lnTo>
                                <a:lnTo>
                                  <a:pt x="1777891" y="1246391"/>
                                </a:lnTo>
                                <a:lnTo>
                                  <a:pt x="1807461" y="1230052"/>
                                </a:lnTo>
                                <a:lnTo>
                                  <a:pt x="1833320" y="1214073"/>
                                </a:lnTo>
                                <a:lnTo>
                                  <a:pt x="1862974" y="1214073"/>
                                </a:lnTo>
                                <a:lnTo>
                                  <a:pt x="1892544" y="1198273"/>
                                </a:lnTo>
                                <a:lnTo>
                                  <a:pt x="1922198" y="1182294"/>
                                </a:lnTo>
                                <a:lnTo>
                                  <a:pt x="1948057" y="1166314"/>
                                </a:lnTo>
                                <a:lnTo>
                                  <a:pt x="1977627" y="1150515"/>
                                </a:lnTo>
                                <a:lnTo>
                                  <a:pt x="2007281" y="1134176"/>
                                </a:lnTo>
                                <a:lnTo>
                                  <a:pt x="2036810" y="1102397"/>
                                </a:lnTo>
                                <a:lnTo>
                                  <a:pt x="2062794" y="1086418"/>
                                </a:lnTo>
                                <a:lnTo>
                                  <a:pt x="2092364" y="1070438"/>
                                </a:lnTo>
                                <a:lnTo>
                                  <a:pt x="2122018" y="1054638"/>
                                </a:lnTo>
                                <a:lnTo>
                                  <a:pt x="2151547" y="1054638"/>
                                </a:lnTo>
                                <a:lnTo>
                                  <a:pt x="2177405" y="1054638"/>
                                </a:lnTo>
                              </a:path>
                              <a:path w="2177415" h="3004185">
                                <a:moveTo>
                                  <a:pt x="0" y="8079"/>
                                </a:moveTo>
                                <a:lnTo>
                                  <a:pt x="25862" y="8079"/>
                                </a:lnTo>
                                <a:lnTo>
                                  <a:pt x="55416" y="8079"/>
                                </a:lnTo>
                                <a:lnTo>
                                  <a:pt x="85078" y="55658"/>
                                </a:lnTo>
                                <a:lnTo>
                                  <a:pt x="114632" y="263749"/>
                                </a:lnTo>
                                <a:lnTo>
                                  <a:pt x="140599" y="455502"/>
                                </a:lnTo>
                                <a:lnTo>
                                  <a:pt x="170153" y="567357"/>
                                </a:lnTo>
                                <a:lnTo>
                                  <a:pt x="199711" y="551378"/>
                                </a:lnTo>
                                <a:lnTo>
                                  <a:pt x="229369" y="471481"/>
                                </a:lnTo>
                                <a:lnTo>
                                  <a:pt x="255232" y="359625"/>
                                </a:lnTo>
                                <a:lnTo>
                                  <a:pt x="284890" y="263749"/>
                                </a:lnTo>
                                <a:lnTo>
                                  <a:pt x="314464" y="199831"/>
                                </a:lnTo>
                                <a:lnTo>
                                  <a:pt x="344118" y="199831"/>
                                </a:lnTo>
                                <a:lnTo>
                                  <a:pt x="369977" y="263749"/>
                                </a:lnTo>
                                <a:lnTo>
                                  <a:pt x="399506" y="407384"/>
                                </a:lnTo>
                                <a:lnTo>
                                  <a:pt x="429201" y="630916"/>
                                </a:lnTo>
                                <a:lnTo>
                                  <a:pt x="458730" y="918544"/>
                                </a:lnTo>
                                <a:lnTo>
                                  <a:pt x="484714" y="1238491"/>
                                </a:lnTo>
                                <a:lnTo>
                                  <a:pt x="514242" y="1573735"/>
                                </a:lnTo>
                                <a:lnTo>
                                  <a:pt x="543813" y="1877235"/>
                                </a:lnTo>
                                <a:lnTo>
                                  <a:pt x="573467" y="2148938"/>
                                </a:lnTo>
                                <a:lnTo>
                                  <a:pt x="599325" y="2388396"/>
                                </a:lnTo>
                                <a:lnTo>
                                  <a:pt x="628979" y="2548315"/>
                                </a:lnTo>
                                <a:lnTo>
                                  <a:pt x="658550" y="2660081"/>
                                </a:lnTo>
                                <a:lnTo>
                                  <a:pt x="688204" y="2724142"/>
                                </a:lnTo>
                                <a:lnTo>
                                  <a:pt x="714062" y="2755957"/>
                                </a:lnTo>
                                <a:lnTo>
                                  <a:pt x="743633" y="2740050"/>
                                </a:lnTo>
                                <a:lnTo>
                                  <a:pt x="773287" y="2692345"/>
                                </a:lnTo>
                                <a:lnTo>
                                  <a:pt x="802857" y="2628284"/>
                                </a:lnTo>
                                <a:lnTo>
                                  <a:pt x="828799" y="2548315"/>
                                </a:lnTo>
                                <a:lnTo>
                                  <a:pt x="858370" y="2452439"/>
                                </a:lnTo>
                                <a:lnTo>
                                  <a:pt x="888023" y="2356581"/>
                                </a:lnTo>
                                <a:lnTo>
                                  <a:pt x="917594" y="2244797"/>
                                </a:lnTo>
                                <a:lnTo>
                                  <a:pt x="943452" y="2133031"/>
                                </a:lnTo>
                                <a:lnTo>
                                  <a:pt x="973106" y="2021265"/>
                                </a:lnTo>
                                <a:lnTo>
                                  <a:pt x="1002677" y="1909481"/>
                                </a:lnTo>
                                <a:lnTo>
                                  <a:pt x="1032331" y="1813623"/>
                                </a:lnTo>
                                <a:lnTo>
                                  <a:pt x="1058189" y="1717747"/>
                                </a:lnTo>
                                <a:lnTo>
                                  <a:pt x="1087718" y="1637778"/>
                                </a:lnTo>
                                <a:lnTo>
                                  <a:pt x="1117414" y="1541920"/>
                                </a:lnTo>
                                <a:lnTo>
                                  <a:pt x="1143272" y="1477858"/>
                                </a:lnTo>
                                <a:lnTo>
                                  <a:pt x="1172926" y="1413726"/>
                                </a:lnTo>
                                <a:lnTo>
                                  <a:pt x="1202455" y="1350167"/>
                                </a:lnTo>
                                <a:lnTo>
                                  <a:pt x="1232151" y="1286070"/>
                                </a:lnTo>
                                <a:lnTo>
                                  <a:pt x="1258009" y="1238491"/>
                                </a:lnTo>
                                <a:lnTo>
                                  <a:pt x="1287538" y="1174394"/>
                                </a:lnTo>
                                <a:lnTo>
                                  <a:pt x="1317192" y="1126276"/>
                                </a:lnTo>
                                <a:lnTo>
                                  <a:pt x="1346762" y="1078518"/>
                                </a:lnTo>
                                <a:lnTo>
                                  <a:pt x="1372746" y="1030400"/>
                                </a:lnTo>
                                <a:lnTo>
                                  <a:pt x="1402275" y="982641"/>
                                </a:lnTo>
                                <a:lnTo>
                                  <a:pt x="1431929" y="966662"/>
                                </a:lnTo>
                                <a:lnTo>
                                  <a:pt x="1461499" y="934524"/>
                                </a:lnTo>
                                <a:lnTo>
                                  <a:pt x="1487358" y="902565"/>
                                </a:lnTo>
                                <a:lnTo>
                                  <a:pt x="1517012" y="870786"/>
                                </a:lnTo>
                                <a:lnTo>
                                  <a:pt x="1546582" y="854986"/>
                                </a:lnTo>
                                <a:lnTo>
                                  <a:pt x="1576236" y="822668"/>
                                </a:lnTo>
                                <a:lnTo>
                                  <a:pt x="1602094" y="806689"/>
                                </a:lnTo>
                                <a:lnTo>
                                  <a:pt x="1631665" y="790889"/>
                                </a:lnTo>
                                <a:lnTo>
                                  <a:pt x="1661319" y="759110"/>
                                </a:lnTo>
                                <a:lnTo>
                                  <a:pt x="1690889" y="743130"/>
                                </a:lnTo>
                                <a:lnTo>
                                  <a:pt x="1716831" y="726792"/>
                                </a:lnTo>
                                <a:lnTo>
                                  <a:pt x="1746402" y="726792"/>
                                </a:lnTo>
                                <a:lnTo>
                                  <a:pt x="1776056" y="726792"/>
                                </a:lnTo>
                                <a:lnTo>
                                  <a:pt x="1805626" y="710992"/>
                                </a:lnTo>
                                <a:lnTo>
                                  <a:pt x="1831485" y="695013"/>
                                </a:lnTo>
                                <a:lnTo>
                                  <a:pt x="1861139" y="679033"/>
                                </a:lnTo>
                                <a:lnTo>
                                  <a:pt x="1890667" y="679033"/>
                                </a:lnTo>
                                <a:lnTo>
                                  <a:pt x="1920363" y="679033"/>
                                </a:lnTo>
                                <a:lnTo>
                                  <a:pt x="1946222" y="663233"/>
                                </a:lnTo>
                                <a:lnTo>
                                  <a:pt x="1975750" y="647254"/>
                                </a:lnTo>
                                <a:lnTo>
                                  <a:pt x="2005404" y="647254"/>
                                </a:lnTo>
                                <a:lnTo>
                                  <a:pt x="2034975" y="630916"/>
                                </a:lnTo>
                                <a:lnTo>
                                  <a:pt x="2060958" y="630916"/>
                                </a:lnTo>
                                <a:lnTo>
                                  <a:pt x="2090487" y="615116"/>
                                </a:lnTo>
                                <a:lnTo>
                                  <a:pt x="2120141" y="615116"/>
                                </a:lnTo>
                                <a:lnTo>
                                  <a:pt x="2149712" y="599136"/>
                                </a:lnTo>
                                <a:lnTo>
                                  <a:pt x="2175570" y="599136"/>
                                </a:lnTo>
                              </a:path>
                            </a:pathLst>
                          </a:custGeom>
                          <a:ln w="9799">
                            <a:solidFill>
                              <a:srgbClr val="000000"/>
                            </a:solidFill>
                            <a:prstDash val="solid"/>
                          </a:ln>
                        </wps:spPr>
                        <wps:bodyPr wrap="square" lIns="0" tIns="0" rIns="0" bIns="0" rtlCol="0">
                          <a:prstTxWarp prst="textNoShape">
                            <a:avLst/>
                          </a:prstTxWarp>
                          <a:noAutofit/>
                        </wps:bodyPr>
                      </wps:wsp>
                      <wps:wsp>
                        <wps:cNvPr id="632" name="Graphic 632"/>
                        <wps:cNvSpPr/>
                        <wps:spPr>
                          <a:xfrm>
                            <a:off x="548455" y="2620602"/>
                            <a:ext cx="2997200" cy="508000"/>
                          </a:xfrm>
                          <a:custGeom>
                            <a:avLst/>
                            <a:gdLst/>
                            <a:ahLst/>
                            <a:cxnLst/>
                            <a:rect l="l" t="t" r="r" b="b"/>
                            <a:pathLst>
                              <a:path w="2997200" h="508000">
                                <a:moveTo>
                                  <a:pt x="0" y="0"/>
                                </a:moveTo>
                                <a:lnTo>
                                  <a:pt x="609600" y="0"/>
                                </a:lnTo>
                              </a:path>
                              <a:path w="2997200" h="508000">
                                <a:moveTo>
                                  <a:pt x="1473200" y="0"/>
                                </a:moveTo>
                                <a:lnTo>
                                  <a:pt x="2997200" y="254000"/>
                                </a:lnTo>
                              </a:path>
                              <a:path w="2997200" h="508000">
                                <a:moveTo>
                                  <a:pt x="1168400" y="406400"/>
                                </a:moveTo>
                                <a:lnTo>
                                  <a:pt x="2997200" y="508000"/>
                                </a:lnTo>
                              </a:path>
                            </a:pathLst>
                          </a:custGeom>
                          <a:ln w="9525">
                            <a:solidFill>
                              <a:srgbClr val="000000"/>
                            </a:solidFill>
                            <a:prstDash val="solid"/>
                          </a:ln>
                        </wps:spPr>
                        <wps:bodyPr wrap="square" lIns="0" tIns="0" rIns="0" bIns="0" rtlCol="0">
                          <a:prstTxWarp prst="textNoShape">
                            <a:avLst/>
                          </a:prstTxWarp>
                          <a:noAutofit/>
                        </wps:bodyPr>
                      </wps:wsp>
                      <wps:wsp>
                        <wps:cNvPr id="633" name="Textbox 633"/>
                        <wps:cNvSpPr txBox="1"/>
                        <wps:spPr>
                          <a:xfrm>
                            <a:off x="498290" y="87164"/>
                            <a:ext cx="501650" cy="170815"/>
                          </a:xfrm>
                          <a:prstGeom prst="rect">
                            <a:avLst/>
                          </a:prstGeom>
                        </wps:spPr>
                        <wps:txbx>
                          <w:txbxContent>
                            <w:p>
                              <w:pPr>
                                <w:spacing w:line="268" w:lineRule="exact" w:before="0"/>
                                <w:ind w:left="0" w:right="0" w:firstLine="0"/>
                                <w:jc w:val="left"/>
                                <w:rPr>
                                  <w:rFonts w:ascii="Arial MT"/>
                                  <w:sz w:val="24"/>
                                </w:rPr>
                              </w:pPr>
                              <w:r>
                                <w:rPr>
                                  <w:rFonts w:ascii="Arial MT"/>
                                  <w:sz w:val="24"/>
                                </w:rPr>
                                <w:t>-60</w:t>
                              </w:r>
                              <w:r>
                                <w:rPr>
                                  <w:rFonts w:ascii="Arial MT"/>
                                  <w:spacing w:val="-3"/>
                                  <w:sz w:val="24"/>
                                </w:rPr>
                                <w:t> </w:t>
                              </w:r>
                              <w:r>
                                <w:rPr>
                                  <w:rFonts w:ascii="Arial MT"/>
                                  <w:spacing w:val="-5"/>
                                  <w:sz w:val="24"/>
                                </w:rPr>
                                <w:t>mV</w:t>
                              </w:r>
                            </w:p>
                          </w:txbxContent>
                        </wps:txbx>
                        <wps:bodyPr wrap="square" lIns="0" tIns="0" rIns="0" bIns="0" rtlCol="0">
                          <a:noAutofit/>
                        </wps:bodyPr>
                      </wps:wsp>
                      <wps:wsp>
                        <wps:cNvPr id="634" name="Textbox 634"/>
                        <wps:cNvSpPr txBox="1"/>
                        <wps:spPr>
                          <a:xfrm>
                            <a:off x="3660209" y="10964"/>
                            <a:ext cx="586740" cy="170815"/>
                          </a:xfrm>
                          <a:prstGeom prst="rect">
                            <a:avLst/>
                          </a:prstGeom>
                        </wps:spPr>
                        <wps:txbx>
                          <w:txbxContent>
                            <w:p>
                              <w:pPr>
                                <w:spacing w:line="268" w:lineRule="exact" w:before="0"/>
                                <w:ind w:left="0" w:right="0" w:firstLine="0"/>
                                <w:jc w:val="left"/>
                                <w:rPr>
                                  <w:rFonts w:ascii="Arial MT"/>
                                  <w:sz w:val="24"/>
                                </w:rPr>
                              </w:pPr>
                              <w:r>
                                <w:rPr>
                                  <w:rFonts w:ascii="Arial MT"/>
                                  <w:sz w:val="24"/>
                                </w:rPr>
                                <w:t>-100</w:t>
                              </w:r>
                              <w:r>
                                <w:rPr>
                                  <w:rFonts w:ascii="Arial MT"/>
                                  <w:spacing w:val="-4"/>
                                  <w:sz w:val="24"/>
                                </w:rPr>
                                <w:t> </w:t>
                              </w:r>
                              <w:r>
                                <w:rPr>
                                  <w:rFonts w:ascii="Arial MT"/>
                                  <w:spacing w:val="-5"/>
                                  <w:sz w:val="24"/>
                                </w:rPr>
                                <w:t>mV</w:t>
                              </w:r>
                            </w:p>
                          </w:txbxContent>
                        </wps:txbx>
                        <wps:bodyPr wrap="square" lIns="0" tIns="0" rIns="0" bIns="0" rtlCol="0">
                          <a:noAutofit/>
                        </wps:bodyPr>
                      </wps:wsp>
                      <wps:wsp>
                        <wps:cNvPr id="635" name="Textbox 635"/>
                        <wps:cNvSpPr txBox="1"/>
                        <wps:spPr>
                          <a:xfrm>
                            <a:off x="497655" y="2526453"/>
                            <a:ext cx="1460500" cy="575945"/>
                          </a:xfrm>
                          <a:prstGeom prst="rect">
                            <a:avLst/>
                          </a:prstGeom>
                        </wps:spPr>
                        <wps:txbx>
                          <w:txbxContent>
                            <w:p>
                              <w:pPr>
                                <w:spacing w:line="268" w:lineRule="exact" w:before="0"/>
                                <w:ind w:left="1119" w:right="0" w:firstLine="0"/>
                                <w:jc w:val="left"/>
                                <w:rPr>
                                  <w:rFonts w:ascii="Arial MT"/>
                                  <w:sz w:val="24"/>
                                </w:rPr>
                              </w:pPr>
                              <w:r>
                                <w:rPr>
                                  <w:rFonts w:ascii="Arial MT"/>
                                  <w:sz w:val="24"/>
                                </w:rPr>
                                <w:t>30</w:t>
                              </w:r>
                              <w:r>
                                <w:rPr>
                                  <w:rFonts w:ascii="Arial MT"/>
                                  <w:spacing w:val="-1"/>
                                  <w:sz w:val="24"/>
                                </w:rPr>
                                <w:t> </w:t>
                              </w:r>
                              <w:r>
                                <w:rPr>
                                  <w:rFonts w:ascii="Arial MT"/>
                                  <w:sz w:val="24"/>
                                </w:rPr>
                                <w:t>uM</w:t>
                              </w:r>
                              <w:r>
                                <w:rPr>
                                  <w:rFonts w:ascii="Arial MT"/>
                                  <w:spacing w:val="-5"/>
                                  <w:sz w:val="24"/>
                                </w:rPr>
                                <w:t> S23</w:t>
                              </w:r>
                            </w:p>
                            <w:p>
                              <w:pPr>
                                <w:spacing w:line="240" w:lineRule="auto" w:before="86"/>
                                <w:rPr>
                                  <w:rFonts w:ascii="Arial MT"/>
                                  <w:sz w:val="24"/>
                                </w:rPr>
                              </w:pPr>
                            </w:p>
                            <w:p>
                              <w:pPr>
                                <w:tabs>
                                  <w:tab w:pos="1021" w:val="left" w:leader="none"/>
                                </w:tabs>
                                <w:spacing w:before="0"/>
                                <w:ind w:left="0" w:right="0" w:firstLine="0"/>
                                <w:jc w:val="left"/>
                                <w:rPr>
                                  <w:rFonts w:ascii="Arial MT"/>
                                  <w:sz w:val="24"/>
                                </w:rPr>
                              </w:pPr>
                              <w:r>
                                <w:rPr>
                                  <w:rFonts w:ascii="Arial MT"/>
                                  <w:sz w:val="24"/>
                                  <w:u w:val="single"/>
                                </w:rPr>
                                <w:tab/>
                              </w:r>
                              <w:r>
                                <w:rPr>
                                  <w:rFonts w:ascii="Arial MT"/>
                                  <w:spacing w:val="-2"/>
                                  <w:sz w:val="24"/>
                                </w:rPr>
                                <w:t>Control</w:t>
                              </w:r>
                            </w:p>
                          </w:txbxContent>
                        </wps:txbx>
                        <wps:bodyPr wrap="square" lIns="0" tIns="0" rIns="0" bIns="0" rtlCol="0">
                          <a:noAutofit/>
                        </wps:bodyPr>
                      </wps:wsp>
                    </wpg:wgp>
                  </a:graphicData>
                </a:graphic>
              </wp:anchor>
            </w:drawing>
          </mc:Choice>
          <mc:Fallback>
            <w:pict>
              <v:group style="position:absolute;margin-left:116.81456pt;margin-top:13.379248pt;width:393.3pt;height:246.75pt;mso-position-horizontal-relative:page;mso-position-vertical-relative:paragraph;z-index:-15633408;mso-wrap-distance-left:0;mso-wrap-distance-right:0" id="docshapegroup513" coordorigin="2336,268" coordsize="7866,4935">
                <v:shape style="position:absolute;left:2348;top:279;width:3215;height:4813" id="docshape514" coordorigin="2348,280" coordsize="3215,4813" path="m2351,803l2395,828,2438,854,2482,931,2526,1084,2564,1313,2608,1619,2651,1951,2695,2386,2739,2820,2783,3229,2826,3663,2870,4020,2914,4352,2957,4633,3001,4837,3045,4990,3088,5041,3132,5092,3176,5067,3220,4990,3263,4888,3307,4786,3351,4658,3394,4530,3438,4403,3482,4249,3520,4096,3564,3969,3607,3841,3651,3714,3695,3586,3738,3458,3782,3330,3826,3177,3870,3050,3913,2948,3957,2845,4001,2744,4044,2641,4088,2564,4132,2488,4176,2411,4219,2335,4263,2258,4307,2207,4350,2131,4394,2054,4432,2003,4476,1926,4520,1875,4563,1824,4607,1773,4651,1697,4694,1645,4738,1619,4782,1594,4826,1569,4869,1543,4913,1518,4957,1492,5000,1466,5044,1441,5088,1416,5131,1390,5175,1365,5219,1365,5263,1339,5306,1313,5350,1262,5388,1237,5432,1212,5476,1186,5519,1186,5563,1186m2348,280l2392,407,2436,534,2479,714,2523,867,2561,1046,2605,1275,2649,1505,2692,1812,2736,2143,2780,2501,2823,2884,2867,3241,2911,3599,2955,3879,2998,4084,3042,4237,3086,4339,3129,4365,3173,4365,3217,4339,3261,4262,3304,4160,3348,4058,3392,3905,3435,3726,3479,3573,3517,3420,3561,3241,3605,3113,3648,2960,3692,2832,3736,2705,3779,2578,3823,2450,3867,2347,3911,2245,3954,2143,3998,2067,4042,1990,4085,1913,4129,1837,4173,1786,4216,1735,4260,1684,4304,1632,4348,1607,4391,1556,4429,1505,4473,1454,4517,1403,4561,1377,4604,1352,4648,1327,4692,1327,4735,1300,4779,1275,4823,1250,4867,1199,4910,1173,4954,1147,4998,1147,5041,1147,5085,1147,5129,1147,5172,1147,5216,1122,5260,1122,5304,1122,5347,1122,5386,1096,5429,1096,5473,1096,5517,1071,5560,1071e" filled="false" stroked="true" strokeweight=".77176pt" strokecolor="#000000">
                  <v:path arrowok="t"/>
                  <v:stroke dashstyle="solid"/>
                </v:shape>
                <v:shape style="position:absolute;left:6760;top:447;width:3429;height:4731" id="docshape515" coordorigin="6761,447" coordsize="3429,4731" path="m6764,472l6804,447,6851,472,6898,522,6944,824,6985,1126,7032,1252,7078,1227,7125,1101,7166,925,7212,799,7259,724,7306,698,7346,824,7393,1051,7440,1378,7486,1806,7527,2284,7573,2762,7620,3265,7667,3718,7707,4146,7754,4473,7801,4750,7847,4926,7888,5077,7935,5152,7981,5177,8028,5127,8069,5051,8115,4976,8162,4850,8209,4750,8249,4599,8296,4473,8343,4347,8389,4196,8430,4070,8477,3970,8523,3819,8564,3693,8611,3618,8657,3517,8704,3441,8745,3366,8791,3290,8838,3215,8884,3139,8925,3064,8972,2988,9019,2913,9065,2837,9106,2787,9153,2737,9199,2686,9246,2636,9287,2611,9333,2561,9380,2535,9426,2510,9467,2460,9514,2435,9561,2410,9607,2384,9648,2359,9695,2359,9741,2334,9788,2309,9829,2284,9875,2259,9922,2233,9968,2183,10009,2158,10056,2133,10102,2108,10149,2108,10190,2108m6761,460l6801,460,6848,460,6895,535,6941,862,6982,1164,7029,1340,7075,1315,7122,1189,7163,1013,7209,862,7256,762,7303,762,7343,862,7390,1089,7437,1441,7483,1894,7524,2397,7571,2925,7617,3403,7664,3831,7705,4208,7751,4460,7798,4636,7844,4737,7885,4787,7932,4762,7978,4687,8025,4586,8066,4460,8112,4309,8159,4158,8206,3982,8246,3806,8293,3630,8340,3454,8386,3303,8427,3152,8474,3026,8520,2875,8561,2774,8608,2673,8654,2573,8701,2472,8742,2397,8788,2296,8835,2221,8882,2145,8923,2070,8969,1994,9016,1969,9062,1919,9103,1868,9150,1818,9196,1793,9243,1743,9284,1717,9330,1692,9377,1642,9424,1617,9464,1592,9511,1592,9558,1592,9604,1567,9645,1542,9692,1516,9738,1516,9785,1516,9826,1491,9872,1466,9919,1466,9965,1441,10006,1441,10053,1416,10100,1416,10146,1391,10187,1391e" filled="false" stroked="true" strokeweight=".771617pt" strokecolor="#000000">
                  <v:path arrowok="t"/>
                  <v:stroke dashstyle="solid"/>
                </v:shape>
                <v:shape style="position:absolute;left:3200;top:4394;width:4720;height:800" id="docshape516" coordorigin="3200,4395" coordsize="4720,800" path="m3200,4395l4160,4395m5520,4395l7920,4795m5040,5035l7920,5195e" filled="false" stroked="true" strokeweight=".75pt" strokecolor="#000000">
                  <v:path arrowok="t"/>
                  <v:stroke dashstyle="solid"/>
                </v:shape>
                <v:shape style="position:absolute;left:3121;top:404;width:790;height:269" type="#_x0000_t202" id="docshape517" filled="false" stroked="false">
                  <v:textbox inset="0,0,0,0">
                    <w:txbxContent>
                      <w:p>
                        <w:pPr>
                          <w:spacing w:line="268" w:lineRule="exact" w:before="0"/>
                          <w:ind w:left="0" w:right="0" w:firstLine="0"/>
                          <w:jc w:val="left"/>
                          <w:rPr>
                            <w:rFonts w:ascii="Arial MT"/>
                            <w:sz w:val="24"/>
                          </w:rPr>
                        </w:pPr>
                        <w:r>
                          <w:rPr>
                            <w:rFonts w:ascii="Arial MT"/>
                            <w:sz w:val="24"/>
                          </w:rPr>
                          <w:t>-60</w:t>
                        </w:r>
                        <w:r>
                          <w:rPr>
                            <w:rFonts w:ascii="Arial MT"/>
                            <w:spacing w:val="-3"/>
                            <w:sz w:val="24"/>
                          </w:rPr>
                          <w:t> </w:t>
                        </w:r>
                        <w:r>
                          <w:rPr>
                            <w:rFonts w:ascii="Arial MT"/>
                            <w:spacing w:val="-5"/>
                            <w:sz w:val="24"/>
                          </w:rPr>
                          <w:t>mV</w:t>
                        </w:r>
                      </w:p>
                    </w:txbxContent>
                  </v:textbox>
                  <w10:wrap type="none"/>
                </v:shape>
                <v:shape style="position:absolute;left:8100;top:284;width:924;height:269" type="#_x0000_t202" id="docshape518" filled="false" stroked="false">
                  <v:textbox inset="0,0,0,0">
                    <w:txbxContent>
                      <w:p>
                        <w:pPr>
                          <w:spacing w:line="268" w:lineRule="exact" w:before="0"/>
                          <w:ind w:left="0" w:right="0" w:firstLine="0"/>
                          <w:jc w:val="left"/>
                          <w:rPr>
                            <w:rFonts w:ascii="Arial MT"/>
                            <w:sz w:val="24"/>
                          </w:rPr>
                        </w:pPr>
                        <w:r>
                          <w:rPr>
                            <w:rFonts w:ascii="Arial MT"/>
                            <w:sz w:val="24"/>
                          </w:rPr>
                          <w:t>-100</w:t>
                        </w:r>
                        <w:r>
                          <w:rPr>
                            <w:rFonts w:ascii="Arial MT"/>
                            <w:spacing w:val="-4"/>
                            <w:sz w:val="24"/>
                          </w:rPr>
                          <w:t> </w:t>
                        </w:r>
                        <w:r>
                          <w:rPr>
                            <w:rFonts w:ascii="Arial MT"/>
                            <w:spacing w:val="-5"/>
                            <w:sz w:val="24"/>
                          </w:rPr>
                          <w:t>mV</w:t>
                        </w:r>
                      </w:p>
                    </w:txbxContent>
                  </v:textbox>
                  <w10:wrap type="none"/>
                </v:shape>
                <v:shape style="position:absolute;left:3120;top:4246;width:2300;height:907" type="#_x0000_t202" id="docshape519" filled="false" stroked="false">
                  <v:textbox inset="0,0,0,0">
                    <w:txbxContent>
                      <w:p>
                        <w:pPr>
                          <w:spacing w:line="268" w:lineRule="exact" w:before="0"/>
                          <w:ind w:left="1119" w:right="0" w:firstLine="0"/>
                          <w:jc w:val="left"/>
                          <w:rPr>
                            <w:rFonts w:ascii="Arial MT"/>
                            <w:sz w:val="24"/>
                          </w:rPr>
                        </w:pPr>
                        <w:r>
                          <w:rPr>
                            <w:rFonts w:ascii="Arial MT"/>
                            <w:sz w:val="24"/>
                          </w:rPr>
                          <w:t>30</w:t>
                        </w:r>
                        <w:r>
                          <w:rPr>
                            <w:rFonts w:ascii="Arial MT"/>
                            <w:spacing w:val="-1"/>
                            <w:sz w:val="24"/>
                          </w:rPr>
                          <w:t> </w:t>
                        </w:r>
                        <w:r>
                          <w:rPr>
                            <w:rFonts w:ascii="Arial MT"/>
                            <w:sz w:val="24"/>
                          </w:rPr>
                          <w:t>uM</w:t>
                        </w:r>
                        <w:r>
                          <w:rPr>
                            <w:rFonts w:ascii="Arial MT"/>
                            <w:spacing w:val="-5"/>
                            <w:sz w:val="24"/>
                          </w:rPr>
                          <w:t> S23</w:t>
                        </w:r>
                      </w:p>
                      <w:p>
                        <w:pPr>
                          <w:spacing w:line="240" w:lineRule="auto" w:before="86"/>
                          <w:rPr>
                            <w:rFonts w:ascii="Arial MT"/>
                            <w:sz w:val="24"/>
                          </w:rPr>
                        </w:pPr>
                      </w:p>
                      <w:p>
                        <w:pPr>
                          <w:tabs>
                            <w:tab w:pos="1021" w:val="left" w:leader="none"/>
                          </w:tabs>
                          <w:spacing w:before="0"/>
                          <w:ind w:left="0" w:right="0" w:firstLine="0"/>
                          <w:jc w:val="left"/>
                          <w:rPr>
                            <w:rFonts w:ascii="Arial MT"/>
                            <w:sz w:val="24"/>
                          </w:rPr>
                        </w:pPr>
                        <w:r>
                          <w:rPr>
                            <w:rFonts w:ascii="Arial MT"/>
                            <w:sz w:val="24"/>
                            <w:u w:val="single"/>
                          </w:rPr>
                          <w:tab/>
                        </w:r>
                        <w:r>
                          <w:rPr>
                            <w:rFonts w:ascii="Arial MT"/>
                            <w:spacing w:val="-2"/>
                            <w:sz w:val="24"/>
                          </w:rPr>
                          <w:t>Control</w:t>
                        </w:r>
                      </w:p>
                    </w:txbxContent>
                  </v:textbox>
                  <w10:wrap type="none"/>
                </v:shape>
                <w10:wrap type="topAndBottom"/>
              </v:group>
            </w:pict>
          </mc:Fallback>
        </mc:AlternateContent>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205"/>
        <w:rPr>
          <w:rFonts w:ascii="Arial MT"/>
          <w:sz w:val="20"/>
        </w:rPr>
      </w:pPr>
      <w:r>
        <w:rPr/>
        <mc:AlternateContent>
          <mc:Choice Requires="wps">
            <w:drawing>
              <wp:anchor distT="0" distB="0" distL="0" distR="0" allowOverlap="1" layoutInCell="1" locked="0" behindDoc="1" simplePos="0" relativeHeight="487683584">
                <wp:simplePos x="0" y="0"/>
                <wp:positionH relativeFrom="page">
                  <wp:posOffset>2171700</wp:posOffset>
                </wp:positionH>
                <wp:positionV relativeFrom="paragraph">
                  <wp:posOffset>525536</wp:posOffset>
                </wp:positionV>
                <wp:extent cx="571500" cy="228600"/>
                <wp:effectExtent l="0" t="0" r="0" b="0"/>
                <wp:wrapTopAndBottom/>
                <wp:docPr id="636" name="Textbox 636"/>
                <wp:cNvGraphicFramePr>
                  <a:graphicFrameLocks/>
                </wp:cNvGraphicFramePr>
                <a:graphic>
                  <a:graphicData uri="http://schemas.microsoft.com/office/word/2010/wordprocessingShape">
                    <wps:wsp>
                      <wps:cNvPr id="636" name="Textbox 636"/>
                      <wps:cNvSpPr txBox="1"/>
                      <wps:spPr>
                        <a:xfrm>
                          <a:off x="0" y="0"/>
                          <a:ext cx="571500" cy="228600"/>
                        </a:xfrm>
                        <a:prstGeom prst="rect">
                          <a:avLst/>
                        </a:prstGeom>
                        <a:ln w="9525">
                          <a:solidFill>
                            <a:srgbClr val="000000"/>
                          </a:solidFill>
                          <a:prstDash val="solid"/>
                        </a:ln>
                      </wps:spPr>
                      <wps:txbx>
                        <w:txbxContent>
                          <w:p>
                            <w:pPr>
                              <w:spacing w:before="67"/>
                              <w:ind w:left="145" w:right="0" w:firstLine="0"/>
                              <w:jc w:val="left"/>
                              <w:rPr>
                                <w:sz w:val="20"/>
                              </w:rPr>
                            </w:pPr>
                            <w:r>
                              <w:rPr>
                                <w:sz w:val="20"/>
                              </w:rPr>
                              <w:t>200</w:t>
                            </w:r>
                            <w:r>
                              <w:rPr>
                                <w:spacing w:val="2"/>
                                <w:sz w:val="20"/>
                              </w:rPr>
                              <w:t> </w:t>
                            </w:r>
                            <w:r>
                              <w:rPr>
                                <w:spacing w:val="-5"/>
                                <w:sz w:val="20"/>
                              </w:rPr>
                              <w:t>pA</w:t>
                            </w:r>
                          </w:p>
                        </w:txbxContent>
                      </wps:txbx>
                      <wps:bodyPr wrap="square" lIns="0" tIns="0" rIns="0" bIns="0" rtlCol="0">
                        <a:noAutofit/>
                      </wps:bodyPr>
                    </wps:wsp>
                  </a:graphicData>
                </a:graphic>
              </wp:anchor>
            </w:drawing>
          </mc:Choice>
          <mc:Fallback>
            <w:pict>
              <v:shape style="position:absolute;margin-left:171pt;margin-top:41.380859pt;width:45pt;height:18pt;mso-position-horizontal-relative:page;mso-position-vertical-relative:paragraph;z-index:-15632896;mso-wrap-distance-left:0;mso-wrap-distance-right:0" type="#_x0000_t202" id="docshape520" filled="false" stroked="true" strokeweight=".75pt" strokecolor="#000000">
                <v:textbox inset="0,0,0,0">
                  <w:txbxContent>
                    <w:p>
                      <w:pPr>
                        <w:spacing w:before="67"/>
                        <w:ind w:left="145" w:right="0" w:firstLine="0"/>
                        <w:jc w:val="left"/>
                        <w:rPr>
                          <w:sz w:val="20"/>
                        </w:rPr>
                      </w:pPr>
                      <w:r>
                        <w:rPr>
                          <w:sz w:val="20"/>
                        </w:rPr>
                        <w:t>200</w:t>
                      </w:r>
                      <w:r>
                        <w:rPr>
                          <w:spacing w:val="2"/>
                          <w:sz w:val="20"/>
                        </w:rPr>
                        <w:t> </w:t>
                      </w:r>
                      <w:r>
                        <w:rPr>
                          <w:spacing w:val="-5"/>
                          <w:sz w:val="20"/>
                        </w:rPr>
                        <w:t>pA</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84096">
                <wp:simplePos x="0" y="0"/>
                <wp:positionH relativeFrom="page">
                  <wp:posOffset>2852737</wp:posOffset>
                </wp:positionH>
                <wp:positionV relativeFrom="paragraph">
                  <wp:posOffset>296936</wp:posOffset>
                </wp:positionV>
                <wp:extent cx="690880" cy="601345"/>
                <wp:effectExtent l="0" t="0" r="0" b="0"/>
                <wp:wrapTopAndBottom/>
                <wp:docPr id="637" name="Group 637"/>
                <wp:cNvGraphicFramePr>
                  <a:graphicFrameLocks/>
                </wp:cNvGraphicFramePr>
                <a:graphic>
                  <a:graphicData uri="http://schemas.microsoft.com/office/word/2010/wordprocessingGroup">
                    <wpg:wgp>
                      <wpg:cNvPr id="637" name="Group 637"/>
                      <wpg:cNvGrpSpPr/>
                      <wpg:grpSpPr>
                        <a:xfrm>
                          <a:off x="0" y="0"/>
                          <a:ext cx="690880" cy="601345"/>
                          <a:chExt cx="690880" cy="601345"/>
                        </a:xfrm>
                      </wpg:grpSpPr>
                      <wps:wsp>
                        <wps:cNvPr id="638" name="Graphic 638"/>
                        <wps:cNvSpPr/>
                        <wps:spPr>
                          <a:xfrm>
                            <a:off x="4762" y="596265"/>
                            <a:ext cx="685800" cy="1270"/>
                          </a:xfrm>
                          <a:custGeom>
                            <a:avLst/>
                            <a:gdLst/>
                            <a:ahLst/>
                            <a:cxnLst/>
                            <a:rect l="l" t="t" r="r" b="b"/>
                            <a:pathLst>
                              <a:path w="685800" h="0">
                                <a:moveTo>
                                  <a:pt x="0" y="0"/>
                                </a:moveTo>
                                <a:lnTo>
                                  <a:pt x="685800" y="0"/>
                                </a:lnTo>
                              </a:path>
                            </a:pathLst>
                          </a:custGeom>
                          <a:ln w="9525">
                            <a:solidFill>
                              <a:srgbClr val="000000"/>
                            </a:solidFill>
                            <a:prstDash val="solid"/>
                          </a:ln>
                        </wps:spPr>
                        <wps:bodyPr wrap="square" lIns="0" tIns="0" rIns="0" bIns="0" rtlCol="0">
                          <a:prstTxWarp prst="textNoShape">
                            <a:avLst/>
                          </a:prstTxWarp>
                          <a:noAutofit/>
                        </wps:bodyPr>
                      </wps:wsp>
                      <wps:wsp>
                        <wps:cNvPr id="639" name="Graphic 639"/>
                        <wps:cNvSpPr/>
                        <wps:spPr>
                          <a:xfrm>
                            <a:off x="4762" y="0"/>
                            <a:ext cx="1270" cy="571500"/>
                          </a:xfrm>
                          <a:custGeom>
                            <a:avLst/>
                            <a:gdLst/>
                            <a:ahLst/>
                            <a:cxnLst/>
                            <a:rect l="l" t="t" r="r" b="b"/>
                            <a:pathLst>
                              <a:path w="0" h="571500">
                                <a:moveTo>
                                  <a:pt x="0" y="57150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25pt;margin-top:23.380859pt;width:54.4pt;height:47.35pt;mso-position-horizontal-relative:page;mso-position-vertical-relative:paragraph;z-index:-15632384;mso-wrap-distance-left:0;mso-wrap-distance-right:0" id="docshapegroup521" coordorigin="4493,468" coordsize="1088,947">
                <v:line style="position:absolute" from="4500,1407" to="5580,1407" stroked="true" strokeweight=".75pt" strokecolor="#000000">
                  <v:stroke dashstyle="solid"/>
                </v:line>
                <v:line style="position:absolute" from="4500,1368" to="4500,468" stroked="true" strokeweight=".75pt" strokecolor="#000000">
                  <v:stroke dashstyle="solid"/>
                </v:line>
                <w10:wrap type="topAndBottom"/>
              </v:group>
            </w:pict>
          </mc:Fallback>
        </mc:AlternateContent>
      </w:r>
      <w:r>
        <w:rPr/>
        <mc:AlternateContent>
          <mc:Choice Requires="wps">
            <w:drawing>
              <wp:anchor distT="0" distB="0" distL="0" distR="0" allowOverlap="1" layoutInCell="1" locked="0" behindDoc="1" simplePos="0" relativeHeight="487684608">
                <wp:simplePos x="0" y="0"/>
                <wp:positionH relativeFrom="page">
                  <wp:posOffset>2857500</wp:posOffset>
                </wp:positionH>
                <wp:positionV relativeFrom="paragraph">
                  <wp:posOffset>1007501</wp:posOffset>
                </wp:positionV>
                <wp:extent cx="571500" cy="228600"/>
                <wp:effectExtent l="0" t="0" r="0" b="0"/>
                <wp:wrapTopAndBottom/>
                <wp:docPr id="640" name="Textbox 640"/>
                <wp:cNvGraphicFramePr>
                  <a:graphicFrameLocks/>
                </wp:cNvGraphicFramePr>
                <a:graphic>
                  <a:graphicData uri="http://schemas.microsoft.com/office/word/2010/wordprocessingShape">
                    <wps:wsp>
                      <wps:cNvPr id="640" name="Textbox 640"/>
                      <wps:cNvSpPr txBox="1"/>
                      <wps:spPr>
                        <a:xfrm>
                          <a:off x="0" y="0"/>
                          <a:ext cx="571500" cy="228600"/>
                        </a:xfrm>
                        <a:prstGeom prst="rect">
                          <a:avLst/>
                        </a:prstGeom>
                        <a:ln w="9525">
                          <a:solidFill>
                            <a:srgbClr val="000000"/>
                          </a:solidFill>
                          <a:prstDash val="solid"/>
                        </a:ln>
                      </wps:spPr>
                      <wps:txbx>
                        <w:txbxContent>
                          <w:p>
                            <w:pPr>
                              <w:spacing w:before="66"/>
                              <w:ind w:left="145" w:right="0" w:firstLine="0"/>
                              <w:jc w:val="left"/>
                              <w:rPr>
                                <w:sz w:val="20"/>
                              </w:rPr>
                            </w:pPr>
                            <w:r>
                              <w:rPr>
                                <w:sz w:val="20"/>
                              </w:rPr>
                              <w:t>1</w:t>
                            </w:r>
                            <w:r>
                              <w:rPr>
                                <w:spacing w:val="2"/>
                                <w:sz w:val="20"/>
                              </w:rPr>
                              <w:t> </w:t>
                            </w:r>
                            <w:r>
                              <w:rPr>
                                <w:spacing w:val="-5"/>
                                <w:sz w:val="20"/>
                              </w:rPr>
                              <w:t>ms</w:t>
                            </w:r>
                          </w:p>
                        </w:txbxContent>
                      </wps:txbx>
                      <wps:bodyPr wrap="square" lIns="0" tIns="0" rIns="0" bIns="0" rtlCol="0">
                        <a:noAutofit/>
                      </wps:bodyPr>
                    </wps:wsp>
                  </a:graphicData>
                </a:graphic>
              </wp:anchor>
            </w:drawing>
          </mc:Choice>
          <mc:Fallback>
            <w:pict>
              <v:shape style="position:absolute;margin-left:225pt;margin-top:79.330856pt;width:45pt;height:18pt;mso-position-horizontal-relative:page;mso-position-vertical-relative:paragraph;z-index:-15631872;mso-wrap-distance-left:0;mso-wrap-distance-right:0" type="#_x0000_t202" id="docshape522" filled="false" stroked="true" strokeweight=".75pt" strokecolor="#000000">
                <v:textbox inset="0,0,0,0">
                  <w:txbxContent>
                    <w:p>
                      <w:pPr>
                        <w:spacing w:before="66"/>
                        <w:ind w:left="145" w:right="0" w:firstLine="0"/>
                        <w:jc w:val="left"/>
                        <w:rPr>
                          <w:sz w:val="20"/>
                        </w:rPr>
                      </w:pPr>
                      <w:r>
                        <w:rPr>
                          <w:sz w:val="20"/>
                        </w:rPr>
                        <w:t>1</w:t>
                      </w:r>
                      <w:r>
                        <w:rPr>
                          <w:spacing w:val="2"/>
                          <w:sz w:val="20"/>
                        </w:rPr>
                        <w:t> </w:t>
                      </w:r>
                      <w:r>
                        <w:rPr>
                          <w:spacing w:val="-5"/>
                          <w:sz w:val="20"/>
                        </w:rPr>
                        <w:t>ms</w:t>
                      </w:r>
                    </w:p>
                  </w:txbxContent>
                </v:textbox>
                <v:stroke dashstyle="solid"/>
                <w10:wrap type="topAndBottom"/>
              </v:shape>
            </w:pict>
          </mc:Fallback>
        </mc:AlternateContent>
      </w:r>
    </w:p>
    <w:p>
      <w:pPr>
        <w:pStyle w:val="BodyText"/>
        <w:spacing w:before="2"/>
        <w:rPr>
          <w:rFonts w:ascii="Arial MT"/>
          <w:sz w:val="12"/>
        </w:rPr>
      </w:pPr>
    </w:p>
    <w:p>
      <w:pPr>
        <w:pStyle w:val="BodyText"/>
        <w:spacing w:before="265"/>
        <w:rPr>
          <w:rFonts w:ascii="Arial MT"/>
        </w:rPr>
      </w:pPr>
    </w:p>
    <w:p>
      <w:pPr>
        <w:spacing w:before="0"/>
        <w:ind w:left="681" w:right="0" w:firstLine="0"/>
        <w:jc w:val="left"/>
        <w:rPr>
          <w:b/>
          <w:sz w:val="24"/>
        </w:rPr>
      </w:pPr>
      <w:r>
        <w:rPr>
          <w:b/>
          <w:sz w:val="24"/>
        </w:rPr>
        <w:t>Effect</w:t>
      </w:r>
      <w:r>
        <w:rPr>
          <w:b/>
          <w:spacing w:val="1"/>
          <w:sz w:val="24"/>
        </w:rPr>
        <w:t> </w:t>
      </w:r>
      <w:r>
        <w:rPr>
          <w:b/>
          <w:sz w:val="24"/>
        </w:rPr>
        <w:t>of</w:t>
      </w:r>
      <w:r>
        <w:rPr>
          <w:b/>
          <w:spacing w:val="-2"/>
          <w:sz w:val="24"/>
        </w:rPr>
        <w:t> </w:t>
      </w:r>
      <w:r>
        <w:rPr>
          <w:b/>
          <w:sz w:val="24"/>
        </w:rPr>
        <w:t>30</w:t>
      </w:r>
      <w:r>
        <w:rPr>
          <w:b/>
          <w:spacing w:val="1"/>
          <w:sz w:val="24"/>
        </w:rPr>
        <w:t> </w:t>
      </w:r>
      <w:r>
        <w:rPr>
          <w:b/>
          <w:sz w:val="24"/>
        </w:rPr>
        <w:t>uM S23 at -60</w:t>
      </w:r>
      <w:r>
        <w:rPr>
          <w:b/>
          <w:spacing w:val="1"/>
          <w:sz w:val="24"/>
        </w:rPr>
        <w:t> </w:t>
      </w:r>
      <w:r>
        <w:rPr>
          <w:b/>
          <w:sz w:val="24"/>
        </w:rPr>
        <w:t>mV and</w:t>
      </w:r>
      <w:r>
        <w:rPr>
          <w:b/>
          <w:spacing w:val="-3"/>
          <w:sz w:val="24"/>
        </w:rPr>
        <w:t> </w:t>
      </w:r>
      <w:r>
        <w:rPr>
          <w:b/>
          <w:sz w:val="24"/>
        </w:rPr>
        <w:t>-100</w:t>
      </w:r>
      <w:r>
        <w:rPr>
          <w:b/>
          <w:spacing w:val="-4"/>
          <w:sz w:val="24"/>
        </w:rPr>
        <w:t> </w:t>
      </w:r>
      <w:r>
        <w:rPr>
          <w:b/>
          <w:sz w:val="24"/>
        </w:rPr>
        <w:t>mV on</w:t>
      </w:r>
      <w:r>
        <w:rPr>
          <w:b/>
          <w:spacing w:val="-3"/>
          <w:sz w:val="24"/>
        </w:rPr>
        <w:t> </w:t>
      </w:r>
      <w:r>
        <w:rPr>
          <w:b/>
          <w:sz w:val="24"/>
        </w:rPr>
        <w:t>NaV </w:t>
      </w:r>
      <w:r>
        <w:rPr>
          <w:b/>
          <w:spacing w:val="-5"/>
          <w:sz w:val="24"/>
        </w:rPr>
        <w:t>1.6</w:t>
      </w:r>
    </w:p>
    <w:p>
      <w:pPr>
        <w:pStyle w:val="BodyText"/>
        <w:rPr>
          <w:b/>
        </w:rPr>
      </w:pPr>
    </w:p>
    <w:p>
      <w:pPr>
        <w:pStyle w:val="BodyText"/>
        <w:rPr>
          <w:b/>
        </w:rPr>
      </w:pPr>
    </w:p>
    <w:p>
      <w:pPr>
        <w:pStyle w:val="BodyText"/>
        <w:rPr>
          <w:b/>
        </w:rPr>
      </w:pPr>
    </w:p>
    <w:p>
      <w:pPr>
        <w:spacing w:before="0"/>
        <w:ind w:left="681" w:right="0" w:firstLine="0"/>
        <w:jc w:val="left"/>
        <w:rPr>
          <w:b/>
          <w:sz w:val="24"/>
        </w:rPr>
      </w:pPr>
      <w:r>
        <w:rPr>
          <w:b/>
          <w:spacing w:val="-5"/>
          <w:sz w:val="24"/>
        </w:rPr>
        <w:t>150</w:t>
      </w:r>
    </w:p>
    <w:p>
      <w:pPr>
        <w:spacing w:after="0"/>
        <w:jc w:val="left"/>
        <w:rPr>
          <w:sz w:val="24"/>
        </w:rPr>
        <w:sectPr>
          <w:pgSz w:w="12240" w:h="15840"/>
          <w:pgMar w:header="0" w:footer="1066" w:top="1820" w:bottom="1260" w:left="1480" w:right="1160"/>
        </w:sectPr>
      </w:pPr>
    </w:p>
    <w:p>
      <w:pPr>
        <w:pStyle w:val="BodyText"/>
        <w:rPr>
          <w:b/>
          <w:sz w:val="20"/>
        </w:rPr>
      </w:pPr>
    </w:p>
    <w:p>
      <w:pPr>
        <w:pStyle w:val="BodyText"/>
        <w:spacing w:before="81"/>
        <w:rPr>
          <w:b/>
          <w:sz w:val="20"/>
        </w:rPr>
      </w:pPr>
    </w:p>
    <w:p>
      <w:pPr>
        <w:pStyle w:val="BodyText"/>
        <w:spacing w:line="183" w:lineRule="exact"/>
        <w:ind w:left="682"/>
        <w:rPr>
          <w:sz w:val="18"/>
        </w:rPr>
      </w:pPr>
      <w:r>
        <w:rPr>
          <w:position w:val="-3"/>
          <w:sz w:val="18"/>
        </w:rPr>
        <w:drawing>
          <wp:inline distT="0" distB="0" distL="0" distR="0">
            <wp:extent cx="342400" cy="116585"/>
            <wp:effectExtent l="0" t="0" r="0" b="0"/>
            <wp:docPr id="641" name="Image 641"/>
            <wp:cNvGraphicFramePr>
              <a:graphicFrameLocks/>
            </wp:cNvGraphicFramePr>
            <a:graphic>
              <a:graphicData uri="http://schemas.openxmlformats.org/drawingml/2006/picture">
                <pic:pic>
                  <pic:nvPicPr>
                    <pic:cNvPr id="641" name="Image 641"/>
                    <pic:cNvPicPr/>
                  </pic:nvPicPr>
                  <pic:blipFill>
                    <a:blip r:embed="rId87" cstate="print"/>
                    <a:stretch>
                      <a:fillRect/>
                    </a:stretch>
                  </pic:blipFill>
                  <pic:spPr>
                    <a:xfrm>
                      <a:off x="0" y="0"/>
                      <a:ext cx="342400" cy="116585"/>
                    </a:xfrm>
                    <a:prstGeom prst="rect">
                      <a:avLst/>
                    </a:prstGeom>
                  </pic:spPr>
                </pic:pic>
              </a:graphicData>
            </a:graphic>
          </wp:inline>
        </w:drawing>
      </w:r>
      <w:r>
        <w:rPr>
          <w:position w:val="-3"/>
          <w:sz w:val="18"/>
        </w:rPr>
      </w:r>
    </w:p>
    <w:p>
      <w:pPr>
        <w:pStyle w:val="BodyText"/>
        <w:spacing w:before="15"/>
        <w:rPr>
          <w:b/>
          <w:sz w:val="20"/>
        </w:rPr>
      </w:pPr>
      <w:r>
        <w:rPr/>
        <mc:AlternateContent>
          <mc:Choice Requires="wps">
            <w:drawing>
              <wp:anchor distT="0" distB="0" distL="0" distR="0" allowOverlap="1" layoutInCell="1" locked="0" behindDoc="1" simplePos="0" relativeHeight="487685120">
                <wp:simplePos x="0" y="0"/>
                <wp:positionH relativeFrom="page">
                  <wp:posOffset>2126211</wp:posOffset>
                </wp:positionH>
                <wp:positionV relativeFrom="paragraph">
                  <wp:posOffset>171505</wp:posOffset>
                </wp:positionV>
                <wp:extent cx="4740275" cy="2806065"/>
                <wp:effectExtent l="0" t="0" r="0" b="0"/>
                <wp:wrapTopAndBottom/>
                <wp:docPr id="642" name="Group 642"/>
                <wp:cNvGraphicFramePr>
                  <a:graphicFrameLocks/>
                </wp:cNvGraphicFramePr>
                <a:graphic>
                  <a:graphicData uri="http://schemas.microsoft.com/office/word/2010/wordprocessingGroup">
                    <wpg:wgp>
                      <wpg:cNvPr id="642" name="Group 642"/>
                      <wpg:cNvGrpSpPr/>
                      <wpg:grpSpPr>
                        <a:xfrm>
                          <a:off x="0" y="0"/>
                          <a:ext cx="4740275" cy="2806065"/>
                          <a:chExt cx="4740275" cy="2806065"/>
                        </a:xfrm>
                      </wpg:grpSpPr>
                      <wps:wsp>
                        <wps:cNvPr id="643" name="Graphic 643"/>
                        <wps:cNvSpPr/>
                        <wps:spPr>
                          <a:xfrm>
                            <a:off x="1759988" y="1999813"/>
                            <a:ext cx="1600200" cy="685800"/>
                          </a:xfrm>
                          <a:custGeom>
                            <a:avLst/>
                            <a:gdLst/>
                            <a:ahLst/>
                            <a:cxnLst/>
                            <a:rect l="l" t="t" r="r" b="b"/>
                            <a:pathLst>
                              <a:path w="1600200" h="685800">
                                <a:moveTo>
                                  <a:pt x="114300" y="0"/>
                                </a:moveTo>
                                <a:lnTo>
                                  <a:pt x="1485900" y="114300"/>
                                </a:lnTo>
                              </a:path>
                              <a:path w="1600200" h="685800">
                                <a:moveTo>
                                  <a:pt x="0" y="685800"/>
                                </a:moveTo>
                                <a:lnTo>
                                  <a:pt x="0" y="685800"/>
                                </a:lnTo>
                                <a:lnTo>
                                  <a:pt x="1600200" y="685800"/>
                                </a:lnTo>
                              </a:path>
                            </a:pathLst>
                          </a:custGeom>
                          <a:ln w="9525">
                            <a:solidFill>
                              <a:srgbClr val="000000"/>
                            </a:solidFill>
                            <a:prstDash val="solid"/>
                          </a:ln>
                        </wps:spPr>
                        <wps:bodyPr wrap="square" lIns="0" tIns="0" rIns="0" bIns="0" rtlCol="0">
                          <a:prstTxWarp prst="textNoShape">
                            <a:avLst/>
                          </a:prstTxWarp>
                          <a:noAutofit/>
                        </wps:bodyPr>
                      </wps:wsp>
                      <wps:wsp>
                        <wps:cNvPr id="644" name="Graphic 644"/>
                        <wps:cNvSpPr/>
                        <wps:spPr>
                          <a:xfrm>
                            <a:off x="3131588" y="171013"/>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wps:wsp>
                        <wps:cNvPr id="645" name="Graphic 645"/>
                        <wps:cNvSpPr/>
                        <wps:spPr>
                          <a:xfrm>
                            <a:off x="6999" y="6999"/>
                            <a:ext cx="1825625" cy="2760345"/>
                          </a:xfrm>
                          <a:custGeom>
                            <a:avLst/>
                            <a:gdLst/>
                            <a:ahLst/>
                            <a:cxnLst/>
                            <a:rect l="l" t="t" r="r" b="b"/>
                            <a:pathLst>
                              <a:path w="1825625" h="2760345">
                                <a:moveTo>
                                  <a:pt x="1548" y="505015"/>
                                </a:moveTo>
                                <a:lnTo>
                                  <a:pt x="23225" y="490370"/>
                                </a:lnTo>
                                <a:lnTo>
                                  <a:pt x="44904" y="490370"/>
                                </a:lnTo>
                                <a:lnTo>
                                  <a:pt x="66668" y="475725"/>
                                </a:lnTo>
                                <a:lnTo>
                                  <a:pt x="88348" y="475725"/>
                                </a:lnTo>
                                <a:lnTo>
                                  <a:pt x="110028" y="490370"/>
                                </a:lnTo>
                                <a:lnTo>
                                  <a:pt x="131791" y="490370"/>
                                </a:lnTo>
                                <a:lnTo>
                                  <a:pt x="175238" y="563596"/>
                                </a:lnTo>
                                <a:lnTo>
                                  <a:pt x="200012" y="636987"/>
                                </a:lnTo>
                                <a:lnTo>
                                  <a:pt x="221692" y="753985"/>
                                </a:lnTo>
                                <a:lnTo>
                                  <a:pt x="243459" y="915083"/>
                                </a:lnTo>
                                <a:lnTo>
                                  <a:pt x="265136" y="1105472"/>
                                </a:lnTo>
                                <a:lnTo>
                                  <a:pt x="286917" y="1310292"/>
                                </a:lnTo>
                                <a:lnTo>
                                  <a:pt x="308593" y="1544732"/>
                                </a:lnTo>
                                <a:lnTo>
                                  <a:pt x="330269" y="1779172"/>
                                </a:lnTo>
                                <a:lnTo>
                                  <a:pt x="352016" y="1998637"/>
                                </a:lnTo>
                                <a:lnTo>
                                  <a:pt x="373692" y="2188944"/>
                                </a:lnTo>
                                <a:lnTo>
                                  <a:pt x="395368" y="2364671"/>
                                </a:lnTo>
                                <a:lnTo>
                                  <a:pt x="417149" y="2511255"/>
                                </a:lnTo>
                                <a:lnTo>
                                  <a:pt x="441937" y="2628270"/>
                                </a:lnTo>
                                <a:lnTo>
                                  <a:pt x="463683" y="2701562"/>
                                </a:lnTo>
                                <a:lnTo>
                                  <a:pt x="485360" y="2730704"/>
                                </a:lnTo>
                                <a:lnTo>
                                  <a:pt x="507036" y="2760275"/>
                                </a:lnTo>
                                <a:lnTo>
                                  <a:pt x="528817" y="2745695"/>
                                </a:lnTo>
                                <a:lnTo>
                                  <a:pt x="550494" y="2701562"/>
                                </a:lnTo>
                                <a:lnTo>
                                  <a:pt x="572240" y="2657823"/>
                                </a:lnTo>
                                <a:lnTo>
                                  <a:pt x="593951" y="2599111"/>
                                </a:lnTo>
                                <a:lnTo>
                                  <a:pt x="615627" y="2525818"/>
                                </a:lnTo>
                                <a:lnTo>
                                  <a:pt x="637373" y="2467122"/>
                                </a:lnTo>
                                <a:lnTo>
                                  <a:pt x="659050" y="2394225"/>
                                </a:lnTo>
                                <a:lnTo>
                                  <a:pt x="683838" y="2320949"/>
                                </a:lnTo>
                                <a:lnTo>
                                  <a:pt x="705584" y="2233077"/>
                                </a:lnTo>
                                <a:lnTo>
                                  <a:pt x="727295" y="2159785"/>
                                </a:lnTo>
                                <a:lnTo>
                                  <a:pt x="749041" y="2101072"/>
                                </a:lnTo>
                                <a:lnTo>
                                  <a:pt x="770718" y="2028191"/>
                                </a:lnTo>
                                <a:lnTo>
                                  <a:pt x="792394" y="1969478"/>
                                </a:lnTo>
                                <a:lnTo>
                                  <a:pt x="814175" y="1896203"/>
                                </a:lnTo>
                                <a:lnTo>
                                  <a:pt x="835851" y="1822910"/>
                                </a:lnTo>
                                <a:lnTo>
                                  <a:pt x="857528" y="1749618"/>
                                </a:lnTo>
                                <a:lnTo>
                                  <a:pt x="879274" y="1676737"/>
                                </a:lnTo>
                                <a:lnTo>
                                  <a:pt x="900985" y="1632604"/>
                                </a:lnTo>
                                <a:lnTo>
                                  <a:pt x="925843" y="1573891"/>
                                </a:lnTo>
                                <a:lnTo>
                                  <a:pt x="947519" y="1515590"/>
                                </a:lnTo>
                                <a:lnTo>
                                  <a:pt x="969196" y="1456877"/>
                                </a:lnTo>
                                <a:lnTo>
                                  <a:pt x="990942" y="1413138"/>
                                </a:lnTo>
                                <a:lnTo>
                                  <a:pt x="1012618" y="1383584"/>
                                </a:lnTo>
                                <a:lnTo>
                                  <a:pt x="1034399" y="1339863"/>
                                </a:lnTo>
                                <a:lnTo>
                                  <a:pt x="1056076" y="1295729"/>
                                </a:lnTo>
                                <a:lnTo>
                                  <a:pt x="1077752" y="1266570"/>
                                </a:lnTo>
                                <a:lnTo>
                                  <a:pt x="1099533" y="1222470"/>
                                </a:lnTo>
                                <a:lnTo>
                                  <a:pt x="1121209" y="1193344"/>
                                </a:lnTo>
                                <a:lnTo>
                                  <a:pt x="1142886" y="1149572"/>
                                </a:lnTo>
                                <a:lnTo>
                                  <a:pt x="1167744" y="1119953"/>
                                </a:lnTo>
                                <a:lnTo>
                                  <a:pt x="1189420" y="1076181"/>
                                </a:lnTo>
                                <a:lnTo>
                                  <a:pt x="1211201" y="1046726"/>
                                </a:lnTo>
                                <a:lnTo>
                                  <a:pt x="1232877" y="1017600"/>
                                </a:lnTo>
                                <a:lnTo>
                                  <a:pt x="1254554" y="1002955"/>
                                </a:lnTo>
                                <a:lnTo>
                                  <a:pt x="1276300" y="958855"/>
                                </a:lnTo>
                                <a:lnTo>
                                  <a:pt x="1297976" y="929729"/>
                                </a:lnTo>
                                <a:lnTo>
                                  <a:pt x="1319757" y="915083"/>
                                </a:lnTo>
                                <a:lnTo>
                                  <a:pt x="1341434" y="900603"/>
                                </a:lnTo>
                                <a:lnTo>
                                  <a:pt x="1363110" y="885957"/>
                                </a:lnTo>
                                <a:lnTo>
                                  <a:pt x="1384891" y="885957"/>
                                </a:lnTo>
                                <a:lnTo>
                                  <a:pt x="1409644" y="870983"/>
                                </a:lnTo>
                                <a:lnTo>
                                  <a:pt x="1431425" y="856338"/>
                                </a:lnTo>
                                <a:lnTo>
                                  <a:pt x="1453101" y="827212"/>
                                </a:lnTo>
                                <a:lnTo>
                                  <a:pt x="1474778" y="812731"/>
                                </a:lnTo>
                                <a:lnTo>
                                  <a:pt x="1496524" y="798086"/>
                                </a:lnTo>
                                <a:lnTo>
                                  <a:pt x="1518235" y="798086"/>
                                </a:lnTo>
                                <a:lnTo>
                                  <a:pt x="1539912" y="783111"/>
                                </a:lnTo>
                                <a:lnTo>
                                  <a:pt x="1561658" y="783111"/>
                                </a:lnTo>
                                <a:lnTo>
                                  <a:pt x="1583334" y="768466"/>
                                </a:lnTo>
                                <a:lnTo>
                                  <a:pt x="1605115" y="753985"/>
                                </a:lnTo>
                                <a:lnTo>
                                  <a:pt x="1626792" y="724859"/>
                                </a:lnTo>
                                <a:lnTo>
                                  <a:pt x="1651579" y="710214"/>
                                </a:lnTo>
                                <a:lnTo>
                                  <a:pt x="1673326" y="695733"/>
                                </a:lnTo>
                                <a:lnTo>
                                  <a:pt x="1695002" y="695733"/>
                                </a:lnTo>
                                <a:lnTo>
                                  <a:pt x="1716678" y="680594"/>
                                </a:lnTo>
                                <a:lnTo>
                                  <a:pt x="1738459" y="680594"/>
                                </a:lnTo>
                                <a:lnTo>
                                  <a:pt x="1760136" y="680594"/>
                                </a:lnTo>
                                <a:lnTo>
                                  <a:pt x="1781882" y="680594"/>
                                </a:lnTo>
                                <a:lnTo>
                                  <a:pt x="1803558" y="680594"/>
                                </a:lnTo>
                                <a:lnTo>
                                  <a:pt x="1825269" y="680594"/>
                                </a:lnTo>
                              </a:path>
                              <a:path w="1825625" h="2760345">
                                <a:moveTo>
                                  <a:pt x="0" y="439358"/>
                                </a:moveTo>
                                <a:lnTo>
                                  <a:pt x="21676" y="380612"/>
                                </a:lnTo>
                                <a:lnTo>
                                  <a:pt x="43356" y="233995"/>
                                </a:lnTo>
                                <a:lnTo>
                                  <a:pt x="65123" y="87871"/>
                                </a:lnTo>
                                <a:lnTo>
                                  <a:pt x="86799" y="14645"/>
                                </a:lnTo>
                                <a:lnTo>
                                  <a:pt x="108479" y="0"/>
                                </a:lnTo>
                                <a:lnTo>
                                  <a:pt x="130246" y="73391"/>
                                </a:lnTo>
                                <a:lnTo>
                                  <a:pt x="151922" y="175743"/>
                                </a:lnTo>
                                <a:lnTo>
                                  <a:pt x="173690" y="307386"/>
                                </a:lnTo>
                                <a:lnTo>
                                  <a:pt x="198463" y="424713"/>
                                </a:lnTo>
                                <a:lnTo>
                                  <a:pt x="220143" y="541711"/>
                                </a:lnTo>
                                <a:lnTo>
                                  <a:pt x="241921" y="644228"/>
                                </a:lnTo>
                                <a:lnTo>
                                  <a:pt x="263597" y="761225"/>
                                </a:lnTo>
                                <a:lnTo>
                                  <a:pt x="285343" y="893198"/>
                                </a:lnTo>
                                <a:lnTo>
                                  <a:pt x="307020" y="1024841"/>
                                </a:lnTo>
                                <a:lnTo>
                                  <a:pt x="328696" y="1171458"/>
                                </a:lnTo>
                                <a:lnTo>
                                  <a:pt x="350477" y="1317993"/>
                                </a:lnTo>
                                <a:lnTo>
                                  <a:pt x="372154" y="1464166"/>
                                </a:lnTo>
                                <a:lnTo>
                                  <a:pt x="393830" y="1581592"/>
                                </a:lnTo>
                                <a:lnTo>
                                  <a:pt x="415611" y="1698606"/>
                                </a:lnTo>
                                <a:lnTo>
                                  <a:pt x="440364" y="1801041"/>
                                </a:lnTo>
                                <a:lnTo>
                                  <a:pt x="462145" y="1874333"/>
                                </a:lnTo>
                                <a:lnTo>
                                  <a:pt x="483821" y="1933046"/>
                                </a:lnTo>
                                <a:lnTo>
                                  <a:pt x="527279" y="1976768"/>
                                </a:lnTo>
                                <a:lnTo>
                                  <a:pt x="548955" y="1962205"/>
                                </a:lnTo>
                                <a:lnTo>
                                  <a:pt x="570701" y="1933046"/>
                                </a:lnTo>
                                <a:lnTo>
                                  <a:pt x="592378" y="1888913"/>
                                </a:lnTo>
                                <a:lnTo>
                                  <a:pt x="614054" y="1830200"/>
                                </a:lnTo>
                                <a:lnTo>
                                  <a:pt x="635835" y="1771899"/>
                                </a:lnTo>
                                <a:lnTo>
                                  <a:pt x="657511" y="1713186"/>
                                </a:lnTo>
                                <a:lnTo>
                                  <a:pt x="682299" y="1639893"/>
                                </a:lnTo>
                                <a:lnTo>
                                  <a:pt x="704046" y="1566601"/>
                                </a:lnTo>
                                <a:lnTo>
                                  <a:pt x="725722" y="1493720"/>
                                </a:lnTo>
                                <a:lnTo>
                                  <a:pt x="747503" y="1420428"/>
                                </a:lnTo>
                                <a:lnTo>
                                  <a:pt x="769179" y="1361715"/>
                                </a:lnTo>
                                <a:lnTo>
                                  <a:pt x="790856" y="1303002"/>
                                </a:lnTo>
                                <a:lnTo>
                                  <a:pt x="812602" y="1244685"/>
                                </a:lnTo>
                                <a:lnTo>
                                  <a:pt x="834313" y="1185939"/>
                                </a:lnTo>
                                <a:lnTo>
                                  <a:pt x="855989" y="1127358"/>
                                </a:lnTo>
                                <a:lnTo>
                                  <a:pt x="877736" y="1083586"/>
                                </a:lnTo>
                                <a:lnTo>
                                  <a:pt x="899412" y="1039486"/>
                                </a:lnTo>
                                <a:lnTo>
                                  <a:pt x="924270" y="995715"/>
                                </a:lnTo>
                                <a:lnTo>
                                  <a:pt x="945946" y="951614"/>
                                </a:lnTo>
                                <a:lnTo>
                                  <a:pt x="967657" y="922324"/>
                                </a:lnTo>
                                <a:lnTo>
                                  <a:pt x="989404" y="893198"/>
                                </a:lnTo>
                                <a:lnTo>
                                  <a:pt x="1011080" y="863742"/>
                                </a:lnTo>
                                <a:lnTo>
                                  <a:pt x="1032861" y="834452"/>
                                </a:lnTo>
                                <a:lnTo>
                                  <a:pt x="1054537" y="805326"/>
                                </a:lnTo>
                                <a:lnTo>
                                  <a:pt x="1076214" y="790845"/>
                                </a:lnTo>
                                <a:lnTo>
                                  <a:pt x="1097960" y="761225"/>
                                </a:lnTo>
                                <a:lnTo>
                                  <a:pt x="1119636" y="732099"/>
                                </a:lnTo>
                                <a:lnTo>
                                  <a:pt x="1141347" y="717454"/>
                                </a:lnTo>
                                <a:lnTo>
                                  <a:pt x="1166205" y="702973"/>
                                </a:lnTo>
                                <a:lnTo>
                                  <a:pt x="1187881" y="688328"/>
                                </a:lnTo>
                                <a:lnTo>
                                  <a:pt x="1209628" y="688328"/>
                                </a:lnTo>
                                <a:lnTo>
                                  <a:pt x="1231304" y="673354"/>
                                </a:lnTo>
                                <a:lnTo>
                                  <a:pt x="1252980" y="673354"/>
                                </a:lnTo>
                                <a:lnTo>
                                  <a:pt x="1274761" y="673354"/>
                                </a:lnTo>
                                <a:lnTo>
                                  <a:pt x="1296438" y="658873"/>
                                </a:lnTo>
                                <a:lnTo>
                                  <a:pt x="1318219" y="644228"/>
                                </a:lnTo>
                                <a:lnTo>
                                  <a:pt x="1339895" y="644228"/>
                                </a:lnTo>
                                <a:lnTo>
                                  <a:pt x="1361572" y="629582"/>
                                </a:lnTo>
                                <a:lnTo>
                                  <a:pt x="1383318" y="629582"/>
                                </a:lnTo>
                                <a:lnTo>
                                  <a:pt x="1408106" y="629582"/>
                                </a:lnTo>
                                <a:lnTo>
                                  <a:pt x="1429852" y="644228"/>
                                </a:lnTo>
                                <a:lnTo>
                                  <a:pt x="1451563" y="644228"/>
                                </a:lnTo>
                                <a:lnTo>
                                  <a:pt x="1473239" y="629582"/>
                                </a:lnTo>
                                <a:lnTo>
                                  <a:pt x="1494986" y="629582"/>
                                </a:lnTo>
                                <a:lnTo>
                                  <a:pt x="1516662" y="615102"/>
                                </a:lnTo>
                                <a:lnTo>
                                  <a:pt x="1538338" y="600456"/>
                                </a:lnTo>
                                <a:lnTo>
                                  <a:pt x="1560119" y="600456"/>
                                </a:lnTo>
                                <a:lnTo>
                                  <a:pt x="1581796" y="600456"/>
                                </a:lnTo>
                                <a:lnTo>
                                  <a:pt x="1603577" y="600456"/>
                                </a:lnTo>
                                <a:lnTo>
                                  <a:pt x="1625253" y="585482"/>
                                </a:lnTo>
                                <a:lnTo>
                                  <a:pt x="1758597" y="585482"/>
                                </a:lnTo>
                                <a:lnTo>
                                  <a:pt x="1780344" y="571001"/>
                                </a:lnTo>
                                <a:lnTo>
                                  <a:pt x="1802020" y="571001"/>
                                </a:lnTo>
                                <a:lnTo>
                                  <a:pt x="1823696" y="571001"/>
                                </a:lnTo>
                              </a:path>
                            </a:pathLst>
                          </a:custGeom>
                          <a:ln w="8836">
                            <a:solidFill>
                              <a:srgbClr val="000000"/>
                            </a:solidFill>
                            <a:prstDash val="solid"/>
                          </a:ln>
                        </wps:spPr>
                        <wps:bodyPr wrap="square" lIns="0" tIns="0" rIns="0" bIns="0" rtlCol="0">
                          <a:prstTxWarp prst="textNoShape">
                            <a:avLst/>
                          </a:prstTxWarp>
                          <a:noAutofit/>
                        </wps:bodyPr>
                      </wps:wsp>
                      <wps:wsp>
                        <wps:cNvPr id="646" name="Graphic 646"/>
                        <wps:cNvSpPr/>
                        <wps:spPr>
                          <a:xfrm>
                            <a:off x="539518" y="1966793"/>
                            <a:ext cx="483870" cy="753110"/>
                          </a:xfrm>
                          <a:custGeom>
                            <a:avLst/>
                            <a:gdLst/>
                            <a:ahLst/>
                            <a:cxnLst/>
                            <a:rect l="l" t="t" r="r" b="b"/>
                            <a:pathLst>
                              <a:path w="483870" h="753110">
                                <a:moveTo>
                                  <a:pt x="0" y="0"/>
                                </a:moveTo>
                                <a:lnTo>
                                  <a:pt x="483869" y="0"/>
                                </a:lnTo>
                              </a:path>
                              <a:path w="483870" h="753110">
                                <a:moveTo>
                                  <a:pt x="0" y="753109"/>
                                </a:moveTo>
                                <a:lnTo>
                                  <a:pt x="483869" y="753109"/>
                                </a:lnTo>
                              </a:path>
                            </a:pathLst>
                          </a:custGeom>
                          <a:ln w="9525">
                            <a:solidFill>
                              <a:srgbClr val="000000"/>
                            </a:solidFill>
                            <a:prstDash val="solid"/>
                          </a:ln>
                        </wps:spPr>
                        <wps:bodyPr wrap="square" lIns="0" tIns="0" rIns="0" bIns="0" rtlCol="0">
                          <a:prstTxWarp prst="textNoShape">
                            <a:avLst/>
                          </a:prstTxWarp>
                          <a:noAutofit/>
                        </wps:bodyPr>
                      </wps:wsp>
                      <wps:wsp>
                        <wps:cNvPr id="647" name="Graphic 647"/>
                        <wps:cNvSpPr/>
                        <wps:spPr>
                          <a:xfrm>
                            <a:off x="2896458" y="212870"/>
                            <a:ext cx="1837689" cy="2522220"/>
                          </a:xfrm>
                          <a:custGeom>
                            <a:avLst/>
                            <a:gdLst/>
                            <a:ahLst/>
                            <a:cxnLst/>
                            <a:rect l="l" t="t" r="r" b="b"/>
                            <a:pathLst>
                              <a:path w="1837689" h="2522220">
                                <a:moveTo>
                                  <a:pt x="1558" y="0"/>
                                </a:moveTo>
                                <a:lnTo>
                                  <a:pt x="23380" y="80493"/>
                                </a:lnTo>
                                <a:lnTo>
                                  <a:pt x="48316" y="147722"/>
                                </a:lnTo>
                                <a:lnTo>
                                  <a:pt x="70225" y="201083"/>
                                </a:lnTo>
                                <a:lnTo>
                                  <a:pt x="95161" y="254896"/>
                                </a:lnTo>
                                <a:lnTo>
                                  <a:pt x="117070" y="308709"/>
                                </a:lnTo>
                                <a:lnTo>
                                  <a:pt x="138888" y="375486"/>
                                </a:lnTo>
                                <a:lnTo>
                                  <a:pt x="163827" y="482961"/>
                                </a:lnTo>
                                <a:lnTo>
                                  <a:pt x="185733" y="616816"/>
                                </a:lnTo>
                                <a:lnTo>
                                  <a:pt x="210672" y="777803"/>
                                </a:lnTo>
                                <a:lnTo>
                                  <a:pt x="232578" y="979188"/>
                                </a:lnTo>
                                <a:lnTo>
                                  <a:pt x="257514" y="1193687"/>
                                </a:lnTo>
                                <a:lnTo>
                                  <a:pt x="279332" y="1421752"/>
                                </a:lnTo>
                                <a:lnTo>
                                  <a:pt x="304352" y="1636507"/>
                                </a:lnTo>
                                <a:lnTo>
                                  <a:pt x="326170" y="1837530"/>
                                </a:lnTo>
                                <a:lnTo>
                                  <a:pt x="348093" y="2025589"/>
                                </a:lnTo>
                                <a:lnTo>
                                  <a:pt x="373043" y="2172845"/>
                                </a:lnTo>
                                <a:lnTo>
                                  <a:pt x="394861" y="2307106"/>
                                </a:lnTo>
                                <a:lnTo>
                                  <a:pt x="419881" y="2400940"/>
                                </a:lnTo>
                                <a:lnTo>
                                  <a:pt x="441699" y="2468078"/>
                                </a:lnTo>
                                <a:lnTo>
                                  <a:pt x="466719" y="2508506"/>
                                </a:lnTo>
                                <a:lnTo>
                                  <a:pt x="488537" y="2521861"/>
                                </a:lnTo>
                                <a:lnTo>
                                  <a:pt x="513487" y="2508506"/>
                                </a:lnTo>
                                <a:lnTo>
                                  <a:pt x="535375" y="2468078"/>
                                </a:lnTo>
                                <a:lnTo>
                                  <a:pt x="560325" y="2414295"/>
                                </a:lnTo>
                                <a:lnTo>
                                  <a:pt x="582213" y="2347534"/>
                                </a:lnTo>
                                <a:lnTo>
                                  <a:pt x="604066" y="2280395"/>
                                </a:lnTo>
                                <a:lnTo>
                                  <a:pt x="628981" y="2199917"/>
                                </a:lnTo>
                                <a:lnTo>
                                  <a:pt x="650904" y="2119423"/>
                                </a:lnTo>
                                <a:lnTo>
                                  <a:pt x="675819" y="2038945"/>
                                </a:lnTo>
                                <a:lnTo>
                                  <a:pt x="697742" y="1945096"/>
                                </a:lnTo>
                                <a:lnTo>
                                  <a:pt x="722692" y="1851262"/>
                                </a:lnTo>
                                <a:lnTo>
                                  <a:pt x="744510" y="1770768"/>
                                </a:lnTo>
                                <a:lnTo>
                                  <a:pt x="769530" y="1676558"/>
                                </a:lnTo>
                                <a:lnTo>
                                  <a:pt x="791348" y="1596079"/>
                                </a:lnTo>
                                <a:lnTo>
                                  <a:pt x="813236" y="1529318"/>
                                </a:lnTo>
                                <a:lnTo>
                                  <a:pt x="838186" y="1448824"/>
                                </a:lnTo>
                                <a:lnTo>
                                  <a:pt x="860004" y="1395041"/>
                                </a:lnTo>
                                <a:lnTo>
                                  <a:pt x="885024" y="1327903"/>
                                </a:lnTo>
                                <a:lnTo>
                                  <a:pt x="906842" y="1274135"/>
                                </a:lnTo>
                                <a:lnTo>
                                  <a:pt x="931862" y="1220714"/>
                                </a:lnTo>
                                <a:lnTo>
                                  <a:pt x="953715" y="1180271"/>
                                </a:lnTo>
                                <a:lnTo>
                                  <a:pt x="978630" y="1126910"/>
                                </a:lnTo>
                                <a:lnTo>
                                  <a:pt x="1000553" y="1086512"/>
                                </a:lnTo>
                                <a:lnTo>
                                  <a:pt x="1025468" y="1046416"/>
                                </a:lnTo>
                                <a:lnTo>
                                  <a:pt x="1047391" y="1006019"/>
                                </a:lnTo>
                                <a:lnTo>
                                  <a:pt x="1069209" y="965923"/>
                                </a:lnTo>
                                <a:lnTo>
                                  <a:pt x="1094159" y="925525"/>
                                </a:lnTo>
                                <a:lnTo>
                                  <a:pt x="1116047" y="898694"/>
                                </a:lnTo>
                                <a:lnTo>
                                  <a:pt x="1140997" y="871712"/>
                                </a:lnTo>
                                <a:lnTo>
                                  <a:pt x="1162885" y="845032"/>
                                </a:lnTo>
                                <a:lnTo>
                                  <a:pt x="1187835" y="818351"/>
                                </a:lnTo>
                                <a:lnTo>
                                  <a:pt x="1209758" y="791218"/>
                                </a:lnTo>
                                <a:lnTo>
                                  <a:pt x="1234673" y="777803"/>
                                </a:lnTo>
                                <a:lnTo>
                                  <a:pt x="1256491" y="751122"/>
                                </a:lnTo>
                                <a:lnTo>
                                  <a:pt x="1278414" y="737858"/>
                                </a:lnTo>
                                <a:lnTo>
                                  <a:pt x="1303364" y="724442"/>
                                </a:lnTo>
                                <a:lnTo>
                                  <a:pt x="1325252" y="710725"/>
                                </a:lnTo>
                                <a:lnTo>
                                  <a:pt x="1350202" y="697309"/>
                                </a:lnTo>
                                <a:lnTo>
                                  <a:pt x="1372020" y="684044"/>
                                </a:lnTo>
                                <a:lnTo>
                                  <a:pt x="1397040" y="684044"/>
                                </a:lnTo>
                                <a:lnTo>
                                  <a:pt x="1418858" y="670629"/>
                                </a:lnTo>
                                <a:lnTo>
                                  <a:pt x="1443878" y="657364"/>
                                </a:lnTo>
                                <a:lnTo>
                                  <a:pt x="1465696" y="657364"/>
                                </a:lnTo>
                                <a:lnTo>
                                  <a:pt x="1490646" y="643948"/>
                                </a:lnTo>
                                <a:lnTo>
                                  <a:pt x="1512534" y="643948"/>
                                </a:lnTo>
                                <a:lnTo>
                                  <a:pt x="1534387" y="630533"/>
                                </a:lnTo>
                                <a:lnTo>
                                  <a:pt x="1559407" y="616816"/>
                                </a:lnTo>
                                <a:lnTo>
                                  <a:pt x="1581225" y="616816"/>
                                </a:lnTo>
                                <a:lnTo>
                                  <a:pt x="1606140" y="603551"/>
                                </a:lnTo>
                                <a:lnTo>
                                  <a:pt x="1628063" y="603551"/>
                                </a:lnTo>
                                <a:lnTo>
                                  <a:pt x="1653013" y="603551"/>
                                </a:lnTo>
                                <a:lnTo>
                                  <a:pt x="1674901" y="590135"/>
                                </a:lnTo>
                                <a:lnTo>
                                  <a:pt x="1699851" y="590135"/>
                                </a:lnTo>
                                <a:lnTo>
                                  <a:pt x="1721669" y="576870"/>
                                </a:lnTo>
                                <a:lnTo>
                                  <a:pt x="1743557" y="576870"/>
                                </a:lnTo>
                                <a:lnTo>
                                  <a:pt x="1768507" y="576870"/>
                                </a:lnTo>
                                <a:lnTo>
                                  <a:pt x="1790430" y="563455"/>
                                </a:lnTo>
                                <a:lnTo>
                                  <a:pt x="1815345" y="563455"/>
                                </a:lnTo>
                                <a:lnTo>
                                  <a:pt x="1837163" y="550190"/>
                                </a:lnTo>
                              </a:path>
                              <a:path w="1837689" h="2522220">
                                <a:moveTo>
                                  <a:pt x="0" y="167770"/>
                                </a:moveTo>
                                <a:lnTo>
                                  <a:pt x="21821" y="194450"/>
                                </a:lnTo>
                                <a:lnTo>
                                  <a:pt x="46757" y="221432"/>
                                </a:lnTo>
                                <a:lnTo>
                                  <a:pt x="68666" y="261528"/>
                                </a:lnTo>
                                <a:lnTo>
                                  <a:pt x="93602" y="315341"/>
                                </a:lnTo>
                                <a:lnTo>
                                  <a:pt x="115511" y="395835"/>
                                </a:lnTo>
                                <a:lnTo>
                                  <a:pt x="137332" y="503009"/>
                                </a:lnTo>
                                <a:lnTo>
                                  <a:pt x="162268" y="637316"/>
                                </a:lnTo>
                                <a:lnTo>
                                  <a:pt x="184178" y="798303"/>
                                </a:lnTo>
                                <a:lnTo>
                                  <a:pt x="209113" y="985971"/>
                                </a:lnTo>
                                <a:lnTo>
                                  <a:pt x="231023" y="1160223"/>
                                </a:lnTo>
                                <a:lnTo>
                                  <a:pt x="255965" y="1347936"/>
                                </a:lnTo>
                                <a:lnTo>
                                  <a:pt x="277783" y="1522640"/>
                                </a:lnTo>
                                <a:lnTo>
                                  <a:pt x="302803" y="1656540"/>
                                </a:lnTo>
                                <a:lnTo>
                                  <a:pt x="324621" y="1764091"/>
                                </a:lnTo>
                                <a:lnTo>
                                  <a:pt x="346545" y="1844584"/>
                                </a:lnTo>
                                <a:lnTo>
                                  <a:pt x="371459" y="1884635"/>
                                </a:lnTo>
                                <a:lnTo>
                                  <a:pt x="393277" y="1884635"/>
                                </a:lnTo>
                                <a:lnTo>
                                  <a:pt x="440150" y="1830867"/>
                                </a:lnTo>
                                <a:lnTo>
                                  <a:pt x="465171" y="1777446"/>
                                </a:lnTo>
                                <a:lnTo>
                                  <a:pt x="486988" y="1723663"/>
                                </a:lnTo>
                                <a:lnTo>
                                  <a:pt x="511903" y="1643185"/>
                                </a:lnTo>
                                <a:lnTo>
                                  <a:pt x="533826" y="1549336"/>
                                </a:lnTo>
                                <a:lnTo>
                                  <a:pt x="558776" y="1468857"/>
                                </a:lnTo>
                                <a:lnTo>
                                  <a:pt x="580665" y="1375008"/>
                                </a:lnTo>
                                <a:lnTo>
                                  <a:pt x="602482" y="1294530"/>
                                </a:lnTo>
                                <a:lnTo>
                                  <a:pt x="627432" y="1214036"/>
                                </a:lnTo>
                                <a:lnTo>
                                  <a:pt x="649320" y="1133542"/>
                                </a:lnTo>
                                <a:lnTo>
                                  <a:pt x="674270" y="1053049"/>
                                </a:lnTo>
                                <a:lnTo>
                                  <a:pt x="696194" y="999236"/>
                                </a:lnTo>
                                <a:lnTo>
                                  <a:pt x="721108" y="932158"/>
                                </a:lnTo>
                                <a:lnTo>
                                  <a:pt x="742926" y="878797"/>
                                </a:lnTo>
                                <a:lnTo>
                                  <a:pt x="767982" y="811568"/>
                                </a:lnTo>
                                <a:lnTo>
                                  <a:pt x="789799" y="771170"/>
                                </a:lnTo>
                                <a:lnTo>
                                  <a:pt x="811688" y="731074"/>
                                </a:lnTo>
                                <a:lnTo>
                                  <a:pt x="836637" y="690677"/>
                                </a:lnTo>
                                <a:lnTo>
                                  <a:pt x="858455" y="650581"/>
                                </a:lnTo>
                                <a:lnTo>
                                  <a:pt x="883475" y="623900"/>
                                </a:lnTo>
                                <a:lnTo>
                                  <a:pt x="905293" y="596918"/>
                                </a:lnTo>
                                <a:lnTo>
                                  <a:pt x="930313" y="570087"/>
                                </a:lnTo>
                                <a:lnTo>
                                  <a:pt x="952131" y="543407"/>
                                </a:lnTo>
                                <a:lnTo>
                                  <a:pt x="977081" y="516425"/>
                                </a:lnTo>
                                <a:lnTo>
                                  <a:pt x="998969" y="489594"/>
                                </a:lnTo>
                                <a:lnTo>
                                  <a:pt x="1023919" y="476329"/>
                                </a:lnTo>
                                <a:lnTo>
                                  <a:pt x="1045843" y="462913"/>
                                </a:lnTo>
                                <a:lnTo>
                                  <a:pt x="1067661" y="449196"/>
                                </a:lnTo>
                                <a:lnTo>
                                  <a:pt x="1092575" y="435931"/>
                                </a:lnTo>
                                <a:lnTo>
                                  <a:pt x="1114499" y="422516"/>
                                </a:lnTo>
                                <a:lnTo>
                                  <a:pt x="1139448" y="409100"/>
                                </a:lnTo>
                                <a:lnTo>
                                  <a:pt x="1161337" y="409100"/>
                                </a:lnTo>
                                <a:lnTo>
                                  <a:pt x="1186286" y="395835"/>
                                </a:lnTo>
                                <a:lnTo>
                                  <a:pt x="1208175" y="395835"/>
                                </a:lnTo>
                                <a:lnTo>
                                  <a:pt x="1233124" y="382419"/>
                                </a:lnTo>
                                <a:lnTo>
                                  <a:pt x="1254942" y="382419"/>
                                </a:lnTo>
                                <a:lnTo>
                                  <a:pt x="1276866" y="368702"/>
                                </a:lnTo>
                                <a:lnTo>
                                  <a:pt x="1301780" y="368702"/>
                                </a:lnTo>
                                <a:lnTo>
                                  <a:pt x="1323704" y="368702"/>
                                </a:lnTo>
                                <a:lnTo>
                                  <a:pt x="1348654" y="355438"/>
                                </a:lnTo>
                                <a:lnTo>
                                  <a:pt x="1370471" y="355438"/>
                                </a:lnTo>
                                <a:lnTo>
                                  <a:pt x="1395492" y="355438"/>
                                </a:lnTo>
                                <a:lnTo>
                                  <a:pt x="1417309" y="342022"/>
                                </a:lnTo>
                                <a:lnTo>
                                  <a:pt x="1442330" y="342022"/>
                                </a:lnTo>
                                <a:lnTo>
                                  <a:pt x="1464148" y="342022"/>
                                </a:lnTo>
                                <a:lnTo>
                                  <a:pt x="1489097" y="342022"/>
                                </a:lnTo>
                                <a:lnTo>
                                  <a:pt x="1510986" y="328757"/>
                                </a:lnTo>
                                <a:lnTo>
                                  <a:pt x="1532803" y="315341"/>
                                </a:lnTo>
                                <a:lnTo>
                                  <a:pt x="1557824" y="315341"/>
                                </a:lnTo>
                                <a:lnTo>
                                  <a:pt x="1579641" y="315341"/>
                                </a:lnTo>
                                <a:lnTo>
                                  <a:pt x="1604591" y="315341"/>
                                </a:lnTo>
                                <a:lnTo>
                                  <a:pt x="1626515" y="301926"/>
                                </a:lnTo>
                                <a:lnTo>
                                  <a:pt x="1813796" y="301926"/>
                                </a:lnTo>
                                <a:lnTo>
                                  <a:pt x="1835614" y="301926"/>
                                </a:lnTo>
                              </a:path>
                            </a:pathLst>
                          </a:custGeom>
                          <a:ln w="8234">
                            <a:solidFill>
                              <a:srgbClr val="000000"/>
                            </a:solidFill>
                            <a:prstDash val="solid"/>
                          </a:ln>
                        </wps:spPr>
                        <wps:bodyPr wrap="square" lIns="0" tIns="0" rIns="0" bIns="0" rtlCol="0">
                          <a:prstTxWarp prst="textNoShape">
                            <a:avLst/>
                          </a:prstTxWarp>
                          <a:noAutofit/>
                        </wps:bodyPr>
                      </wps:wsp>
                      <wps:wsp>
                        <wps:cNvPr id="648" name="Textbox 648"/>
                        <wps:cNvSpPr txBox="1"/>
                        <wps:spPr>
                          <a:xfrm>
                            <a:off x="3231283" y="223294"/>
                            <a:ext cx="555625" cy="168910"/>
                          </a:xfrm>
                          <a:prstGeom prst="rect">
                            <a:avLst/>
                          </a:prstGeom>
                        </wps:spPr>
                        <wps:txbx>
                          <w:txbxContent>
                            <w:p>
                              <w:pPr>
                                <w:spacing w:line="266" w:lineRule="exact" w:before="0"/>
                                <w:ind w:left="0" w:right="0" w:firstLine="0"/>
                                <w:jc w:val="left"/>
                                <w:rPr>
                                  <w:sz w:val="24"/>
                                </w:rPr>
                              </w:pPr>
                              <w:r>
                                <w:rPr>
                                  <w:sz w:val="24"/>
                                </w:rPr>
                                <w:t>-100</w:t>
                              </w:r>
                              <w:r>
                                <w:rPr>
                                  <w:spacing w:val="3"/>
                                  <w:sz w:val="24"/>
                                </w:rPr>
                                <w:t> </w:t>
                              </w:r>
                              <w:r>
                                <w:rPr>
                                  <w:spacing w:val="-5"/>
                                  <w:sz w:val="24"/>
                                </w:rPr>
                                <w:t>mV</w:t>
                              </w:r>
                            </w:p>
                          </w:txbxContent>
                        </wps:txbx>
                        <wps:bodyPr wrap="square" lIns="0" tIns="0" rIns="0" bIns="0" rtlCol="0">
                          <a:noAutofit/>
                        </wps:bodyPr>
                      </wps:wsp>
                      <wps:wsp>
                        <wps:cNvPr id="649" name="Textbox 649"/>
                        <wps:cNvSpPr txBox="1"/>
                        <wps:spPr>
                          <a:xfrm>
                            <a:off x="1078506" y="1868846"/>
                            <a:ext cx="808990" cy="184150"/>
                          </a:xfrm>
                          <a:prstGeom prst="rect">
                            <a:avLst/>
                          </a:prstGeom>
                        </wps:spPr>
                        <wps:txbx>
                          <w:txbxContent>
                            <w:p>
                              <w:pPr>
                                <w:spacing w:line="290" w:lineRule="exact" w:before="0"/>
                                <w:ind w:left="0" w:right="0" w:firstLine="0"/>
                                <w:jc w:val="left"/>
                                <w:rPr>
                                  <w:rFonts w:ascii="Arial MT"/>
                                  <w:sz w:val="26"/>
                                </w:rPr>
                              </w:pPr>
                              <w:r>
                                <w:rPr>
                                  <w:rFonts w:ascii="Arial MT"/>
                                  <w:sz w:val="26"/>
                                </w:rPr>
                                <w:t>60</w:t>
                              </w:r>
                              <w:r>
                                <w:rPr>
                                  <w:rFonts w:ascii="Arial MT"/>
                                  <w:spacing w:val="-5"/>
                                  <w:sz w:val="26"/>
                                </w:rPr>
                                <w:t> </w:t>
                              </w:r>
                              <w:r>
                                <w:rPr>
                                  <w:rFonts w:ascii="Arial MT"/>
                                  <w:sz w:val="26"/>
                                </w:rPr>
                                <w:t>uM</w:t>
                              </w:r>
                              <w:r>
                                <w:rPr>
                                  <w:rFonts w:ascii="Arial MT"/>
                                  <w:spacing w:val="-5"/>
                                  <w:sz w:val="26"/>
                                </w:rPr>
                                <w:t> S23</w:t>
                              </w:r>
                            </w:p>
                          </w:txbxContent>
                        </wps:txbx>
                        <wps:bodyPr wrap="square" lIns="0" tIns="0" rIns="0" bIns="0" rtlCol="0">
                          <a:noAutofit/>
                        </wps:bodyPr>
                      </wps:wsp>
                      <wps:wsp>
                        <wps:cNvPr id="650" name="Textbox 650"/>
                        <wps:cNvSpPr txBox="1"/>
                        <wps:spPr>
                          <a:xfrm>
                            <a:off x="1133370" y="2621702"/>
                            <a:ext cx="543560" cy="184150"/>
                          </a:xfrm>
                          <a:prstGeom prst="rect">
                            <a:avLst/>
                          </a:prstGeom>
                        </wps:spPr>
                        <wps:txbx>
                          <w:txbxContent>
                            <w:p>
                              <w:pPr>
                                <w:spacing w:line="290" w:lineRule="exact" w:before="0"/>
                                <w:ind w:left="0" w:right="0" w:firstLine="0"/>
                                <w:jc w:val="left"/>
                                <w:rPr>
                                  <w:rFonts w:ascii="Arial MT"/>
                                  <w:sz w:val="26"/>
                                </w:rPr>
                              </w:pPr>
                              <w:r>
                                <w:rPr>
                                  <w:rFonts w:ascii="Arial MT"/>
                                  <w:spacing w:val="-2"/>
                                  <w:sz w:val="26"/>
                                </w:rPr>
                                <w:t>Control</w:t>
                              </w:r>
                            </w:p>
                          </w:txbxContent>
                        </wps:txbx>
                        <wps:bodyPr wrap="square" lIns="0" tIns="0" rIns="0" bIns="0" rtlCol="0">
                          <a:noAutofit/>
                        </wps:bodyPr>
                      </wps:wsp>
                      <wps:wsp>
                        <wps:cNvPr id="651" name="Textbox 651"/>
                        <wps:cNvSpPr txBox="1"/>
                        <wps:spPr>
                          <a:xfrm>
                            <a:off x="388388" y="171013"/>
                            <a:ext cx="685800" cy="228600"/>
                          </a:xfrm>
                          <a:prstGeom prst="rect">
                            <a:avLst/>
                          </a:prstGeom>
                          <a:ln w="9525">
                            <a:solidFill>
                              <a:srgbClr val="000000"/>
                            </a:solidFill>
                            <a:prstDash val="solid"/>
                          </a:ln>
                        </wps:spPr>
                        <wps:txbx>
                          <w:txbxContent>
                            <w:p>
                              <w:pPr>
                                <w:spacing w:before="64"/>
                                <w:ind w:left="147" w:right="0" w:firstLine="0"/>
                                <w:jc w:val="left"/>
                                <w:rPr>
                                  <w:sz w:val="24"/>
                                </w:rPr>
                              </w:pPr>
                              <w:r>
                                <w:rPr>
                                  <w:sz w:val="24"/>
                                </w:rPr>
                                <w:t>-60</w:t>
                              </w:r>
                              <w:r>
                                <w:rPr>
                                  <w:spacing w:val="3"/>
                                  <w:sz w:val="24"/>
                                </w:rPr>
                                <w:t> </w:t>
                              </w:r>
                              <w:r>
                                <w:rPr>
                                  <w:spacing w:val="-5"/>
                                  <w:sz w:val="24"/>
                                </w:rPr>
                                <w:t>mV</w:t>
                              </w:r>
                            </w:p>
                          </w:txbxContent>
                        </wps:txbx>
                        <wps:bodyPr wrap="square" lIns="0" tIns="0" rIns="0" bIns="0" rtlCol="0">
                          <a:noAutofit/>
                        </wps:bodyPr>
                      </wps:wsp>
                    </wpg:wgp>
                  </a:graphicData>
                </a:graphic>
              </wp:anchor>
            </w:drawing>
          </mc:Choice>
          <mc:Fallback>
            <w:pict>
              <v:group style="position:absolute;margin-left:167.418228pt;margin-top:13.504393pt;width:373.25pt;height:220.95pt;mso-position-horizontal-relative:page;mso-position-vertical-relative:paragraph;z-index:-15631360;mso-wrap-distance-left:0;mso-wrap-distance-right:0" id="docshapegroup523" coordorigin="3348,270" coordsize="7465,4419">
                <v:shape style="position:absolute;left:6120;top:3419;width:2520;height:1080" id="docshape524" coordorigin="6120,3419" coordsize="2520,1080" path="m6300,3419l8460,3599m6120,4499l6120,4499,8640,4499e" filled="false" stroked="true" strokeweight=".75pt" strokecolor="#000000">
                  <v:path arrowok="t"/>
                  <v:stroke dashstyle="solid"/>
                </v:shape>
                <v:rect style="position:absolute;left:8280;top:539;width:1440;height:360" id="docshape525" filled="false" stroked="true" strokeweight=".75pt" strokecolor="#000000">
                  <v:stroke dashstyle="solid"/>
                </v:rect>
                <v:shape style="position:absolute;left:3359;top:281;width:2875;height:4347" id="docshape526" coordorigin="3359,281" coordsize="2875,4347" path="m3362,1076l3396,1053,3430,1053,3464,1030,3499,1030,3533,1053,3567,1053,3601,1100,3635,1169,3674,1284,3709,1468,3743,1722,3777,2022,3811,2345,3845,2714,3879,3083,3914,3429,3948,3728,3982,4005,4016,4236,4055,4420,4090,4536,4124,4581,4158,4628,4192,4605,4226,4536,4261,4467,4295,4374,4329,4259,4363,4166,4397,4052,4436,3936,4471,3798,4505,3682,4539,3590,4573,3475,4607,3383,4642,3267,4676,3152,4710,3036,4744,2922,4778,2852,4817,2760,4852,2668,4886,2575,4920,2507,4954,2460,4988,2391,5022,2322,5057,2276,5091,2206,5125,2160,5159,2091,5198,2045,5232,1976,5267,1929,5301,1884,5335,1861,5369,1791,5403,1745,5438,1722,5472,1699,5506,1676,5540,1676,5579,1653,5614,1630,5648,1584,5682,1561,5716,1538,5750,1538,5784,1514,5819,1514,5853,1491,5887,1468,5921,1423,5960,1400,5995,1377,6029,1377,6063,1353,6097,1353,6131,1353,6166,1353,6200,1353,6234,1353m3359,973l3394,881,3428,650,3462,419,3496,304,3530,281,3564,397,3599,558,3633,765,3672,950,3706,1134,3740,1296,3775,1480,3809,1688,3843,1895,3877,2126,3911,2357,3945,2587,3980,2772,4014,2956,4053,3117,4087,3233,4121,3325,4155,3371,4190,3394,4224,3371,4258,3325,4292,3256,4326,3163,4361,3072,4395,2979,4434,2864,4468,2748,4502,2633,4537,2518,4571,2426,4605,2333,4639,2241,4673,2149,4707,2056,4742,1988,4776,1918,4815,1849,4849,1780,4883,1734,4918,1688,4952,1641,4986,1595,5020,1549,5054,1527,5088,1480,5123,1434,5157,1411,5196,1388,5230,1365,5264,1365,5298,1342,5333,1342,5367,1342,5401,1319,5435,1296,5469,1296,5504,1273,5538,1273,5577,1273,5611,1296,5645,1296,5679,1273,5714,1273,5748,1250,5782,1227,5816,1227,5850,1227,5885,1227,5919,1203,5958,1203,5992,1203,6026,1203,6060,1203,6095,1203,6129,1203,6163,1180,6197,1180,6231,1180e" filled="false" stroked="true" strokeweight=".695815pt" strokecolor="#000000">
                  <v:path arrowok="t"/>
                  <v:stroke dashstyle="solid"/>
                </v:shape>
                <v:shape style="position:absolute;left:4198;top:3367;width:762;height:1186" id="docshape527" coordorigin="4198,3367" coordsize="762,1186" path="m4198,3367l4960,3367m4198,4553l4960,4553e" filled="false" stroked="true" strokeweight=".75pt" strokecolor="#000000">
                  <v:path arrowok="t"/>
                  <v:stroke dashstyle="solid"/>
                </v:shape>
                <v:shape style="position:absolute;left:7909;top:605;width:2894;height:3972" id="docshape528" coordorigin="7910,605" coordsize="2894,3972" path="m7912,605l7947,732,7986,838,8020,922,8060,1007,8094,1091,8128,1197,8168,1366,8202,1577,8241,1830,8276,2147,8315,2485,8350,2844,8389,3182,8423,3499,8458,3795,8497,4027,8532,4239,8571,4386,8605,4492,8645,4556,8679,4577,8718,4556,8753,4492,8792,4407,8827,4302,8861,4196,8900,4070,8935,3943,8974,3816,9009,3668,9048,3521,9082,3394,9122,3246,9156,3119,9190,3014,9230,2887,9264,2802,9303,2697,9338,2612,9377,2528,9412,2464,9451,2380,9485,2316,9525,2253,9559,2190,9594,2126,9633,2063,9667,2021,9707,1978,9741,1936,9780,1894,9815,1851,9854,1830,9888,1788,9923,1767,9962,1746,9997,1725,10036,1703,10070,1683,10110,1683,10144,1661,10184,1641,10218,1641,10257,1619,10292,1619,10326,1598,10365,1577,10400,1577,10439,1556,10474,1556,10513,1556,10547,1535,10587,1535,10621,1514,10655,1514,10695,1514,10729,1493,10769,1493,10803,1472m7910,870l7944,912,7983,954,8018,1017,8057,1102,8092,1229,8126,1397,8165,1609,8200,1862,8239,2158,8274,2432,8313,2728,8347,3003,8387,3214,8421,3383,8455,3510,8495,3573,8529,3573,8568,3552,8603,3489,8642,3404,8677,3320,8716,3193,8750,3045,8790,2918,8824,2771,8859,2644,8898,2517,8932,2390,8972,2264,9006,2179,9045,2073,9080,1989,9119,1883,9153,1820,9188,1757,9227,1693,9262,1630,9301,1588,9335,1545,9375,1503,9409,1461,9448,1419,9483,1376,9522,1355,9557,1334,9591,1313,9630,1292,9665,1271,9704,1250,9739,1250,9778,1229,9812,1229,9852,1208,9886,1208,9921,1186,9960,1186,9994,1186,10034,1165,10068,1165,10107,1165,10142,1144,10181,1144,10215,1144,10255,1144,10289,1123,10324,1102,10363,1102,10397,1102,10437,1102,10471,1081,10510,1081,10545,1081,10584,1081,10619,1081,10653,1081,10692,1081,10727,1081,10766,1081,10800,1081e" filled="false" stroked="true" strokeweight=".648425pt" strokecolor="#000000">
                  <v:path arrowok="t"/>
                  <v:stroke dashstyle="solid"/>
                </v:shape>
                <v:shape style="position:absolute;left:8437;top:621;width:875;height:266" type="#_x0000_t202" id="docshape529" filled="false" stroked="false">
                  <v:textbox inset="0,0,0,0">
                    <w:txbxContent>
                      <w:p>
                        <w:pPr>
                          <w:spacing w:line="266" w:lineRule="exact" w:before="0"/>
                          <w:ind w:left="0" w:right="0" w:firstLine="0"/>
                          <w:jc w:val="left"/>
                          <w:rPr>
                            <w:sz w:val="24"/>
                          </w:rPr>
                        </w:pPr>
                        <w:r>
                          <w:rPr>
                            <w:sz w:val="24"/>
                          </w:rPr>
                          <w:t>-100</w:t>
                        </w:r>
                        <w:r>
                          <w:rPr>
                            <w:spacing w:val="3"/>
                            <w:sz w:val="24"/>
                          </w:rPr>
                          <w:t> </w:t>
                        </w:r>
                        <w:r>
                          <w:rPr>
                            <w:spacing w:val="-5"/>
                            <w:sz w:val="24"/>
                          </w:rPr>
                          <w:t>mV</w:t>
                        </w:r>
                      </w:p>
                    </w:txbxContent>
                  </v:textbox>
                  <w10:wrap type="none"/>
                </v:shape>
                <v:shape style="position:absolute;left:5046;top:3213;width:1274;height:290" type="#_x0000_t202" id="docshape530" filled="false" stroked="false">
                  <v:textbox inset="0,0,0,0">
                    <w:txbxContent>
                      <w:p>
                        <w:pPr>
                          <w:spacing w:line="290" w:lineRule="exact" w:before="0"/>
                          <w:ind w:left="0" w:right="0" w:firstLine="0"/>
                          <w:jc w:val="left"/>
                          <w:rPr>
                            <w:rFonts w:ascii="Arial MT"/>
                            <w:sz w:val="26"/>
                          </w:rPr>
                        </w:pPr>
                        <w:r>
                          <w:rPr>
                            <w:rFonts w:ascii="Arial MT"/>
                            <w:sz w:val="26"/>
                          </w:rPr>
                          <w:t>60</w:t>
                        </w:r>
                        <w:r>
                          <w:rPr>
                            <w:rFonts w:ascii="Arial MT"/>
                            <w:spacing w:val="-5"/>
                            <w:sz w:val="26"/>
                          </w:rPr>
                          <w:t> </w:t>
                        </w:r>
                        <w:r>
                          <w:rPr>
                            <w:rFonts w:ascii="Arial MT"/>
                            <w:sz w:val="26"/>
                          </w:rPr>
                          <w:t>uM</w:t>
                        </w:r>
                        <w:r>
                          <w:rPr>
                            <w:rFonts w:ascii="Arial MT"/>
                            <w:spacing w:val="-5"/>
                            <w:sz w:val="26"/>
                          </w:rPr>
                          <w:t> S23</w:t>
                        </w:r>
                      </w:p>
                    </w:txbxContent>
                  </v:textbox>
                  <w10:wrap type="none"/>
                </v:shape>
                <v:shape style="position:absolute;left:5133;top:4398;width:856;height:290" type="#_x0000_t202" id="docshape531" filled="false" stroked="false">
                  <v:textbox inset="0,0,0,0">
                    <w:txbxContent>
                      <w:p>
                        <w:pPr>
                          <w:spacing w:line="290" w:lineRule="exact" w:before="0"/>
                          <w:ind w:left="0" w:right="0" w:firstLine="0"/>
                          <w:jc w:val="left"/>
                          <w:rPr>
                            <w:rFonts w:ascii="Arial MT"/>
                            <w:sz w:val="26"/>
                          </w:rPr>
                        </w:pPr>
                        <w:r>
                          <w:rPr>
                            <w:rFonts w:ascii="Arial MT"/>
                            <w:spacing w:val="-2"/>
                            <w:sz w:val="26"/>
                          </w:rPr>
                          <w:t>Control</w:t>
                        </w:r>
                      </w:p>
                    </w:txbxContent>
                  </v:textbox>
                  <w10:wrap type="none"/>
                </v:shape>
                <v:shape style="position:absolute;left:3960;top:539;width:1080;height:360" type="#_x0000_t202" id="docshape532" filled="false" stroked="true" strokeweight=".75pt" strokecolor="#000000">
                  <v:textbox inset="0,0,0,0">
                    <w:txbxContent>
                      <w:p>
                        <w:pPr>
                          <w:spacing w:before="64"/>
                          <w:ind w:left="147" w:right="0" w:firstLine="0"/>
                          <w:jc w:val="left"/>
                          <w:rPr>
                            <w:sz w:val="24"/>
                          </w:rPr>
                        </w:pPr>
                        <w:r>
                          <w:rPr>
                            <w:sz w:val="24"/>
                          </w:rPr>
                          <w:t>-60</w:t>
                        </w:r>
                        <w:r>
                          <w:rPr>
                            <w:spacing w:val="3"/>
                            <w:sz w:val="24"/>
                          </w:rPr>
                          <w:t> </w:t>
                        </w:r>
                        <w:r>
                          <w:rPr>
                            <w:spacing w:val="-5"/>
                            <w:sz w:val="24"/>
                          </w:rPr>
                          <w:t>mV</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85632">
                <wp:simplePos x="0" y="0"/>
                <wp:positionH relativeFrom="page">
                  <wp:posOffset>2857500</wp:posOffset>
                </wp:positionH>
                <wp:positionV relativeFrom="paragraph">
                  <wp:posOffset>3161919</wp:posOffset>
                </wp:positionV>
                <wp:extent cx="571500" cy="342900"/>
                <wp:effectExtent l="0" t="0" r="0" b="0"/>
                <wp:wrapTopAndBottom/>
                <wp:docPr id="652" name="Textbox 652"/>
                <wp:cNvGraphicFramePr>
                  <a:graphicFrameLocks/>
                </wp:cNvGraphicFramePr>
                <a:graphic>
                  <a:graphicData uri="http://schemas.microsoft.com/office/word/2010/wordprocessingShape">
                    <wps:wsp>
                      <wps:cNvPr id="652" name="Textbox 652"/>
                      <wps:cNvSpPr txBox="1"/>
                      <wps:spPr>
                        <a:xfrm>
                          <a:off x="0" y="0"/>
                          <a:ext cx="571500" cy="342900"/>
                        </a:xfrm>
                        <a:prstGeom prst="rect">
                          <a:avLst/>
                        </a:prstGeom>
                        <a:ln w="9525">
                          <a:solidFill>
                            <a:srgbClr val="000000"/>
                          </a:solidFill>
                          <a:prstDash val="solid"/>
                        </a:ln>
                      </wps:spPr>
                      <wps:txbx>
                        <w:txbxContent>
                          <w:p>
                            <w:pPr>
                              <w:spacing w:before="79"/>
                              <w:ind w:left="145" w:right="0" w:firstLine="0"/>
                              <w:jc w:val="left"/>
                              <w:rPr>
                                <w:sz w:val="20"/>
                              </w:rPr>
                            </w:pPr>
                            <w:r>
                              <w:rPr>
                                <w:sz w:val="20"/>
                              </w:rPr>
                              <w:t>200</w:t>
                            </w:r>
                            <w:r>
                              <w:rPr>
                                <w:spacing w:val="2"/>
                                <w:sz w:val="20"/>
                              </w:rPr>
                              <w:t> </w:t>
                            </w:r>
                            <w:r>
                              <w:rPr>
                                <w:spacing w:val="-5"/>
                                <w:sz w:val="20"/>
                              </w:rPr>
                              <w:t>pA</w:t>
                            </w:r>
                          </w:p>
                        </w:txbxContent>
                      </wps:txbx>
                      <wps:bodyPr wrap="square" lIns="0" tIns="0" rIns="0" bIns="0" rtlCol="0">
                        <a:noAutofit/>
                      </wps:bodyPr>
                    </wps:wsp>
                  </a:graphicData>
                </a:graphic>
              </wp:anchor>
            </w:drawing>
          </mc:Choice>
          <mc:Fallback>
            <w:pict>
              <v:shape style="position:absolute;margin-left:225pt;margin-top:248.970001pt;width:45pt;height:27pt;mso-position-horizontal-relative:page;mso-position-vertical-relative:paragraph;z-index:-15630848;mso-wrap-distance-left:0;mso-wrap-distance-right:0" type="#_x0000_t202" id="docshape533" filled="false" stroked="true" strokeweight=".75pt" strokecolor="#000000">
                <v:textbox inset="0,0,0,0">
                  <w:txbxContent>
                    <w:p>
                      <w:pPr>
                        <w:spacing w:before="79"/>
                        <w:ind w:left="145" w:right="0" w:firstLine="0"/>
                        <w:jc w:val="left"/>
                        <w:rPr>
                          <w:sz w:val="20"/>
                        </w:rPr>
                      </w:pPr>
                      <w:r>
                        <w:rPr>
                          <w:sz w:val="20"/>
                        </w:rPr>
                        <w:t>200</w:t>
                      </w:r>
                      <w:r>
                        <w:rPr>
                          <w:spacing w:val="2"/>
                          <w:sz w:val="20"/>
                        </w:rPr>
                        <w:t> </w:t>
                      </w:r>
                      <w:r>
                        <w:rPr>
                          <w:spacing w:val="-5"/>
                          <w:sz w:val="20"/>
                        </w:rPr>
                        <w:t>pA</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86144">
                <wp:simplePos x="0" y="0"/>
                <wp:positionH relativeFrom="page">
                  <wp:posOffset>3543300</wp:posOffset>
                </wp:positionH>
                <wp:positionV relativeFrom="paragraph">
                  <wp:posOffset>3085719</wp:posOffset>
                </wp:positionV>
                <wp:extent cx="571500" cy="457200"/>
                <wp:effectExtent l="0" t="0" r="0" b="0"/>
                <wp:wrapTopAndBottom/>
                <wp:docPr id="653" name="Graphic 653"/>
                <wp:cNvGraphicFramePr>
                  <a:graphicFrameLocks/>
                </wp:cNvGraphicFramePr>
                <a:graphic>
                  <a:graphicData uri="http://schemas.microsoft.com/office/word/2010/wordprocessingShape">
                    <wps:wsp>
                      <wps:cNvPr id="653" name="Graphic 653"/>
                      <wps:cNvSpPr/>
                      <wps:spPr>
                        <a:xfrm>
                          <a:off x="0" y="0"/>
                          <a:ext cx="571500" cy="457200"/>
                        </a:xfrm>
                        <a:custGeom>
                          <a:avLst/>
                          <a:gdLst/>
                          <a:ahLst/>
                          <a:cxnLst/>
                          <a:rect l="l" t="t" r="r" b="b"/>
                          <a:pathLst>
                            <a:path w="571500" h="457200">
                              <a:moveTo>
                                <a:pt x="0" y="0"/>
                              </a:moveTo>
                              <a:lnTo>
                                <a:pt x="0" y="457200"/>
                              </a:lnTo>
                              <a:lnTo>
                                <a:pt x="571500" y="4572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79pt;margin-top:242.970001pt;width:45pt;height:36pt;mso-position-horizontal-relative:page;mso-position-vertical-relative:paragraph;z-index:-15630336;mso-wrap-distance-left:0;mso-wrap-distance-right:0" id="docshape534" coordorigin="5580,4859" coordsize="900,720" path="m5580,4859l5580,5579,6480,5579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6656">
                <wp:simplePos x="0" y="0"/>
                <wp:positionH relativeFrom="page">
                  <wp:posOffset>3657600</wp:posOffset>
                </wp:positionH>
                <wp:positionV relativeFrom="paragraph">
                  <wp:posOffset>3657219</wp:posOffset>
                </wp:positionV>
                <wp:extent cx="571500" cy="304800"/>
                <wp:effectExtent l="0" t="0" r="0" b="0"/>
                <wp:wrapTopAndBottom/>
                <wp:docPr id="654" name="Textbox 654"/>
                <wp:cNvGraphicFramePr>
                  <a:graphicFrameLocks/>
                </wp:cNvGraphicFramePr>
                <a:graphic>
                  <a:graphicData uri="http://schemas.microsoft.com/office/word/2010/wordprocessingShape">
                    <wps:wsp>
                      <wps:cNvPr id="654" name="Textbox 654"/>
                      <wps:cNvSpPr txBox="1"/>
                      <wps:spPr>
                        <a:xfrm>
                          <a:off x="0" y="0"/>
                          <a:ext cx="571500" cy="304800"/>
                        </a:xfrm>
                        <a:prstGeom prst="rect">
                          <a:avLst/>
                        </a:prstGeom>
                        <a:ln w="9525">
                          <a:solidFill>
                            <a:srgbClr val="000000"/>
                          </a:solidFill>
                          <a:prstDash val="solid"/>
                        </a:ln>
                      </wps:spPr>
                      <wps:txbx>
                        <w:txbxContent>
                          <w:p>
                            <w:pPr>
                              <w:spacing w:before="81"/>
                              <w:ind w:left="148" w:right="0" w:firstLine="0"/>
                              <w:jc w:val="left"/>
                              <w:rPr>
                                <w:sz w:val="20"/>
                              </w:rPr>
                            </w:pPr>
                            <w:r>
                              <w:rPr>
                                <w:sz w:val="20"/>
                              </w:rPr>
                              <w:t>1</w:t>
                            </w:r>
                            <w:r>
                              <w:rPr>
                                <w:spacing w:val="2"/>
                                <w:sz w:val="20"/>
                              </w:rPr>
                              <w:t> </w:t>
                            </w:r>
                            <w:r>
                              <w:rPr>
                                <w:spacing w:val="-5"/>
                                <w:sz w:val="20"/>
                              </w:rPr>
                              <w:t>ms</w:t>
                            </w:r>
                          </w:p>
                        </w:txbxContent>
                      </wps:txbx>
                      <wps:bodyPr wrap="square" lIns="0" tIns="0" rIns="0" bIns="0" rtlCol="0">
                        <a:noAutofit/>
                      </wps:bodyPr>
                    </wps:wsp>
                  </a:graphicData>
                </a:graphic>
              </wp:anchor>
            </w:drawing>
          </mc:Choice>
          <mc:Fallback>
            <w:pict>
              <v:shape style="position:absolute;margin-left:288pt;margin-top:287.970001pt;width:45pt;height:24pt;mso-position-horizontal-relative:page;mso-position-vertical-relative:paragraph;z-index:-15629824;mso-wrap-distance-left:0;mso-wrap-distance-right:0" type="#_x0000_t202" id="docshape535" filled="false" stroked="true" strokeweight=".75pt" strokecolor="#000000">
                <v:textbox inset="0,0,0,0">
                  <w:txbxContent>
                    <w:p>
                      <w:pPr>
                        <w:spacing w:before="81"/>
                        <w:ind w:left="148" w:right="0" w:firstLine="0"/>
                        <w:jc w:val="left"/>
                        <w:rPr>
                          <w:sz w:val="20"/>
                        </w:rPr>
                      </w:pPr>
                      <w:r>
                        <w:rPr>
                          <w:sz w:val="20"/>
                        </w:rPr>
                        <w:t>1</w:t>
                      </w:r>
                      <w:r>
                        <w:rPr>
                          <w:spacing w:val="2"/>
                          <w:sz w:val="20"/>
                        </w:rPr>
                        <w:t> </w:t>
                      </w:r>
                      <w:r>
                        <w:rPr>
                          <w:spacing w:val="-5"/>
                          <w:sz w:val="20"/>
                        </w:rPr>
                        <w:t>ms</w:t>
                      </w:r>
                    </w:p>
                  </w:txbxContent>
                </v:textbox>
                <v:stroke dashstyle="solid"/>
                <w10:wrap type="topAndBottom"/>
              </v:shape>
            </w:pict>
          </mc:Fallback>
        </mc:AlternateContent>
      </w:r>
    </w:p>
    <w:p>
      <w:pPr>
        <w:pStyle w:val="BodyText"/>
        <w:spacing w:before="9"/>
        <w:rPr>
          <w:b/>
          <w:sz w:val="12"/>
        </w:rPr>
      </w:pPr>
    </w:p>
    <w:p>
      <w:pPr>
        <w:pStyle w:val="BodyText"/>
        <w:spacing w:before="2"/>
        <w:rPr>
          <w:b/>
          <w:sz w:val="12"/>
        </w:rPr>
      </w:pPr>
    </w:p>
    <w:p>
      <w:pPr>
        <w:pStyle w:val="BodyText"/>
        <w:rPr>
          <w:b/>
        </w:rPr>
      </w:pPr>
    </w:p>
    <w:p>
      <w:pPr>
        <w:pStyle w:val="BodyText"/>
        <w:rPr>
          <w:b/>
        </w:rPr>
      </w:pPr>
    </w:p>
    <w:p>
      <w:pPr>
        <w:pStyle w:val="BodyText"/>
        <w:rPr>
          <w:b/>
        </w:rPr>
      </w:pPr>
    </w:p>
    <w:p>
      <w:pPr>
        <w:pStyle w:val="BodyText"/>
        <w:spacing w:before="47"/>
        <w:rPr>
          <w:b/>
        </w:rPr>
      </w:pPr>
    </w:p>
    <w:p>
      <w:pPr>
        <w:spacing w:before="0"/>
        <w:ind w:left="681" w:right="0" w:firstLine="0"/>
        <w:jc w:val="left"/>
        <w:rPr>
          <w:b/>
          <w:sz w:val="24"/>
        </w:rPr>
      </w:pPr>
      <w:r>
        <w:rPr>
          <w:b/>
          <w:sz w:val="24"/>
        </w:rPr>
        <w:t>Effect</w:t>
      </w:r>
      <w:r>
        <w:rPr>
          <w:b/>
          <w:spacing w:val="1"/>
          <w:sz w:val="24"/>
        </w:rPr>
        <w:t> </w:t>
      </w:r>
      <w:r>
        <w:rPr>
          <w:b/>
          <w:sz w:val="24"/>
        </w:rPr>
        <w:t>of</w:t>
      </w:r>
      <w:r>
        <w:rPr>
          <w:b/>
          <w:spacing w:val="-2"/>
          <w:sz w:val="24"/>
        </w:rPr>
        <w:t> </w:t>
      </w:r>
      <w:r>
        <w:rPr>
          <w:b/>
          <w:sz w:val="24"/>
        </w:rPr>
        <w:t>60 uM S23</w:t>
      </w:r>
      <w:r>
        <w:rPr>
          <w:b/>
          <w:spacing w:val="2"/>
          <w:sz w:val="24"/>
        </w:rPr>
        <w:t> </w:t>
      </w:r>
      <w:r>
        <w:rPr>
          <w:b/>
          <w:sz w:val="24"/>
        </w:rPr>
        <w:t>at</w:t>
      </w:r>
      <w:r>
        <w:rPr>
          <w:b/>
          <w:spacing w:val="-2"/>
          <w:sz w:val="24"/>
        </w:rPr>
        <w:t> </w:t>
      </w:r>
      <w:r>
        <w:rPr>
          <w:b/>
          <w:sz w:val="24"/>
        </w:rPr>
        <w:t>-60 mV and</w:t>
      </w:r>
      <w:r>
        <w:rPr>
          <w:b/>
          <w:spacing w:val="-2"/>
          <w:sz w:val="24"/>
        </w:rPr>
        <w:t> </w:t>
      </w:r>
      <w:r>
        <w:rPr>
          <w:b/>
          <w:sz w:val="24"/>
        </w:rPr>
        <w:t>-100</w:t>
      </w:r>
      <w:r>
        <w:rPr>
          <w:b/>
          <w:spacing w:val="-5"/>
          <w:sz w:val="24"/>
        </w:rPr>
        <w:t> </w:t>
      </w:r>
      <w:r>
        <w:rPr>
          <w:b/>
          <w:sz w:val="24"/>
        </w:rPr>
        <w:t>mV on</w:t>
      </w:r>
      <w:r>
        <w:rPr>
          <w:b/>
          <w:spacing w:val="-3"/>
          <w:sz w:val="24"/>
        </w:rPr>
        <w:t> </w:t>
      </w:r>
      <w:r>
        <w:rPr>
          <w:b/>
          <w:sz w:val="24"/>
        </w:rPr>
        <w:t>Na</w:t>
      </w:r>
      <w:r>
        <w:rPr>
          <w:b/>
          <w:sz w:val="24"/>
          <w:vertAlign w:val="subscript"/>
        </w:rPr>
        <w:t>V</w:t>
      </w:r>
      <w:r>
        <w:rPr>
          <w:b/>
          <w:spacing w:val="-4"/>
          <w:sz w:val="24"/>
          <w:vertAlign w:val="baseline"/>
        </w:rPr>
        <w:t> </w:t>
      </w:r>
      <w:r>
        <w:rPr>
          <w:b/>
          <w:spacing w:val="-5"/>
          <w:sz w:val="24"/>
          <w:vertAlign w:val="baseline"/>
        </w:rPr>
        <w:t>1.6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0"/>
        <w:rPr>
          <w:b/>
          <w:sz w:val="20"/>
        </w:rPr>
      </w:pPr>
      <w:r>
        <w:rPr/>
        <w:drawing>
          <wp:anchor distT="0" distB="0" distL="0" distR="0" allowOverlap="1" layoutInCell="1" locked="0" behindDoc="1" simplePos="0" relativeHeight="487687168">
            <wp:simplePos x="0" y="0"/>
            <wp:positionH relativeFrom="page">
              <wp:posOffset>1027175</wp:posOffset>
            </wp:positionH>
            <wp:positionV relativeFrom="paragraph">
              <wp:posOffset>262877</wp:posOffset>
            </wp:positionV>
            <wp:extent cx="116586" cy="116586"/>
            <wp:effectExtent l="0" t="0" r="0" b="0"/>
            <wp:wrapTopAndBottom/>
            <wp:docPr id="655" name="Image 655"/>
            <wp:cNvGraphicFramePr>
              <a:graphicFrameLocks/>
            </wp:cNvGraphicFramePr>
            <a:graphic>
              <a:graphicData uri="http://schemas.openxmlformats.org/drawingml/2006/picture">
                <pic:pic>
                  <pic:nvPicPr>
                    <pic:cNvPr id="655" name="Image 655"/>
                    <pic:cNvPicPr/>
                  </pic:nvPicPr>
                  <pic:blipFill>
                    <a:blip r:embed="rId88" cstate="print"/>
                    <a:stretch>
                      <a:fillRect/>
                    </a:stretch>
                  </pic:blipFill>
                  <pic:spPr>
                    <a:xfrm>
                      <a:off x="0" y="0"/>
                      <a:ext cx="116586" cy="116586"/>
                    </a:xfrm>
                    <a:prstGeom prst="rect">
                      <a:avLst/>
                    </a:prstGeom>
                  </pic:spPr>
                </pic:pic>
              </a:graphicData>
            </a:graphic>
          </wp:anchor>
        </w:drawing>
      </w:r>
    </w:p>
    <w:p>
      <w:pPr>
        <w:spacing w:after="0"/>
        <w:rPr>
          <w:sz w:val="20"/>
        </w:rPr>
        <w:sectPr>
          <w:pgSz w:w="12240" w:h="15840"/>
          <w:pgMar w:header="0" w:footer="1066" w:top="1820" w:bottom="1260" w:left="1480" w:right="11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0"/>
        <w:rPr>
          <w:b/>
          <w:sz w:val="20"/>
        </w:rPr>
      </w:pPr>
    </w:p>
    <w:p>
      <w:pPr>
        <w:pStyle w:val="BodyText"/>
        <w:spacing w:line="187" w:lineRule="exact"/>
        <w:ind w:left="682"/>
        <w:rPr>
          <w:sz w:val="18"/>
        </w:rPr>
      </w:pPr>
      <w:r>
        <w:rPr>
          <w:position w:val="-3"/>
          <w:sz w:val="18"/>
        </w:rPr>
        <w:drawing>
          <wp:inline distT="0" distB="0" distL="0" distR="0">
            <wp:extent cx="3730" cy="118872"/>
            <wp:effectExtent l="0" t="0" r="0" b="0"/>
            <wp:docPr id="656" name="Image 656"/>
            <wp:cNvGraphicFramePr>
              <a:graphicFrameLocks/>
            </wp:cNvGraphicFramePr>
            <a:graphic>
              <a:graphicData uri="http://schemas.openxmlformats.org/drawingml/2006/picture">
                <pic:pic>
                  <pic:nvPicPr>
                    <pic:cNvPr id="656" name="Image 656"/>
                    <pic:cNvPicPr/>
                  </pic:nvPicPr>
                  <pic:blipFill>
                    <a:blip r:embed="rId89" cstate="print"/>
                    <a:stretch>
                      <a:fillRect/>
                    </a:stretch>
                  </pic:blipFill>
                  <pic:spPr>
                    <a:xfrm>
                      <a:off x="0" y="0"/>
                      <a:ext cx="3730" cy="118872"/>
                    </a:xfrm>
                    <a:prstGeom prst="rect">
                      <a:avLst/>
                    </a:prstGeom>
                  </pic:spPr>
                </pic:pic>
              </a:graphicData>
            </a:graphic>
          </wp:inline>
        </w:drawing>
      </w:r>
      <w:r>
        <w:rPr>
          <w:position w:val="-3"/>
          <w:sz w:val="18"/>
        </w:rPr>
      </w:r>
    </w:p>
    <w:p>
      <w:pPr>
        <w:pStyle w:val="BodyText"/>
        <w:rPr>
          <w:b/>
        </w:rPr>
      </w:pPr>
    </w:p>
    <w:p>
      <w:pPr>
        <w:pStyle w:val="BodyText"/>
        <w:spacing w:before="256"/>
        <w:rPr>
          <w:b/>
        </w:rPr>
      </w:pPr>
    </w:p>
    <w:p>
      <w:pPr>
        <w:pStyle w:val="BodyText"/>
        <w:ind w:left="1963"/>
        <w:rPr>
          <w:rFonts w:ascii="Arial MT"/>
        </w:rPr>
      </w:pPr>
      <w:r>
        <w:rPr/>
        <mc:AlternateContent>
          <mc:Choice Requires="wps">
            <w:drawing>
              <wp:anchor distT="0" distB="0" distL="0" distR="0" allowOverlap="1" layoutInCell="1" locked="0" behindDoc="0" simplePos="0" relativeHeight="15828992">
                <wp:simplePos x="0" y="0"/>
                <wp:positionH relativeFrom="page">
                  <wp:posOffset>3508375</wp:posOffset>
                </wp:positionH>
                <wp:positionV relativeFrom="paragraph">
                  <wp:posOffset>157849</wp:posOffset>
                </wp:positionV>
                <wp:extent cx="2986405" cy="2847340"/>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2986405" cy="2847340"/>
                          <a:chExt cx="2986405" cy="2847340"/>
                        </a:xfrm>
                      </wpg:grpSpPr>
                      <wps:wsp>
                        <wps:cNvPr id="658" name="Graphic 658"/>
                        <wps:cNvSpPr/>
                        <wps:spPr>
                          <a:xfrm>
                            <a:off x="1028728" y="16483"/>
                            <a:ext cx="1950720" cy="2824480"/>
                          </a:xfrm>
                          <a:custGeom>
                            <a:avLst/>
                            <a:gdLst/>
                            <a:ahLst/>
                            <a:cxnLst/>
                            <a:rect l="l" t="t" r="r" b="b"/>
                            <a:pathLst>
                              <a:path w="1950720" h="2824480">
                                <a:moveTo>
                                  <a:pt x="1655" y="0"/>
                                </a:moveTo>
                                <a:lnTo>
                                  <a:pt x="21513" y="30044"/>
                                </a:lnTo>
                                <a:lnTo>
                                  <a:pt x="41371" y="30044"/>
                                </a:lnTo>
                                <a:lnTo>
                                  <a:pt x="61319" y="44898"/>
                                </a:lnTo>
                                <a:lnTo>
                                  <a:pt x="101035" y="90134"/>
                                </a:lnTo>
                                <a:lnTo>
                                  <a:pt x="120893" y="150055"/>
                                </a:lnTo>
                                <a:lnTo>
                                  <a:pt x="144155" y="225168"/>
                                </a:lnTo>
                                <a:lnTo>
                                  <a:pt x="164013" y="330325"/>
                                </a:lnTo>
                                <a:lnTo>
                                  <a:pt x="183961" y="465696"/>
                                </a:lnTo>
                                <a:lnTo>
                                  <a:pt x="203819" y="616089"/>
                                </a:lnTo>
                                <a:lnTo>
                                  <a:pt x="223678" y="811213"/>
                                </a:lnTo>
                                <a:lnTo>
                                  <a:pt x="243536" y="1006336"/>
                                </a:lnTo>
                                <a:lnTo>
                                  <a:pt x="263472" y="1201628"/>
                                </a:lnTo>
                                <a:lnTo>
                                  <a:pt x="286637" y="1411791"/>
                                </a:lnTo>
                                <a:lnTo>
                                  <a:pt x="306589" y="1622359"/>
                                </a:lnTo>
                                <a:lnTo>
                                  <a:pt x="326466" y="1817566"/>
                                </a:lnTo>
                                <a:lnTo>
                                  <a:pt x="346305" y="2012774"/>
                                </a:lnTo>
                                <a:lnTo>
                                  <a:pt x="366182" y="2178072"/>
                                </a:lnTo>
                                <a:lnTo>
                                  <a:pt x="386134" y="2328009"/>
                                </a:lnTo>
                                <a:lnTo>
                                  <a:pt x="405973" y="2448459"/>
                                </a:lnTo>
                                <a:lnTo>
                                  <a:pt x="425850" y="2568487"/>
                                </a:lnTo>
                                <a:lnTo>
                                  <a:pt x="449089" y="2643667"/>
                                </a:lnTo>
                                <a:lnTo>
                                  <a:pt x="468966" y="2703470"/>
                                </a:lnTo>
                                <a:lnTo>
                                  <a:pt x="488806" y="2763695"/>
                                </a:lnTo>
                                <a:lnTo>
                                  <a:pt x="508757" y="2793605"/>
                                </a:lnTo>
                                <a:lnTo>
                                  <a:pt x="528634" y="2808965"/>
                                </a:lnTo>
                                <a:lnTo>
                                  <a:pt x="548474" y="2823920"/>
                                </a:lnTo>
                                <a:lnTo>
                                  <a:pt x="568425" y="2808965"/>
                                </a:lnTo>
                                <a:lnTo>
                                  <a:pt x="591590" y="2793605"/>
                                </a:lnTo>
                                <a:lnTo>
                                  <a:pt x="611542" y="2778650"/>
                                </a:lnTo>
                                <a:lnTo>
                                  <a:pt x="631419" y="2748740"/>
                                </a:lnTo>
                                <a:lnTo>
                                  <a:pt x="651258" y="2733802"/>
                                </a:lnTo>
                                <a:lnTo>
                                  <a:pt x="671135" y="2688515"/>
                                </a:lnTo>
                                <a:lnTo>
                                  <a:pt x="691086" y="2658622"/>
                                </a:lnTo>
                                <a:lnTo>
                                  <a:pt x="710926" y="2613352"/>
                                </a:lnTo>
                                <a:lnTo>
                                  <a:pt x="730803" y="2568487"/>
                                </a:lnTo>
                                <a:lnTo>
                                  <a:pt x="754042" y="2508262"/>
                                </a:lnTo>
                                <a:lnTo>
                                  <a:pt x="773919" y="2463414"/>
                                </a:lnTo>
                                <a:lnTo>
                                  <a:pt x="793759" y="2403189"/>
                                </a:lnTo>
                                <a:lnTo>
                                  <a:pt x="813710" y="2358324"/>
                                </a:lnTo>
                                <a:lnTo>
                                  <a:pt x="833587" y="2298116"/>
                                </a:lnTo>
                                <a:lnTo>
                                  <a:pt x="853427" y="2237892"/>
                                </a:lnTo>
                                <a:lnTo>
                                  <a:pt x="873378" y="2193027"/>
                                </a:lnTo>
                                <a:lnTo>
                                  <a:pt x="893255" y="2132802"/>
                                </a:lnTo>
                                <a:lnTo>
                                  <a:pt x="916420" y="2072999"/>
                                </a:lnTo>
                                <a:lnTo>
                                  <a:pt x="936371" y="2012774"/>
                                </a:lnTo>
                                <a:lnTo>
                                  <a:pt x="956211" y="1952549"/>
                                </a:lnTo>
                                <a:lnTo>
                                  <a:pt x="976088" y="1907701"/>
                                </a:lnTo>
                                <a:lnTo>
                                  <a:pt x="996039" y="1847476"/>
                                </a:lnTo>
                                <a:lnTo>
                                  <a:pt x="1015879" y="1802611"/>
                                </a:lnTo>
                                <a:lnTo>
                                  <a:pt x="1035756" y="1742386"/>
                                </a:lnTo>
                                <a:lnTo>
                                  <a:pt x="1058995" y="1697116"/>
                                </a:lnTo>
                                <a:lnTo>
                                  <a:pt x="1078872" y="1637314"/>
                                </a:lnTo>
                                <a:lnTo>
                                  <a:pt x="1098711" y="1592044"/>
                                </a:lnTo>
                                <a:lnTo>
                                  <a:pt x="1118663" y="1547179"/>
                                </a:lnTo>
                                <a:lnTo>
                                  <a:pt x="1138540" y="1501909"/>
                                </a:lnTo>
                                <a:lnTo>
                                  <a:pt x="1158379" y="1457061"/>
                                </a:lnTo>
                                <a:lnTo>
                                  <a:pt x="1178331" y="1411791"/>
                                </a:lnTo>
                                <a:lnTo>
                                  <a:pt x="1198208" y="1366926"/>
                                </a:lnTo>
                                <a:lnTo>
                                  <a:pt x="1221373" y="1336662"/>
                                </a:lnTo>
                                <a:lnTo>
                                  <a:pt x="1241324" y="1306785"/>
                                </a:lnTo>
                                <a:lnTo>
                                  <a:pt x="1261164" y="1261887"/>
                                </a:lnTo>
                                <a:lnTo>
                                  <a:pt x="1281041" y="1231504"/>
                                </a:lnTo>
                                <a:lnTo>
                                  <a:pt x="1300992" y="1186606"/>
                                </a:lnTo>
                                <a:lnTo>
                                  <a:pt x="1320832" y="1156392"/>
                                </a:lnTo>
                                <a:lnTo>
                                  <a:pt x="1340709" y="1126516"/>
                                </a:lnTo>
                                <a:lnTo>
                                  <a:pt x="1360660" y="1096471"/>
                                </a:lnTo>
                                <a:lnTo>
                                  <a:pt x="1383825" y="1066257"/>
                                </a:lnTo>
                                <a:lnTo>
                                  <a:pt x="1403664" y="1021359"/>
                                </a:lnTo>
                                <a:lnTo>
                                  <a:pt x="1423616" y="1006336"/>
                                </a:lnTo>
                                <a:lnTo>
                                  <a:pt x="1443493" y="976122"/>
                                </a:lnTo>
                                <a:lnTo>
                                  <a:pt x="1463332" y="961100"/>
                                </a:lnTo>
                                <a:lnTo>
                                  <a:pt x="1483284" y="931224"/>
                                </a:lnTo>
                                <a:lnTo>
                                  <a:pt x="1503123" y="916370"/>
                                </a:lnTo>
                                <a:lnTo>
                                  <a:pt x="1526325" y="885988"/>
                                </a:lnTo>
                                <a:lnTo>
                                  <a:pt x="1546277" y="870965"/>
                                </a:lnTo>
                                <a:lnTo>
                                  <a:pt x="1566117" y="841089"/>
                                </a:lnTo>
                                <a:lnTo>
                                  <a:pt x="1585993" y="826235"/>
                                </a:lnTo>
                                <a:lnTo>
                                  <a:pt x="1605908" y="795853"/>
                                </a:lnTo>
                                <a:lnTo>
                                  <a:pt x="1625784" y="780830"/>
                                </a:lnTo>
                                <a:lnTo>
                                  <a:pt x="1645624" y="765977"/>
                                </a:lnTo>
                                <a:lnTo>
                                  <a:pt x="1665576" y="736100"/>
                                </a:lnTo>
                                <a:lnTo>
                                  <a:pt x="1688778" y="721078"/>
                                </a:lnTo>
                                <a:lnTo>
                                  <a:pt x="1708617" y="706056"/>
                                </a:lnTo>
                                <a:lnTo>
                                  <a:pt x="1728569" y="690695"/>
                                </a:lnTo>
                                <a:lnTo>
                                  <a:pt x="1748408" y="675842"/>
                                </a:lnTo>
                                <a:lnTo>
                                  <a:pt x="1768285" y="660819"/>
                                </a:lnTo>
                                <a:lnTo>
                                  <a:pt x="1788237" y="645966"/>
                                </a:lnTo>
                                <a:lnTo>
                                  <a:pt x="1808076" y="630943"/>
                                </a:lnTo>
                                <a:lnTo>
                                  <a:pt x="1831241" y="630943"/>
                                </a:lnTo>
                                <a:lnTo>
                                  <a:pt x="1851193" y="616089"/>
                                </a:lnTo>
                                <a:lnTo>
                                  <a:pt x="1871069" y="600561"/>
                                </a:lnTo>
                                <a:lnTo>
                                  <a:pt x="1890909" y="585707"/>
                                </a:lnTo>
                                <a:lnTo>
                                  <a:pt x="1910860" y="585707"/>
                                </a:lnTo>
                                <a:lnTo>
                                  <a:pt x="1930737" y="570685"/>
                                </a:lnTo>
                                <a:lnTo>
                                  <a:pt x="1950577" y="570685"/>
                                </a:lnTo>
                              </a:path>
                              <a:path w="1950720" h="2824480">
                                <a:moveTo>
                                  <a:pt x="0" y="7595"/>
                                </a:moveTo>
                                <a:lnTo>
                                  <a:pt x="19858" y="22449"/>
                                </a:lnTo>
                                <a:lnTo>
                                  <a:pt x="39716" y="37471"/>
                                </a:lnTo>
                                <a:lnTo>
                                  <a:pt x="59664" y="52325"/>
                                </a:lnTo>
                                <a:lnTo>
                                  <a:pt x="79522" y="97730"/>
                                </a:lnTo>
                                <a:lnTo>
                                  <a:pt x="99380" y="142460"/>
                                </a:lnTo>
                                <a:lnTo>
                                  <a:pt x="119238" y="217741"/>
                                </a:lnTo>
                                <a:lnTo>
                                  <a:pt x="142500" y="292853"/>
                                </a:lnTo>
                                <a:lnTo>
                                  <a:pt x="162358" y="412864"/>
                                </a:lnTo>
                                <a:lnTo>
                                  <a:pt x="182306" y="533382"/>
                                </a:lnTo>
                                <a:lnTo>
                                  <a:pt x="202164" y="653392"/>
                                </a:lnTo>
                                <a:lnTo>
                                  <a:pt x="222023" y="788426"/>
                                </a:lnTo>
                                <a:lnTo>
                                  <a:pt x="241881" y="908774"/>
                                </a:lnTo>
                                <a:lnTo>
                                  <a:pt x="261829" y="1028785"/>
                                </a:lnTo>
                                <a:lnTo>
                                  <a:pt x="284993" y="1133943"/>
                                </a:lnTo>
                                <a:lnTo>
                                  <a:pt x="304945" y="1224077"/>
                                </a:lnTo>
                                <a:lnTo>
                                  <a:pt x="324822" y="1299190"/>
                                </a:lnTo>
                                <a:lnTo>
                                  <a:pt x="344661" y="1359448"/>
                                </a:lnTo>
                                <a:lnTo>
                                  <a:pt x="384490" y="1419268"/>
                                </a:lnTo>
                                <a:lnTo>
                                  <a:pt x="404329" y="1434628"/>
                                </a:lnTo>
                                <a:lnTo>
                                  <a:pt x="424206" y="1419268"/>
                                </a:lnTo>
                                <a:lnTo>
                                  <a:pt x="447446" y="1404313"/>
                                </a:lnTo>
                                <a:lnTo>
                                  <a:pt x="467322" y="1359448"/>
                                </a:lnTo>
                                <a:lnTo>
                                  <a:pt x="487162" y="1329066"/>
                                </a:lnTo>
                                <a:lnTo>
                                  <a:pt x="507113" y="1284336"/>
                                </a:lnTo>
                                <a:lnTo>
                                  <a:pt x="526990" y="1224077"/>
                                </a:lnTo>
                                <a:lnTo>
                                  <a:pt x="546830" y="1179179"/>
                                </a:lnTo>
                                <a:lnTo>
                                  <a:pt x="566781" y="1118920"/>
                                </a:lnTo>
                                <a:lnTo>
                                  <a:pt x="589946" y="1058830"/>
                                </a:lnTo>
                                <a:lnTo>
                                  <a:pt x="609898" y="1013932"/>
                                </a:lnTo>
                                <a:lnTo>
                                  <a:pt x="629775" y="953673"/>
                                </a:lnTo>
                                <a:lnTo>
                                  <a:pt x="649614" y="908774"/>
                                </a:lnTo>
                                <a:lnTo>
                                  <a:pt x="669491" y="863538"/>
                                </a:lnTo>
                                <a:lnTo>
                                  <a:pt x="689405" y="818640"/>
                                </a:lnTo>
                                <a:lnTo>
                                  <a:pt x="709282" y="773403"/>
                                </a:lnTo>
                                <a:lnTo>
                                  <a:pt x="729122" y="728505"/>
                                </a:lnTo>
                                <a:lnTo>
                                  <a:pt x="752398" y="683269"/>
                                </a:lnTo>
                                <a:lnTo>
                                  <a:pt x="772238" y="638370"/>
                                </a:lnTo>
                                <a:lnTo>
                                  <a:pt x="792115" y="608494"/>
                                </a:lnTo>
                                <a:lnTo>
                                  <a:pt x="812066" y="563258"/>
                                </a:lnTo>
                                <a:lnTo>
                                  <a:pt x="831906" y="533382"/>
                                </a:lnTo>
                                <a:lnTo>
                                  <a:pt x="851783" y="502999"/>
                                </a:lnTo>
                                <a:lnTo>
                                  <a:pt x="871734" y="473123"/>
                                </a:lnTo>
                                <a:lnTo>
                                  <a:pt x="891574" y="443247"/>
                                </a:lnTo>
                                <a:lnTo>
                                  <a:pt x="914738" y="412864"/>
                                </a:lnTo>
                                <a:lnTo>
                                  <a:pt x="934690" y="398011"/>
                                </a:lnTo>
                                <a:lnTo>
                                  <a:pt x="954567" y="368134"/>
                                </a:lnTo>
                                <a:lnTo>
                                  <a:pt x="974406" y="353112"/>
                                </a:lnTo>
                                <a:lnTo>
                                  <a:pt x="994358" y="322729"/>
                                </a:lnTo>
                                <a:lnTo>
                                  <a:pt x="1014235" y="307876"/>
                                </a:lnTo>
                                <a:lnTo>
                                  <a:pt x="1034074" y="292853"/>
                                </a:lnTo>
                                <a:lnTo>
                                  <a:pt x="1057351" y="278000"/>
                                </a:lnTo>
                                <a:lnTo>
                                  <a:pt x="1077191" y="262977"/>
                                </a:lnTo>
                                <a:lnTo>
                                  <a:pt x="1097068" y="247955"/>
                                </a:lnTo>
                                <a:lnTo>
                                  <a:pt x="1117019" y="247955"/>
                                </a:lnTo>
                                <a:lnTo>
                                  <a:pt x="1136859" y="232595"/>
                                </a:lnTo>
                                <a:lnTo>
                                  <a:pt x="1156735" y="217741"/>
                                </a:lnTo>
                                <a:lnTo>
                                  <a:pt x="1176687" y="202718"/>
                                </a:lnTo>
                                <a:lnTo>
                                  <a:pt x="1196527" y="187865"/>
                                </a:lnTo>
                                <a:lnTo>
                                  <a:pt x="1219691" y="172842"/>
                                </a:lnTo>
                                <a:lnTo>
                                  <a:pt x="1239643" y="172842"/>
                                </a:lnTo>
                                <a:lnTo>
                                  <a:pt x="1259520" y="157820"/>
                                </a:lnTo>
                                <a:lnTo>
                                  <a:pt x="1279359" y="157820"/>
                                </a:lnTo>
                                <a:lnTo>
                                  <a:pt x="1299311" y="142460"/>
                                </a:lnTo>
                                <a:lnTo>
                                  <a:pt x="1319188" y="142460"/>
                                </a:lnTo>
                                <a:lnTo>
                                  <a:pt x="1421972" y="142460"/>
                                </a:lnTo>
                                <a:lnTo>
                                  <a:pt x="1441811" y="127606"/>
                                </a:lnTo>
                                <a:lnTo>
                                  <a:pt x="1461688" y="127606"/>
                                </a:lnTo>
                                <a:lnTo>
                                  <a:pt x="1481640" y="127606"/>
                                </a:lnTo>
                                <a:lnTo>
                                  <a:pt x="1501479" y="112584"/>
                                </a:lnTo>
                                <a:lnTo>
                                  <a:pt x="1524644" y="112584"/>
                                </a:lnTo>
                                <a:lnTo>
                                  <a:pt x="1544596" y="97730"/>
                                </a:lnTo>
                                <a:lnTo>
                                  <a:pt x="1564473" y="97730"/>
                                </a:lnTo>
                                <a:lnTo>
                                  <a:pt x="1584312" y="82707"/>
                                </a:lnTo>
                                <a:lnTo>
                                  <a:pt x="1604264" y="82707"/>
                                </a:lnTo>
                                <a:lnTo>
                                  <a:pt x="1624141" y="82707"/>
                                </a:lnTo>
                                <a:lnTo>
                                  <a:pt x="1643980" y="82707"/>
                                </a:lnTo>
                                <a:lnTo>
                                  <a:pt x="1663932" y="82707"/>
                                </a:lnTo>
                                <a:lnTo>
                                  <a:pt x="1687096" y="82707"/>
                                </a:lnTo>
                                <a:lnTo>
                                  <a:pt x="1706973" y="97730"/>
                                </a:lnTo>
                                <a:lnTo>
                                  <a:pt x="1726925" y="97730"/>
                                </a:lnTo>
                                <a:lnTo>
                                  <a:pt x="1746764" y="97730"/>
                                </a:lnTo>
                                <a:lnTo>
                                  <a:pt x="1766641" y="82707"/>
                                </a:lnTo>
                                <a:lnTo>
                                  <a:pt x="1786593" y="82707"/>
                                </a:lnTo>
                                <a:lnTo>
                                  <a:pt x="1806432" y="82707"/>
                                </a:lnTo>
                                <a:lnTo>
                                  <a:pt x="1829597" y="67685"/>
                                </a:lnTo>
                                <a:lnTo>
                                  <a:pt x="1849549" y="67685"/>
                                </a:lnTo>
                                <a:lnTo>
                                  <a:pt x="1869425" y="52325"/>
                                </a:lnTo>
                                <a:lnTo>
                                  <a:pt x="1889265" y="52325"/>
                                </a:lnTo>
                                <a:lnTo>
                                  <a:pt x="1909217" y="52325"/>
                                </a:lnTo>
                                <a:lnTo>
                                  <a:pt x="1929093" y="52325"/>
                                </a:lnTo>
                                <a:lnTo>
                                  <a:pt x="1948933" y="52325"/>
                                </a:lnTo>
                              </a:path>
                            </a:pathLst>
                          </a:custGeom>
                          <a:ln w="9130">
                            <a:solidFill>
                              <a:srgbClr val="000000"/>
                            </a:solidFill>
                            <a:prstDash val="solid"/>
                          </a:ln>
                        </wps:spPr>
                        <wps:bodyPr wrap="square" lIns="0" tIns="0" rIns="0" bIns="0" rtlCol="0">
                          <a:prstTxWarp prst="textNoShape">
                            <a:avLst/>
                          </a:prstTxWarp>
                          <a:noAutofit/>
                        </wps:bodyPr>
                      </wps:wsp>
                      <wps:wsp>
                        <wps:cNvPr id="659" name="Graphic 659"/>
                        <wps:cNvSpPr/>
                        <wps:spPr>
                          <a:xfrm>
                            <a:off x="0" y="806364"/>
                            <a:ext cx="1524000" cy="2032000"/>
                          </a:xfrm>
                          <a:custGeom>
                            <a:avLst/>
                            <a:gdLst/>
                            <a:ahLst/>
                            <a:cxnLst/>
                            <a:rect l="l" t="t" r="r" b="b"/>
                            <a:pathLst>
                              <a:path w="1524000" h="2032000">
                                <a:moveTo>
                                  <a:pt x="863600" y="0"/>
                                </a:moveTo>
                                <a:lnTo>
                                  <a:pt x="1371600" y="609600"/>
                                </a:lnTo>
                              </a:path>
                              <a:path w="1524000" h="2032000">
                                <a:moveTo>
                                  <a:pt x="0" y="2032000"/>
                                </a:moveTo>
                                <a:lnTo>
                                  <a:pt x="1524000" y="2032000"/>
                                </a:lnTo>
                              </a:path>
                            </a:pathLst>
                          </a:custGeom>
                          <a:ln w="9525">
                            <a:solidFill>
                              <a:srgbClr val="000000"/>
                            </a:solidFill>
                            <a:prstDash val="solid"/>
                          </a:ln>
                        </wps:spPr>
                        <wps:bodyPr wrap="square" lIns="0" tIns="0" rIns="0" bIns="0" rtlCol="0">
                          <a:prstTxWarp prst="textNoShape">
                            <a:avLst/>
                          </a:prstTxWarp>
                          <a:noAutofit/>
                        </wps:bodyPr>
                      </wps:wsp>
                      <wps:wsp>
                        <wps:cNvPr id="660" name="Textbox 660"/>
                        <wps:cNvSpPr txBox="1"/>
                        <wps:spPr>
                          <a:xfrm>
                            <a:off x="1473835" y="0"/>
                            <a:ext cx="586740" cy="170815"/>
                          </a:xfrm>
                          <a:prstGeom prst="rect">
                            <a:avLst/>
                          </a:prstGeom>
                        </wps:spPr>
                        <wps:txbx>
                          <w:txbxContent>
                            <w:p>
                              <w:pPr>
                                <w:spacing w:line="268" w:lineRule="exact" w:before="0"/>
                                <w:ind w:left="0" w:right="0" w:firstLine="0"/>
                                <w:jc w:val="left"/>
                                <w:rPr>
                                  <w:rFonts w:ascii="Arial MT"/>
                                  <w:sz w:val="24"/>
                                </w:rPr>
                              </w:pPr>
                              <w:r>
                                <w:rPr>
                                  <w:rFonts w:ascii="Arial MT"/>
                                  <w:sz w:val="24"/>
                                </w:rPr>
                                <w:t>-100</w:t>
                              </w:r>
                              <w:r>
                                <w:rPr>
                                  <w:rFonts w:ascii="Arial MT"/>
                                  <w:spacing w:val="-4"/>
                                  <w:sz w:val="24"/>
                                </w:rPr>
                                <w:t> </w:t>
                              </w:r>
                              <w:r>
                                <w:rPr>
                                  <w:rFonts w:ascii="Arial MT"/>
                                  <w:spacing w:val="-5"/>
                                  <w:sz w:val="24"/>
                                </w:rPr>
                                <w:t>mV</w:t>
                              </w:r>
                            </w:p>
                          </w:txbxContent>
                        </wps:txbx>
                        <wps:bodyPr wrap="square" lIns="0" tIns="0" rIns="0" bIns="0" rtlCol="0">
                          <a:noAutofit/>
                        </wps:bodyPr>
                      </wps:wsp>
                      <wps:wsp>
                        <wps:cNvPr id="661" name="Textbox 661"/>
                        <wps:cNvSpPr txBox="1"/>
                        <wps:spPr>
                          <a:xfrm>
                            <a:off x="1143" y="661416"/>
                            <a:ext cx="834390" cy="170815"/>
                          </a:xfrm>
                          <a:prstGeom prst="rect">
                            <a:avLst/>
                          </a:prstGeom>
                        </wps:spPr>
                        <wps:txbx>
                          <w:txbxContent>
                            <w:p>
                              <w:pPr>
                                <w:spacing w:line="268" w:lineRule="exact" w:before="0"/>
                                <w:ind w:left="0" w:right="0" w:firstLine="0"/>
                                <w:jc w:val="left"/>
                                <w:rPr>
                                  <w:rFonts w:ascii="Arial MT"/>
                                  <w:sz w:val="24"/>
                                </w:rPr>
                              </w:pPr>
                              <w:r>
                                <w:rPr>
                                  <w:rFonts w:ascii="Arial MT"/>
                                  <w:sz w:val="24"/>
                                </w:rPr>
                                <w:t>100</w:t>
                              </w:r>
                              <w:r>
                                <w:rPr>
                                  <w:rFonts w:ascii="Arial MT"/>
                                  <w:spacing w:val="-4"/>
                                  <w:sz w:val="24"/>
                                </w:rPr>
                                <w:t> </w:t>
                              </w:r>
                              <w:r>
                                <w:rPr>
                                  <w:rFonts w:ascii="Arial MT"/>
                                  <w:sz w:val="24"/>
                                </w:rPr>
                                <w:t>uM</w:t>
                              </w:r>
                              <w:r>
                                <w:rPr>
                                  <w:rFonts w:ascii="Arial MT"/>
                                  <w:spacing w:val="-5"/>
                                  <w:sz w:val="24"/>
                                </w:rPr>
                                <w:t> S23</w:t>
                              </w:r>
                            </w:p>
                          </w:txbxContent>
                        </wps:txbx>
                        <wps:bodyPr wrap="square" lIns="0" tIns="0" rIns="0" bIns="0" rtlCol="0">
                          <a:noAutofit/>
                        </wps:bodyPr>
                      </wps:wsp>
                    </wpg:wgp>
                  </a:graphicData>
                </a:graphic>
              </wp:anchor>
            </w:drawing>
          </mc:Choice>
          <mc:Fallback>
            <w:pict>
              <v:group style="position:absolute;margin-left:276.25pt;margin-top:12.429063pt;width:235.15pt;height:224.2pt;mso-position-horizontal-relative:page;mso-position-vertical-relative:paragraph;z-index:15828992" id="docshapegroup536" coordorigin="5525,249" coordsize="4703,4484">
                <v:shape style="position:absolute;left:7145;top:274;width:3072;height:4448" id="docshape537" coordorigin="7145,275" coordsize="3072,4448" path="m7148,275l7179,322,7210,322,7242,345,7273,369,7304,416,7335,511,7372,629,7403,795,7435,1008,7466,1245,7497,1552,7529,1859,7560,2167,7596,2498,7628,2829,7659,3137,7690,3444,7722,3705,7753,3941,7784,4130,7816,4319,7852,4438,7884,4532,7915,4627,7946,4674,7978,4698,8009,4722,8040,4698,8077,4674,8108,4650,8139,4603,8171,4580,8202,4508,8233,4461,8265,4390,8296,4319,8333,4225,8364,4154,8395,4059,8426,3988,8458,3894,8489,3799,8520,3728,8552,3633,8588,3539,8620,3444,8651,3349,8682,3279,8714,3184,8745,3113,8776,3018,8813,2947,8844,2853,8875,2782,8907,2711,8938,2640,8969,2569,9001,2498,9032,2427,9068,2380,9100,2332,9131,2262,9162,2214,9194,2143,9225,2096,9256,2049,9288,2001,9324,1954,9356,1883,9387,1859,9418,1812,9450,1788,9481,1741,9512,1718,9549,1670,9580,1646,9611,1599,9643,1576,9674,1528,9705,1504,9737,1481,9768,1434,9805,1410,9836,1386,9867,1362,9898,1339,9930,1315,9961,1292,9992,1268,10029,1268,10060,1245,10092,1220,10123,1197,10154,1197,10186,1173,10217,1173m7145,287l7176,310,7208,334,7239,357,7270,428,7302,499,7333,617,7369,736,7401,925,7432,1115,7463,1304,7495,1516,7526,1706,7557,1895,7594,2060,7625,2202,7657,2321,7688,2415,7719,2463,7751,2510,7782,2534,7813,2510,7850,2486,7881,2415,7912,2368,7944,2297,7975,2202,8006,2132,8038,2037,8074,1942,8106,1871,8137,1776,8168,1706,8199,1634,8231,1564,8262,1492,8293,1422,8330,1351,8361,1280,8392,1233,8424,1162,8455,1115,8486,1067,8518,1020,8549,973,8586,925,8617,901,8648,854,8680,831,8711,783,8742,759,8774,736,8810,712,8841,689,8873,665,8904,665,8935,641,8967,617,8998,594,9029,570,9066,547,9097,547,9129,523,9160,523,9191,499,9223,499,9254,499,9285,499,9322,499,9353,499,9384,499,9416,475,9447,475,9478,475,9510,452,9546,452,9577,428,9609,428,9640,405,9671,405,9703,405,9734,405,9765,405,9802,405,9833,428,9865,428,9896,428,9927,405,9959,405,9990,405,10026,381,10058,381,10089,357,10120,357,10152,357,10183,357,10214,357e" filled="false" stroked="true" strokeweight=".718967pt" strokecolor="#000000">
                  <v:path arrowok="t"/>
                  <v:stroke dashstyle="solid"/>
                </v:shape>
                <v:shape style="position:absolute;left:5525;top:1518;width:2400;height:3200" id="docshape538" coordorigin="5525,1518" coordsize="2400,3200" path="m6885,1518l7685,2478m5525,4718l7925,4718e" filled="false" stroked="true" strokeweight=".75pt" strokecolor="#000000">
                  <v:path arrowok="t"/>
                  <v:stroke dashstyle="solid"/>
                </v:shape>
                <v:shape style="position:absolute;left:7846;top:248;width:924;height:269" type="#_x0000_t202" id="docshape539" filled="false" stroked="false">
                  <v:textbox inset="0,0,0,0">
                    <w:txbxContent>
                      <w:p>
                        <w:pPr>
                          <w:spacing w:line="268" w:lineRule="exact" w:before="0"/>
                          <w:ind w:left="0" w:right="0" w:firstLine="0"/>
                          <w:jc w:val="left"/>
                          <w:rPr>
                            <w:rFonts w:ascii="Arial MT"/>
                            <w:sz w:val="24"/>
                          </w:rPr>
                        </w:pPr>
                        <w:r>
                          <w:rPr>
                            <w:rFonts w:ascii="Arial MT"/>
                            <w:sz w:val="24"/>
                          </w:rPr>
                          <w:t>-100</w:t>
                        </w:r>
                        <w:r>
                          <w:rPr>
                            <w:rFonts w:ascii="Arial MT"/>
                            <w:spacing w:val="-4"/>
                            <w:sz w:val="24"/>
                          </w:rPr>
                          <w:t> </w:t>
                        </w:r>
                        <w:r>
                          <w:rPr>
                            <w:rFonts w:ascii="Arial MT"/>
                            <w:spacing w:val="-5"/>
                            <w:sz w:val="24"/>
                          </w:rPr>
                          <w:t>mV</w:t>
                        </w:r>
                      </w:p>
                    </w:txbxContent>
                  </v:textbox>
                  <w10:wrap type="none"/>
                </v:shape>
                <v:shape style="position:absolute;left:5526;top:1290;width:1314;height:269" type="#_x0000_t202" id="docshape540" filled="false" stroked="false">
                  <v:textbox inset="0,0,0,0">
                    <w:txbxContent>
                      <w:p>
                        <w:pPr>
                          <w:spacing w:line="268" w:lineRule="exact" w:before="0"/>
                          <w:ind w:left="0" w:right="0" w:firstLine="0"/>
                          <w:jc w:val="left"/>
                          <w:rPr>
                            <w:rFonts w:ascii="Arial MT"/>
                            <w:sz w:val="24"/>
                          </w:rPr>
                        </w:pPr>
                        <w:r>
                          <w:rPr>
                            <w:rFonts w:ascii="Arial MT"/>
                            <w:sz w:val="24"/>
                          </w:rPr>
                          <w:t>100</w:t>
                        </w:r>
                        <w:r>
                          <w:rPr>
                            <w:rFonts w:ascii="Arial MT"/>
                            <w:spacing w:val="-4"/>
                            <w:sz w:val="24"/>
                          </w:rPr>
                          <w:t> </w:t>
                        </w:r>
                        <w:r>
                          <w:rPr>
                            <w:rFonts w:ascii="Arial MT"/>
                            <w:sz w:val="24"/>
                          </w:rPr>
                          <w:t>uM</w:t>
                        </w:r>
                        <w:r>
                          <w:rPr>
                            <w:rFonts w:ascii="Arial MT"/>
                            <w:spacing w:val="-5"/>
                            <w:sz w:val="24"/>
                          </w:rPr>
                          <w:t> S23</w:t>
                        </w:r>
                      </w:p>
                    </w:txbxContent>
                  </v:textbox>
                  <w10:wrap type="none"/>
                </v:shape>
                <w10:wrap type="none"/>
              </v:group>
            </w:pict>
          </mc:Fallback>
        </mc:AlternateContent>
      </w:r>
      <w:r>
        <w:rPr>
          <w:rFonts w:ascii="Arial MT"/>
        </w:rPr>
        <w:t>-60</w:t>
      </w:r>
      <w:r>
        <w:rPr>
          <w:rFonts w:ascii="Arial MT"/>
          <w:spacing w:val="-3"/>
        </w:rPr>
        <w:t> </w:t>
      </w:r>
      <w:r>
        <w:rPr>
          <w:rFonts w:ascii="Arial MT"/>
          <w:spacing w:val="-5"/>
        </w:rPr>
        <w:t>mV</w:t>
      </w:r>
    </w:p>
    <w:p>
      <w:pPr>
        <w:pStyle w:val="BodyText"/>
        <w:ind w:left="848"/>
        <w:rPr>
          <w:rFonts w:ascii="Arial MT"/>
          <w:sz w:val="20"/>
        </w:rPr>
      </w:pPr>
      <w:r>
        <w:rPr>
          <w:rFonts w:ascii="Arial MT"/>
          <w:sz w:val="20"/>
        </w:rPr>
        <mc:AlternateContent>
          <mc:Choice Requires="wps">
            <w:drawing>
              <wp:inline distT="0" distB="0" distL="0" distR="0">
                <wp:extent cx="2025014" cy="2905125"/>
                <wp:effectExtent l="9525" t="0" r="0" b="0"/>
                <wp:docPr id="662" name="Group 662"/>
                <wp:cNvGraphicFramePr>
                  <a:graphicFrameLocks/>
                </wp:cNvGraphicFramePr>
                <a:graphic>
                  <a:graphicData uri="http://schemas.microsoft.com/office/word/2010/wordprocessingGroup">
                    <wpg:wgp>
                      <wpg:cNvPr id="662" name="Group 662"/>
                      <wpg:cNvGrpSpPr/>
                      <wpg:grpSpPr>
                        <a:xfrm>
                          <a:off x="0" y="0"/>
                          <a:ext cx="2025014" cy="2905125"/>
                          <a:chExt cx="2025014" cy="2905125"/>
                        </a:xfrm>
                      </wpg:grpSpPr>
                      <wps:wsp>
                        <wps:cNvPr id="663" name="Graphic 663"/>
                        <wps:cNvSpPr/>
                        <wps:spPr>
                          <a:xfrm>
                            <a:off x="7423" y="6929"/>
                            <a:ext cx="1905635" cy="2824480"/>
                          </a:xfrm>
                          <a:custGeom>
                            <a:avLst/>
                            <a:gdLst/>
                            <a:ahLst/>
                            <a:cxnLst/>
                            <a:rect l="l" t="t" r="r" b="b"/>
                            <a:pathLst>
                              <a:path w="1905635" h="2824480">
                                <a:moveTo>
                                  <a:pt x="1616" y="0"/>
                                </a:moveTo>
                                <a:lnTo>
                                  <a:pt x="21012" y="15022"/>
                                </a:lnTo>
                                <a:lnTo>
                                  <a:pt x="40408" y="15022"/>
                                </a:lnTo>
                                <a:lnTo>
                                  <a:pt x="59892" y="15022"/>
                                </a:lnTo>
                                <a:lnTo>
                                  <a:pt x="82521" y="30044"/>
                                </a:lnTo>
                                <a:lnTo>
                                  <a:pt x="101917" y="30044"/>
                                </a:lnTo>
                                <a:lnTo>
                                  <a:pt x="121404" y="44898"/>
                                </a:lnTo>
                                <a:lnTo>
                                  <a:pt x="163426" y="75281"/>
                                </a:lnTo>
                                <a:lnTo>
                                  <a:pt x="202309" y="135033"/>
                                </a:lnTo>
                                <a:lnTo>
                                  <a:pt x="224938" y="195292"/>
                                </a:lnTo>
                                <a:lnTo>
                                  <a:pt x="244422" y="270404"/>
                                </a:lnTo>
                                <a:lnTo>
                                  <a:pt x="263836" y="360539"/>
                                </a:lnTo>
                                <a:lnTo>
                                  <a:pt x="283214" y="480550"/>
                                </a:lnTo>
                                <a:lnTo>
                                  <a:pt x="305949" y="616089"/>
                                </a:lnTo>
                                <a:lnTo>
                                  <a:pt x="325327" y="765977"/>
                                </a:lnTo>
                                <a:lnTo>
                                  <a:pt x="344741" y="946246"/>
                                </a:lnTo>
                                <a:lnTo>
                                  <a:pt x="364228" y="1141370"/>
                                </a:lnTo>
                                <a:lnTo>
                                  <a:pt x="386854" y="1351971"/>
                                </a:lnTo>
                                <a:lnTo>
                                  <a:pt x="406231" y="1562134"/>
                                </a:lnTo>
                                <a:lnTo>
                                  <a:pt x="425719" y="1757341"/>
                                </a:lnTo>
                                <a:lnTo>
                                  <a:pt x="445133" y="1967504"/>
                                </a:lnTo>
                                <a:lnTo>
                                  <a:pt x="467759" y="2147757"/>
                                </a:lnTo>
                                <a:lnTo>
                                  <a:pt x="487246" y="2298116"/>
                                </a:lnTo>
                                <a:lnTo>
                                  <a:pt x="506624" y="2448459"/>
                                </a:lnTo>
                                <a:lnTo>
                                  <a:pt x="529249" y="2553532"/>
                                </a:lnTo>
                                <a:lnTo>
                                  <a:pt x="548736" y="2658622"/>
                                </a:lnTo>
                                <a:lnTo>
                                  <a:pt x="568151" y="2718847"/>
                                </a:lnTo>
                                <a:lnTo>
                                  <a:pt x="587528" y="2778650"/>
                                </a:lnTo>
                                <a:lnTo>
                                  <a:pt x="610263" y="2808965"/>
                                </a:lnTo>
                                <a:lnTo>
                                  <a:pt x="629641" y="2823920"/>
                                </a:lnTo>
                                <a:lnTo>
                                  <a:pt x="649055" y="2823920"/>
                                </a:lnTo>
                                <a:lnTo>
                                  <a:pt x="668543" y="2793605"/>
                                </a:lnTo>
                                <a:lnTo>
                                  <a:pt x="691168" y="2778650"/>
                                </a:lnTo>
                                <a:lnTo>
                                  <a:pt x="710546" y="2733802"/>
                                </a:lnTo>
                                <a:lnTo>
                                  <a:pt x="730033" y="2688515"/>
                                </a:lnTo>
                                <a:lnTo>
                                  <a:pt x="749447" y="2643667"/>
                                </a:lnTo>
                                <a:lnTo>
                                  <a:pt x="772073" y="2583442"/>
                                </a:lnTo>
                                <a:lnTo>
                                  <a:pt x="791560" y="2523217"/>
                                </a:lnTo>
                                <a:lnTo>
                                  <a:pt x="810938" y="2463414"/>
                                </a:lnTo>
                                <a:lnTo>
                                  <a:pt x="830352" y="2388234"/>
                                </a:lnTo>
                                <a:lnTo>
                                  <a:pt x="853051" y="2328009"/>
                                </a:lnTo>
                                <a:lnTo>
                                  <a:pt x="872465" y="2268207"/>
                                </a:lnTo>
                                <a:lnTo>
                                  <a:pt x="891843" y="2207982"/>
                                </a:lnTo>
                                <a:lnTo>
                                  <a:pt x="911330" y="2147757"/>
                                </a:lnTo>
                                <a:lnTo>
                                  <a:pt x="933956" y="2087954"/>
                                </a:lnTo>
                                <a:lnTo>
                                  <a:pt x="953370" y="2027729"/>
                                </a:lnTo>
                                <a:lnTo>
                                  <a:pt x="972857" y="1952549"/>
                                </a:lnTo>
                                <a:lnTo>
                                  <a:pt x="995483" y="1892746"/>
                                </a:lnTo>
                                <a:lnTo>
                                  <a:pt x="1014861" y="1832521"/>
                                </a:lnTo>
                                <a:lnTo>
                                  <a:pt x="1034348" y="1772296"/>
                                </a:lnTo>
                                <a:lnTo>
                                  <a:pt x="1053762" y="1697116"/>
                                </a:lnTo>
                                <a:lnTo>
                                  <a:pt x="1076461" y="1652268"/>
                                </a:lnTo>
                                <a:lnTo>
                                  <a:pt x="1095875" y="1592044"/>
                                </a:lnTo>
                                <a:lnTo>
                                  <a:pt x="1115253" y="1547179"/>
                                </a:lnTo>
                                <a:lnTo>
                                  <a:pt x="1134667" y="1501909"/>
                                </a:lnTo>
                                <a:lnTo>
                                  <a:pt x="1157365" y="1457061"/>
                                </a:lnTo>
                                <a:lnTo>
                                  <a:pt x="1176780" y="1396836"/>
                                </a:lnTo>
                                <a:lnTo>
                                  <a:pt x="1196267" y="1351971"/>
                                </a:lnTo>
                                <a:lnTo>
                                  <a:pt x="1215645" y="1306785"/>
                                </a:lnTo>
                                <a:lnTo>
                                  <a:pt x="1238270" y="1261887"/>
                                </a:lnTo>
                                <a:lnTo>
                                  <a:pt x="1257757" y="1231504"/>
                                </a:lnTo>
                                <a:lnTo>
                                  <a:pt x="1277172" y="1186606"/>
                                </a:lnTo>
                                <a:lnTo>
                                  <a:pt x="1296549" y="1141370"/>
                                </a:lnTo>
                                <a:lnTo>
                                  <a:pt x="1319285" y="1096471"/>
                                </a:lnTo>
                                <a:lnTo>
                                  <a:pt x="1338662" y="1066257"/>
                                </a:lnTo>
                                <a:lnTo>
                                  <a:pt x="1358077" y="1021359"/>
                                </a:lnTo>
                                <a:lnTo>
                                  <a:pt x="1377564" y="991482"/>
                                </a:lnTo>
                                <a:lnTo>
                                  <a:pt x="1400189" y="961100"/>
                                </a:lnTo>
                                <a:lnTo>
                                  <a:pt x="1419567" y="946246"/>
                                </a:lnTo>
                                <a:lnTo>
                                  <a:pt x="1439054" y="916370"/>
                                </a:lnTo>
                                <a:lnTo>
                                  <a:pt x="1461680" y="901348"/>
                                </a:lnTo>
                                <a:lnTo>
                                  <a:pt x="1481094" y="870965"/>
                                </a:lnTo>
                                <a:lnTo>
                                  <a:pt x="1500581" y="856111"/>
                                </a:lnTo>
                                <a:lnTo>
                                  <a:pt x="1519959" y="826235"/>
                                </a:lnTo>
                                <a:lnTo>
                                  <a:pt x="1542585" y="795853"/>
                                </a:lnTo>
                                <a:lnTo>
                                  <a:pt x="1562072" y="765977"/>
                                </a:lnTo>
                                <a:lnTo>
                                  <a:pt x="1581486" y="750954"/>
                                </a:lnTo>
                                <a:lnTo>
                                  <a:pt x="1600864" y="721078"/>
                                </a:lnTo>
                                <a:lnTo>
                                  <a:pt x="1623599" y="721078"/>
                                </a:lnTo>
                                <a:lnTo>
                                  <a:pt x="1642977" y="706056"/>
                                </a:lnTo>
                                <a:lnTo>
                                  <a:pt x="1662391" y="690695"/>
                                </a:lnTo>
                                <a:lnTo>
                                  <a:pt x="1681878" y="675842"/>
                                </a:lnTo>
                                <a:lnTo>
                                  <a:pt x="1704504" y="660819"/>
                                </a:lnTo>
                                <a:lnTo>
                                  <a:pt x="1723882" y="660819"/>
                                </a:lnTo>
                                <a:lnTo>
                                  <a:pt x="1743369" y="645966"/>
                                </a:lnTo>
                                <a:lnTo>
                                  <a:pt x="1762783" y="630943"/>
                                </a:lnTo>
                                <a:lnTo>
                                  <a:pt x="1785409" y="616089"/>
                                </a:lnTo>
                                <a:lnTo>
                                  <a:pt x="1804896" y="600561"/>
                                </a:lnTo>
                                <a:lnTo>
                                  <a:pt x="1824274" y="600561"/>
                                </a:lnTo>
                                <a:lnTo>
                                  <a:pt x="1846899" y="585707"/>
                                </a:lnTo>
                                <a:lnTo>
                                  <a:pt x="1866386" y="570685"/>
                                </a:lnTo>
                                <a:lnTo>
                                  <a:pt x="1885801" y="555831"/>
                                </a:lnTo>
                                <a:lnTo>
                                  <a:pt x="1905178" y="555831"/>
                                </a:lnTo>
                              </a:path>
                              <a:path w="1905635" h="2824480">
                                <a:moveTo>
                                  <a:pt x="0" y="7595"/>
                                </a:moveTo>
                                <a:lnTo>
                                  <a:pt x="0" y="7595"/>
                                </a:lnTo>
                                <a:lnTo>
                                  <a:pt x="200692" y="7595"/>
                                </a:lnTo>
                                <a:lnTo>
                                  <a:pt x="223322" y="22449"/>
                                </a:lnTo>
                                <a:lnTo>
                                  <a:pt x="242805" y="37471"/>
                                </a:lnTo>
                                <a:lnTo>
                                  <a:pt x="262194" y="67685"/>
                                </a:lnTo>
                                <a:lnTo>
                                  <a:pt x="281608" y="97730"/>
                                </a:lnTo>
                                <a:lnTo>
                                  <a:pt x="304307" y="142460"/>
                                </a:lnTo>
                                <a:lnTo>
                                  <a:pt x="323721" y="172842"/>
                                </a:lnTo>
                                <a:lnTo>
                                  <a:pt x="343099" y="217741"/>
                                </a:lnTo>
                                <a:lnTo>
                                  <a:pt x="362586" y="262977"/>
                                </a:lnTo>
                                <a:lnTo>
                                  <a:pt x="385212" y="307876"/>
                                </a:lnTo>
                                <a:lnTo>
                                  <a:pt x="404626" y="368134"/>
                                </a:lnTo>
                                <a:lnTo>
                                  <a:pt x="424113" y="428224"/>
                                </a:lnTo>
                                <a:lnTo>
                                  <a:pt x="443491" y="488145"/>
                                </a:lnTo>
                                <a:lnTo>
                                  <a:pt x="466116" y="548235"/>
                                </a:lnTo>
                                <a:lnTo>
                                  <a:pt x="485604" y="593134"/>
                                </a:lnTo>
                                <a:lnTo>
                                  <a:pt x="505018" y="653392"/>
                                </a:lnTo>
                                <a:lnTo>
                                  <a:pt x="527643" y="698629"/>
                                </a:lnTo>
                                <a:lnTo>
                                  <a:pt x="547131" y="728505"/>
                                </a:lnTo>
                                <a:lnTo>
                                  <a:pt x="566508" y="758381"/>
                                </a:lnTo>
                                <a:lnTo>
                                  <a:pt x="585923" y="788426"/>
                                </a:lnTo>
                                <a:lnTo>
                                  <a:pt x="608621" y="803786"/>
                                </a:lnTo>
                                <a:lnTo>
                                  <a:pt x="628035" y="818640"/>
                                </a:lnTo>
                                <a:lnTo>
                                  <a:pt x="647413" y="833662"/>
                                </a:lnTo>
                                <a:lnTo>
                                  <a:pt x="666900" y="833662"/>
                                </a:lnTo>
                                <a:lnTo>
                                  <a:pt x="689526" y="848516"/>
                                </a:lnTo>
                                <a:lnTo>
                                  <a:pt x="708940" y="848516"/>
                                </a:lnTo>
                                <a:lnTo>
                                  <a:pt x="728428" y="848516"/>
                                </a:lnTo>
                                <a:lnTo>
                                  <a:pt x="747805" y="833662"/>
                                </a:lnTo>
                                <a:lnTo>
                                  <a:pt x="770431" y="818640"/>
                                </a:lnTo>
                                <a:lnTo>
                                  <a:pt x="789918" y="803786"/>
                                </a:lnTo>
                                <a:lnTo>
                                  <a:pt x="809332" y="773403"/>
                                </a:lnTo>
                                <a:lnTo>
                                  <a:pt x="828710" y="758381"/>
                                </a:lnTo>
                                <a:lnTo>
                                  <a:pt x="851445" y="728505"/>
                                </a:lnTo>
                                <a:lnTo>
                                  <a:pt x="870823" y="698629"/>
                                </a:lnTo>
                                <a:lnTo>
                                  <a:pt x="890237" y="683269"/>
                                </a:lnTo>
                                <a:lnTo>
                                  <a:pt x="909724" y="668415"/>
                                </a:lnTo>
                                <a:lnTo>
                                  <a:pt x="932350" y="638370"/>
                                </a:lnTo>
                                <a:lnTo>
                                  <a:pt x="951728" y="608494"/>
                                </a:lnTo>
                                <a:lnTo>
                                  <a:pt x="971215" y="578280"/>
                                </a:lnTo>
                                <a:lnTo>
                                  <a:pt x="993841" y="548235"/>
                                </a:lnTo>
                                <a:lnTo>
                                  <a:pt x="1013255" y="518359"/>
                                </a:lnTo>
                                <a:lnTo>
                                  <a:pt x="1032742" y="502999"/>
                                </a:lnTo>
                                <a:lnTo>
                                  <a:pt x="1052120" y="473123"/>
                                </a:lnTo>
                                <a:lnTo>
                                  <a:pt x="1074855" y="458100"/>
                                </a:lnTo>
                                <a:lnTo>
                                  <a:pt x="1094233" y="443247"/>
                                </a:lnTo>
                                <a:lnTo>
                                  <a:pt x="1113647" y="428224"/>
                                </a:lnTo>
                                <a:lnTo>
                                  <a:pt x="1133025" y="412864"/>
                                </a:lnTo>
                                <a:lnTo>
                                  <a:pt x="1155760" y="398011"/>
                                </a:lnTo>
                                <a:lnTo>
                                  <a:pt x="1175137" y="382988"/>
                                </a:lnTo>
                                <a:lnTo>
                                  <a:pt x="1194625" y="368134"/>
                                </a:lnTo>
                                <a:lnTo>
                                  <a:pt x="1214039" y="338089"/>
                                </a:lnTo>
                                <a:lnTo>
                                  <a:pt x="1236665" y="322729"/>
                                </a:lnTo>
                                <a:lnTo>
                                  <a:pt x="1256152" y="307876"/>
                                </a:lnTo>
                                <a:lnTo>
                                  <a:pt x="1275529" y="292853"/>
                                </a:lnTo>
                                <a:lnTo>
                                  <a:pt x="1294944" y="278000"/>
                                </a:lnTo>
                                <a:lnTo>
                                  <a:pt x="1317642" y="262977"/>
                                </a:lnTo>
                                <a:lnTo>
                                  <a:pt x="1337057" y="247955"/>
                                </a:lnTo>
                                <a:lnTo>
                                  <a:pt x="1356434" y="232595"/>
                                </a:lnTo>
                                <a:lnTo>
                                  <a:pt x="1375922" y="232595"/>
                                </a:lnTo>
                                <a:lnTo>
                                  <a:pt x="1398584" y="217741"/>
                                </a:lnTo>
                                <a:lnTo>
                                  <a:pt x="1417961" y="202718"/>
                                </a:lnTo>
                                <a:lnTo>
                                  <a:pt x="1437449" y="187865"/>
                                </a:lnTo>
                                <a:lnTo>
                                  <a:pt x="1460074" y="172842"/>
                                </a:lnTo>
                                <a:lnTo>
                                  <a:pt x="1479488" y="172842"/>
                                </a:lnTo>
                                <a:lnTo>
                                  <a:pt x="1498939" y="157820"/>
                                </a:lnTo>
                                <a:lnTo>
                                  <a:pt x="1518353" y="157820"/>
                                </a:lnTo>
                                <a:lnTo>
                                  <a:pt x="1540979" y="157820"/>
                                </a:lnTo>
                                <a:lnTo>
                                  <a:pt x="1560466" y="142460"/>
                                </a:lnTo>
                                <a:lnTo>
                                  <a:pt x="1579881" y="142460"/>
                                </a:lnTo>
                                <a:lnTo>
                                  <a:pt x="1599258" y="127606"/>
                                </a:lnTo>
                                <a:lnTo>
                                  <a:pt x="1621993" y="112584"/>
                                </a:lnTo>
                                <a:lnTo>
                                  <a:pt x="1641371" y="112584"/>
                                </a:lnTo>
                                <a:lnTo>
                                  <a:pt x="1660785" y="112584"/>
                                </a:lnTo>
                                <a:lnTo>
                                  <a:pt x="1680273" y="97730"/>
                                </a:lnTo>
                                <a:lnTo>
                                  <a:pt x="1702898" y="97730"/>
                                </a:lnTo>
                                <a:lnTo>
                                  <a:pt x="1722276" y="82707"/>
                                </a:lnTo>
                                <a:lnTo>
                                  <a:pt x="1741763" y="82707"/>
                                </a:lnTo>
                                <a:lnTo>
                                  <a:pt x="1761177" y="82707"/>
                                </a:lnTo>
                                <a:lnTo>
                                  <a:pt x="1783803" y="67685"/>
                                </a:lnTo>
                                <a:lnTo>
                                  <a:pt x="1803290" y="67685"/>
                                </a:lnTo>
                                <a:lnTo>
                                  <a:pt x="1822668" y="67685"/>
                                </a:lnTo>
                                <a:lnTo>
                                  <a:pt x="1845294" y="67685"/>
                                </a:lnTo>
                                <a:lnTo>
                                  <a:pt x="1864781" y="67685"/>
                                </a:lnTo>
                                <a:lnTo>
                                  <a:pt x="1884195" y="52325"/>
                                </a:lnTo>
                                <a:lnTo>
                                  <a:pt x="1903573" y="52325"/>
                                </a:lnTo>
                              </a:path>
                            </a:pathLst>
                          </a:custGeom>
                          <a:ln w="9092">
                            <a:solidFill>
                              <a:srgbClr val="000000"/>
                            </a:solidFill>
                            <a:prstDash val="solid"/>
                          </a:ln>
                        </wps:spPr>
                        <wps:bodyPr wrap="square" lIns="0" tIns="0" rIns="0" bIns="0" rtlCol="0">
                          <a:prstTxWarp prst="textNoShape">
                            <a:avLst/>
                          </a:prstTxWarp>
                          <a:noAutofit/>
                        </wps:bodyPr>
                      </wps:wsp>
                      <wps:wsp>
                        <wps:cNvPr id="664" name="Graphic 664"/>
                        <wps:cNvSpPr/>
                        <wps:spPr>
                          <a:xfrm>
                            <a:off x="657719" y="746010"/>
                            <a:ext cx="1320800" cy="2082800"/>
                          </a:xfrm>
                          <a:custGeom>
                            <a:avLst/>
                            <a:gdLst/>
                            <a:ahLst/>
                            <a:cxnLst/>
                            <a:rect l="l" t="t" r="r" b="b"/>
                            <a:pathLst>
                              <a:path w="1320800" h="2082800">
                                <a:moveTo>
                                  <a:pt x="101600" y="101599"/>
                                </a:moveTo>
                                <a:lnTo>
                                  <a:pt x="1320800" y="0"/>
                                </a:lnTo>
                              </a:path>
                              <a:path w="1320800" h="2082800">
                                <a:moveTo>
                                  <a:pt x="0" y="2082799"/>
                                </a:moveTo>
                                <a:lnTo>
                                  <a:pt x="812800" y="2082799"/>
                                </a:lnTo>
                              </a:path>
                            </a:pathLst>
                          </a:custGeom>
                          <a:ln w="9525">
                            <a:solidFill>
                              <a:srgbClr val="000000"/>
                            </a:solidFill>
                            <a:prstDash val="solid"/>
                          </a:ln>
                        </wps:spPr>
                        <wps:bodyPr wrap="square" lIns="0" tIns="0" rIns="0" bIns="0" rtlCol="0">
                          <a:prstTxWarp prst="textNoShape">
                            <a:avLst/>
                          </a:prstTxWarp>
                          <a:noAutofit/>
                        </wps:bodyPr>
                      </wps:wsp>
                      <wps:wsp>
                        <wps:cNvPr id="665" name="Textbox 665"/>
                        <wps:cNvSpPr txBox="1"/>
                        <wps:spPr>
                          <a:xfrm>
                            <a:off x="1521446" y="2734281"/>
                            <a:ext cx="503555" cy="170815"/>
                          </a:xfrm>
                          <a:prstGeom prst="rect">
                            <a:avLst/>
                          </a:prstGeom>
                        </wps:spPr>
                        <wps:txbx>
                          <w:txbxContent>
                            <w:p>
                              <w:pPr>
                                <w:spacing w:line="268" w:lineRule="exact" w:before="0"/>
                                <w:ind w:left="0" w:right="0" w:firstLine="0"/>
                                <w:jc w:val="left"/>
                                <w:rPr>
                                  <w:rFonts w:ascii="Arial MT"/>
                                  <w:sz w:val="24"/>
                                </w:rPr>
                              </w:pPr>
                              <w:r>
                                <w:rPr>
                                  <w:rFonts w:ascii="Arial MT"/>
                                  <w:spacing w:val="-2"/>
                                  <w:sz w:val="24"/>
                                </w:rPr>
                                <w:t>Control</w:t>
                              </w:r>
                            </w:p>
                          </w:txbxContent>
                        </wps:txbx>
                        <wps:bodyPr wrap="square" lIns="0" tIns="0" rIns="0" bIns="0" rtlCol="0">
                          <a:noAutofit/>
                        </wps:bodyPr>
                      </wps:wsp>
                    </wpg:wgp>
                  </a:graphicData>
                </a:graphic>
              </wp:inline>
            </w:drawing>
          </mc:Choice>
          <mc:Fallback>
            <w:pict>
              <v:group style="width:159.450pt;height:228.75pt;mso-position-horizontal-relative:char;mso-position-vertical-relative:line" id="docshapegroup541" coordorigin="0,0" coordsize="3189,4575">
                <v:shape style="position:absolute;left:11;top:10;width:3001;height:4448" id="docshape542" coordorigin="12,11" coordsize="3001,4448" path="m14,11l45,35,75,35,106,35,142,58,172,58,203,82,239,105,269,129,300,177,330,224,366,318,397,437,427,579,458,768,493,981,524,1217,555,1501,585,1808,621,2140,651,2471,682,2778,713,3109,748,3393,779,3630,810,3867,845,4032,876,4198,906,4293,937,4387,973,4434,1003,4458,1034,4458,1065,4410,1100,4387,1131,4316,1161,4245,1192,4174,1228,4079,1258,3984,1289,3890,1319,3772,1355,3677,1386,3583,1416,3488,1447,3393,1482,3299,1513,3204,1544,3086,1579,2992,1610,2897,1641,2802,1671,2684,1707,2613,1737,2518,1768,2447,1799,2376,1834,2305,1865,2211,1896,2140,1926,2069,1962,1998,1992,1950,2023,1880,2054,1808,2089,1738,2120,1690,2150,1619,2181,1572,2217,1524,2247,1501,2278,1454,2314,1430,2344,1383,2375,1359,2405,1312,2441,1264,2472,1217,2502,1194,2533,1146,2569,1146,2599,1123,2630,1099,2660,1075,2696,1052,2726,1052,2757,1028,2788,1005,2823,981,2854,957,2885,957,2920,933,2951,910,2981,886,3012,886m12,23l42,23,73,23,103,23,139,23,170,23,200,23,236,23,267,23,297,23,328,23,363,46,394,70,425,118,455,165,491,235,521,283,552,354,583,425,618,496,649,591,680,685,710,780,746,874,776,945,807,1040,843,1111,873,1158,904,1205,934,1253,970,1277,1001,1300,1031,1324,1062,1324,1098,1347,1128,1347,1159,1347,1189,1324,1225,1300,1256,1277,1286,1229,1317,1205,1353,1158,1383,1111,1414,1087,1444,1064,1480,1016,1510,969,1541,922,1577,874,1607,827,1638,803,1669,756,1704,732,1735,709,1765,685,1796,661,1832,638,1862,614,1893,591,1924,543,1959,519,1990,496,2020,472,2051,449,2087,425,2117,401,2148,377,2178,377,2214,354,2245,330,2275,307,2311,283,2342,283,2372,259,2403,259,2438,259,2469,235,2500,235,2530,212,2566,188,2597,188,2627,188,2658,165,2693,165,2724,141,2755,141,2785,141,2821,118,2852,118,2882,118,2918,118,2948,118,2979,93,3009,93e" filled="false" stroked="true" strokeweight=".715934pt" strokecolor="#000000">
                  <v:path arrowok="t"/>
                  <v:stroke dashstyle="solid"/>
                </v:shape>
                <v:shape style="position:absolute;left:1035;top:1174;width:2080;height:3280" id="docshape543" coordorigin="1036,1175" coordsize="2080,3280" path="m1196,1335l3116,1175m1036,4455l2316,4455e" filled="false" stroked="true" strokeweight=".75pt" strokecolor="#000000">
                  <v:path arrowok="t"/>
                  <v:stroke dashstyle="solid"/>
                </v:shape>
                <v:shape style="position:absolute;left:2395;top:4305;width:793;height:269" type="#_x0000_t202" id="docshape544" filled="false" stroked="false">
                  <v:textbox inset="0,0,0,0">
                    <w:txbxContent>
                      <w:p>
                        <w:pPr>
                          <w:spacing w:line="268" w:lineRule="exact" w:before="0"/>
                          <w:ind w:left="0" w:right="0" w:firstLine="0"/>
                          <w:jc w:val="left"/>
                          <w:rPr>
                            <w:rFonts w:ascii="Arial MT"/>
                            <w:sz w:val="24"/>
                          </w:rPr>
                        </w:pPr>
                        <w:r>
                          <w:rPr>
                            <w:rFonts w:ascii="Arial MT"/>
                            <w:spacing w:val="-2"/>
                            <w:sz w:val="24"/>
                          </w:rPr>
                          <w:t>Control</w:t>
                        </w:r>
                      </w:p>
                    </w:txbxContent>
                  </v:textbox>
                  <w10:wrap type="none"/>
                </v:shape>
              </v:group>
            </w:pict>
          </mc:Fallback>
        </mc:AlternateContent>
      </w:r>
      <w:r>
        <w:rPr>
          <w:rFonts w:ascii="Arial MT"/>
          <w:sz w:val="20"/>
        </w:rPr>
      </w: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spacing w:before="265"/>
        <w:rPr>
          <w:rFonts w:ascii="Arial MT"/>
        </w:rPr>
      </w:pPr>
    </w:p>
    <w:p>
      <w:pPr>
        <w:spacing w:before="1"/>
        <w:ind w:left="681" w:right="0" w:firstLine="0"/>
        <w:jc w:val="left"/>
        <w:rPr>
          <w:b/>
          <w:sz w:val="24"/>
        </w:rPr>
      </w:pPr>
      <w:r>
        <w:rPr>
          <w:b/>
          <w:sz w:val="24"/>
        </w:rPr>
        <w:t>Effect</w:t>
      </w:r>
      <w:r>
        <w:rPr>
          <w:b/>
          <w:spacing w:val="1"/>
          <w:sz w:val="24"/>
        </w:rPr>
        <w:t> </w:t>
      </w:r>
      <w:r>
        <w:rPr>
          <w:b/>
          <w:sz w:val="24"/>
        </w:rPr>
        <w:t>of</w:t>
      </w:r>
      <w:r>
        <w:rPr>
          <w:b/>
          <w:spacing w:val="-2"/>
          <w:sz w:val="24"/>
        </w:rPr>
        <w:t> </w:t>
      </w:r>
      <w:r>
        <w:rPr>
          <w:b/>
          <w:sz w:val="24"/>
        </w:rPr>
        <w:t>100 uM S23 at</w:t>
      </w:r>
      <w:r>
        <w:rPr>
          <w:b/>
          <w:spacing w:val="1"/>
          <w:sz w:val="24"/>
        </w:rPr>
        <w:t> </w:t>
      </w:r>
      <w:r>
        <w:rPr>
          <w:b/>
          <w:sz w:val="24"/>
        </w:rPr>
        <w:t>-60</w:t>
      </w:r>
      <w:r>
        <w:rPr>
          <w:b/>
          <w:spacing w:val="1"/>
          <w:sz w:val="24"/>
        </w:rPr>
        <w:t> </w:t>
      </w:r>
      <w:r>
        <w:rPr>
          <w:b/>
          <w:sz w:val="24"/>
        </w:rPr>
        <w:t>mV</w:t>
      </w:r>
      <w:r>
        <w:rPr>
          <w:b/>
          <w:spacing w:val="-1"/>
          <w:sz w:val="24"/>
        </w:rPr>
        <w:t> </w:t>
      </w:r>
      <w:r>
        <w:rPr>
          <w:b/>
          <w:sz w:val="24"/>
        </w:rPr>
        <w:t>and</w:t>
      </w:r>
      <w:r>
        <w:rPr>
          <w:b/>
          <w:spacing w:val="-2"/>
          <w:sz w:val="24"/>
        </w:rPr>
        <w:t> </w:t>
      </w:r>
      <w:r>
        <w:rPr>
          <w:b/>
          <w:sz w:val="24"/>
        </w:rPr>
        <w:t>-100</w:t>
      </w:r>
      <w:r>
        <w:rPr>
          <w:b/>
          <w:spacing w:val="-4"/>
          <w:sz w:val="24"/>
        </w:rPr>
        <w:t> </w:t>
      </w:r>
      <w:r>
        <w:rPr>
          <w:b/>
          <w:sz w:val="24"/>
        </w:rPr>
        <w:t>mV</w:t>
      </w:r>
      <w:r>
        <w:rPr>
          <w:b/>
          <w:spacing w:val="-1"/>
          <w:sz w:val="24"/>
        </w:rPr>
        <w:t> </w:t>
      </w:r>
      <w:r>
        <w:rPr>
          <w:b/>
          <w:sz w:val="24"/>
        </w:rPr>
        <w:t>on</w:t>
      </w:r>
      <w:r>
        <w:rPr>
          <w:b/>
          <w:spacing w:val="-3"/>
          <w:sz w:val="24"/>
        </w:rPr>
        <w:t> </w:t>
      </w:r>
      <w:r>
        <w:rPr>
          <w:b/>
          <w:sz w:val="24"/>
        </w:rPr>
        <w:t>NaV </w:t>
      </w:r>
      <w:r>
        <w:rPr>
          <w:b/>
          <w:spacing w:val="-5"/>
          <w:sz w:val="24"/>
        </w:rPr>
        <w:t>1.6</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rPr>
      </w:pPr>
    </w:p>
    <w:p>
      <w:pPr>
        <w:spacing w:before="0"/>
        <w:ind w:left="681" w:right="0" w:firstLine="0"/>
        <w:jc w:val="left"/>
        <w:rPr>
          <w:b/>
          <w:sz w:val="24"/>
        </w:rPr>
      </w:pPr>
      <w:r>
        <w:rPr>
          <w:b/>
          <w:sz w:val="24"/>
        </w:rPr>
        <w:t>APPENDIX</w:t>
      </w:r>
      <w:r>
        <w:rPr>
          <w:b/>
          <w:spacing w:val="-4"/>
          <w:sz w:val="24"/>
        </w:rPr>
        <w:t> </w:t>
      </w:r>
      <w:r>
        <w:rPr>
          <w:b/>
          <w:sz w:val="24"/>
        </w:rPr>
        <w:t>J:</w:t>
      </w:r>
      <w:r>
        <w:rPr>
          <w:b/>
          <w:spacing w:val="-3"/>
          <w:sz w:val="24"/>
        </w:rPr>
        <w:t> </w:t>
      </w:r>
      <w:r>
        <w:rPr>
          <w:b/>
          <w:sz w:val="24"/>
        </w:rPr>
        <w:t>ANALYTICAL</w:t>
      </w:r>
      <w:r>
        <w:rPr>
          <w:b/>
          <w:spacing w:val="-4"/>
          <w:sz w:val="24"/>
        </w:rPr>
        <w:t> </w:t>
      </w:r>
      <w:r>
        <w:rPr>
          <w:b/>
          <w:spacing w:val="-2"/>
          <w:sz w:val="24"/>
        </w:rPr>
        <w:t>SPECTRA</w:t>
      </w:r>
    </w:p>
    <w:p>
      <w:pPr>
        <w:spacing w:after="0"/>
        <w:jc w:val="left"/>
        <w:rPr>
          <w:sz w:val="24"/>
        </w:rPr>
        <w:sectPr>
          <w:pgSz w:w="12240" w:h="15840"/>
          <w:pgMar w:header="0" w:footer="1066" w:top="1820" w:bottom="1260" w:left="1480" w:right="1160"/>
        </w:sectPr>
      </w:pPr>
    </w:p>
    <w:p>
      <w:pPr>
        <w:pStyle w:val="BodyText"/>
        <w:spacing w:before="4"/>
        <w:rPr>
          <w:b/>
          <w:sz w:val="17"/>
        </w:rPr>
      </w:pPr>
    </w:p>
    <w:p>
      <w:pPr>
        <w:spacing w:after="0"/>
        <w:rPr>
          <w:sz w:val="17"/>
        </w:rPr>
        <w:sectPr>
          <w:pgSz w:w="12240" w:h="15840"/>
          <w:pgMar w:header="0" w:footer="1066" w:top="1820" w:bottom="1260" w:left="1480" w:right="1160"/>
        </w:sectPr>
      </w:pPr>
    </w:p>
    <w:p>
      <w:pPr>
        <w:pStyle w:val="BodyText"/>
        <w:spacing w:before="4"/>
        <w:rPr>
          <w:b/>
          <w:sz w:val="17"/>
        </w:rPr>
      </w:pPr>
    </w:p>
    <w:sectPr>
      <w:pgSz w:w="12240" w:h="15840"/>
      <w:pgMar w:header="0" w:footer="1066" w:top="1820" w:bottom="1260" w:left="148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Lucida Sans Unicode">
    <w:altName w:val="Lucida Sans Unicode"/>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10656">
              <wp:simplePos x="0" y="0"/>
              <wp:positionH relativeFrom="page">
                <wp:posOffset>3782567</wp:posOffset>
              </wp:positionH>
              <wp:positionV relativeFrom="page">
                <wp:posOffset>10059246</wp:posOffset>
              </wp:positionV>
              <wp:extent cx="36893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68935"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7.839996pt;margin-top:792.06665pt;width:29.05pt;height:15.3pt;mso-position-horizontal-relative:page;mso-position-vertical-relative:page;z-index:-19405824" type="#_x0000_t202" id="docshape1"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11168">
              <wp:simplePos x="0" y="0"/>
              <wp:positionH relativeFrom="page">
                <wp:posOffset>3962400</wp:posOffset>
              </wp:positionH>
              <wp:positionV relativeFrom="page">
                <wp:posOffset>9242077</wp:posOffset>
              </wp:positionV>
              <wp:extent cx="317500"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312pt;margin-top:727.722656pt;width:25pt;height:15.3pt;mso-position-horizontal-relative:page;mso-position-vertical-relative:page;z-index:-19405312" type="#_x0000_t202" id="docshape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6"/>
      <w:numFmt w:val="decimal"/>
      <w:lvlText w:val="%1"/>
      <w:lvlJc w:val="left"/>
      <w:pPr>
        <w:ind w:left="2130" w:hanging="365"/>
        <w:jc w:val="left"/>
      </w:pPr>
      <w:rPr>
        <w:rFonts w:hint="default"/>
        <w:lang w:val="en-US" w:eastAsia="en-US" w:bidi="ar-SA"/>
      </w:rPr>
    </w:lvl>
    <w:lvl w:ilvl="1">
      <w:start w:val="0"/>
      <w:numFmt w:val="decimal"/>
      <w:lvlText w:val="%1.%2"/>
      <w:lvlJc w:val="left"/>
      <w:pPr>
        <w:ind w:left="2130" w:hanging="365"/>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632" w:hanging="365"/>
      </w:pPr>
      <w:rPr>
        <w:rFonts w:hint="default"/>
        <w:lang w:val="en-US" w:eastAsia="en-US" w:bidi="ar-SA"/>
      </w:rPr>
    </w:lvl>
    <w:lvl w:ilvl="3">
      <w:start w:val="0"/>
      <w:numFmt w:val="bullet"/>
      <w:lvlText w:val="•"/>
      <w:lvlJc w:val="left"/>
      <w:pPr>
        <w:ind w:left="4378" w:hanging="365"/>
      </w:pPr>
      <w:rPr>
        <w:rFonts w:hint="default"/>
        <w:lang w:val="en-US" w:eastAsia="en-US" w:bidi="ar-SA"/>
      </w:rPr>
    </w:lvl>
    <w:lvl w:ilvl="4">
      <w:start w:val="0"/>
      <w:numFmt w:val="bullet"/>
      <w:lvlText w:val="•"/>
      <w:lvlJc w:val="left"/>
      <w:pPr>
        <w:ind w:left="5124" w:hanging="365"/>
      </w:pPr>
      <w:rPr>
        <w:rFonts w:hint="default"/>
        <w:lang w:val="en-US" w:eastAsia="en-US" w:bidi="ar-SA"/>
      </w:rPr>
    </w:lvl>
    <w:lvl w:ilvl="5">
      <w:start w:val="0"/>
      <w:numFmt w:val="bullet"/>
      <w:lvlText w:val="•"/>
      <w:lvlJc w:val="left"/>
      <w:pPr>
        <w:ind w:left="5870" w:hanging="365"/>
      </w:pPr>
      <w:rPr>
        <w:rFonts w:hint="default"/>
        <w:lang w:val="en-US" w:eastAsia="en-US" w:bidi="ar-SA"/>
      </w:rPr>
    </w:lvl>
    <w:lvl w:ilvl="6">
      <w:start w:val="0"/>
      <w:numFmt w:val="bullet"/>
      <w:lvlText w:val="•"/>
      <w:lvlJc w:val="left"/>
      <w:pPr>
        <w:ind w:left="6616" w:hanging="365"/>
      </w:pPr>
      <w:rPr>
        <w:rFonts w:hint="default"/>
        <w:lang w:val="en-US" w:eastAsia="en-US" w:bidi="ar-SA"/>
      </w:rPr>
    </w:lvl>
    <w:lvl w:ilvl="7">
      <w:start w:val="0"/>
      <w:numFmt w:val="bullet"/>
      <w:lvlText w:val="•"/>
      <w:lvlJc w:val="left"/>
      <w:pPr>
        <w:ind w:left="7362" w:hanging="365"/>
      </w:pPr>
      <w:rPr>
        <w:rFonts w:hint="default"/>
        <w:lang w:val="en-US" w:eastAsia="en-US" w:bidi="ar-SA"/>
      </w:rPr>
    </w:lvl>
    <w:lvl w:ilvl="8">
      <w:start w:val="0"/>
      <w:numFmt w:val="bullet"/>
      <w:lvlText w:val="•"/>
      <w:lvlJc w:val="left"/>
      <w:pPr>
        <w:ind w:left="8108" w:hanging="365"/>
      </w:pPr>
      <w:rPr>
        <w:rFonts w:hint="default"/>
        <w:lang w:val="en-US" w:eastAsia="en-US" w:bidi="ar-SA"/>
      </w:rPr>
    </w:lvl>
  </w:abstractNum>
  <w:abstractNum w:abstractNumId="16">
    <w:multiLevelType w:val="hybridMultilevel"/>
    <w:lvl w:ilvl="0">
      <w:start w:val="5"/>
      <w:numFmt w:val="decimal"/>
      <w:lvlText w:val="%1"/>
      <w:lvlJc w:val="left"/>
      <w:pPr>
        <w:ind w:left="4449" w:hanging="365"/>
        <w:jc w:val="left"/>
      </w:pPr>
      <w:rPr>
        <w:rFonts w:hint="default"/>
        <w:lang w:val="en-US" w:eastAsia="en-US" w:bidi="ar-SA"/>
      </w:rPr>
    </w:lvl>
    <w:lvl w:ilvl="1">
      <w:start w:val="0"/>
      <w:numFmt w:val="decimal"/>
      <w:lvlText w:val="%1.%2"/>
      <w:lvlJc w:val="left"/>
      <w:pPr>
        <w:ind w:left="4449" w:hanging="365"/>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472" w:hanging="365"/>
      </w:pPr>
      <w:rPr>
        <w:rFonts w:hint="default"/>
        <w:lang w:val="en-US" w:eastAsia="en-US" w:bidi="ar-SA"/>
      </w:rPr>
    </w:lvl>
    <w:lvl w:ilvl="3">
      <w:start w:val="0"/>
      <w:numFmt w:val="bullet"/>
      <w:lvlText w:val="•"/>
      <w:lvlJc w:val="left"/>
      <w:pPr>
        <w:ind w:left="5988" w:hanging="365"/>
      </w:pPr>
      <w:rPr>
        <w:rFonts w:hint="default"/>
        <w:lang w:val="en-US" w:eastAsia="en-US" w:bidi="ar-SA"/>
      </w:rPr>
    </w:lvl>
    <w:lvl w:ilvl="4">
      <w:start w:val="0"/>
      <w:numFmt w:val="bullet"/>
      <w:lvlText w:val="•"/>
      <w:lvlJc w:val="left"/>
      <w:pPr>
        <w:ind w:left="6504" w:hanging="365"/>
      </w:pPr>
      <w:rPr>
        <w:rFonts w:hint="default"/>
        <w:lang w:val="en-US" w:eastAsia="en-US" w:bidi="ar-SA"/>
      </w:rPr>
    </w:lvl>
    <w:lvl w:ilvl="5">
      <w:start w:val="0"/>
      <w:numFmt w:val="bullet"/>
      <w:lvlText w:val="•"/>
      <w:lvlJc w:val="left"/>
      <w:pPr>
        <w:ind w:left="7020" w:hanging="365"/>
      </w:pPr>
      <w:rPr>
        <w:rFonts w:hint="default"/>
        <w:lang w:val="en-US" w:eastAsia="en-US" w:bidi="ar-SA"/>
      </w:rPr>
    </w:lvl>
    <w:lvl w:ilvl="6">
      <w:start w:val="0"/>
      <w:numFmt w:val="bullet"/>
      <w:lvlText w:val="•"/>
      <w:lvlJc w:val="left"/>
      <w:pPr>
        <w:ind w:left="7536" w:hanging="365"/>
      </w:pPr>
      <w:rPr>
        <w:rFonts w:hint="default"/>
        <w:lang w:val="en-US" w:eastAsia="en-US" w:bidi="ar-SA"/>
      </w:rPr>
    </w:lvl>
    <w:lvl w:ilvl="7">
      <w:start w:val="0"/>
      <w:numFmt w:val="bullet"/>
      <w:lvlText w:val="•"/>
      <w:lvlJc w:val="left"/>
      <w:pPr>
        <w:ind w:left="8052" w:hanging="365"/>
      </w:pPr>
      <w:rPr>
        <w:rFonts w:hint="default"/>
        <w:lang w:val="en-US" w:eastAsia="en-US" w:bidi="ar-SA"/>
      </w:rPr>
    </w:lvl>
    <w:lvl w:ilvl="8">
      <w:start w:val="0"/>
      <w:numFmt w:val="bullet"/>
      <w:lvlText w:val="•"/>
      <w:lvlJc w:val="left"/>
      <w:pPr>
        <w:ind w:left="8568" w:hanging="365"/>
      </w:pPr>
      <w:rPr>
        <w:rFonts w:hint="default"/>
        <w:lang w:val="en-US" w:eastAsia="en-US" w:bidi="ar-SA"/>
      </w:rPr>
    </w:lvl>
  </w:abstractNum>
  <w:abstractNum w:abstractNumId="15">
    <w:multiLevelType w:val="hybridMultilevel"/>
    <w:lvl w:ilvl="0">
      <w:start w:val="4"/>
      <w:numFmt w:val="decimal"/>
      <w:lvlText w:val="%1"/>
      <w:lvlJc w:val="left"/>
      <w:pPr>
        <w:ind w:left="1223" w:hanging="543"/>
        <w:jc w:val="left"/>
      </w:pPr>
      <w:rPr>
        <w:rFonts w:hint="default"/>
        <w:lang w:val="en-US" w:eastAsia="en-US" w:bidi="ar-SA"/>
      </w:rPr>
    </w:lvl>
    <w:lvl w:ilvl="1">
      <w:start w:val="3"/>
      <w:numFmt w:val="decimal"/>
      <w:lvlText w:val="%1.%2"/>
      <w:lvlJc w:val="left"/>
      <w:pPr>
        <w:ind w:left="1223" w:hanging="543"/>
        <w:jc w:val="left"/>
      </w:pPr>
      <w:rPr>
        <w:rFonts w:hint="default"/>
        <w:lang w:val="en-US" w:eastAsia="en-US" w:bidi="ar-SA"/>
      </w:rPr>
    </w:lvl>
    <w:lvl w:ilvl="2">
      <w:start w:val="6"/>
      <w:numFmt w:val="decimal"/>
      <w:lvlText w:val="%1.%2.%3"/>
      <w:lvlJc w:val="left"/>
      <w:pPr>
        <w:ind w:left="1223" w:hanging="543"/>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34" w:hanging="543"/>
      </w:pPr>
      <w:rPr>
        <w:rFonts w:hint="default"/>
        <w:lang w:val="en-US" w:eastAsia="en-US" w:bidi="ar-SA"/>
      </w:rPr>
    </w:lvl>
    <w:lvl w:ilvl="4">
      <w:start w:val="0"/>
      <w:numFmt w:val="bullet"/>
      <w:lvlText w:val="•"/>
      <w:lvlJc w:val="left"/>
      <w:pPr>
        <w:ind w:left="4572" w:hanging="543"/>
      </w:pPr>
      <w:rPr>
        <w:rFonts w:hint="default"/>
        <w:lang w:val="en-US" w:eastAsia="en-US" w:bidi="ar-SA"/>
      </w:rPr>
    </w:lvl>
    <w:lvl w:ilvl="5">
      <w:start w:val="0"/>
      <w:numFmt w:val="bullet"/>
      <w:lvlText w:val="•"/>
      <w:lvlJc w:val="left"/>
      <w:pPr>
        <w:ind w:left="5410" w:hanging="543"/>
      </w:pPr>
      <w:rPr>
        <w:rFonts w:hint="default"/>
        <w:lang w:val="en-US" w:eastAsia="en-US" w:bidi="ar-SA"/>
      </w:rPr>
    </w:lvl>
    <w:lvl w:ilvl="6">
      <w:start w:val="0"/>
      <w:numFmt w:val="bullet"/>
      <w:lvlText w:val="•"/>
      <w:lvlJc w:val="left"/>
      <w:pPr>
        <w:ind w:left="6248" w:hanging="543"/>
      </w:pPr>
      <w:rPr>
        <w:rFonts w:hint="default"/>
        <w:lang w:val="en-US" w:eastAsia="en-US" w:bidi="ar-SA"/>
      </w:rPr>
    </w:lvl>
    <w:lvl w:ilvl="7">
      <w:start w:val="0"/>
      <w:numFmt w:val="bullet"/>
      <w:lvlText w:val="•"/>
      <w:lvlJc w:val="left"/>
      <w:pPr>
        <w:ind w:left="7086" w:hanging="543"/>
      </w:pPr>
      <w:rPr>
        <w:rFonts w:hint="default"/>
        <w:lang w:val="en-US" w:eastAsia="en-US" w:bidi="ar-SA"/>
      </w:rPr>
    </w:lvl>
    <w:lvl w:ilvl="8">
      <w:start w:val="0"/>
      <w:numFmt w:val="bullet"/>
      <w:lvlText w:val="•"/>
      <w:lvlJc w:val="left"/>
      <w:pPr>
        <w:ind w:left="7924" w:hanging="543"/>
      </w:pPr>
      <w:rPr>
        <w:rFonts w:hint="default"/>
        <w:lang w:val="en-US" w:eastAsia="en-US" w:bidi="ar-SA"/>
      </w:rPr>
    </w:lvl>
  </w:abstractNum>
  <w:abstractNum w:abstractNumId="14">
    <w:multiLevelType w:val="hybridMultilevel"/>
    <w:lvl w:ilvl="0">
      <w:start w:val="4"/>
      <w:numFmt w:val="decimal"/>
      <w:lvlText w:val="%1"/>
      <w:lvlJc w:val="left"/>
      <w:pPr>
        <w:ind w:left="4636" w:hanging="365"/>
        <w:jc w:val="left"/>
      </w:pPr>
      <w:rPr>
        <w:rFonts w:hint="default"/>
        <w:lang w:val="en-US" w:eastAsia="en-US" w:bidi="ar-SA"/>
      </w:rPr>
    </w:lvl>
    <w:lvl w:ilvl="1">
      <w:start w:val="0"/>
      <w:numFmt w:val="decimal"/>
      <w:lvlText w:val="%1.%2"/>
      <w:lvlJc w:val="left"/>
      <w:pPr>
        <w:ind w:left="4636" w:hanging="365"/>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632" w:hanging="365"/>
      </w:pPr>
      <w:rPr>
        <w:rFonts w:hint="default"/>
        <w:lang w:val="en-US" w:eastAsia="en-US" w:bidi="ar-SA"/>
      </w:rPr>
    </w:lvl>
    <w:lvl w:ilvl="3">
      <w:start w:val="0"/>
      <w:numFmt w:val="bullet"/>
      <w:lvlText w:val="•"/>
      <w:lvlJc w:val="left"/>
      <w:pPr>
        <w:ind w:left="6128" w:hanging="365"/>
      </w:pPr>
      <w:rPr>
        <w:rFonts w:hint="default"/>
        <w:lang w:val="en-US" w:eastAsia="en-US" w:bidi="ar-SA"/>
      </w:rPr>
    </w:lvl>
    <w:lvl w:ilvl="4">
      <w:start w:val="0"/>
      <w:numFmt w:val="bullet"/>
      <w:lvlText w:val="•"/>
      <w:lvlJc w:val="left"/>
      <w:pPr>
        <w:ind w:left="6624" w:hanging="365"/>
      </w:pPr>
      <w:rPr>
        <w:rFonts w:hint="default"/>
        <w:lang w:val="en-US" w:eastAsia="en-US" w:bidi="ar-SA"/>
      </w:rPr>
    </w:lvl>
    <w:lvl w:ilvl="5">
      <w:start w:val="0"/>
      <w:numFmt w:val="bullet"/>
      <w:lvlText w:val="•"/>
      <w:lvlJc w:val="left"/>
      <w:pPr>
        <w:ind w:left="7120" w:hanging="365"/>
      </w:pPr>
      <w:rPr>
        <w:rFonts w:hint="default"/>
        <w:lang w:val="en-US" w:eastAsia="en-US" w:bidi="ar-SA"/>
      </w:rPr>
    </w:lvl>
    <w:lvl w:ilvl="6">
      <w:start w:val="0"/>
      <w:numFmt w:val="bullet"/>
      <w:lvlText w:val="•"/>
      <w:lvlJc w:val="left"/>
      <w:pPr>
        <w:ind w:left="7616" w:hanging="365"/>
      </w:pPr>
      <w:rPr>
        <w:rFonts w:hint="default"/>
        <w:lang w:val="en-US" w:eastAsia="en-US" w:bidi="ar-SA"/>
      </w:rPr>
    </w:lvl>
    <w:lvl w:ilvl="7">
      <w:start w:val="0"/>
      <w:numFmt w:val="bullet"/>
      <w:lvlText w:val="•"/>
      <w:lvlJc w:val="left"/>
      <w:pPr>
        <w:ind w:left="8112" w:hanging="365"/>
      </w:pPr>
      <w:rPr>
        <w:rFonts w:hint="default"/>
        <w:lang w:val="en-US" w:eastAsia="en-US" w:bidi="ar-SA"/>
      </w:rPr>
    </w:lvl>
    <w:lvl w:ilvl="8">
      <w:start w:val="0"/>
      <w:numFmt w:val="bullet"/>
      <w:lvlText w:val="•"/>
      <w:lvlJc w:val="left"/>
      <w:pPr>
        <w:ind w:left="8608" w:hanging="365"/>
      </w:pPr>
      <w:rPr>
        <w:rFonts w:hint="default"/>
        <w:lang w:val="en-US" w:eastAsia="en-US" w:bidi="ar-SA"/>
      </w:rPr>
    </w:lvl>
  </w:abstractNum>
  <w:abstractNum w:abstractNumId="13">
    <w:multiLevelType w:val="hybridMultilevel"/>
    <w:lvl w:ilvl="0">
      <w:start w:val="4"/>
      <w:numFmt w:val="decimal"/>
      <w:lvlText w:val="%1-"/>
      <w:lvlJc w:val="left"/>
      <w:pPr>
        <w:ind w:left="681" w:hanging="202"/>
        <w:jc w:val="left"/>
      </w:pPr>
      <w:rPr>
        <w:rFonts w:hint="default" w:ascii="Times New Roman" w:hAnsi="Times New Roman" w:eastAsia="Times New Roman" w:cs="Times New Roman"/>
        <w:b w:val="0"/>
        <w:bCs w:val="0"/>
        <w:i w:val="0"/>
        <w:iCs w:val="0"/>
        <w:spacing w:val="0"/>
        <w:w w:val="98"/>
        <w:sz w:val="22"/>
        <w:szCs w:val="22"/>
        <w:lang w:val="en-US" w:eastAsia="en-US" w:bidi="ar-SA"/>
      </w:rPr>
    </w:lvl>
    <w:lvl w:ilvl="1">
      <w:start w:val="1"/>
      <w:numFmt w:val="decimal"/>
      <w:lvlText w:val="%1.%2"/>
      <w:lvlJc w:val="left"/>
      <w:pPr>
        <w:ind w:left="1045" w:hanging="365"/>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681" w:hanging="58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267" w:hanging="581"/>
      </w:pPr>
      <w:rPr>
        <w:rFonts w:hint="default"/>
        <w:lang w:val="en-US" w:eastAsia="en-US" w:bidi="ar-SA"/>
      </w:rPr>
    </w:lvl>
    <w:lvl w:ilvl="4">
      <w:start w:val="0"/>
      <w:numFmt w:val="bullet"/>
      <w:lvlText w:val="•"/>
      <w:lvlJc w:val="left"/>
      <w:pPr>
        <w:ind w:left="3315" w:hanging="581"/>
      </w:pPr>
      <w:rPr>
        <w:rFonts w:hint="default"/>
        <w:lang w:val="en-US" w:eastAsia="en-US" w:bidi="ar-SA"/>
      </w:rPr>
    </w:lvl>
    <w:lvl w:ilvl="5">
      <w:start w:val="0"/>
      <w:numFmt w:val="bullet"/>
      <w:lvlText w:val="•"/>
      <w:lvlJc w:val="left"/>
      <w:pPr>
        <w:ind w:left="4362" w:hanging="581"/>
      </w:pPr>
      <w:rPr>
        <w:rFonts w:hint="default"/>
        <w:lang w:val="en-US" w:eastAsia="en-US" w:bidi="ar-SA"/>
      </w:rPr>
    </w:lvl>
    <w:lvl w:ilvl="6">
      <w:start w:val="0"/>
      <w:numFmt w:val="bullet"/>
      <w:lvlText w:val="•"/>
      <w:lvlJc w:val="left"/>
      <w:pPr>
        <w:ind w:left="5410" w:hanging="581"/>
      </w:pPr>
      <w:rPr>
        <w:rFonts w:hint="default"/>
        <w:lang w:val="en-US" w:eastAsia="en-US" w:bidi="ar-SA"/>
      </w:rPr>
    </w:lvl>
    <w:lvl w:ilvl="7">
      <w:start w:val="0"/>
      <w:numFmt w:val="bullet"/>
      <w:lvlText w:val="•"/>
      <w:lvlJc w:val="left"/>
      <w:pPr>
        <w:ind w:left="6457" w:hanging="581"/>
      </w:pPr>
      <w:rPr>
        <w:rFonts w:hint="default"/>
        <w:lang w:val="en-US" w:eastAsia="en-US" w:bidi="ar-SA"/>
      </w:rPr>
    </w:lvl>
    <w:lvl w:ilvl="8">
      <w:start w:val="0"/>
      <w:numFmt w:val="bullet"/>
      <w:lvlText w:val="•"/>
      <w:lvlJc w:val="left"/>
      <w:pPr>
        <w:ind w:left="7505" w:hanging="581"/>
      </w:pPr>
      <w:rPr>
        <w:rFonts w:hint="default"/>
        <w:lang w:val="en-US" w:eastAsia="en-US" w:bidi="ar-SA"/>
      </w:rPr>
    </w:lvl>
  </w:abstractNum>
  <w:abstractNum w:abstractNumId="12">
    <w:multiLevelType w:val="hybridMultilevel"/>
    <w:lvl w:ilvl="0">
      <w:start w:val="3"/>
      <w:numFmt w:val="decimal"/>
      <w:lvlText w:val="%1"/>
      <w:lvlJc w:val="left"/>
      <w:pPr>
        <w:ind w:left="3202" w:hanging="481"/>
        <w:jc w:val="left"/>
      </w:pPr>
      <w:rPr>
        <w:rFonts w:hint="default"/>
        <w:lang w:val="en-US" w:eastAsia="en-US" w:bidi="ar-SA"/>
      </w:rPr>
    </w:lvl>
    <w:lvl w:ilvl="1">
      <w:start w:val="0"/>
      <w:numFmt w:val="decimal"/>
      <w:lvlText w:val="%1.%2"/>
      <w:lvlJc w:val="left"/>
      <w:pPr>
        <w:ind w:left="3202" w:hanging="48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681" w:hanging="700"/>
        <w:jc w:val="left"/>
      </w:pPr>
      <w:rPr>
        <w:rFonts w:hint="default"/>
        <w:spacing w:val="0"/>
        <w:w w:val="100"/>
        <w:lang w:val="en-US" w:eastAsia="en-US" w:bidi="ar-SA"/>
      </w:rPr>
    </w:lvl>
    <w:lvl w:ilvl="3">
      <w:start w:val="1"/>
      <w:numFmt w:val="decimal"/>
      <w:lvlText w:val="%1.%2.%3.%4"/>
      <w:lvlJc w:val="left"/>
      <w:pPr>
        <w:ind w:left="1582" w:hanging="700"/>
        <w:jc w:val="left"/>
      </w:pPr>
      <w:rPr>
        <w:rFonts w:hint="default" w:ascii="Times New Roman" w:hAnsi="Times New Roman" w:eastAsia="Times New Roman" w:cs="Times New Roman"/>
        <w:b w:val="0"/>
        <w:bCs w:val="0"/>
        <w:i/>
        <w:iCs/>
        <w:spacing w:val="-5"/>
        <w:w w:val="100"/>
        <w:sz w:val="24"/>
        <w:szCs w:val="24"/>
        <w:lang w:val="en-US" w:eastAsia="en-US" w:bidi="ar-SA"/>
      </w:rPr>
    </w:lvl>
    <w:lvl w:ilvl="4">
      <w:start w:val="0"/>
      <w:numFmt w:val="bullet"/>
      <w:lvlText w:val="•"/>
      <w:lvlJc w:val="left"/>
      <w:pPr>
        <w:ind w:left="3200" w:hanging="700"/>
      </w:pPr>
      <w:rPr>
        <w:rFonts w:hint="default"/>
        <w:lang w:val="en-US" w:eastAsia="en-US" w:bidi="ar-SA"/>
      </w:rPr>
    </w:lvl>
    <w:lvl w:ilvl="5">
      <w:start w:val="0"/>
      <w:numFmt w:val="bullet"/>
      <w:lvlText w:val="•"/>
      <w:lvlJc w:val="left"/>
      <w:pPr>
        <w:ind w:left="4266" w:hanging="700"/>
      </w:pPr>
      <w:rPr>
        <w:rFonts w:hint="default"/>
        <w:lang w:val="en-US" w:eastAsia="en-US" w:bidi="ar-SA"/>
      </w:rPr>
    </w:lvl>
    <w:lvl w:ilvl="6">
      <w:start w:val="0"/>
      <w:numFmt w:val="bullet"/>
      <w:lvlText w:val="•"/>
      <w:lvlJc w:val="left"/>
      <w:pPr>
        <w:ind w:left="5333" w:hanging="700"/>
      </w:pPr>
      <w:rPr>
        <w:rFonts w:hint="default"/>
        <w:lang w:val="en-US" w:eastAsia="en-US" w:bidi="ar-SA"/>
      </w:rPr>
    </w:lvl>
    <w:lvl w:ilvl="7">
      <w:start w:val="0"/>
      <w:numFmt w:val="bullet"/>
      <w:lvlText w:val="•"/>
      <w:lvlJc w:val="left"/>
      <w:pPr>
        <w:ind w:left="6400" w:hanging="700"/>
      </w:pPr>
      <w:rPr>
        <w:rFonts w:hint="default"/>
        <w:lang w:val="en-US" w:eastAsia="en-US" w:bidi="ar-SA"/>
      </w:rPr>
    </w:lvl>
    <w:lvl w:ilvl="8">
      <w:start w:val="0"/>
      <w:numFmt w:val="bullet"/>
      <w:lvlText w:val="•"/>
      <w:lvlJc w:val="left"/>
      <w:pPr>
        <w:ind w:left="7466" w:hanging="700"/>
      </w:pPr>
      <w:rPr>
        <w:rFonts w:hint="default"/>
        <w:lang w:val="en-US" w:eastAsia="en-US" w:bidi="ar-SA"/>
      </w:rPr>
    </w:lvl>
  </w:abstractNum>
  <w:abstractNum w:abstractNumId="11">
    <w:multiLevelType w:val="hybridMultilevel"/>
    <w:lvl w:ilvl="0">
      <w:start w:val="0"/>
      <w:numFmt w:val="bullet"/>
      <w:lvlText w:val="-"/>
      <w:lvlJc w:val="left"/>
      <w:pPr>
        <w:ind w:left="681" w:hanging="212"/>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72" w:hanging="212"/>
      </w:pPr>
      <w:rPr>
        <w:rFonts w:hint="default"/>
        <w:lang w:val="en-US" w:eastAsia="en-US" w:bidi="ar-SA"/>
      </w:rPr>
    </w:lvl>
    <w:lvl w:ilvl="2">
      <w:start w:val="0"/>
      <w:numFmt w:val="bullet"/>
      <w:lvlText w:val="•"/>
      <w:lvlJc w:val="left"/>
      <w:pPr>
        <w:ind w:left="2464" w:hanging="212"/>
      </w:pPr>
      <w:rPr>
        <w:rFonts w:hint="default"/>
        <w:lang w:val="en-US" w:eastAsia="en-US" w:bidi="ar-SA"/>
      </w:rPr>
    </w:lvl>
    <w:lvl w:ilvl="3">
      <w:start w:val="0"/>
      <w:numFmt w:val="bullet"/>
      <w:lvlText w:val="•"/>
      <w:lvlJc w:val="left"/>
      <w:pPr>
        <w:ind w:left="3356" w:hanging="212"/>
      </w:pPr>
      <w:rPr>
        <w:rFonts w:hint="default"/>
        <w:lang w:val="en-US" w:eastAsia="en-US" w:bidi="ar-SA"/>
      </w:rPr>
    </w:lvl>
    <w:lvl w:ilvl="4">
      <w:start w:val="0"/>
      <w:numFmt w:val="bullet"/>
      <w:lvlText w:val="•"/>
      <w:lvlJc w:val="left"/>
      <w:pPr>
        <w:ind w:left="4248" w:hanging="212"/>
      </w:pPr>
      <w:rPr>
        <w:rFonts w:hint="default"/>
        <w:lang w:val="en-US" w:eastAsia="en-US" w:bidi="ar-SA"/>
      </w:rPr>
    </w:lvl>
    <w:lvl w:ilvl="5">
      <w:start w:val="0"/>
      <w:numFmt w:val="bullet"/>
      <w:lvlText w:val="•"/>
      <w:lvlJc w:val="left"/>
      <w:pPr>
        <w:ind w:left="5140" w:hanging="212"/>
      </w:pPr>
      <w:rPr>
        <w:rFonts w:hint="default"/>
        <w:lang w:val="en-US" w:eastAsia="en-US" w:bidi="ar-SA"/>
      </w:rPr>
    </w:lvl>
    <w:lvl w:ilvl="6">
      <w:start w:val="0"/>
      <w:numFmt w:val="bullet"/>
      <w:lvlText w:val="•"/>
      <w:lvlJc w:val="left"/>
      <w:pPr>
        <w:ind w:left="6032" w:hanging="212"/>
      </w:pPr>
      <w:rPr>
        <w:rFonts w:hint="default"/>
        <w:lang w:val="en-US" w:eastAsia="en-US" w:bidi="ar-SA"/>
      </w:rPr>
    </w:lvl>
    <w:lvl w:ilvl="7">
      <w:start w:val="0"/>
      <w:numFmt w:val="bullet"/>
      <w:lvlText w:val="•"/>
      <w:lvlJc w:val="left"/>
      <w:pPr>
        <w:ind w:left="6924" w:hanging="212"/>
      </w:pPr>
      <w:rPr>
        <w:rFonts w:hint="default"/>
        <w:lang w:val="en-US" w:eastAsia="en-US" w:bidi="ar-SA"/>
      </w:rPr>
    </w:lvl>
    <w:lvl w:ilvl="8">
      <w:start w:val="0"/>
      <w:numFmt w:val="bullet"/>
      <w:lvlText w:val="•"/>
      <w:lvlJc w:val="left"/>
      <w:pPr>
        <w:ind w:left="7816" w:hanging="212"/>
      </w:pPr>
      <w:rPr>
        <w:rFonts w:hint="default"/>
        <w:lang w:val="en-US" w:eastAsia="en-US" w:bidi="ar-SA"/>
      </w:rPr>
    </w:lvl>
  </w:abstractNum>
  <w:abstractNum w:abstractNumId="10">
    <w:multiLevelType w:val="hybridMultilevel"/>
    <w:lvl w:ilvl="0">
      <w:start w:val="2"/>
      <w:numFmt w:val="decimal"/>
      <w:lvlText w:val="%1"/>
      <w:lvlJc w:val="left"/>
      <w:pPr>
        <w:ind w:left="1222" w:hanging="542"/>
        <w:jc w:val="left"/>
      </w:pPr>
      <w:rPr>
        <w:rFonts w:hint="default"/>
        <w:lang w:val="en-US" w:eastAsia="en-US" w:bidi="ar-SA"/>
      </w:rPr>
    </w:lvl>
    <w:lvl w:ilvl="1">
      <w:start w:val="9"/>
      <w:numFmt w:val="decimal"/>
      <w:lvlText w:val="%1.%2"/>
      <w:lvlJc w:val="left"/>
      <w:pPr>
        <w:ind w:left="1222" w:hanging="542"/>
        <w:jc w:val="left"/>
      </w:pPr>
      <w:rPr>
        <w:rFonts w:hint="default"/>
        <w:lang w:val="en-US" w:eastAsia="en-US" w:bidi="ar-SA"/>
      </w:rPr>
    </w:lvl>
    <w:lvl w:ilvl="2">
      <w:start w:val="3"/>
      <w:numFmt w:val="decimal"/>
      <w:lvlText w:val="%1.%2.%3."/>
      <w:lvlJc w:val="left"/>
      <w:pPr>
        <w:ind w:left="1222" w:hanging="542"/>
        <w:jc w:val="left"/>
      </w:pPr>
      <w:rPr>
        <w:rFonts w:hint="default" w:ascii="Times New Roman" w:hAnsi="Times New Roman" w:eastAsia="Times New Roman" w:cs="Times New Roman"/>
        <w:b w:val="0"/>
        <w:bCs w:val="0"/>
        <w:i/>
        <w:iCs/>
        <w:spacing w:val="-5"/>
        <w:w w:val="100"/>
        <w:sz w:val="22"/>
        <w:szCs w:val="22"/>
        <w:lang w:val="en-US" w:eastAsia="en-US" w:bidi="ar-SA"/>
      </w:rPr>
    </w:lvl>
    <w:lvl w:ilvl="3">
      <w:start w:val="0"/>
      <w:numFmt w:val="bullet"/>
      <w:lvlText w:val="•"/>
      <w:lvlJc w:val="left"/>
      <w:pPr>
        <w:ind w:left="3734" w:hanging="542"/>
      </w:pPr>
      <w:rPr>
        <w:rFonts w:hint="default"/>
        <w:lang w:val="en-US" w:eastAsia="en-US" w:bidi="ar-SA"/>
      </w:rPr>
    </w:lvl>
    <w:lvl w:ilvl="4">
      <w:start w:val="0"/>
      <w:numFmt w:val="bullet"/>
      <w:lvlText w:val="•"/>
      <w:lvlJc w:val="left"/>
      <w:pPr>
        <w:ind w:left="4572" w:hanging="542"/>
      </w:pPr>
      <w:rPr>
        <w:rFonts w:hint="default"/>
        <w:lang w:val="en-US" w:eastAsia="en-US" w:bidi="ar-SA"/>
      </w:rPr>
    </w:lvl>
    <w:lvl w:ilvl="5">
      <w:start w:val="0"/>
      <w:numFmt w:val="bullet"/>
      <w:lvlText w:val="•"/>
      <w:lvlJc w:val="left"/>
      <w:pPr>
        <w:ind w:left="5410" w:hanging="542"/>
      </w:pPr>
      <w:rPr>
        <w:rFonts w:hint="default"/>
        <w:lang w:val="en-US" w:eastAsia="en-US" w:bidi="ar-SA"/>
      </w:rPr>
    </w:lvl>
    <w:lvl w:ilvl="6">
      <w:start w:val="0"/>
      <w:numFmt w:val="bullet"/>
      <w:lvlText w:val="•"/>
      <w:lvlJc w:val="left"/>
      <w:pPr>
        <w:ind w:left="6248" w:hanging="542"/>
      </w:pPr>
      <w:rPr>
        <w:rFonts w:hint="default"/>
        <w:lang w:val="en-US" w:eastAsia="en-US" w:bidi="ar-SA"/>
      </w:rPr>
    </w:lvl>
    <w:lvl w:ilvl="7">
      <w:start w:val="0"/>
      <w:numFmt w:val="bullet"/>
      <w:lvlText w:val="•"/>
      <w:lvlJc w:val="left"/>
      <w:pPr>
        <w:ind w:left="7086" w:hanging="542"/>
      </w:pPr>
      <w:rPr>
        <w:rFonts w:hint="default"/>
        <w:lang w:val="en-US" w:eastAsia="en-US" w:bidi="ar-SA"/>
      </w:rPr>
    </w:lvl>
    <w:lvl w:ilvl="8">
      <w:start w:val="0"/>
      <w:numFmt w:val="bullet"/>
      <w:lvlText w:val="•"/>
      <w:lvlJc w:val="left"/>
      <w:pPr>
        <w:ind w:left="7924" w:hanging="542"/>
      </w:pPr>
      <w:rPr>
        <w:rFonts w:hint="default"/>
        <w:lang w:val="en-US" w:eastAsia="en-US" w:bidi="ar-SA"/>
      </w:rPr>
    </w:lvl>
  </w:abstractNum>
  <w:abstractNum w:abstractNumId="9">
    <w:multiLevelType w:val="hybridMultilevel"/>
    <w:lvl w:ilvl="0">
      <w:start w:val="2"/>
      <w:numFmt w:val="decimal"/>
      <w:lvlText w:val="%1"/>
      <w:lvlJc w:val="left"/>
      <w:pPr>
        <w:ind w:left="3863" w:hanging="365"/>
        <w:jc w:val="left"/>
      </w:pPr>
      <w:rPr>
        <w:rFonts w:hint="default"/>
        <w:lang w:val="en-US" w:eastAsia="en-US" w:bidi="ar-SA"/>
      </w:rPr>
    </w:lvl>
    <w:lvl w:ilvl="1">
      <w:start w:val="0"/>
      <w:numFmt w:val="decimal"/>
      <w:lvlText w:val="%1.%2"/>
      <w:lvlJc w:val="left"/>
      <w:pPr>
        <w:ind w:left="3863" w:hanging="365"/>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22" w:hanging="542"/>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404" w:hanging="724"/>
        <w:jc w:val="left"/>
      </w:pPr>
      <w:rPr>
        <w:rFonts w:hint="default" w:ascii="Times New Roman" w:hAnsi="Times New Roman" w:eastAsia="Times New Roman" w:cs="Times New Roman"/>
        <w:b w:val="0"/>
        <w:bCs w:val="0"/>
        <w:i/>
        <w:iCs/>
        <w:spacing w:val="-5"/>
        <w:w w:val="100"/>
        <w:sz w:val="24"/>
        <w:szCs w:val="24"/>
        <w:lang w:val="en-US" w:eastAsia="en-US" w:bidi="ar-SA"/>
      </w:rPr>
    </w:lvl>
    <w:lvl w:ilvl="4">
      <w:start w:val="0"/>
      <w:numFmt w:val="bullet"/>
      <w:lvlText w:val="•"/>
      <w:lvlJc w:val="left"/>
      <w:pPr>
        <w:ind w:left="3860" w:hanging="724"/>
      </w:pPr>
      <w:rPr>
        <w:rFonts w:hint="default"/>
        <w:lang w:val="en-US" w:eastAsia="en-US" w:bidi="ar-SA"/>
      </w:rPr>
    </w:lvl>
    <w:lvl w:ilvl="5">
      <w:start w:val="0"/>
      <w:numFmt w:val="bullet"/>
      <w:lvlText w:val="•"/>
      <w:lvlJc w:val="left"/>
      <w:pPr>
        <w:ind w:left="4816" w:hanging="724"/>
      </w:pPr>
      <w:rPr>
        <w:rFonts w:hint="default"/>
        <w:lang w:val="en-US" w:eastAsia="en-US" w:bidi="ar-SA"/>
      </w:rPr>
    </w:lvl>
    <w:lvl w:ilvl="6">
      <w:start w:val="0"/>
      <w:numFmt w:val="bullet"/>
      <w:lvlText w:val="•"/>
      <w:lvlJc w:val="left"/>
      <w:pPr>
        <w:ind w:left="5773" w:hanging="724"/>
      </w:pPr>
      <w:rPr>
        <w:rFonts w:hint="default"/>
        <w:lang w:val="en-US" w:eastAsia="en-US" w:bidi="ar-SA"/>
      </w:rPr>
    </w:lvl>
    <w:lvl w:ilvl="7">
      <w:start w:val="0"/>
      <w:numFmt w:val="bullet"/>
      <w:lvlText w:val="•"/>
      <w:lvlJc w:val="left"/>
      <w:pPr>
        <w:ind w:left="6730" w:hanging="724"/>
      </w:pPr>
      <w:rPr>
        <w:rFonts w:hint="default"/>
        <w:lang w:val="en-US" w:eastAsia="en-US" w:bidi="ar-SA"/>
      </w:rPr>
    </w:lvl>
    <w:lvl w:ilvl="8">
      <w:start w:val="0"/>
      <w:numFmt w:val="bullet"/>
      <w:lvlText w:val="•"/>
      <w:lvlJc w:val="left"/>
      <w:pPr>
        <w:ind w:left="7686" w:hanging="724"/>
      </w:pPr>
      <w:rPr>
        <w:rFonts w:hint="default"/>
        <w:lang w:val="en-US" w:eastAsia="en-US" w:bidi="ar-SA"/>
      </w:rPr>
    </w:lvl>
  </w:abstractNum>
  <w:abstractNum w:abstractNumId="8">
    <w:multiLevelType w:val="hybridMultilevel"/>
    <w:lvl w:ilvl="0">
      <w:start w:val="1"/>
      <w:numFmt w:val="lowerRoman"/>
      <w:lvlText w:val="%1."/>
      <w:lvlJc w:val="left"/>
      <w:pPr>
        <w:ind w:left="1429" w:hanging="389"/>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238" w:hanging="389"/>
      </w:pPr>
      <w:rPr>
        <w:rFonts w:hint="default"/>
        <w:lang w:val="en-US" w:eastAsia="en-US" w:bidi="ar-SA"/>
      </w:rPr>
    </w:lvl>
    <w:lvl w:ilvl="2">
      <w:start w:val="0"/>
      <w:numFmt w:val="bullet"/>
      <w:lvlText w:val="•"/>
      <w:lvlJc w:val="left"/>
      <w:pPr>
        <w:ind w:left="3056" w:hanging="389"/>
      </w:pPr>
      <w:rPr>
        <w:rFonts w:hint="default"/>
        <w:lang w:val="en-US" w:eastAsia="en-US" w:bidi="ar-SA"/>
      </w:rPr>
    </w:lvl>
    <w:lvl w:ilvl="3">
      <w:start w:val="0"/>
      <w:numFmt w:val="bullet"/>
      <w:lvlText w:val="•"/>
      <w:lvlJc w:val="left"/>
      <w:pPr>
        <w:ind w:left="3874" w:hanging="389"/>
      </w:pPr>
      <w:rPr>
        <w:rFonts w:hint="default"/>
        <w:lang w:val="en-US" w:eastAsia="en-US" w:bidi="ar-SA"/>
      </w:rPr>
    </w:lvl>
    <w:lvl w:ilvl="4">
      <w:start w:val="0"/>
      <w:numFmt w:val="bullet"/>
      <w:lvlText w:val="•"/>
      <w:lvlJc w:val="left"/>
      <w:pPr>
        <w:ind w:left="4692" w:hanging="389"/>
      </w:pPr>
      <w:rPr>
        <w:rFonts w:hint="default"/>
        <w:lang w:val="en-US" w:eastAsia="en-US" w:bidi="ar-SA"/>
      </w:rPr>
    </w:lvl>
    <w:lvl w:ilvl="5">
      <w:start w:val="0"/>
      <w:numFmt w:val="bullet"/>
      <w:lvlText w:val="•"/>
      <w:lvlJc w:val="left"/>
      <w:pPr>
        <w:ind w:left="5510" w:hanging="389"/>
      </w:pPr>
      <w:rPr>
        <w:rFonts w:hint="default"/>
        <w:lang w:val="en-US" w:eastAsia="en-US" w:bidi="ar-SA"/>
      </w:rPr>
    </w:lvl>
    <w:lvl w:ilvl="6">
      <w:start w:val="0"/>
      <w:numFmt w:val="bullet"/>
      <w:lvlText w:val="•"/>
      <w:lvlJc w:val="left"/>
      <w:pPr>
        <w:ind w:left="6328" w:hanging="389"/>
      </w:pPr>
      <w:rPr>
        <w:rFonts w:hint="default"/>
        <w:lang w:val="en-US" w:eastAsia="en-US" w:bidi="ar-SA"/>
      </w:rPr>
    </w:lvl>
    <w:lvl w:ilvl="7">
      <w:start w:val="0"/>
      <w:numFmt w:val="bullet"/>
      <w:lvlText w:val="•"/>
      <w:lvlJc w:val="left"/>
      <w:pPr>
        <w:ind w:left="7146" w:hanging="389"/>
      </w:pPr>
      <w:rPr>
        <w:rFonts w:hint="default"/>
        <w:lang w:val="en-US" w:eastAsia="en-US" w:bidi="ar-SA"/>
      </w:rPr>
    </w:lvl>
    <w:lvl w:ilvl="8">
      <w:start w:val="0"/>
      <w:numFmt w:val="bullet"/>
      <w:lvlText w:val="•"/>
      <w:lvlJc w:val="left"/>
      <w:pPr>
        <w:ind w:left="7964" w:hanging="389"/>
      </w:pPr>
      <w:rPr>
        <w:rFonts w:hint="default"/>
        <w:lang w:val="en-US" w:eastAsia="en-US" w:bidi="ar-SA"/>
      </w:rPr>
    </w:lvl>
  </w:abstractNum>
  <w:abstractNum w:abstractNumId="7">
    <w:multiLevelType w:val="hybridMultilevel"/>
    <w:lvl w:ilvl="0">
      <w:start w:val="1"/>
      <w:numFmt w:val="decimal"/>
      <w:lvlText w:val="%1"/>
      <w:lvlJc w:val="left"/>
      <w:pPr>
        <w:ind w:left="4219" w:hanging="360"/>
        <w:jc w:val="left"/>
      </w:pPr>
      <w:rPr>
        <w:rFonts w:hint="default"/>
        <w:lang w:val="en-US" w:eastAsia="en-US" w:bidi="ar-SA"/>
      </w:rPr>
    </w:lvl>
    <w:lvl w:ilvl="1">
      <w:start w:val="0"/>
      <w:numFmt w:val="decimal"/>
      <w:lvlText w:val="%1.%2"/>
      <w:lvlJc w:val="left"/>
      <w:pPr>
        <w:ind w:left="4219"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23" w:hanging="543"/>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415" w:hanging="543"/>
      </w:pPr>
      <w:rPr>
        <w:rFonts w:hint="default"/>
        <w:lang w:val="en-US" w:eastAsia="en-US" w:bidi="ar-SA"/>
      </w:rPr>
    </w:lvl>
    <w:lvl w:ilvl="4">
      <w:start w:val="0"/>
      <w:numFmt w:val="bullet"/>
      <w:lvlText w:val="•"/>
      <w:lvlJc w:val="left"/>
      <w:pPr>
        <w:ind w:left="6013" w:hanging="543"/>
      </w:pPr>
      <w:rPr>
        <w:rFonts w:hint="default"/>
        <w:lang w:val="en-US" w:eastAsia="en-US" w:bidi="ar-SA"/>
      </w:rPr>
    </w:lvl>
    <w:lvl w:ilvl="5">
      <w:start w:val="0"/>
      <w:numFmt w:val="bullet"/>
      <w:lvlText w:val="•"/>
      <w:lvlJc w:val="left"/>
      <w:pPr>
        <w:ind w:left="6611" w:hanging="543"/>
      </w:pPr>
      <w:rPr>
        <w:rFonts w:hint="default"/>
        <w:lang w:val="en-US" w:eastAsia="en-US" w:bidi="ar-SA"/>
      </w:rPr>
    </w:lvl>
    <w:lvl w:ilvl="6">
      <w:start w:val="0"/>
      <w:numFmt w:val="bullet"/>
      <w:lvlText w:val="•"/>
      <w:lvlJc w:val="left"/>
      <w:pPr>
        <w:ind w:left="7208" w:hanging="543"/>
      </w:pPr>
      <w:rPr>
        <w:rFonts w:hint="default"/>
        <w:lang w:val="en-US" w:eastAsia="en-US" w:bidi="ar-SA"/>
      </w:rPr>
    </w:lvl>
    <w:lvl w:ilvl="7">
      <w:start w:val="0"/>
      <w:numFmt w:val="bullet"/>
      <w:lvlText w:val="•"/>
      <w:lvlJc w:val="left"/>
      <w:pPr>
        <w:ind w:left="7806" w:hanging="543"/>
      </w:pPr>
      <w:rPr>
        <w:rFonts w:hint="default"/>
        <w:lang w:val="en-US" w:eastAsia="en-US" w:bidi="ar-SA"/>
      </w:rPr>
    </w:lvl>
    <w:lvl w:ilvl="8">
      <w:start w:val="0"/>
      <w:numFmt w:val="bullet"/>
      <w:lvlText w:val="•"/>
      <w:lvlJc w:val="left"/>
      <w:pPr>
        <w:ind w:left="8404" w:hanging="543"/>
      </w:pPr>
      <w:rPr>
        <w:rFonts w:hint="default"/>
        <w:lang w:val="en-US" w:eastAsia="en-US" w:bidi="ar-SA"/>
      </w:rPr>
    </w:lvl>
  </w:abstractNum>
  <w:abstractNum w:abstractNumId="6">
    <w:multiLevelType w:val="hybridMultilevel"/>
    <w:lvl w:ilvl="0">
      <w:start w:val="7"/>
      <w:numFmt w:val="lowerLetter"/>
      <w:lvlText w:val="%1"/>
      <w:lvlJc w:val="left"/>
      <w:pPr>
        <w:ind w:left="2468" w:hanging="21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106" w:hanging="2161"/>
      </w:pPr>
      <w:rPr>
        <w:rFonts w:hint="default"/>
        <w:lang w:val="en-US" w:eastAsia="en-US" w:bidi="ar-SA"/>
      </w:rPr>
    </w:lvl>
    <w:lvl w:ilvl="2">
      <w:start w:val="0"/>
      <w:numFmt w:val="bullet"/>
      <w:lvlText w:val="•"/>
      <w:lvlJc w:val="left"/>
      <w:pPr>
        <w:ind w:left="3752" w:hanging="2161"/>
      </w:pPr>
      <w:rPr>
        <w:rFonts w:hint="default"/>
        <w:lang w:val="en-US" w:eastAsia="en-US" w:bidi="ar-SA"/>
      </w:rPr>
    </w:lvl>
    <w:lvl w:ilvl="3">
      <w:start w:val="0"/>
      <w:numFmt w:val="bullet"/>
      <w:lvlText w:val="•"/>
      <w:lvlJc w:val="left"/>
      <w:pPr>
        <w:ind w:left="4399" w:hanging="2161"/>
      </w:pPr>
      <w:rPr>
        <w:rFonts w:hint="default"/>
        <w:lang w:val="en-US" w:eastAsia="en-US" w:bidi="ar-SA"/>
      </w:rPr>
    </w:lvl>
    <w:lvl w:ilvl="4">
      <w:start w:val="0"/>
      <w:numFmt w:val="bullet"/>
      <w:lvlText w:val="•"/>
      <w:lvlJc w:val="left"/>
      <w:pPr>
        <w:ind w:left="5045" w:hanging="2161"/>
      </w:pPr>
      <w:rPr>
        <w:rFonts w:hint="default"/>
        <w:lang w:val="en-US" w:eastAsia="en-US" w:bidi="ar-SA"/>
      </w:rPr>
    </w:lvl>
    <w:lvl w:ilvl="5">
      <w:start w:val="0"/>
      <w:numFmt w:val="bullet"/>
      <w:lvlText w:val="•"/>
      <w:lvlJc w:val="left"/>
      <w:pPr>
        <w:ind w:left="5692" w:hanging="2161"/>
      </w:pPr>
      <w:rPr>
        <w:rFonts w:hint="default"/>
        <w:lang w:val="en-US" w:eastAsia="en-US" w:bidi="ar-SA"/>
      </w:rPr>
    </w:lvl>
    <w:lvl w:ilvl="6">
      <w:start w:val="0"/>
      <w:numFmt w:val="bullet"/>
      <w:lvlText w:val="•"/>
      <w:lvlJc w:val="left"/>
      <w:pPr>
        <w:ind w:left="6338" w:hanging="2161"/>
      </w:pPr>
      <w:rPr>
        <w:rFonts w:hint="default"/>
        <w:lang w:val="en-US" w:eastAsia="en-US" w:bidi="ar-SA"/>
      </w:rPr>
    </w:lvl>
    <w:lvl w:ilvl="7">
      <w:start w:val="0"/>
      <w:numFmt w:val="bullet"/>
      <w:lvlText w:val="•"/>
      <w:lvlJc w:val="left"/>
      <w:pPr>
        <w:ind w:left="6984" w:hanging="2161"/>
      </w:pPr>
      <w:rPr>
        <w:rFonts w:hint="default"/>
        <w:lang w:val="en-US" w:eastAsia="en-US" w:bidi="ar-SA"/>
      </w:rPr>
    </w:lvl>
    <w:lvl w:ilvl="8">
      <w:start w:val="0"/>
      <w:numFmt w:val="bullet"/>
      <w:lvlText w:val="•"/>
      <w:lvlJc w:val="left"/>
      <w:pPr>
        <w:ind w:left="7631" w:hanging="2161"/>
      </w:pPr>
      <w:rPr>
        <w:rFonts w:hint="default"/>
        <w:lang w:val="en-US" w:eastAsia="en-US" w:bidi="ar-SA"/>
      </w:rPr>
    </w:lvl>
  </w:abstractNum>
  <w:abstractNum w:abstractNumId="5">
    <w:multiLevelType w:val="hybridMultilevel"/>
    <w:lvl w:ilvl="0">
      <w:start w:val="5"/>
      <w:numFmt w:val="decimal"/>
      <w:lvlText w:val="%1.0"/>
      <w:lvlJc w:val="left"/>
      <w:pPr>
        <w:ind w:left="672" w:hanging="36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672" w:hanging="36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28" w:hanging="365"/>
      </w:pPr>
      <w:rPr>
        <w:rFonts w:hint="default"/>
        <w:lang w:val="en-US" w:eastAsia="en-US" w:bidi="ar-SA"/>
      </w:rPr>
    </w:lvl>
    <w:lvl w:ilvl="3">
      <w:start w:val="0"/>
      <w:numFmt w:val="bullet"/>
      <w:lvlText w:val="•"/>
      <w:lvlJc w:val="left"/>
      <w:pPr>
        <w:ind w:left="3153" w:hanging="365"/>
      </w:pPr>
      <w:rPr>
        <w:rFonts w:hint="default"/>
        <w:lang w:val="en-US" w:eastAsia="en-US" w:bidi="ar-SA"/>
      </w:rPr>
    </w:lvl>
    <w:lvl w:ilvl="4">
      <w:start w:val="0"/>
      <w:numFmt w:val="bullet"/>
      <w:lvlText w:val="•"/>
      <w:lvlJc w:val="left"/>
      <w:pPr>
        <w:ind w:left="3977" w:hanging="365"/>
      </w:pPr>
      <w:rPr>
        <w:rFonts w:hint="default"/>
        <w:lang w:val="en-US" w:eastAsia="en-US" w:bidi="ar-SA"/>
      </w:rPr>
    </w:lvl>
    <w:lvl w:ilvl="5">
      <w:start w:val="0"/>
      <w:numFmt w:val="bullet"/>
      <w:lvlText w:val="•"/>
      <w:lvlJc w:val="left"/>
      <w:pPr>
        <w:ind w:left="4802" w:hanging="365"/>
      </w:pPr>
      <w:rPr>
        <w:rFonts w:hint="default"/>
        <w:lang w:val="en-US" w:eastAsia="en-US" w:bidi="ar-SA"/>
      </w:rPr>
    </w:lvl>
    <w:lvl w:ilvl="6">
      <w:start w:val="0"/>
      <w:numFmt w:val="bullet"/>
      <w:lvlText w:val="•"/>
      <w:lvlJc w:val="left"/>
      <w:pPr>
        <w:ind w:left="5626" w:hanging="365"/>
      </w:pPr>
      <w:rPr>
        <w:rFonts w:hint="default"/>
        <w:lang w:val="en-US" w:eastAsia="en-US" w:bidi="ar-SA"/>
      </w:rPr>
    </w:lvl>
    <w:lvl w:ilvl="7">
      <w:start w:val="0"/>
      <w:numFmt w:val="bullet"/>
      <w:lvlText w:val="•"/>
      <w:lvlJc w:val="left"/>
      <w:pPr>
        <w:ind w:left="6450" w:hanging="365"/>
      </w:pPr>
      <w:rPr>
        <w:rFonts w:hint="default"/>
        <w:lang w:val="en-US" w:eastAsia="en-US" w:bidi="ar-SA"/>
      </w:rPr>
    </w:lvl>
    <w:lvl w:ilvl="8">
      <w:start w:val="0"/>
      <w:numFmt w:val="bullet"/>
      <w:lvlText w:val="•"/>
      <w:lvlJc w:val="left"/>
      <w:pPr>
        <w:ind w:left="7275" w:hanging="365"/>
      </w:pPr>
      <w:rPr>
        <w:rFonts w:hint="default"/>
        <w:lang w:val="en-US" w:eastAsia="en-US" w:bidi="ar-SA"/>
      </w:rPr>
    </w:lvl>
  </w:abstractNum>
  <w:abstractNum w:abstractNumId="4">
    <w:multiLevelType w:val="hybridMultilevel"/>
    <w:lvl w:ilvl="0">
      <w:start w:val="4"/>
      <w:numFmt w:val="decimal"/>
      <w:lvlText w:val="%1"/>
      <w:lvlJc w:val="left"/>
      <w:pPr>
        <w:ind w:left="672" w:hanging="365"/>
        <w:jc w:val="left"/>
      </w:pPr>
      <w:rPr>
        <w:rFonts w:hint="default"/>
        <w:lang w:val="en-US" w:eastAsia="en-US" w:bidi="ar-SA"/>
      </w:rPr>
    </w:lvl>
    <w:lvl w:ilvl="1">
      <w:start w:val="0"/>
      <w:numFmt w:val="decimal"/>
      <w:lvlText w:val="%1.%2"/>
      <w:lvlJc w:val="left"/>
      <w:pPr>
        <w:ind w:left="672" w:hanging="36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849"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850" w:hanging="542"/>
      </w:pPr>
      <w:rPr>
        <w:rFonts w:hint="default"/>
        <w:lang w:val="en-US" w:eastAsia="en-US" w:bidi="ar-SA"/>
      </w:rPr>
    </w:lvl>
    <w:lvl w:ilvl="4">
      <w:start w:val="0"/>
      <w:numFmt w:val="bullet"/>
      <w:lvlText w:val="•"/>
      <w:lvlJc w:val="left"/>
      <w:pPr>
        <w:ind w:left="2861" w:hanging="542"/>
      </w:pPr>
      <w:rPr>
        <w:rFonts w:hint="default"/>
        <w:lang w:val="en-US" w:eastAsia="en-US" w:bidi="ar-SA"/>
      </w:rPr>
    </w:lvl>
    <w:lvl w:ilvl="5">
      <w:start w:val="0"/>
      <w:numFmt w:val="bullet"/>
      <w:lvlText w:val="•"/>
      <w:lvlJc w:val="left"/>
      <w:pPr>
        <w:ind w:left="3871" w:hanging="542"/>
      </w:pPr>
      <w:rPr>
        <w:rFonts w:hint="default"/>
        <w:lang w:val="en-US" w:eastAsia="en-US" w:bidi="ar-SA"/>
      </w:rPr>
    </w:lvl>
    <w:lvl w:ilvl="6">
      <w:start w:val="0"/>
      <w:numFmt w:val="bullet"/>
      <w:lvlText w:val="•"/>
      <w:lvlJc w:val="left"/>
      <w:pPr>
        <w:ind w:left="4882" w:hanging="542"/>
      </w:pPr>
      <w:rPr>
        <w:rFonts w:hint="default"/>
        <w:lang w:val="en-US" w:eastAsia="en-US" w:bidi="ar-SA"/>
      </w:rPr>
    </w:lvl>
    <w:lvl w:ilvl="7">
      <w:start w:val="0"/>
      <w:numFmt w:val="bullet"/>
      <w:lvlText w:val="•"/>
      <w:lvlJc w:val="left"/>
      <w:pPr>
        <w:ind w:left="5892" w:hanging="542"/>
      </w:pPr>
      <w:rPr>
        <w:rFonts w:hint="default"/>
        <w:lang w:val="en-US" w:eastAsia="en-US" w:bidi="ar-SA"/>
      </w:rPr>
    </w:lvl>
    <w:lvl w:ilvl="8">
      <w:start w:val="0"/>
      <w:numFmt w:val="bullet"/>
      <w:lvlText w:val="•"/>
      <w:lvlJc w:val="left"/>
      <w:pPr>
        <w:ind w:left="6903" w:hanging="542"/>
      </w:pPr>
      <w:rPr>
        <w:rFonts w:hint="default"/>
        <w:lang w:val="en-US" w:eastAsia="en-US" w:bidi="ar-SA"/>
      </w:rPr>
    </w:lvl>
  </w:abstractNum>
  <w:abstractNum w:abstractNumId="3">
    <w:multiLevelType w:val="hybridMultilevel"/>
    <w:lvl w:ilvl="0">
      <w:start w:val="3"/>
      <w:numFmt w:val="decimal"/>
      <w:lvlText w:val="%1"/>
      <w:lvlJc w:val="left"/>
      <w:pPr>
        <w:ind w:left="1028" w:hanging="721"/>
        <w:jc w:val="left"/>
      </w:pPr>
      <w:rPr>
        <w:rFonts w:hint="default"/>
        <w:lang w:val="en-US" w:eastAsia="en-US" w:bidi="ar-SA"/>
      </w:rPr>
    </w:lvl>
    <w:lvl w:ilvl="1">
      <w:start w:val="7"/>
      <w:numFmt w:val="decimal"/>
      <w:lvlText w:val="%1.%2"/>
      <w:lvlJc w:val="left"/>
      <w:pPr>
        <w:ind w:left="1028" w:hanging="721"/>
        <w:jc w:val="left"/>
      </w:pPr>
      <w:rPr>
        <w:rFonts w:hint="default"/>
        <w:lang w:val="en-US" w:eastAsia="en-US" w:bidi="ar-SA"/>
      </w:rPr>
    </w:lvl>
    <w:lvl w:ilvl="2">
      <w:start w:val="4"/>
      <w:numFmt w:val="decimal"/>
      <w:lvlText w:val="%1.%2.%3"/>
      <w:lvlJc w:val="left"/>
      <w:pPr>
        <w:ind w:left="102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391" w:hanging="721"/>
      </w:pPr>
      <w:rPr>
        <w:rFonts w:hint="default"/>
        <w:lang w:val="en-US" w:eastAsia="en-US" w:bidi="ar-SA"/>
      </w:rPr>
    </w:lvl>
    <w:lvl w:ilvl="4">
      <w:start w:val="0"/>
      <w:numFmt w:val="bullet"/>
      <w:lvlText w:val="•"/>
      <w:lvlJc w:val="left"/>
      <w:pPr>
        <w:ind w:left="4181" w:hanging="721"/>
      </w:pPr>
      <w:rPr>
        <w:rFonts w:hint="default"/>
        <w:lang w:val="en-US" w:eastAsia="en-US" w:bidi="ar-SA"/>
      </w:rPr>
    </w:lvl>
    <w:lvl w:ilvl="5">
      <w:start w:val="0"/>
      <w:numFmt w:val="bullet"/>
      <w:lvlText w:val="•"/>
      <w:lvlJc w:val="left"/>
      <w:pPr>
        <w:ind w:left="4972" w:hanging="721"/>
      </w:pPr>
      <w:rPr>
        <w:rFonts w:hint="default"/>
        <w:lang w:val="en-US" w:eastAsia="en-US" w:bidi="ar-SA"/>
      </w:rPr>
    </w:lvl>
    <w:lvl w:ilvl="6">
      <w:start w:val="0"/>
      <w:numFmt w:val="bullet"/>
      <w:lvlText w:val="•"/>
      <w:lvlJc w:val="left"/>
      <w:pPr>
        <w:ind w:left="5762" w:hanging="721"/>
      </w:pPr>
      <w:rPr>
        <w:rFonts w:hint="default"/>
        <w:lang w:val="en-US" w:eastAsia="en-US" w:bidi="ar-SA"/>
      </w:rPr>
    </w:lvl>
    <w:lvl w:ilvl="7">
      <w:start w:val="0"/>
      <w:numFmt w:val="bullet"/>
      <w:lvlText w:val="•"/>
      <w:lvlJc w:val="left"/>
      <w:pPr>
        <w:ind w:left="6552" w:hanging="721"/>
      </w:pPr>
      <w:rPr>
        <w:rFonts w:hint="default"/>
        <w:lang w:val="en-US" w:eastAsia="en-US" w:bidi="ar-SA"/>
      </w:rPr>
    </w:lvl>
    <w:lvl w:ilvl="8">
      <w:start w:val="0"/>
      <w:numFmt w:val="bullet"/>
      <w:lvlText w:val="•"/>
      <w:lvlJc w:val="left"/>
      <w:pPr>
        <w:ind w:left="7343" w:hanging="721"/>
      </w:pPr>
      <w:rPr>
        <w:rFonts w:hint="default"/>
        <w:lang w:val="en-US" w:eastAsia="en-US" w:bidi="ar-SA"/>
      </w:rPr>
    </w:lvl>
  </w:abstractNum>
  <w:abstractNum w:abstractNumId="2">
    <w:multiLevelType w:val="hybridMultilevel"/>
    <w:lvl w:ilvl="0">
      <w:start w:val="3"/>
      <w:numFmt w:val="decimal"/>
      <w:lvlText w:val="%1"/>
      <w:lvlJc w:val="left"/>
      <w:pPr>
        <w:ind w:left="850" w:hanging="543"/>
        <w:jc w:val="left"/>
      </w:pPr>
      <w:rPr>
        <w:rFonts w:hint="default"/>
        <w:lang w:val="en-US" w:eastAsia="en-US" w:bidi="ar-SA"/>
      </w:rPr>
    </w:lvl>
    <w:lvl w:ilvl="1">
      <w:start w:val="0"/>
      <w:numFmt w:val="decimal"/>
      <w:lvlText w:val="%1.%2"/>
      <w:lvlJc w:val="left"/>
      <w:pPr>
        <w:ind w:left="850" w:hanging="5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849"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032" w:hanging="725"/>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2166" w:hanging="725"/>
      </w:pPr>
      <w:rPr>
        <w:rFonts w:hint="default"/>
        <w:lang w:val="en-US" w:eastAsia="en-US" w:bidi="ar-SA"/>
      </w:rPr>
    </w:lvl>
    <w:lvl w:ilvl="5">
      <w:start w:val="0"/>
      <w:numFmt w:val="bullet"/>
      <w:lvlText w:val="•"/>
      <w:lvlJc w:val="left"/>
      <w:pPr>
        <w:ind w:left="3292" w:hanging="725"/>
      </w:pPr>
      <w:rPr>
        <w:rFonts w:hint="default"/>
        <w:lang w:val="en-US" w:eastAsia="en-US" w:bidi="ar-SA"/>
      </w:rPr>
    </w:lvl>
    <w:lvl w:ilvl="6">
      <w:start w:val="0"/>
      <w:numFmt w:val="bullet"/>
      <w:lvlText w:val="•"/>
      <w:lvlJc w:val="left"/>
      <w:pPr>
        <w:ind w:left="4418" w:hanging="725"/>
      </w:pPr>
      <w:rPr>
        <w:rFonts w:hint="default"/>
        <w:lang w:val="en-US" w:eastAsia="en-US" w:bidi="ar-SA"/>
      </w:rPr>
    </w:lvl>
    <w:lvl w:ilvl="7">
      <w:start w:val="0"/>
      <w:numFmt w:val="bullet"/>
      <w:lvlText w:val="•"/>
      <w:lvlJc w:val="left"/>
      <w:pPr>
        <w:ind w:left="5545" w:hanging="725"/>
      </w:pPr>
      <w:rPr>
        <w:rFonts w:hint="default"/>
        <w:lang w:val="en-US" w:eastAsia="en-US" w:bidi="ar-SA"/>
      </w:rPr>
    </w:lvl>
    <w:lvl w:ilvl="8">
      <w:start w:val="0"/>
      <w:numFmt w:val="bullet"/>
      <w:lvlText w:val="•"/>
      <w:lvlJc w:val="left"/>
      <w:pPr>
        <w:ind w:left="6671" w:hanging="725"/>
      </w:pPr>
      <w:rPr>
        <w:rFonts w:hint="default"/>
        <w:lang w:val="en-US" w:eastAsia="en-US" w:bidi="ar-SA"/>
      </w:rPr>
    </w:lvl>
  </w:abstractNum>
  <w:abstractNum w:abstractNumId="1">
    <w:multiLevelType w:val="hybridMultilevel"/>
    <w:lvl w:ilvl="0">
      <w:start w:val="2"/>
      <w:numFmt w:val="decimal"/>
      <w:lvlText w:val="%1"/>
      <w:lvlJc w:val="left"/>
      <w:pPr>
        <w:ind w:left="672" w:hanging="365"/>
        <w:jc w:val="left"/>
      </w:pPr>
      <w:rPr>
        <w:rFonts w:hint="default"/>
        <w:lang w:val="en-US" w:eastAsia="en-US" w:bidi="ar-SA"/>
      </w:rPr>
    </w:lvl>
    <w:lvl w:ilvl="1">
      <w:start w:val="0"/>
      <w:numFmt w:val="decimal"/>
      <w:lvlText w:val="%1.%2"/>
      <w:lvlJc w:val="left"/>
      <w:pPr>
        <w:ind w:left="672" w:hanging="36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849"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032" w:hanging="724"/>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2166" w:hanging="724"/>
      </w:pPr>
      <w:rPr>
        <w:rFonts w:hint="default"/>
        <w:lang w:val="en-US" w:eastAsia="en-US" w:bidi="ar-SA"/>
      </w:rPr>
    </w:lvl>
    <w:lvl w:ilvl="5">
      <w:start w:val="0"/>
      <w:numFmt w:val="bullet"/>
      <w:lvlText w:val="•"/>
      <w:lvlJc w:val="left"/>
      <w:pPr>
        <w:ind w:left="3292" w:hanging="724"/>
      </w:pPr>
      <w:rPr>
        <w:rFonts w:hint="default"/>
        <w:lang w:val="en-US" w:eastAsia="en-US" w:bidi="ar-SA"/>
      </w:rPr>
    </w:lvl>
    <w:lvl w:ilvl="6">
      <w:start w:val="0"/>
      <w:numFmt w:val="bullet"/>
      <w:lvlText w:val="•"/>
      <w:lvlJc w:val="left"/>
      <w:pPr>
        <w:ind w:left="4418" w:hanging="724"/>
      </w:pPr>
      <w:rPr>
        <w:rFonts w:hint="default"/>
        <w:lang w:val="en-US" w:eastAsia="en-US" w:bidi="ar-SA"/>
      </w:rPr>
    </w:lvl>
    <w:lvl w:ilvl="7">
      <w:start w:val="0"/>
      <w:numFmt w:val="bullet"/>
      <w:lvlText w:val="•"/>
      <w:lvlJc w:val="left"/>
      <w:pPr>
        <w:ind w:left="5545" w:hanging="724"/>
      </w:pPr>
      <w:rPr>
        <w:rFonts w:hint="default"/>
        <w:lang w:val="en-US" w:eastAsia="en-US" w:bidi="ar-SA"/>
      </w:rPr>
    </w:lvl>
    <w:lvl w:ilvl="8">
      <w:start w:val="0"/>
      <w:numFmt w:val="bullet"/>
      <w:lvlText w:val="•"/>
      <w:lvlJc w:val="left"/>
      <w:pPr>
        <w:ind w:left="6671" w:hanging="724"/>
      </w:pPr>
      <w:rPr>
        <w:rFonts w:hint="default"/>
        <w:lang w:val="en-US" w:eastAsia="en-US" w:bidi="ar-SA"/>
      </w:rPr>
    </w:lvl>
  </w:abstractNum>
  <w:abstractNum w:abstractNumId="0">
    <w:multiLevelType w:val="hybridMultilevel"/>
    <w:lvl w:ilvl="0">
      <w:start w:val="1"/>
      <w:numFmt w:val="decimal"/>
      <w:lvlText w:val="%1"/>
      <w:lvlJc w:val="left"/>
      <w:pPr>
        <w:ind w:left="792" w:hanging="485"/>
        <w:jc w:val="left"/>
      </w:pPr>
      <w:rPr>
        <w:rFonts w:hint="default"/>
        <w:lang w:val="en-US" w:eastAsia="en-US" w:bidi="ar-SA"/>
      </w:rPr>
    </w:lvl>
    <w:lvl w:ilvl="1">
      <w:start w:val="0"/>
      <w:numFmt w:val="decimal"/>
      <w:lvlText w:val="%1.%2"/>
      <w:lvlJc w:val="left"/>
      <w:pPr>
        <w:ind w:left="792" w:hanging="48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24" w:hanging="485"/>
      </w:pPr>
      <w:rPr>
        <w:rFonts w:hint="default"/>
        <w:lang w:val="en-US" w:eastAsia="en-US" w:bidi="ar-SA"/>
      </w:rPr>
    </w:lvl>
    <w:lvl w:ilvl="3">
      <w:start w:val="0"/>
      <w:numFmt w:val="bullet"/>
      <w:lvlText w:val="•"/>
      <w:lvlJc w:val="left"/>
      <w:pPr>
        <w:ind w:left="3237" w:hanging="485"/>
      </w:pPr>
      <w:rPr>
        <w:rFonts w:hint="default"/>
        <w:lang w:val="en-US" w:eastAsia="en-US" w:bidi="ar-SA"/>
      </w:rPr>
    </w:lvl>
    <w:lvl w:ilvl="4">
      <w:start w:val="0"/>
      <w:numFmt w:val="bullet"/>
      <w:lvlText w:val="•"/>
      <w:lvlJc w:val="left"/>
      <w:pPr>
        <w:ind w:left="4049" w:hanging="485"/>
      </w:pPr>
      <w:rPr>
        <w:rFonts w:hint="default"/>
        <w:lang w:val="en-US" w:eastAsia="en-US" w:bidi="ar-SA"/>
      </w:rPr>
    </w:lvl>
    <w:lvl w:ilvl="5">
      <w:start w:val="0"/>
      <w:numFmt w:val="bullet"/>
      <w:lvlText w:val="•"/>
      <w:lvlJc w:val="left"/>
      <w:pPr>
        <w:ind w:left="4862" w:hanging="485"/>
      </w:pPr>
      <w:rPr>
        <w:rFonts w:hint="default"/>
        <w:lang w:val="en-US" w:eastAsia="en-US" w:bidi="ar-SA"/>
      </w:rPr>
    </w:lvl>
    <w:lvl w:ilvl="6">
      <w:start w:val="0"/>
      <w:numFmt w:val="bullet"/>
      <w:lvlText w:val="•"/>
      <w:lvlJc w:val="left"/>
      <w:pPr>
        <w:ind w:left="5674" w:hanging="485"/>
      </w:pPr>
      <w:rPr>
        <w:rFonts w:hint="default"/>
        <w:lang w:val="en-US" w:eastAsia="en-US" w:bidi="ar-SA"/>
      </w:rPr>
    </w:lvl>
    <w:lvl w:ilvl="7">
      <w:start w:val="0"/>
      <w:numFmt w:val="bullet"/>
      <w:lvlText w:val="•"/>
      <w:lvlJc w:val="left"/>
      <w:pPr>
        <w:ind w:left="6486" w:hanging="485"/>
      </w:pPr>
      <w:rPr>
        <w:rFonts w:hint="default"/>
        <w:lang w:val="en-US" w:eastAsia="en-US" w:bidi="ar-SA"/>
      </w:rPr>
    </w:lvl>
    <w:lvl w:ilvl="8">
      <w:start w:val="0"/>
      <w:numFmt w:val="bullet"/>
      <w:lvlText w:val="•"/>
      <w:lvlJc w:val="left"/>
      <w:pPr>
        <w:ind w:left="7299" w:hanging="485"/>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849" w:hanging="541"/>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276"/>
      <w:ind w:left="61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681"/>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681"/>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276"/>
      <w:ind w:left="849" w:hanging="54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BEHAVIOURAL AND ANTICONVULSANT EFFECTS OF METHANOL EXTRACT OF FICUS VALLIS CHOUDAE (MORACEAE) STEM BARK</dc:title>
  <dcterms:created xsi:type="dcterms:W3CDTF">2023-11-02T21:02:53Z</dcterms:created>
  <dcterms:modified xsi:type="dcterms:W3CDTF">2023-11-02T21:02:53Z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2002-01-01T00:00:00Z</vt:filetime>
  </property>
  <property fmtid="{D5CDD505-2E9C-101B-9397-08002B2CF9AE}" pid="3" name="Creator">
    <vt:lpwstr>Microsoft® Office Word 2007</vt:lpwstr>
  </property>
  <property fmtid="{D5CDD505-2E9C-101B-9397-08002B2CF9AE}" pid="4" name="LastSaved">
    <vt:filetime>2023-11-02T00:00:00Z</vt:filetime>
  </property>
  <property fmtid="{D5CDD505-2E9C-101B-9397-08002B2CF9AE}" pid="5" name="Producer">
    <vt:lpwstr>Microsoft® Office Word 2007</vt:lpwstr>
  </property>
</Properties>
</file>